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Module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Module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Reference Resolver (P0)</w:t>
      </w:r>
    </w:p>
    <w:p>
      <w:pPr>
        <w:spacing w:after="80" w:before="80"/>
      </w:pPr>
      <w:r>
        <w:rPr>
          <w:sz w:val="22"/>
          <w:szCs w:val="22"/>
        </w:rPr>
        <w:t xml:space="preserve">Develop a reference resolver to manage and resolve dependencies within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reference resolver correctly identifies all dependencies.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resolver can handle circular dependencies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resolved references are logged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Conduct Third Pass Verification (P0)</w:t>
      </w:r>
    </w:p>
    <w:p>
      <w:pPr>
        <w:spacing w:after="80" w:before="80"/>
      </w:pPr>
      <w:r>
        <w:rPr>
          <w:sz w:val="22"/>
          <w:szCs w:val="22"/>
        </w:rPr>
        <w:t xml:space="preserve">Perform a third pass verification to ensure the Contractor module's recovery rate is improved.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third pass verification identifies any unresolved references.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documented and reviewed by the QA team.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deployment.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Enhance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enhanced error handling mechanisms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clear error messages when issues occur.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mechanisms are tested under load conditions.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Improve Observability (P1)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tools to monitor the Contractor module's performance and recovery rate.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tools provide real-time metrics on recovery 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recovery rate anomalies.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Dashboards display key performance indicators for the module.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 Recovery Rate Reporting (P2)</w:t>
      </w:r>
    </w:p>
    <w:p>
      <w:pPr>
        <w:spacing w:after="80" w:before="80"/>
      </w:pPr>
      <w:r>
        <w:rPr>
          <w:sz w:val="22"/>
          <w:szCs w:val="22"/>
        </w:rPr>
        <w:t xml:space="preserve">Automate the generation of reports on the Contractor module's recovery rate.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daily and distributed to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include historical trends and current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Stakeholders can customize report parameters.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Integrate with Existing Systems (P2)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integrates seamlessly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confirm compatibility with existing systems.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exchange between systems is verified for accuracy.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existing system functionality is disrupted by the integration.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response time under 200ms.; No performance degradation during peak hours.; Scalability tests show consistent performance with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critical vulnerabilities found in security audits.; All data is encrypted in transit and at rest.; Access controls are verified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testing results in a satisfaction score above 4.5.; Accessibility tests confirm compliance with WCAG 2.1 AA.; User feedback is collected and addressed in iterations.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reference resolution.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existing systems.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comprehensive integration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2026-05-12T23:02:55.667Z</dcterms:created>
  <dcterms:modified xsi:type="dcterms:W3CDTF">2026-05-12T23:02:55.667Z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