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Ensuring seamless integration of ECA intake_documents with Architect, DP, UI-Scaffold, and Translator.</w:t>
      </w:r>
    </w:p>
    <w:p>
      <w:r>
        <w:rPr>
          <w:b w:val="0"/>
          <w:color w:val="6B7280"/>
          <w:sz w:val="18"/>
        </w:rPr>
        <w:t>Run 20260515_161942_148d3aa1  ·  Generated 2026-05-15T20:20:03.659796+00:00  ·  Repo Synthetix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project, objectives,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Verify that the ECA intake_documents process flows correctly into Architect, DP, UI-Scaffold, and Translator with new wirings, and translate approximately 15 Contractor Placement methods.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Full upgrade / translation + remediation recommended.</w:t>
      </w:r>
    </w:p>
    <w:p>
      <w:r>
        <w:rPr>
          <w:b w:val="0"/>
          <w:color w:val="111827"/>
          <w:sz w:val="20"/>
        </w:rPr>
        <w:t>The MagicBox Modernization project aims to verify the correct flow of ECA intake_documents into key systems with new wirings. This involves translating approximately 15 Contractor Placement methods. The strategy involves a full upgrade, translation, and remediation approach, leveraging high readiness with controlled translation and remediation. The project is structured into three phases: capturing golden flows, incremental migration with dependency risk controls, and finalizing quality gates for release.</w:t>
      </w:r>
    </w:p>
    <w:p>
      <w:pPr>
        <w:pStyle w:val="ListParagraph"/>
      </w:pPr>
      <w:r>
        <w:rPr>
          <w:b w:val="0"/>
          <w:color w:val="111827"/>
          <w:sz w:val="18"/>
        </w:rPr>
        <w:t>- Objective: Verify ECA intake_documents flow into key systems.</w:t>
      </w:r>
    </w:p>
    <w:p>
      <w:pPr>
        <w:pStyle w:val="ListParagraph"/>
      </w:pPr>
      <w:r>
        <w:rPr>
          <w:b w:val="0"/>
          <w:color w:val="111827"/>
          <w:sz w:val="18"/>
        </w:rPr>
        <w:t>- Translate 15 Contractor Placement methods.</w:t>
      </w:r>
    </w:p>
    <w:p>
      <w:pPr>
        <w:pStyle w:val="ListParagraph"/>
      </w:pPr>
      <w:r>
        <w:rPr>
          <w:b w:val="0"/>
          <w:color w:val="111827"/>
          <w:sz w:val="18"/>
        </w:rPr>
        <w:t>- Strategy: Full upgrade, translation, and remediation.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and hardening.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score: 45, Risk tier: medium.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45/100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45, indicating moderate preparedness.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Full upgrade / translation + remediation: </w:t>
      </w:r>
      <w:r>
        <w:rPr>
          <w:b w:val="0"/>
          <w:color w:val="111827"/>
          <w:sz w:val="20"/>
        </w:rPr>
        <w:t>High readiness with controlled translation and remediation.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Finance &amp; Payroll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Details on dependencies and their management during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formula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Shared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Business behavior is enforced through data and calculation logic.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Analysis of process flows and their integration into new systems.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of changes and their impacts across systems.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and their objectives within the project.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potential risks and mitigation strategies.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inconsistency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thorough data validation and testing.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Legacy integration assumptions may not be explicit.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staged validation of integration points.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artifact://legacy_inventory/1.0/art_legacy_inventory_77b87f2ba8c44246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artifact://repo_landscape/1.0/art_repo_landscape_a56fe6f1534845c0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artifact://scope_lock/1.0/art_scope_lock_fb6f5e4b5d41442a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artifact://variant_inventory/1.0/art_variant_inventory_d9b497562c4e4aca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artifact://event_map/1.0/art_event_map_e78983c4f9194240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artifact://sql_catalog/1.0/art_sql_catalog_f2c039d5cef64468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artifact://sql_map/1.0/art_sql_map_19e8fa3f9f534186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artifact://data_access_map/1.0/art_data_access_map_374195e7f2814fd7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artifact://recordset_ops/1.0/art_recordset_ops_b5576eed73874985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artifact://procedure_summary/1.0/art_procedure_summary_d64f07520ee742b2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artifact://form_dossier/1.0/art_form_dossier_7192e537fcb14776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artifact://dependency_inventory/1.0/art_dependency_inventory_6e367ad536854022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artifact://dependency_inventory/1.0/art_dependency_inventory_6e367ad536854022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artifact://business_rule_catalog/1.0/art_business_rule_catalog_facc3da259b44b90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artifact://detector_findings/1.0/art_detector_findings_be7e63b29420466d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artifact://risk_register/1.0/art_risk_register_76209fb91ecb4288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artifact://orphan_analysis/1.0/art_orphan_analysis_2a4c785e2b634139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artifact://delivery_constitution/1.0/art_delivery_constitution_0ba531dbb2874955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artifact://variant_diff_report/1.0/art_variant_diff_report_92861d489a0b40e2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artifact://reporting_model/1.0/art_reporting_model_93b00632635148b8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artifact://identity_access_model/1.0/art_identity_access_model_fc5017a6e6354f92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artifact://discover_review_checklist/1.0/art_discover_review_checklist_795cf0e925ac46bb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artifact://artifact_index/1.0/art_artifact_index_4849817f26e34eaf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runctx://runctx-29b1a03fc1c64af7/kctx-6c852fcceab50a55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runctx://runctx-29b1a03fc1c64af7/delivery_constitution/const-03f07a206d8b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