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_synthetix_custom_props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SYNTHETIX  PLATFORM</w:t>
      </w:r>
    </w:p>
    <w:p>
      <w:pPr>
        <w:pStyle w:val="Title"/>
      </w:pPr>
      <w:r>
        <w:rPr>
          <w:color w:val="1F2E4A"/>
        </w:rPr>
        <w:t>Magicbox — Capability BRD</w:t>
      </w:r>
    </w:p>
    <w:p>
      <w:r>
        <w:rPr>
          <w:i/>
        </w:rPr>
        <w:t>Engagement: 20260424_090750_f5308230 · Repo: https://github.com/vishakjai/magicbox · Artifact: art_capbrd_8815db7dccbe</w:t>
      </w:r>
    </w:p>
    <w:p>
      <w:r>
        <w:rPr>
          <w:b/>
          <w:color w:val="B00000"/>
        </w:rPr>
        <w:t xml:space="preserve">⚠ GENERATOR WARNINGS — </w:t>
      </w:r>
      <w:r>
        <w:rPr>
          <w:color w:val="B00000"/>
        </w:rPr>
        <w:t>W-002 partial coverage: module 'Route Surface' has no production symbols in symbol_index_v1.; W-002 partial coverage: module 'Controller Layer' has no production symbols in symbol_index_v1.; W-002 partial coverage: module 'Template/View Layer' has no production symbols in symbol_index_v1.; W-002 partial coverage: module 'Async and Job Processing' has no production symbols in symbol_index_v1.; W-002 partial coverage: module 'Support and Domain Services' has no production symbols in symbol_index_v1.; W-002 partial coverage: module 'Support Artifacts' has no production symbols in symbol_index_v1.</w:t>
      </w:r>
    </w:p>
    <w:p>
      <w:pPr>
        <w:pStyle w:val="Heading1"/>
      </w:pPr>
      <w:r>
        <w:rPr>
          <w:color w:val="1F2E4A"/>
        </w:rPr>
        <w:t>1.  Executive Summary</w:t>
      </w:r>
    </w:p>
    <w:p>
      <w:pPr>
        <w:pStyle w:val="Heading2"/>
      </w:pPr>
      <w:r>
        <w:t>1.1  Project Overview</w:t>
      </w:r>
    </w:p>
    <w:p>
      <w:r>
        <w:rPr>
          <w:b w:val="0"/>
          <w:i/>
        </w:rPr>
        <w:t>This project aims to migrate the existing PHP codebase to a modern architecture using Blazor for the frontend and a new database system, ensuring legacy behavior is preserved.</w:t>
      </w:r>
    </w:p>
    <w:p>
      <w:r>
        <w:rPr>
          <w:b w:val="0"/>
          <w:i w:val="0"/>
        </w:rPr>
        <w:t>Magicbox is a command-line tool written in PHP, classified as an unclassified. The codebase is hosted at https://github.com/vishakjai/magicbox.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Product Name</w:t>
            </w:r>
          </w:p>
        </w:tc>
        <w:tc>
          <w:tcPr>
            <w:tcW w:type="dxa" w:w="4320"/>
          </w:tcPr>
          <w:p>
            <w:r>
              <w:t>Magicbox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https://github.com/vishakjai/magicbox</w:t>
            </w:r>
          </w:p>
        </w:tc>
      </w:tr>
      <w:tr>
        <w:tc>
          <w:tcPr>
            <w:tcW w:type="dxa" w:w="4320"/>
          </w:tcPr>
          <w:p>
            <w:r>
              <w:t>Primary Language</w:t>
            </w:r>
          </w:p>
        </w:tc>
        <w:tc>
          <w:tcPr>
            <w:tcW w:type="dxa" w:w="4320"/>
          </w:tcPr>
          <w:p>
            <w:r>
              <w:t>PHP</w:t>
            </w:r>
          </w:p>
        </w:tc>
      </w:tr>
      <w:tr>
        <w:tc>
          <w:tcPr>
            <w:tcW w:type="dxa" w:w="4320"/>
          </w:tcPr>
          <w:p>
            <w:r>
              <w:t>Shape Profile</w:t>
            </w:r>
          </w:p>
        </w:tc>
        <w:tc>
          <w:tcPr>
            <w:tcW w:type="dxa" w:w="4320"/>
          </w:tcPr>
          <w:p>
            <w:r>
              <w:t>Command-Line Tool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Unclassified</w:t>
            </w:r>
          </w:p>
        </w:tc>
      </w:tr>
      <w:tr>
        <w:tc>
          <w:tcPr>
            <w:tcW w:type="dxa" w:w="4320"/>
          </w:tcPr>
          <w:p>
            <w:r>
              <w:t>Commercial Readiness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Artifact</w:t>
            </w:r>
          </w:p>
        </w:tc>
        <w:tc>
          <w:tcPr>
            <w:tcW w:type="dxa" w:w="4320"/>
          </w:tcPr>
          <w:p>
            <w:r>
              <w:t>Capability BRD</w:t>
            </w:r>
          </w:p>
        </w:tc>
      </w:tr>
    </w:tbl>
    <w:p>
      <w:pPr>
        <w:pStyle w:val="Heading2"/>
      </w:pPr>
      <w:r>
        <w:t>1.2  Core Problem Space</w:t>
      </w:r>
    </w:p>
    <w:p>
      <w:r>
        <w:rPr>
          <w:b w:val="0"/>
          <w:i w:val="0"/>
        </w:rPr>
        <w:t>This Capability BRD inventories what the subject application does today — modules, features, business rules, data model, API surface, security posture, error handling, and runtime workflows. It is the source of truth consumed by downstream automation (migration synthesis, test generation, HLD drafting).</w:t>
      </w:r>
    </w:p>
    <w:p>
      <w:pPr>
        <w:pStyle w:val="Heading2"/>
      </w:pPr>
      <w:r>
        <w:t>1.3  Key Stakeholders and Users</w:t>
      </w:r>
    </w:p>
    <w:p>
      <w:r>
        <w:rPr>
          <w:b w:val="0"/>
          <w:i w:val="0"/>
        </w:rPr>
        <w:t>Stakeholders are not yet classified. Populate the engagement's classification override to enable targeted stakeholder analysis.</w:t>
      </w:r>
    </w:p>
    <w:p>
      <w:pPr>
        <w:pStyle w:val="Heading2"/>
      </w:pPr>
      <w:r>
        <w:t>1.4  Value Proposition</w:t>
      </w:r>
    </w:p>
    <w:p>
      <w:r>
        <w:rPr>
          <w:b w:val="0"/>
          <w:i w:val="0"/>
        </w:rPr>
        <w:t>This Capability BRD delivers a deterministic inventory of the subject application's behaviour, suitable for downstream agents that need ground truth rather than narrative assertions.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Sections grounded in code evidence (FR26 Data Model, FR27 API Specification, FR28 Security, FR25 business-rule patterns, FR31 workflows) are populated deterministically. Narrative dimensions (FR24, FR29, FR30 + FR25 domain rules) are filled by the LLM extractor; a per-dimension banner explains when the LLM returned no items or failed for a given module.</w:t>
      </w:r>
    </w:p>
    <w:p>
      <w:pPr>
        <w:pStyle w:val="Heading1"/>
      </w:pPr>
      <w:r>
        <w:rPr>
          <w:color w:val="1F2E4A"/>
        </w:rPr>
        <w:t>2.  Architecture Overview</w:t>
      </w:r>
    </w:p>
    <w:p>
      <w:r>
        <w:rPr>
          <w:b w:val="0"/>
          <w:i w:val="0"/>
        </w:rPr>
        <w:t>Pattern: uncategorized · Modules: 6 · DI framework: none</w:t>
      </w:r>
    </w:p>
    <w:p>
      <w:pPr>
        <w:pStyle w:val="Heading1"/>
      </w:pPr>
      <w:r>
        <w:rPr>
          <w:color w:val="1F2E4A"/>
        </w:rPr>
        <w:t>3.  Technology Stack</w:t>
      </w:r>
    </w:p>
    <w:p>
      <w:r>
        <w:rPr>
          <w:b w:val="0"/>
          <w:i/>
        </w:rPr>
        <w:t>(no Gradle dependency inventory captured)</w:t>
      </w:r>
    </w:p>
    <w:p>
      <w:pPr>
        <w:pStyle w:val="Heading1"/>
      </w:pPr>
      <w:r>
        <w:rPr>
          <w:color w:val="1F2E4A"/>
        </w:rPr>
        <w:t>4.1  Excluded Modules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Modules with no production Kotlin source (Gradle-only roots, media-only support bundles, or stub modules with coverage=none) are dropped from the main body. They are listed here for inventory parity only — the JSON artifact still carries their full record for downstream consumers.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Component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Reason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Files</w:t>
            </w:r>
          </w:p>
        </w:tc>
      </w:tr>
      <w:tr>
        <w:tc>
          <w:tcPr>
            <w:tcW w:type="dxa" w:w="2160"/>
          </w:tcPr>
          <w:p>
            <w:r>
              <w:t>Contractor Placement</w:t>
            </w:r>
          </w:p>
        </w:tc>
        <w:tc>
          <w:tcPr>
            <w:tcW w:type="dxa" w:w="2160"/>
          </w:tcPr>
          <w:p>
            <w:r>
              <w:t>php_domain</w:t>
            </w:r>
          </w:p>
        </w:tc>
        <w:tc>
          <w:tcPr>
            <w:tcW w:type="dxa" w:w="2160"/>
          </w:tcPr>
          <w:p>
            <w:r>
              <w:t>No production source — analysis not applicable</w:t>
            </w:r>
          </w:p>
        </w:tc>
        <w:tc>
          <w:tcPr>
            <w:tcW w:type="dxa" w:w="2160"/>
          </w:tcPr>
          <w:p>
            <w:r>
              <w:t>14</w:t>
            </w:r>
          </w:p>
        </w:tc>
      </w:tr>
      <w:tr>
        <w:tc>
          <w:tcPr>
            <w:tcW w:type="dxa" w:w="2160"/>
          </w:tcPr>
          <w:p>
            <w:r>
              <w:t>Credentialing and Compliance Requests</w:t>
            </w:r>
          </w:p>
        </w:tc>
        <w:tc>
          <w:tcPr>
            <w:tcW w:type="dxa" w:w="2160"/>
          </w:tcPr>
          <w:p>
            <w:r>
              <w:t>php_domain</w:t>
            </w:r>
          </w:p>
        </w:tc>
        <w:tc>
          <w:tcPr>
            <w:tcW w:type="dxa" w:w="2160"/>
          </w:tcPr>
          <w:p>
            <w:r>
              <w:t>No production source — analysis not applicable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Data Model</w:t>
            </w:r>
          </w:p>
        </w:tc>
        <w:tc>
          <w:tcPr>
            <w:tcW w:type="dxa" w:w="2160"/>
          </w:tcPr>
          <w:p>
            <w:r>
              <w:t>php_data_model</w:t>
            </w:r>
          </w:p>
        </w:tc>
        <w:tc>
          <w:tcPr>
            <w:tcW w:type="dxa" w:w="2160"/>
          </w:tcPr>
          <w:p>
            <w:r>
              <w:t>No production source — analysis not applicable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Onboarding</w:t>
            </w:r>
          </w:p>
        </w:tc>
        <w:tc>
          <w:tcPr>
            <w:tcW w:type="dxa" w:w="2160"/>
          </w:tcPr>
          <w:p>
            <w:r>
              <w:t>php_domain</w:t>
            </w:r>
          </w:p>
        </w:tc>
        <w:tc>
          <w:tcPr>
            <w:tcW w:type="dxa" w:w="2160"/>
          </w:tcPr>
          <w:p>
            <w:r>
              <w:t>No production source — analysis not applicable</w:t>
            </w:r>
          </w:p>
        </w:tc>
        <w:tc>
          <w:tcPr>
            <w:tcW w:type="dxa" w:w="2160"/>
          </w:tcPr>
          <w:p>
            <w:r>
              <w:t>21</w:t>
            </w:r>
          </w:p>
        </w:tc>
      </w:tr>
      <w:tr>
        <w:tc>
          <w:tcPr>
            <w:tcW w:type="dxa" w:w="2160"/>
          </w:tcPr>
          <w:p>
            <w:r>
              <w:t>Reporting and Documents</w:t>
            </w:r>
          </w:p>
        </w:tc>
        <w:tc>
          <w:tcPr>
            <w:tcW w:type="dxa" w:w="2160"/>
          </w:tcPr>
          <w:p>
            <w:r>
              <w:t>php_domain</w:t>
            </w:r>
          </w:p>
        </w:tc>
        <w:tc>
          <w:tcPr>
            <w:tcW w:type="dxa" w:w="2160"/>
          </w:tcPr>
          <w:p>
            <w:r>
              <w:t>No production source — analysis not applicable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Shared &amp; Infrastructure</w:t>
            </w:r>
          </w:p>
        </w:tc>
        <w:tc>
          <w:tcPr>
            <w:tcW w:type="dxa" w:w="2160"/>
          </w:tcPr>
          <w:p>
            <w:r>
              <w:t>php_shared</w:t>
            </w:r>
          </w:p>
        </w:tc>
        <w:tc>
          <w:tcPr>
            <w:tcW w:type="dxa" w:w="2160"/>
          </w:tcPr>
          <w:p>
            <w:r>
              <w:t>No production source — analysis not applicable</w:t>
            </w:r>
          </w:p>
        </w:tc>
        <w:tc>
          <w:tcPr>
            <w:tcW w:type="dxa" w:w="2160"/>
          </w:tcPr>
          <w:p>
            <w:r>
              <w:t>213</w:t>
            </w:r>
          </w:p>
        </w:tc>
      </w:tr>
    </w:tbl>
    <w:p>
      <w:pPr>
        <w:pStyle w:val="Heading1"/>
      </w:pPr>
      <w:r>
        <w:rPr>
          <w:color w:val="1F2E4A"/>
        </w:rPr>
        <w:t>10.  Gap Analysis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Structural gaps surfaced by the deterministic rule set — imports pointing at missing source files (MISSING-*) and DI wiring drift (DI-DRIFT-*). Module-level security gaps live under each module's §4.x.7.</w:t>
      </w:r>
    </w:p>
    <w:p>
      <w:r>
        <w:rPr>
          <w:b w:val="0"/>
          <w:i/>
        </w:rPr>
        <w:t>No structural gaps detected.</w:t>
      </w:r>
    </w:p>
    <w:p>
      <w:pPr>
        <w:pStyle w:val="Heading1"/>
      </w:pPr>
      <w:r>
        <w:rPr>
          <w:color w:val="1F2E4A"/>
        </w:rPr>
        <w:t>11.  8-Dimension Enforcement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FR24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FR25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FR26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FR27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FR28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FR29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FR30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FR31</w:t>
            </w:r>
          </w:p>
        </w:tc>
      </w:tr>
      <w:tr>
        <w:tc>
          <w:tcPr>
            <w:tcW w:type="dxa" w:w="960"/>
          </w:tcPr>
          <w:p>
            <w:r>
              <w:t>Contractor Placement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  <w:tr>
        <w:tc>
          <w:tcPr>
            <w:tcW w:type="dxa" w:w="960"/>
          </w:tcPr>
          <w:p>
            <w:r>
              <w:t>Credentialing and Compliance Requests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  <w:tr>
        <w:tc>
          <w:tcPr>
            <w:tcW w:type="dxa" w:w="960"/>
          </w:tcPr>
          <w:p>
            <w:r>
              <w:t>Data Model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  <w:tr>
        <w:tc>
          <w:tcPr>
            <w:tcW w:type="dxa" w:w="960"/>
          </w:tcPr>
          <w:p>
            <w:r>
              <w:t>Onboarding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  <w:tr>
        <w:tc>
          <w:tcPr>
            <w:tcW w:type="dxa" w:w="960"/>
          </w:tcPr>
          <w:p>
            <w:r>
              <w:t>Reporting and Documents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  <w:tr>
        <w:tc>
          <w:tcPr>
            <w:tcW w:type="dxa" w:w="960"/>
          </w:tcPr>
          <w:p>
            <w:r>
              <w:t>Shared &amp; Infrastructure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capability_brd_v2 — compliance: IEEE 29148:2018</dc:subject>
  <dc:creator>python-docx</dc:creator>
  <cp:keywords>IEEE 29148:2018 §9.5.5.1, IEEE 29148:2018 §9.5.5.2, IEEE 29148:2018 §9.5.5.3, IEEE 29148:2018 §9.5.5.4, IEEE 29148:2018 §9.5.5.5, IEEE 29148:2018 §9.5.5.6</cp:keywords>
  <dc:description>Synthetix IEEE compliance: IEEE 29148:2018. 7 sections mapped, 6 distinct clauses. Advisory; formal conformance is the auditor's responsibility.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ynthetixIEEEStandards">
    <vt:lpwstr>IEEE 29148:2018</vt:lpwstr>
  </property>
  <property fmtid="{D5CDD505-2E9C-101B-9397-08002B2CF9AE}" pid="3" name="SynthetixIEEEClauseCount">
    <vt:lpwstr>6</vt:lpwstr>
  </property>
  <property fmtid="{D5CDD505-2E9C-101B-9397-08002B2CF9AE}" pid="4" name="SynthetixIEEESectionCount">
    <vt:lpwstr>7</vt:lpwstr>
  </property>
  <property fmtid="{D5CDD505-2E9C-101B-9397-08002B2CF9AE}" pid="5" name="SynthetixIEEEStampedAt">
    <vt:lpwstr>2026-04-24T13:32:44Z</vt:lpwstr>
  </property>
  <property fmtid="{D5CDD505-2E9C-101B-9397-08002B2CF9AE}" pid="6" name="SynthetixArtifactType">
    <vt:lpwstr>capability_brd_v2</vt:lpwstr>
  </property>
</Properties>
</file>