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Code Modernization Workbook</w:t>
            </w:r>
          </w:p>
        </w:tc>
      </w:tr>
    </w:tbl>
    <w:p>
      <w:r>
        <w:rPr>
          <w:b/>
          <w:color w:val="1F6B75"/>
          <w:sz w:val="26"/>
        </w:rPr>
        <w:t>MagicBox Code Modernization</w:t>
      </w:r>
    </w:p>
    <w:p>
      <w:r>
        <w:rPr>
          <w:b w:val="0"/>
          <w:color w:val="111827"/>
          <w:sz w:val="20"/>
        </w:rPr>
        <w:t>Guidance for transitioning legacy PHP systems using the Strangler Fig Pattern.</w:t>
      </w:r>
    </w:p>
    <w:p>
      <w:r>
        <w:rPr>
          <w:b w:val="0"/>
          <w:color w:val="6B7280"/>
          <w:sz w:val="18"/>
        </w:rPr>
        <w:t>Run 20260512_174542_5a44196c  ·  Generated 2026-05-12T17:46:19.836955+00:00  ·  Repo app</w:t>
      </w:r>
    </w:p>
    <w:p/>
    <w:p>
      <w:pPr>
        <w:pStyle w:val="Heading1"/>
      </w:pPr>
      <w:r>
        <w:t>Executive Snapshot</w:t>
      </w:r>
    </w:p>
    <w:p>
      <w:r>
        <w:rPr>
          <w:b w:val="0"/>
          <w:color w:val="6B7280"/>
          <w:sz w:val="18"/>
        </w:rPr>
        <w:t>Overview of the modernization strategy and current project status.</w:t>
      </w:r>
    </w:p>
    <w:p>
      <w:r>
        <w:rPr>
          <w:b/>
          <w:color w:val="2E75B6"/>
          <w:sz w:val="20"/>
        </w:rPr>
        <w:t xml:space="preserve">Objective: </w:t>
      </w:r>
      <w:r>
        <w:rPr>
          <w:b w:val="0"/>
          <w:color w:val="111827"/>
          <w:sz w:val="20"/>
        </w:rPr>
        <w:t>The objective is to ensure that the adopt-mode correctly synthesizes the legacy PHP analysis from initial raw artifacts, and that the UI scaffold contracts cascade is triggered.</w:t>
      </w:r>
    </w:p>
    <w:p>
      <w:r>
        <w:rPr>
          <w:b/>
          <w:color w:val="2E75B6"/>
          <w:sz w:val="20"/>
        </w:rPr>
        <w:t xml:space="preserve">Summary: </w:t>
      </w:r>
      <w:r>
        <w:rPr>
          <w:b w:val="0"/>
          <w:color w:val="111827"/>
          <w:sz w:val="20"/>
        </w:rPr>
        <w:t>Strangler Fig Pattern recommended.</w:t>
      </w:r>
    </w:p>
    <w:p>
      <w:r>
        <w:rPr>
          <w:b w:val="0"/>
          <w:color w:val="111827"/>
          <w:sz w:val="20"/>
        </w:rPr>
        <w:t>The MagicBox Code Modernization project aims to transform legacy PHP systems by adopting the Strangler Fig Pattern. This approach allows for incremental migration, ensuring that legacy functionality is maintained while new systems are integrated. The project focuses on synthesizing legacy PHP analysis and triggering UI scaffold contracts. Despite a high-risk tier and a readiness score of zero, the strategy involves capturing golden flows, migrating forms with risk controls, and finalizing quality gates.</w:t>
      </w:r>
    </w:p>
    <w:p>
      <w:pPr>
        <w:pStyle w:val="ListParagraph"/>
      </w:pPr>
      <w:r>
        <w:rPr>
          <w:b w:val="0"/>
          <w:color w:val="111827"/>
          <w:sz w:val="18"/>
        </w:rPr>
        <w:t>- Objective: Synthesize legacy PHP analysis and trigger UI scaffold contracts.</w:t>
      </w:r>
    </w:p>
    <w:p>
      <w:pPr>
        <w:pStyle w:val="ListParagraph"/>
      </w:pPr>
      <w:r>
        <w:rPr>
          <w:b w:val="0"/>
          <w:color w:val="111827"/>
          <w:sz w:val="18"/>
        </w:rPr>
        <w:t>- Strategy: Use Strangler Fig Pattern for incremental migration.</w:t>
      </w:r>
    </w:p>
    <w:p>
      <w:pPr>
        <w:pStyle w:val="ListParagraph"/>
      </w:pPr>
      <w:r>
        <w:rPr>
          <w:b w:val="0"/>
          <w:color w:val="111827"/>
          <w:sz w:val="18"/>
        </w:rPr>
        <w:t>- Phases: Baseline capture, incremental migration, and hardening.</w:t>
      </w:r>
    </w:p>
    <w:p>
      <w:pPr>
        <w:pStyle w:val="ListParagraph"/>
      </w:pPr>
      <w:r>
        <w:rPr>
          <w:b w:val="0"/>
          <w:color w:val="111827"/>
          <w:sz w:val="18"/>
        </w:rPr>
        <w:t>- Risk Tier: High, with a readiness score of zero.</w:t>
      </w:r>
    </w:p>
    <w:p>
      <w:pPr>
        <w:pStyle w:val="ListParagraph"/>
      </w:pPr>
      <w:r>
        <w:rPr>
          <w:b w:val="0"/>
          <w:color w:val="111827"/>
          <w:sz w:val="18"/>
        </w:rPr>
        <w:t>- Focus: Maintain legacy functionality during transition.</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w:t>
      </w:r>
      <w:r>
        <w:rPr>
          <w:b w:val="0"/>
          <w:color w:val="111827"/>
          <w:sz w:val="18"/>
        </w:rPr>
        <w:t>High-risk tier with zero readiness score.</w:t>
      </w:r>
    </w:p>
    <w:p>
      <w:pPr>
        <w:pStyle w:val="Heading2"/>
      </w:pPr>
      <w:r>
        <w:t>Recommended Modernization Strategy</w:t>
      </w:r>
    </w:p>
    <w:p>
      <w:r>
        <w:rPr>
          <w:b/>
          <w:color w:val="1F6B75"/>
          <w:sz w:val="20"/>
        </w:rPr>
        <w:t xml:space="preserve">Strangler Fig Pattern: </w:t>
      </w:r>
      <w:r>
        <w:rPr>
          <w:b w:val="0"/>
          <w:color w:val="111827"/>
          <w:sz w:val="20"/>
        </w:rPr>
        <w:t>Allows incremental migration while maintaining legacy functionality.</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(2/3)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2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Sales &amp; CRM, Staffing &amp; Recruitment</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of current dependencies to identify migration targets.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analysis of forms for migration readiness.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Staffing &amp; Recruitment</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Candidates must complete onboarding before placement.</w:t>
            </w:r>
          </w:p>
        </w:tc>
        <w:tc>
          <w:tcPr>
            <w:tcW w:type="dxa" w:w="1680"/>
          </w:tcPr>
          <w:p>
            <w:r/>
            <w:r>
              <w:rPr>
                <w:b w:val="0"/>
                <w:color w:val="111827"/>
                <w:sz w:val="16"/>
              </w:rPr>
              <w:t>none</w:t>
            </w:r>
          </w:p>
        </w:tc>
      </w:tr>
      <w:tr>
        <w:tc>
          <w:tcPr>
            <w:tcW w:type="dxa" w:w="1680"/>
            <w:shd w:val="clear" w:color="auto" w:fill="F3F4F6"/>
          </w:tcPr>
          <w:p>
            <w:r/>
            <w:r>
              <w:rPr>
                <w:b w:val="0"/>
                <w:color w:val="111827"/>
                <w:sz w:val="16"/>
              </w:rPr>
              <w:t>BR-002</w:t>
            </w:r>
          </w:p>
        </w:tc>
        <w:tc>
          <w:tcPr>
            <w:tcW w:type="dxa" w:w="1680"/>
            <w:shd w:val="clear" w:color="auto" w:fill="F3F4F6"/>
          </w:tcPr>
          <w:p>
            <w:r/>
            <w:r>
              <w:rPr>
                <w:b w:val="0"/>
                <w:color w:val="111827"/>
                <w:sz w:val="16"/>
              </w:rPr>
              <w:t>Sales &amp; CRM</w:t>
            </w:r>
          </w:p>
        </w:tc>
        <w:tc>
          <w:tcPr>
            <w:tcW w:type="dxa" w:w="1680"/>
            <w:shd w:val="clear" w:color="auto" w:fill="F3F4F6"/>
          </w:tcPr>
          <w:p>
            <w:r/>
            <w:r>
              <w:rPr>
                <w:b w:val="0"/>
                <w:color w:val="111827"/>
                <w:sz w:val="16"/>
              </w:rPr>
              <w:t>Presentation</w:t>
            </w:r>
          </w:p>
        </w:tc>
        <w:tc>
          <w:tcPr>
            <w:tcW w:type="dxa" w:w="1680"/>
            <w:shd w:val="clear" w:color="auto" w:fill="F3F4F6"/>
          </w:tcPr>
          <w:p>
            <w:r/>
            <w:r>
              <w:rPr>
                <w:b w:val="0"/>
                <w:color w:val="111827"/>
                <w:sz w:val="16"/>
              </w:rPr>
              <w:t>input_validation</w:t>
            </w:r>
          </w:p>
        </w:tc>
        <w:tc>
          <w:tcPr>
            <w:tcW w:type="dxa" w:w="1680"/>
            <w:shd w:val="clear" w:color="auto" w:fill="F3F4F6"/>
          </w:tcPr>
          <w:p>
            <w:r/>
            <w:r>
              <w:rPr>
                <w:b w:val="0"/>
                <w:color w:val="111827"/>
                <w:sz w:val="16"/>
              </w:rPr>
              <w:t>Email addresses must be validated before saving.</w:t>
            </w:r>
          </w:p>
        </w:tc>
        <w:tc>
          <w:tcPr>
            <w:tcW w:type="dxa" w:w="1680"/>
            <w:shd w:val="clear" w:color="auto" w:fill="F3F4F6"/>
          </w:tcPr>
          <w:p>
            <w:r/>
            <w:r>
              <w:rPr>
                <w:b w:val="0"/>
                <w:color w:val="111827"/>
                <w:sz w:val="16"/>
              </w:rPr>
              <w:t>none</w:t>
            </w:r>
          </w:p>
        </w:tc>
      </w:tr>
    </w:tbl>
    <w:p>
      <w:r>
        <w:br w:type="page"/>
      </w:r>
    </w:p>
    <w:p>
      <w:pPr>
        <w:pStyle w:val="Heading1"/>
      </w:pPr>
      <w:r>
        <w:t>Section P - Form Flow Traces</w:t>
      </w:r>
    </w:p>
    <w:p>
      <w:r>
        <w:rPr>
          <w:b w:val="0"/>
          <w:color w:val="6B7280"/>
          <w:sz w:val="18"/>
        </w:rPr>
        <w:t>Capture and analyze golden flows for baseline outputs.</w:t>
      </w:r>
    </w:p>
    <w:p>
      <w:r>
        <w:br w:type="page"/>
      </w:r>
    </w:p>
    <w:p>
      <w:pPr>
        <w:pStyle w:val="Heading1"/>
      </w:pPr>
      <w:r>
        <w:t>Section Q - Form Traceability Matrix</w:t>
      </w:r>
    </w:p>
    <w:p>
      <w:r>
        <w:rPr>
          <w:b w:val="0"/>
          <w:color w:val="6B7280"/>
          <w:sz w:val="18"/>
        </w:rPr>
        <w:t>Ensure traceability from legacy to modern systems.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 cycles for phased migration.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Assessment of risks associated with the modernization process.</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data loss during artifact processing.</w:t>
            </w:r>
          </w:p>
        </w:tc>
        <w:tc>
          <w:tcPr>
            <w:tcW w:type="dxa" w:w="2520"/>
          </w:tcPr>
          <w:p>
            <w:r/>
            <w:r>
              <w:rPr>
                <w:b w:val="0"/>
                <w:color w:val="111827"/>
                <w:sz w:val="16"/>
              </w:rPr>
              <w:t>Implement data validation and backup mechanisms.</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UI scaffold contracts may not trigger as expected.</w:t>
            </w:r>
          </w:p>
        </w:tc>
        <w:tc>
          <w:tcPr>
            <w:tcW w:type="dxa" w:w="2520"/>
            <w:shd w:val="clear" w:color="auto" w:fill="F3F4F6"/>
          </w:tcPr>
          <w:p>
            <w:r/>
            <w:r>
              <w:rPr>
                <w:b w:val="0"/>
                <w:color w:val="111827"/>
                <w:sz w:val="16"/>
              </w:rPr>
              <w:t>Conduct thorough testing and implement fallback procedures.</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artifact://legacy_inventory/1.0/art_legacy_inventory_2438ea78e21743b7</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artifact://repo_landscape/1.0/art_repo_landscape_16489c392a4743ef</w:t>
            </w:r>
          </w:p>
        </w:tc>
      </w:tr>
      <w:tr>
        <w:tc>
          <w:tcPr>
            <w:tcW w:type="dxa" w:w="5040"/>
          </w:tcPr>
          <w:p>
            <w:r/>
            <w:r>
              <w:rPr>
                <w:b w:val="0"/>
                <w:color w:val="111827"/>
                <w:sz w:val="16"/>
              </w:rPr>
              <w:t>scope_lock_ref</w:t>
            </w:r>
          </w:p>
        </w:tc>
        <w:tc>
          <w:tcPr>
            <w:tcW w:type="dxa" w:w="5040"/>
          </w:tcPr>
          <w:p>
            <w:r/>
            <w:r>
              <w:rPr>
                <w:b w:val="0"/>
                <w:color w:val="111827"/>
                <w:sz w:val="16"/>
              </w:rPr>
              <w:t>artifact://scope_lock/1.0/art_scope_lock_4749dde3fc0d4364</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artifact://variant_inventory/1.0/art_variant_inventory_84f03488594f4003</w:t>
            </w:r>
          </w:p>
        </w:tc>
      </w:tr>
      <w:tr>
        <w:tc>
          <w:tcPr>
            <w:tcW w:type="dxa" w:w="5040"/>
          </w:tcPr>
          <w:p>
            <w:r/>
            <w:r>
              <w:rPr>
                <w:b w:val="0"/>
                <w:color w:val="111827"/>
                <w:sz w:val="16"/>
              </w:rPr>
              <w:t>event_map_ref</w:t>
            </w:r>
          </w:p>
        </w:tc>
        <w:tc>
          <w:tcPr>
            <w:tcW w:type="dxa" w:w="5040"/>
          </w:tcPr>
          <w:p>
            <w:r/>
            <w:r>
              <w:rPr>
                <w:b w:val="0"/>
                <w:color w:val="111827"/>
                <w:sz w:val="16"/>
              </w:rPr>
              <w:t>artifact://event_map/1.0/art_event_map_bd7ada9b98f64854</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artifact://sql_catalog/1.0/art_sql_catalog_014c01fb9d45423a</w:t>
            </w:r>
          </w:p>
        </w:tc>
      </w:tr>
      <w:tr>
        <w:tc>
          <w:tcPr>
            <w:tcW w:type="dxa" w:w="5040"/>
          </w:tcPr>
          <w:p>
            <w:r/>
            <w:r>
              <w:rPr>
                <w:b w:val="0"/>
                <w:color w:val="111827"/>
                <w:sz w:val="16"/>
              </w:rPr>
              <w:t>sql_map_ref</w:t>
            </w:r>
          </w:p>
        </w:tc>
        <w:tc>
          <w:tcPr>
            <w:tcW w:type="dxa" w:w="5040"/>
          </w:tcPr>
          <w:p>
            <w:r/>
            <w:r>
              <w:rPr>
                <w:b w:val="0"/>
                <w:color w:val="111827"/>
                <w:sz w:val="16"/>
              </w:rPr>
              <w:t>artifact://sql_map/1.0/art_sql_map_0b58acda23a34d0f</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artifact://data_access_map/1.0/art_data_access_map_43f0c85bf5b14a7f</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artifact://recordset_ops/1.0/art_recordset_ops_ebd4269ede084e7e</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artifact://procedure_summary/1.0/art_procedure_summary_8ed92d0d8841433a</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artifact://form_dossier/1.0/art_form_dossier_a73d123936e34761</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artifact://dependency_inventory/1.0/art_dependency_inventory_abe4f3b5316745b8</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artifact://dependency_inventory/1.0/art_dependency_inventory_abe4f3b5316745b8</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artifact://business_rule_catalog/1.0/art_business_rule_catalog_3b73163193ca4d4b</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artifact://detector_findings/1.0/art_detector_findings_293d9e45be504ac0</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artifact://risk_register/1.0/art_risk_register_f2c34f9fa20e4c1c</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artifact://orphan_analysis/1.0/art_orphan_analysis_7c5a23b15cc04bed</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artifact://delivery_constitution/1.0/art_delivery_constitution_9b9cc6e53abd4ffe</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artifact://variant_diff_report/1.0/art_variant_diff_report_5463cdb7089e480c</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artifact://reporting_model/1.0/art_reporting_model_77271b98b25a446a</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artifact://identity_access_model/1.0/art_identity_access_model_dd48c6fd55d54d41</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artifact://discover_review_checklist/1.0/art_discover_review_checklist_87b6510a062a4fc1</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artifact://artifact_index/1.0/art_artifact_index_435ef32d1f7048f2</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runctx://runctx-8360d23db824d9b8/kctx-15b3c2bc8c946c76</w:t>
            </w:r>
          </w:p>
        </w:tc>
      </w:tr>
      <w:tr>
        <w:tc>
          <w:tcPr>
            <w:tcW w:type="dxa" w:w="5040"/>
          </w:tcPr>
          <w:p>
            <w:r/>
            <w:r>
              <w:rPr>
                <w:b w:val="0"/>
                <w:color w:val="111827"/>
                <w:sz w:val="16"/>
              </w:rPr>
              <w:t>run_delivery_constitution_ref</w:t>
            </w:r>
          </w:p>
        </w:tc>
        <w:tc>
          <w:tcPr>
            <w:tcW w:type="dxa" w:w="5040"/>
          </w:tcPr>
          <w:p>
            <w:r/>
            <w:r>
              <w:rPr>
                <w:b w:val="0"/>
                <w:color w:val="111827"/>
                <w:sz w:val="16"/>
              </w:rPr>
              <w:t>runctx://runctx-8360d23db824d9b8/delivery_constitution/const-472688624e8f</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