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Full Contractor Translation (P0)</w:t>
      </w:r>
    </w:p>
    <w:p>
      <w:pPr>
        <w:spacing w:after="80" w:before="80"/>
      </w:pPr>
      <w:r>
        <w:rPr>
          <w:sz w:val="22"/>
          <w:szCs w:val="22"/>
        </w:rPr>
        <w:t xml:space="preserve">Ensure all Contractor data is accurately translated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Contractor fields are mapped and translated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accuracy is verified against legacy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translation.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show response times within limits.; Performance is consistent under peak load.; System scales to handle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reports show no critical vulnerabilities.; Penetration tests confirm security posture.; Security patches are applied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continuously.; Failover mechanisms are tested regularly.; Incident response procedures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Accessibility standards are met.; UI is intuitive and easy to navigate.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Dashboards provide real-time insights.; Alerts are configured for critical metrics.; Logs are centralized and searchable.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Contractor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validation and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tier fallback logic.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fallback logic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2026-05-13T17:17:24.662Z</dcterms:created>
  <dcterms:modified xsi:type="dcterms:W3CDTF">2026-05-13T17:17:24.662Z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