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3864"/>
          <w:sz w:val="60"/>
          <w:szCs w:val="60"/>
        </w:rPr>
        <w:t xml:space="preserve">MagicBox Contractor Management Modernization — VB6 Modernization BRD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1B7A8C"/>
          <w:sz w:val="40"/>
          <w:szCs w:val="40"/>
        </w:rPr>
        <w:t xml:space="preserve">Business Analyst Brief</w:t>
      </w:r>
    </w:p>
    <w:p>
      <w:pPr>
        <w:pBdr>
          <w:bottom w:val="single" w:color="1B7A8C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Synthetix AI Analysis Platform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2026-05-13   ·   Repo: 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Confidential — BA Use Only</w:t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Executive Snapshot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Projects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 Forms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Level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Avg Coverage Score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8"/>
                <w:szCs w:val="28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8"/>
                <w:szCs w:val="28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4"/>
                <w:szCs w:val="24"/>
              </w:rPr>
              <w:t xml:space="preserve">LOW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4"/>
                <w:szCs w:val="24"/>
              </w:rPr>
              <w:t xml:space="preserve">0 / 100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Summary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4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80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Summary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Modernization Readiness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0/100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Risk Tier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Inventory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 project(s), 0 forms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Recommended Strategy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Phased UI migration recommended.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Decisions Required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The following decisions are needed before migration can proceed. Each is a current blocker for sprint planning.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5540"/>
        <w:gridCol w:w="2100"/>
      </w:tblGrid>
      <w:tr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55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 Required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 if Deferred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Form Inventory — Business View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0 active forms across 0 project variants. Inputs show the data fields a user enters. Outputs describe the business effect when the form action completes.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2400"/>
        <w:gridCol w:w="2300"/>
        <w:gridCol w:w="244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Inputs (data fields)</w:t>
            </w:r>
          </w:p>
        </w:tc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Outputs (business effect)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K1 — Excluded / Unresolved Forms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0 excluded or unresolved form files are listed here for completeness only. These items are not treated as first-class business scope in the BRD/BA package. They appear across 0 variant project entries where applicable.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4740"/>
        <w:gridCol w:w="24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Name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7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Found in Variants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Business Rules by Form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Rules are extracted from source code and translated into business language. Each rule is categorised by type and linked to any risk register entry where applicable.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Traceability Coverage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Each active form is scored across four dimensions: event map, SQL map, business rules, and risk register linkage. Score of 100 = fully covered. Score of 0 indicates no extracted traceability evidence for the current run; it should be reviewed as a coverage gap, not automatically interpreted as proof that the business flow does not exist.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Complete (100)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Near-complete (≥80)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Partial (40–79)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Discovery Gap (&lt;40)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22"/>
                <w:szCs w:val="22"/>
              </w:rPr>
              <w:t xml:space="preserve">0 forms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60"/>
        <w:gridCol w:w="820"/>
        <w:gridCol w:w="820"/>
        <w:gridCol w:w="820"/>
        <w:gridCol w:w="820"/>
        <w:gridCol w:w="380"/>
      </w:tblGrid>
      <w:tr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3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Events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Rules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3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Risk Register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All risks extracted by the analysis platform. High severity risks must be resolved before go-live.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800"/>
        <w:gridCol w:w="4640"/>
        <w:gridCol w:w="2100"/>
      </w:tblGrid>
      <w:tr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46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Appendix A. Delivery Sequencing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Sprint sequencing is provided as a delivery appendix rather than core business scope. Sprint 0 = discovery closure required (0 forms). Sprint 1 = risk-first migration of core transactional forms. Sprint 2 = parity hardening. Shared Components must be built before any form that lists them can be migrated.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0"/>
        <w:gridCol w:w="3480"/>
        <w:gridCol w:w="3480"/>
      </w:tblGrid>
      <w:tr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0 — Discovery</w:t>
            </w:r>
          </w:p>
        </w:tc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1 — Risk-First</w:t>
            </w:r>
          </w:p>
        </w:tc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2 — Hardening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22"/>
                <w:szCs w:val="22"/>
              </w:rPr>
              <w:t xml:space="preserve">0 forms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0 forms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2"/>
                <w:szCs w:val="22"/>
              </w:rPr>
              <w:t xml:space="preserve">0 forms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800"/>
        <w:gridCol w:w="2400"/>
        <w:gridCol w:w="244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Depends On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 Components</w:t>
            </w:r>
          </w:p>
        </w:tc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</w:tbl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Confidential — BA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MagicBox Contractor Management Modernization — VB6 Modernization BRD — Business Analyst Brief</w:t>
    </w:r>
    <w:r>
      <w:t xml:space="preserve">	</w:t>
    </w:r>
    <w:r>
      <w:rPr>
        <w:rFonts w:ascii="Arial" w:cs="Arial" w:eastAsia="Arial" w:hAnsi="Arial"/>
        <w:color w:val="1B7A8C"/>
        <w:sz w:val="16"/>
        <w:szCs w:val="16"/>
      </w:rPr>
      <w:t xml:space="preserve">Synthetix AI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B7A8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2026-05-13T16:29:31.100Z</dcterms:created>
  <dcterms:modified xsi:type="dcterms:W3CDTF">2026-05-13T16:29:31.100Z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