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7A8C" w:sz="8" w:space="4"/>
        </w:pBdr>
        <w:spacing w:after="100" w:before="240"/>
      </w:pPr>
      <w:r>
        <w:rPr>
          <w:rFonts w:ascii="Arial" w:cs="Arial" w:eastAsia="Arial" w:hAnsi="Arial"/>
          <w:b/>
          <w:bCs/>
          <w:color w:val="1F3864"/>
          <w:sz w:val="30"/>
          <w:szCs w:val="30"/>
        </w:rPr>
        <w:t xml:space="preserve">Modernization Brief - MagicBox Modernization Executive Brief</w:t>
      </w:r>
    </w:p>
    <w:p>
      <w:pPr>
        <w:spacing w:after="60" w:before="30"/>
      </w:pPr>
      <w:r>
        <w:rPr>
          <w:rFonts w:ascii="Arial" w:cs="Arial" w:eastAsia="Arial" w:hAnsi="Arial"/>
          <w:color w:val="2D2D2D"/>
          <w:sz w:val="18"/>
          <w:szCs w:val="18"/>
        </w:rPr>
        <w:t xml:space="preserve">Client · Modernization Brief - MagicBox Modernization</w:t>
      </w:r>
    </w:p>
    <w:p>
      <w:pPr>
        <w:spacing w:after="60" w:before="30"/>
      </w:pPr>
      <w:r>
        <w:rPr>
          <w:rFonts w:ascii="Arial" w:cs="Arial" w:eastAsia="Arial" w:hAnsi="Arial"/>
          <w:color w:val="2D2D2D"/>
          <w:sz w:val="18"/>
          <w:szCs w:val="18"/>
        </w:rPr>
        <w:t xml:space="preserve">Generated: 2026-04-24</w:t>
      </w:r>
    </w:p>
    <w:p>
      <w:pPr>
        <w:spacing w:after="80" w:before="160"/>
      </w:pPr>
      <w:r>
        <w:rPr>
          <w:rFonts w:ascii="Arial" w:cs="Arial" w:eastAsia="Arial" w:hAnsi="Arial"/>
          <w:b/>
          <w:bCs/>
          <w:color w:val="1B7A8C"/>
          <w:sz w:val="24"/>
          <w:szCs w:val="24"/>
        </w:rPr>
        <w:t xml:space="preserve">Readiness</w:t>
      </w:r>
    </w:p>
    <w:p>
      <w:pPr>
        <w:spacing w:after="60" w:before="30"/>
      </w:pPr>
      <w:r>
        <w:rPr>
          <w:rFonts w:ascii="Arial" w:cs="Arial" w:eastAsia="Arial" w:hAnsi="Arial"/>
          <w:color w:val="2D2D2D"/>
          <w:sz w:val="18"/>
          <w:szCs w:val="18"/>
        </w:rPr>
        <w:t xml:space="preserve">10/17 quality gates passing, 4 failing.</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LOC</w:t>
            </w:r>
          </w:p>
        </w:tc>
        <w:tc>
          <w:tcPr>
            <w:tcW w:type="dxa" w:w="32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QA Status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785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249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3827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565185</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WARN</w:t>
            </w:r>
          </w:p>
        </w:tc>
      </w:tr>
    </w:tbl>
    <w:p>
      <w:pPr>
        <w:spacing w:after="80" w:before="160"/>
      </w:pPr>
      <w:r>
        <w:rPr>
          <w:rFonts w:ascii="Arial" w:cs="Arial" w:eastAsia="Arial" w:hAnsi="Arial"/>
          <w:b/>
          <w:bCs/>
          <w:color w:val="1B7A8C"/>
          <w:sz w:val="24"/>
          <w:szCs w:val="24"/>
        </w:rPr>
        <w:t xml:space="preserve">Scope Summary</w:t>
      </w:r>
    </w:p>
    <w:p>
      <w:pPr>
        <w:spacing w:after="60" w:before="30"/>
      </w:pPr>
      <w:r>
        <w:rPr>
          <w:rFonts w:ascii="Arial" w:cs="Arial" w:eastAsia="Arial" w:hAnsi="Arial"/>
          <w:color w:val="2D2D2D"/>
          <w:sz w:val="18"/>
          <w:szCs w:val="18"/>
        </w:rPr>
        <w:t xml:space="preserve">The current BRD is grounded in 565,185 LOC across 3,827 files from the selected PHP scope. Unless the scope lock explicitly states full-repository coverage, this document should not be interpreted as claiming that every legacy workflow was analyzed.</w:t>
      </w:r>
    </w:p>
    <w:p>
      <w:pPr>
        <w:spacing w:after="80" w:before="160"/>
      </w:pPr>
      <w:r>
        <w:rPr>
          <w:rFonts w:ascii="Arial" w:cs="Arial" w:eastAsia="Arial" w:hAnsi="Arial"/>
          <w:b/>
          <w:bCs/>
          <w:color w:val="1B7A8C"/>
          <w:sz w:val="24"/>
          <w:szCs w:val="24"/>
        </w:rPr>
        <w:t xml:space="preserve">Current vs Target State</w:t>
      </w:r>
    </w:p>
    <w:p>
      <w:pPr>
        <w:spacing w:after="60" w:before="30"/>
      </w:pPr>
      <w:r>
        <w:rPr>
          <w:rFonts w:ascii="Arial" w:cs="Arial" w:eastAsia="Arial" w:hAnsi="Arial"/>
          <w:color w:val="2D2D2D"/>
          <w:sz w:val="18"/>
          <w:szCs w:val="18"/>
        </w:rPr>
        <w:t xml:space="preserve">Legacy PHP custom_php_mvc application with 785 routes, 249 controllers, 372 analyzed model files, 1684 templates/views, 3836 extracted SQL statements, and 4 detected background job workflows.</w:t>
      </w:r>
    </w:p>
    <w:p>
      <w:pPr>
        <w:spacing w:after="60" w:before="30"/>
      </w:pPr>
      <w:r>
        <w:rPr>
          <w:rFonts w:ascii="Arial" w:cs="Arial" w:eastAsia="Arial" w:hAnsi="Arial"/>
          <w:color w:val="2D2D2D"/>
          <w:sz w:val="18"/>
          <w:szCs w:val="18"/>
        </w:rPr>
        <w:t xml:space="preserve">Deliver a .NET backend · React frontend (ratified via SYN-HLD-004) target architecture with explicit services, route handling, and hardened security/data access behavior.</w:t>
      </w:r>
    </w:p>
    <w:p>
      <w:pPr>
        <w:spacing w:after="80" w:before="160"/>
      </w:pPr>
      <w:r>
        <w:rPr>
          <w:rFonts w:ascii="Arial" w:cs="Arial" w:eastAsia="Arial" w:hAnsi="Arial"/>
          <w:b/>
          <w:bCs/>
          <w:color w:val="1B7A8C"/>
          <w:sz w:val="24"/>
          <w:szCs w:val="24"/>
        </w:rPr>
        <w:t xml:space="preserve">Blocking Decisions</w:t>
      </w:r>
    </w:p>
    <w:p>
      <w:pPr>
        <w:pStyle w:val="ListParagraph"/>
        <w:numPr>
          <w:ilvl w:val="0"/>
          <w:numId w:val="1"/>
        </w:numPr>
        <w:spacing w:after="20" w:before="20"/>
      </w:pPr>
      <w:r>
        <w:rPr>
          <w:rFonts w:ascii="Arial" w:cs="Arial" w:eastAsia="Arial" w:hAnsi="Arial"/>
          <w:color w:val="2D2D2D"/>
          <w:sz w:val="18"/>
          <w:szCs w:val="18"/>
        </w:rPr>
        <w:t xml:space="preserve">DEC-SESSION-001: Session behavior must be mapped to the target authentication/session model.</w:t>
      </w:r>
    </w:p>
    <w:p>
      <w:pPr>
        <w:pStyle w:val="ListParagraph"/>
        <w:numPr>
          <w:ilvl w:val="0"/>
          <w:numId w:val="1"/>
        </w:numPr>
        <w:spacing w:after="20" w:before="20"/>
      </w:pPr>
      <w:r>
        <w:rPr>
          <w:rFonts w:ascii="Arial" w:cs="Arial" w:eastAsia="Arial" w:hAnsi="Arial"/>
          <w:color w:val="2D2D2D"/>
          <w:sz w:val="18"/>
          <w:szCs w:val="18"/>
        </w:rPr>
        <w:t xml:space="preserve">DEC-SESSION-COUNTRY-001: COUNTRY_ALLOWED session behavior must be preserved or intentionally redesigned because it affects regional access control.</w:t>
      </w:r>
    </w:p>
    <w:p>
      <w:pPr>
        <w:pStyle w:val="ListParagraph"/>
        <w:numPr>
          <w:ilvl w:val="0"/>
          <w:numId w:val="1"/>
        </w:numPr>
        <w:spacing w:after="20" w:before="20"/>
      </w:pPr>
      <w:r>
        <w:rPr>
          <w:rFonts w:ascii="Arial" w:cs="Arial" w:eastAsia="Arial" w:hAnsi="Arial"/>
          <w:color w:val="2D2D2D"/>
          <w:sz w:val="18"/>
          <w:szCs w:val="18"/>
        </w:rPr>
        <w:t xml:space="preserve">DEC-BDD-001 resolution plan: capture golden flows for the onboarding, contractor placement, and portal upload workflows before sprint planning is approved.</w:t>
      </w:r>
    </w:p>
    <w:p>
      <w:pPr>
        <w:pStyle w:val="ListParagraph"/>
        <w:numPr>
          <w:ilvl w:val="0"/>
          <w:numId w:val="1"/>
        </w:numPr>
        <w:spacing w:after="20" w:before="20"/>
      </w:pPr>
      <w:r>
        <w:rPr>
          <w:rFonts w:ascii="Arial" w:cs="Arial" w:eastAsia="Arial" w:hAnsi="Arial"/>
          <w:color w:val="2D2D2D"/>
          <w:sz w:val="18"/>
          <w:szCs w:val="18"/>
        </w:rPr>
        <w:t xml:space="preserve">DEC-FILEIO-001: Upload and export workflows require target-state storage and validation design.</w:t>
      </w:r>
    </w:p>
    <w:p>
      <w:pPr>
        <w:pStyle w:val="ListParagraph"/>
        <w:numPr>
          <w:ilvl w:val="0"/>
          <w:numId w:val="1"/>
        </w:numPr>
        <w:spacing w:after="20" w:before="20"/>
      </w:pPr>
      <w:r>
        <w:rPr>
          <w:rFonts w:ascii="Arial" w:cs="Arial" w:eastAsia="Arial" w:hAnsi="Arial"/>
          <w:color w:val="2D2D2D"/>
          <w:sz w:val="18"/>
          <w:szCs w:val="18"/>
        </w:rPr>
        <w:t xml:space="preserve">DEC-INTEGRATION-GP-001: Preserve or redesign GP import flows (GP/import.php, GP/import_emp_vendor.php).</w:t>
      </w:r>
    </w:p>
    <w:p>
      <w:pPr>
        <w:pStyle w:val="ListParagraph"/>
        <w:numPr>
          <w:ilvl w:val="0"/>
          <w:numId w:val="1"/>
        </w:numPr>
        <w:spacing w:after="20" w:before="20"/>
      </w:pPr>
      <w:r>
        <w:rPr>
          <w:rFonts w:ascii="Arial" w:cs="Arial" w:eastAsia="Arial" w:hAnsi="Arial"/>
          <w:color w:val="2D2D2D"/>
          <w:sz w:val="18"/>
          <w:szCs w:val="18"/>
        </w:rPr>
        <w:t xml:space="preserve">DEC-INTEGRATION-SP-001: Confirm SharePoint Online dependency observed through phpSPO paths and define target-state integration ownership.</w:t>
      </w:r>
    </w:p>
    <w:p>
      <w:pPr>
        <w:pStyle w:val="ListParagraph"/>
        <w:numPr>
          <w:ilvl w:val="0"/>
          <w:numId w:val="1"/>
        </w:numPr>
        <w:spacing w:after="20" w:before="20"/>
      </w:pPr>
      <w:r>
        <w:rPr>
          <w:rFonts w:ascii="Arial" w:cs="Arial" w:eastAsia="Arial" w:hAnsi="Arial"/>
          <w:color w:val="2D2D2D"/>
          <w:sz w:val="18"/>
          <w:szCs w:val="18"/>
        </w:rPr>
        <w:t xml:space="preserve">DEC-DATA-FUNC-001: Reimplement custom MySQL functions recentProfile(), alignRate(), hourGMByProfile() before target-state data access is approved.</w:t>
      </w:r>
    </w:p>
    <w:p>
      <w:pPr>
        <w:pStyle w:val="ListParagraph"/>
        <w:numPr>
          <w:ilvl w:val="0"/>
          <w:numId w:val="1"/>
        </w:numPr>
        <w:spacing w:after="20" w:before="20"/>
      </w:pPr>
      <w:r>
        <w:rPr>
          <w:rFonts w:ascii="Arial" w:cs="Arial" w:eastAsia="Arial" w:hAnsi="Arial"/>
          <w:color w:val="2D2D2D"/>
          <w:sz w:val="18"/>
          <w:szCs w:val="18"/>
        </w:rPr>
        <w:t xml:space="preserve">DEC-INTEGRATION-FEDERATED_STAFFING-001: Federated Staffing is listed by the owner architecture document and needs explicit modernization ownership and dependency review.</w:t>
      </w:r>
    </w:p>
    <w:p>
      <w:pPr>
        <w:spacing w:after="80" w:before="160"/>
      </w:pPr>
      <w:r>
        <w:rPr>
          <w:rFonts w:ascii="Arial" w:cs="Arial" w:eastAsia="Arial" w:hAnsi="Arial"/>
          <w:b/>
          <w:bCs/>
          <w:color w:val="1B7A8C"/>
          <w:sz w:val="24"/>
          <w:szCs w:val="24"/>
        </w:rPr>
        <w:t xml:space="preserve">Top Risks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3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9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Severity</w:t>
            </w:r>
          </w:p>
        </w:tc>
        <w:tc>
          <w:tcPr>
            <w:tcW w:type="dxa" w:w="40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Risk</w:t>
            </w:r>
          </w:p>
        </w:tc>
        <w:tc>
          <w:tcPr>
            <w:tcW w:type="dxa" w:w="4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Mitigation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Shared Services: 623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Onboarding: 47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 Controller mixes routing, workflow logic, and data access. Large monolithic file with high orchestration blast radius.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34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 Large monolithic file with high orchestration blast radius. Controller mixes routing, workflow logic, and data access. SQL risk flags detected: string_concatenation, possible_unparameterized_query. SQL risk flags detected: string_concatenation.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MEDIUM</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Reporting: 11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Upload/export surface requires validation and storage hardening.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and External Access: 6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Identity and Access: 4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MEDIUM</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Finance and AP: 1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MEDIUM</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Credentialing and Compliance: 1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Parameterize queries and preserve domain data contracts before workflow migration.</w:t>
            </w:r>
          </w:p>
        </w:tc>
      </w:tr>
    </w:tbl>
    <w:p>
      <w:pPr>
        <w:spacing w:after="80" w:before="160"/>
      </w:pPr>
      <w:r>
        <w:rPr>
          <w:rFonts w:ascii="Arial" w:cs="Arial" w:eastAsia="Arial" w:hAnsi="Arial"/>
          <w:b/>
          <w:bCs/>
          <w:color w:val="1B7A8C"/>
          <w:sz w:val="24"/>
          <w:szCs w:val="24"/>
        </w:rPr>
        <w:t xml:space="preserve">Recommended Phasing</w:t>
      </w:r>
    </w:p>
    <w:p>
      <w:pPr>
        <w:pStyle w:val="ListParagraph"/>
        <w:numPr>
          <w:ilvl w:val="0"/>
          <w:numId w:val="1"/>
        </w:numPr>
        <w:spacing w:after="20" w:before="20"/>
      </w:pPr>
      <w:r>
        <w:rPr>
          <w:rFonts w:ascii="Arial" w:cs="Arial" w:eastAsia="Arial" w:hAnsi="Arial"/>
          <w:color w:val="2D2D2D"/>
          <w:sz w:val="18"/>
          <w:szCs w:val="18"/>
        </w:rPr>
        <w:t xml:space="preserve">Deliver a .NET backend · React frontend (ratified via SYN-HLD-004) target architecture with explicit services, route handling, and hardened security/data access behavior.</w:t>
      </w:r>
    </w:p>
    <w:p>
      <w:pPr>
        <w:pStyle w:val="ListParagraph"/>
        <w:numPr>
          <w:ilvl w:val="0"/>
          <w:numId w:val="1"/>
        </w:numPr>
        <w:spacing w:after="20" w:before="20"/>
      </w:pPr>
      <w:r>
        <w:rPr>
          <w:rFonts w:ascii="Arial" w:cs="Arial" w:eastAsia="Arial" w:hAnsi="Arial"/>
          <w:color w:val="2D2D2D"/>
          <w:sz w:val="18"/>
          <w:szCs w:val="18"/>
        </w:rPr>
        <w:t xml:space="preserve">Close blocking decisions and scope-lock assumptions before Build.</w:t>
      </w:r>
    </w:p>
    <w:p>
      <w:pPr>
        <w:pStyle w:val="ListParagraph"/>
        <w:numPr>
          <w:ilvl w:val="0"/>
          <w:numId w:val="1"/>
        </w:numPr>
        <w:spacing w:after="20" w:before="20"/>
      </w:pPr>
      <w:r>
        <w:rPr>
          <w:rFonts w:ascii="Arial" w:cs="Arial" w:eastAsia="Arial" w:hAnsi="Arial"/>
          <w:color w:val="2D2D2D"/>
          <w:sz w:val="18"/>
          <w:szCs w:val="18"/>
        </w:rPr>
        <w:t xml:space="preserve">Use domain dossiers for sprint planning and module cards for implementation handoff.</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4"/>
      </w:pBdr>
      <w:spacing w:before="60"/>
    </w:pPr>
    <w:r>
      <w:rPr>
        <w:rFonts w:ascii="Arial" w:cs="Arial" w:eastAsia="Arial" w:hAnsi="Arial"/>
        <w:color w:val="475569"/>
        <w:sz w:val="16"/>
        <w:szCs w:val="16"/>
      </w:rPr>
      <w:t xml:space="preserve">Synthetix Executive Brief</w:t>
    </w:r>
    <w:r>
      <w:rPr>
        <w:rFonts w:ascii="Arial" w:cs="Arial" w:eastAsia="Arial" w:hAnsi="Arial"/>
        <w:color w:val="475569"/>
        <w:sz w:val="16"/>
        <w:szCs w:val="16"/>
      </w:rPr>
      <w:t xml:space="preserve">  |  Page </w:t>
    </w:r>
    <w:r>
      <w:rPr>
        <w:rFonts w:ascii="Arial" w:cs="Arial" w:eastAsia="Arial" w:hAnsi="Arial"/>
        <w:color w:val="475569"/>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of </w:t>
    </w:r>
    <w:r>
      <w:rPr>
        <w:rFonts w:ascii="Arial" w:cs="Arial" w:eastAsia="Arial" w:hAnsi="Arial"/>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6" w:space="4"/>
      </w:pBdr>
      <w:spacing w:after="60"/>
    </w:pPr>
    <w:r>
      <w:rPr>
        <w:rFonts w:ascii="Arial" w:cs="Arial" w:eastAsia="Arial" w:hAnsi="Arial"/>
        <w:b/>
        <w:bCs/>
        <w:color w:val="1F3864"/>
        <w:sz w:val="18"/>
        <w:szCs w:val="18"/>
      </w:rPr>
      <w:t xml:space="preserve">Synthetix Executive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2026-04-24T20:32:12.316Z</dcterms:created>
  <dcterms:modified xsi:type="dcterms:W3CDTF">2026-04-24T20:32:12.316Z</dcterms:modified>
</cp:coreProperties>
</file>

<file path=docProps/custom.xml><?xml version="1.0" encoding="utf-8"?>
<Properties xmlns="http://schemas.openxmlformats.org/officeDocument/2006/custom-properties" xmlns:vt="http://schemas.openxmlformats.org/officeDocument/2006/docPropsVTypes"/>
</file>