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1F3864"/>
            <w:shd w:val="clear" w:color="auto" w:fill="1F3864"/>
          </w:tcPr>
          <w:p>
            <w:r/>
            <w:r>
              <w:rPr>
                <w:b/>
                <w:color w:val="FFFFFF"/>
                <w:sz w:val="24"/>
              </w:rPr>
              <w:t>MagicBox Modernization Workbook</w:t>
            </w:r>
          </w:p>
        </w:tc>
      </w:tr>
    </w:tbl>
    <w:p>
      <w:r>
        <w:rPr>
          <w:b/>
          <w:color w:val="1F6B75"/>
          <w:sz w:val="26"/>
        </w:rPr>
        <w:t>MagicBox Modernization</w:t>
      </w:r>
    </w:p>
    <w:p>
      <w:r>
        <w:rPr>
          <w:b w:val="0"/>
          <w:color w:val="111827"/>
          <w:sz w:val="20"/>
        </w:rPr>
        <w:t>Ensuring seamless integration and modernization of ECA intake processes.</w:t>
      </w:r>
    </w:p>
    <w:p>
      <w:r>
        <w:rPr>
          <w:b w:val="0"/>
          <w:color w:val="6B7280"/>
          <w:sz w:val="18"/>
        </w:rPr>
        <w:t>Run 20260515_160134_0fba1eca  ·  Generated 2026-05-15T20:02:14.995780+00:00  ·  Repo Synthetix</w:t>
      </w:r>
    </w:p>
    <w:p/>
    <w:p>
      <w:pPr>
        <w:pStyle w:val="Heading1"/>
      </w:pPr>
      <w:r>
        <w:t>Executive Snapshot</w:t>
      </w:r>
    </w:p>
    <w:p>
      <w:r>
        <w:rPr>
          <w:b w:val="0"/>
          <w:color w:val="6B7280"/>
          <w:sz w:val="18"/>
        </w:rPr>
        <w:t>Overview of the modernization project, objectives, and current readiness.</w:t>
      </w:r>
    </w:p>
    <w:p>
      <w:r>
        <w:rPr>
          <w:b/>
          <w:color w:val="2E75B6"/>
          <w:sz w:val="20"/>
        </w:rPr>
        <w:t xml:space="preserve">Objective: </w:t>
      </w:r>
      <w:r>
        <w:rPr>
          <w:b w:val="0"/>
          <w:color w:val="111827"/>
          <w:sz w:val="20"/>
        </w:rPr>
        <w:t>The objective is to verify that ECA intake documents flow correctly into Architect, DP, UI-Scaffold, and Translator with new wirings, and to translate approximately 15 Contractor Placement methods.</w:t>
      </w:r>
    </w:p>
    <w:p>
      <w:r>
        <w:rPr>
          <w:b/>
          <w:color w:val="2E75B6"/>
          <w:sz w:val="20"/>
        </w:rPr>
        <w:t xml:space="preserve">Summary: </w:t>
      </w:r>
      <w:r>
        <w:rPr>
          <w:b w:val="0"/>
          <w:color w:val="111827"/>
          <w:sz w:val="20"/>
        </w:rPr>
        <w:t>Full upgrade / translation recommended.</w:t>
      </w:r>
    </w:p>
    <w:p>
      <w:r>
        <w:rPr>
          <w:b w:val="0"/>
          <w:color w:val="111827"/>
          <w:sz w:val="20"/>
        </w:rPr>
        <w:t>The MagicBox Modernization project aims to verify the correct flow of ECA intake documents into Architect, DP, UI-Scaffold, and Translator with updated wirings. The project also focuses on translating approximately 15 Contractor Placement methods. With a readiness score of 45 and a medium risk tier, the strategy involves a full upgrade and translation to modern technologies. The structured codebase will undergo a phased approach, starting with capturing golden flows, followed by incremental migration, and concluding with quality gate finalization.</w:t>
      </w:r>
    </w:p>
    <w:p>
      <w:pPr>
        <w:pStyle w:val="ListParagraph"/>
      </w:pPr>
      <w:r>
        <w:rPr>
          <w:b w:val="0"/>
          <w:color w:val="111827"/>
          <w:sz w:val="18"/>
        </w:rPr>
        <w:t>- Objective: Verify ECA document flow into key systems.</w:t>
      </w:r>
    </w:p>
    <w:p>
      <w:pPr>
        <w:pStyle w:val="ListParagraph"/>
      </w:pPr>
      <w:r>
        <w:rPr>
          <w:b w:val="0"/>
          <w:color w:val="111827"/>
          <w:sz w:val="18"/>
        </w:rPr>
        <w:t>- Translate 15 Contractor Placement methods.</w:t>
      </w:r>
    </w:p>
    <w:p>
      <w:pPr>
        <w:pStyle w:val="ListParagraph"/>
      </w:pPr>
      <w:r>
        <w:rPr>
          <w:b w:val="0"/>
          <w:color w:val="111827"/>
          <w:sz w:val="18"/>
        </w:rPr>
        <w:t>- Readiness score is currently at 45.</w:t>
      </w:r>
    </w:p>
    <w:p>
      <w:pPr>
        <w:pStyle w:val="ListParagraph"/>
      </w:pPr>
      <w:r>
        <w:rPr>
          <w:b w:val="0"/>
          <w:color w:val="111827"/>
          <w:sz w:val="18"/>
        </w:rPr>
        <w:t>- Risk tier is assessed as medium.</w:t>
      </w:r>
    </w:p>
    <w:p>
      <w:pPr>
        <w:pStyle w:val="ListParagraph"/>
      </w:pPr>
      <w:r>
        <w:rPr>
          <w:b w:val="0"/>
          <w:color w:val="111827"/>
          <w:sz w:val="18"/>
        </w:rPr>
        <w:t>- Strategy involves full upgrade and translation.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504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Summary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8"/>
              </w:rPr>
              <w:t>Readiness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8"/>
              </w:rPr>
              <w:t>45/100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Risk tier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medium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8"/>
              </w:rPr>
              <w:t>Inventory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8"/>
              </w:rPr>
              <w:t>projects=0, forms=0, dependencies=0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Data touchpoints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n/a</w:t>
            </w:r>
          </w:p>
        </w:tc>
      </w:tr>
    </w:tbl>
    <w:p>
      <w:r>
        <w:rPr>
          <w:b/>
          <w:color w:val="2E75B6"/>
          <w:sz w:val="18"/>
        </w:rPr>
        <w:t xml:space="preserve">Readiness: </w:t>
      </w:r>
      <w:r>
        <w:rPr>
          <w:b w:val="0"/>
          <w:color w:val="111827"/>
          <w:sz w:val="18"/>
        </w:rPr>
        <w:t>Current readiness score is 45, indicating preparation needs.</w:t>
      </w:r>
    </w:p>
    <w:p>
      <w:pPr>
        <w:pStyle w:val="Heading2"/>
      </w:pPr>
      <w:r>
        <w:t>Recommended Modernization Strategy</w:t>
      </w:r>
    </w:p>
    <w:p>
      <w:r>
        <w:rPr>
          <w:b/>
          <w:color w:val="1F6B75"/>
          <w:sz w:val="20"/>
        </w:rPr>
        <w:t xml:space="preserve">Full upgrade / translation: </w:t>
      </w:r>
      <w:r>
        <w:rPr>
          <w:b w:val="0"/>
          <w:color w:val="111827"/>
          <w:sz w:val="20"/>
        </w:rPr>
        <w:t>The codebase is structured but requires translation to modern technologies.</w:t>
      </w:r>
    </w:p>
    <w:p>
      <w:pPr>
        <w:pStyle w:val="ListParagraph"/>
      </w:pPr>
      <w:r>
        <w:rPr>
          <w:b/>
          <w:color w:val="2E75B6"/>
          <w:sz w:val="18"/>
        </w:rPr>
        <w:t xml:space="preserve">- PH0 Baseline and equivalence harness: </w:t>
      </w:r>
      <w:r>
        <w:rPr>
          <w:b w:val="0"/>
          <w:color w:val="111827"/>
          <w:sz w:val="18"/>
        </w:rPr>
        <w:t>Capture golden flows and baseline outputs.</w:t>
      </w:r>
    </w:p>
    <w:p>
      <w:pPr>
        <w:pStyle w:val="ListParagraph"/>
      </w:pPr>
      <w:r>
        <w:rPr>
          <w:b/>
          <w:color w:val="2E75B6"/>
          <w:sz w:val="18"/>
        </w:rPr>
        <w:t xml:space="preserve">- PH1 Incremental migration and dependency replacement: </w:t>
      </w:r>
      <w:r>
        <w:rPr>
          <w:b w:val="0"/>
          <w:color w:val="111827"/>
          <w:sz w:val="18"/>
        </w:rPr>
        <w:t>Migrate forms/modules with dependency risk controls.</w:t>
      </w:r>
    </w:p>
    <w:p>
      <w:pPr>
        <w:pStyle w:val="ListParagraph"/>
      </w:pPr>
      <w:r>
        <w:rPr>
          <w:b/>
          <w:color w:val="2E75B6"/>
          <w:sz w:val="18"/>
        </w:rPr>
        <w:t xml:space="preserve">- PH2 Hardening and release evidence: </w:t>
      </w:r>
      <w:r>
        <w:rPr>
          <w:b w:val="0"/>
          <w:color w:val="111827"/>
          <w:sz w:val="18"/>
        </w:rPr>
        <w:t>Finalize quality gates and publish evidence pack.</w:t>
      </w:r>
    </w:p>
    <w:p>
      <w:pPr>
        <w:pStyle w:val="Heading2"/>
      </w:pPr>
      <w:r>
        <w:t>Decisions Required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Recommendation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DEC-ARCH-001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Target application architecture for the modernization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Start with a modular monolith unless there is a clear reason to decompose immediately.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DEC-DB-001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Database contract strategy during migration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Preserve contracts initially and modernize behind a compatibility layer.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DEC-AUTH-001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Authentication / authorization strategy for the modern target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Model current auth behavior first, then move to a clearer standards-based target with explicit compatibility rules.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DEC-IAM-001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Confirm identity/access model (role model, multi-user assumptions, and credential handling).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Define target role model and credential policy before implementation.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Q-001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Are there existing operational constraints or integration dependencies not listed?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Resolve with product/business owner before implementation commitment.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Q-002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What are target latency, throughput, and availability SLOs?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Resolve with product/business owner before implementation commitment.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DEC-BDD-001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Ground BDD acceptance criteria in real legacy golden flows before Build planning.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Regenerate BDD from validated golden flows, route evidence, and SQL touchpoints before Build starts.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DEC-OBS-001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Logging and observability stack for migrated runtime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OpenTelemetry + structured logs for parity troubleshooting.</w:t>
            </w:r>
          </w:p>
        </w:tc>
      </w:tr>
    </w:tbl>
    <w:p>
      <w:pPr>
        <w:pStyle w:val="Heading2"/>
      </w:pPr>
      <w:r>
        <w:t>Quality Gates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Gate ID</w:t>
            </w:r>
          </w:p>
        </w:tc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Result</w:t>
            </w:r>
          </w:p>
        </w:tc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gherkin_syntax</w:t>
            </w:r>
          </w:p>
        </w:tc>
        <w:tc>
          <w:tcPr>
            <w:tcW w:type="dxa" w:w="336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BDD syntax validation for Feature/Scenario/Given/When/Then.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requirements_completeness</w:t>
            </w:r>
          </w:p>
        </w:tc>
        <w:tc>
          <w:tcPr>
            <w:tcW w:type="dxa" w:w="3360"/>
            <w:shd w:val="clear" w:color="auto" w:fill="F3F4F6"/>
            <w:shd w:val="clear" w:color="auto" w:fill="FEE2E2"/>
          </w:tcPr>
          <w:p>
            <w:r/>
            <w:r>
              <w:rPr>
                <w:b w:val="0"/>
                <w:color w:val="111827"/>
                <w:sz w:val="18"/>
              </w:rPr>
              <w:t>FAIL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Derived backlog coverage below dynamic threshold (1/3) for discovered scope (0 forms).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compliance_constraints_applied</w:t>
            </w:r>
          </w:p>
        </w:tc>
        <w:tc>
          <w:tcPr>
            <w:tcW w:type="dxa" w:w="3360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Verifies that regulatory/software controls are linked to requirements when applicable.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intake_classifier_alignment</w:t>
            </w:r>
          </w:p>
        </w:tc>
        <w:tc>
          <w:tcPr>
            <w:tcW w:type="dxa" w:w="336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intake_classifier_alignment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bdd_flow_grounding</w:t>
            </w:r>
          </w:p>
        </w:tc>
        <w:tc>
          <w:tcPr>
            <w:tcW w:type="dxa" w:w="3360"/>
            <w:shd w:val="clear" w:color="auto" w:fill="FEE2E2"/>
          </w:tcPr>
          <w:p>
            <w:r/>
            <w:r>
              <w:rPr>
                <w:b w:val="0"/>
                <w:color w:val="111827"/>
                <w:sz w:val="18"/>
              </w:rPr>
              <w:t>FAIL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BDD scenarios are not linked to any extracted golden flow.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handler_inventory_completeness</w:t>
            </w:r>
          </w:p>
        </w:tc>
        <w:tc>
          <w:tcPr>
            <w:tcW w:type="dxa" w:w="336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All analyzed forms meet handler coverage threshold.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report_model_reconciled</w:t>
            </w:r>
          </w:p>
        </w:tc>
        <w:tc>
          <w:tcPr>
            <w:tcW w:type="dxa" w:w="336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Reporting model and entrypoints reconciled.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variant_resolution</w:t>
            </w:r>
          </w:p>
        </w:tc>
        <w:tc>
          <w:tcPr>
            <w:tcW w:type="dxa" w:w="336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Single project variant detected; no variant scope decision required.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variant_schema_divergence</w:t>
            </w:r>
          </w:p>
        </w:tc>
        <w:tc>
          <w:tcPr>
            <w:tcW w:type="dxa" w:w="336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No cross-variant schema naming divergence detected.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key_safety_issues_identified</w:t>
            </w:r>
          </w:p>
        </w:tc>
        <w:tc>
          <w:tcPr>
            <w:tcW w:type="dxa" w:w="3360"/>
            <w:shd w:val="clear" w:color="auto" w:fill="F3F4F6"/>
            <w:shd w:val="clear" w:color="auto" w:fill="FEE2E2"/>
          </w:tcPr>
          <w:p>
            <w:r/>
            <w:r>
              <w:rPr>
                <w:b w:val="0"/>
                <w:color w:val="111827"/>
                <w:sz w:val="18"/>
              </w:rPr>
              <w:t>FAIL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 explicit SQL/credential safety signals detected in extracted artifacts. Detection is incomplete and blocks progression.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schema_key_verification</w:t>
            </w:r>
          </w:p>
        </w:tc>
        <w:tc>
          <w:tcPr>
            <w:tcW w:type="dxa" w:w="336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No delete-by-customer transaction key hazard detected.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identity_access_model</w:t>
            </w:r>
          </w:p>
        </w:tc>
        <w:tc>
          <w:tcPr>
            <w:tcW w:type="dxa" w:w="3360"/>
            <w:shd w:val="clear" w:color="auto" w:fill="F3F4F6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Role model or credential handling requires confirmation.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database_archaeology_ready</w:t>
            </w:r>
          </w:p>
        </w:tc>
        <w:tc>
          <w:tcPr>
            <w:tcW w:type="dxa" w:w="3360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DB QA detected blocking or warning issues in schema reconstruction/mapping.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qa_structural_integrity</w:t>
            </w:r>
          </w:p>
        </w:tc>
        <w:tc>
          <w:tcPr>
            <w:tcW w:type="dxa" w:w="3360"/>
            <w:shd w:val="clear" w:color="auto" w:fill="F3F4F6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QA structural checks: pass=11, warn=5, fail=0, blockers=0.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qa_semantic_plausibility</w:t>
            </w:r>
          </w:p>
        </w:tc>
        <w:tc>
          <w:tcPr>
            <w:tcW w:type="dxa" w:w="336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Semantic plausibility checks passed with no issues.</w:t>
            </w:r>
          </w:p>
        </w:tc>
      </w:tr>
    </w:tbl>
    <w:p>
      <w:pPr>
        <w:pStyle w:val="Heading2"/>
      </w:pPr>
      <w:r>
        <w:t>QA Summary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Pass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Warn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Fail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Blockers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Semantic Warn</w:t>
            </w:r>
          </w:p>
        </w:tc>
      </w:tr>
      <w:tr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8"/>
              </w:rPr>
              <w:t>11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8"/>
              </w:rPr>
              <w:t>5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8"/>
              </w:rPr>
              <w:t>0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8"/>
              </w:rPr>
              <w:t>0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8"/>
              </w:rPr>
              <w:t>0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QA Gate</w:t>
            </w:r>
          </w:p>
        </w:tc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Result</w:t>
            </w:r>
          </w:p>
        </w:tc>
        <w:tc>
          <w:tcPr>
            <w:tcW w:type="dxa" w:w="33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qa_structural_integrity</w:t>
            </w:r>
          </w:p>
        </w:tc>
        <w:tc>
          <w:tcPr>
            <w:tcW w:type="dxa" w:w="3360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3360"/>
          </w:tcPr>
          <w:p>
            <w:r/>
            <w:r>
              <w:rPr>
                <w:b w:val="0"/>
                <w:color w:val="111827"/>
                <w:sz w:val="18"/>
              </w:rPr>
              <w:t>QA structural checks: pass=11, warn=5, fail=0, blockers=0.</w:t>
            </w:r>
          </w:p>
        </w:tc>
      </w:tr>
      <w:tr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qa_semantic_plausibility</w:t>
            </w:r>
          </w:p>
        </w:tc>
        <w:tc>
          <w:tcPr>
            <w:tcW w:type="dxa" w:w="336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336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Semantic plausibility checks passed with no issues.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Check ID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Result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Blocking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struct_rule_ids_unique</w:t>
            </w:r>
          </w:p>
        </w:tc>
        <w:tc>
          <w:tcPr>
            <w:tcW w:type="dxa" w:w="252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1 rule IDs validated.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struct_risk_ids_unique</w:t>
            </w:r>
          </w:p>
        </w:tc>
        <w:tc>
          <w:tcPr>
            <w:tcW w:type="dxa" w:w="252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0 risk IDs validated.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struct_risk_ref_integrity</w:t>
            </w:r>
          </w:p>
        </w:tc>
        <w:tc>
          <w:tcPr>
            <w:tcW w:type="dxa" w:w="252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All referenced risk IDs are present.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struct_form_ref_integrity</w:t>
            </w:r>
          </w:p>
        </w:tc>
        <w:tc>
          <w:tcPr>
            <w:tcW w:type="dxa" w:w="2520"/>
            <w:shd w:val="clear" w:color="auto" w:fill="F3F4F6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Unresolved form references detected: Finance module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cross_form_sql_consistency</w:t>
            </w:r>
          </w:p>
        </w:tc>
        <w:tc>
          <w:tcPr>
            <w:tcW w:type="dxa" w:w="252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Form SQL coverage flags match SQL map evidence.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cross_event_handler_reconciliation</w:t>
            </w:r>
          </w:p>
        </w:tc>
        <w:tc>
          <w:tcPr>
            <w:tcW w:type="dxa" w:w="2520"/>
            <w:shd w:val="clear" w:color="auto" w:fill="F3F4F6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Insufficient handler count evidence to reconcile (one side missing).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render_open_questions_serialization</w:t>
            </w:r>
          </w:p>
        </w:tc>
        <w:tc>
          <w:tcPr>
            <w:tcW w:type="dxa" w:w="252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Open questions are serialized as structured objects.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render_form_count_fidelity</w:t>
            </w:r>
          </w:p>
        </w:tc>
        <w:tc>
          <w:tcPr>
            <w:tcW w:type="dxa" w:w="2520"/>
            <w:shd w:val="clear" w:color="auto" w:fill="F3F4F6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Insufficient evidence to compare rendered and discovered form counts.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render_artifact_refs_present</w:t>
            </w:r>
          </w:p>
        </w:tc>
        <w:tc>
          <w:tcPr>
            <w:tcW w:type="dxa" w:w="252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40 artifact references present.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struct_rollout_artifacts_present</w:t>
            </w:r>
          </w:p>
        </w:tc>
        <w:tc>
          <w:tcPr>
            <w:tcW w:type="dxa" w:w="252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7 rollout artifacts detected.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cross_form_active_orphan_reconciliation</w:t>
            </w:r>
          </w:p>
        </w:tc>
        <w:tc>
          <w:tcPr>
            <w:tcW w:type="dxa" w:w="2520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Form LOC profile is unavailable or empty; reconciliation skipped.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cross_loc_rollup_reconciliation</w:t>
            </w:r>
          </w:p>
        </w:tc>
        <w:tc>
          <w:tcPr>
            <w:tcW w:type="dxa" w:w="2520"/>
            <w:shd w:val="clear" w:color="auto" w:fill="F3F4F6"/>
            <w:shd w:val="clear" w:color="auto" w:fill="FEF3C7"/>
          </w:tcPr>
          <w:p>
            <w:r/>
            <w:r>
              <w:rPr>
                <w:b w:val="0"/>
                <w:color w:val="111827"/>
                <w:sz w:val="18"/>
              </w:rPr>
              <w:t>WARN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source_loc_total is missing; LOC reconciliation skipped.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cross_unresolved_nav_registration</w:t>
            </w:r>
          </w:p>
        </w:tc>
        <w:tc>
          <w:tcPr>
            <w:tcW w:type="dxa" w:w="252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Unresolved nav targets tracked: 0.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struct_db_artifacts_present</w:t>
            </w:r>
          </w:p>
        </w:tc>
        <w:tc>
          <w:tcPr>
            <w:tcW w:type="dxa" w:w="252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DB archaeology check skipped — no database scope detected for this run (primary language: unknown, no SQL signals, no integration DB context).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cross_db_query_schema_resolution</w:t>
            </w:r>
          </w:p>
        </w:tc>
        <w:tc>
          <w:tcPr>
            <w:tcW w:type="dxa" w:w="2520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All query table references resolve to source schema tables.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cross_db_mapping_coverage</w:t>
            </w:r>
          </w:p>
        </w:tc>
        <w:tc>
          <w:tcPr>
            <w:tcW w:type="dxa" w:w="2520"/>
            <w:shd w:val="clear" w:color="auto" w:fill="F3F4F6"/>
            <w:shd w:val="clear" w:color="auto" w:fill="DCFCE7"/>
          </w:tcPr>
          <w:p>
            <w:r/>
            <w:r>
              <w:rPr>
                <w:b w:val="0"/>
                <w:color w:val="111827"/>
                <w:sz w:val="18"/>
              </w:rPr>
              <w:t>PASS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no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8"/>
              </w:rPr>
              <w:t>Source-&gt;target mapping coverage is 100.00%.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Check ID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Confidence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none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LOW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n/a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8"/>
              </w:rPr>
              <w:t>No semantic warnings.</w:t>
            </w:r>
          </w:p>
        </w:tc>
      </w:tr>
    </w:tbl>
    <w:p>
      <w:r>
        <w:br w:type="page"/>
      </w:r>
    </w:p>
    <w:p>
      <w:pPr>
        <w:pStyle w:val="Heading1"/>
      </w:pPr>
      <w:r>
        <w:t>Section O - Project Dependency Map</w:t>
      </w:r>
    </w:p>
    <w:p>
      <w:r>
        <w:rPr>
          <w:b w:val="0"/>
          <w:color w:val="6B7280"/>
          <w:sz w:val="18"/>
        </w:rPr>
        <w:t>Mapping dependencies to ensure seamless integration and risk management.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Project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Forms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Dependencies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DB touchpoints</w:t>
            </w:r>
          </w:p>
        </w:tc>
      </w:tr>
    </w:tbl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From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To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Evidence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Blocks Sprint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n/a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n/a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n/a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No project dependencies detected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n/a</w:t>
            </w:r>
          </w:p>
        </w:tc>
      </w:tr>
    </w:tbl>
    <w:p>
      <w:r>
        <w:br w:type="page"/>
      </w:r>
    </w:p>
    <w:p>
      <w:pPr>
        <w:pStyle w:val="Heading1"/>
      </w:pPr>
      <w:r>
        <w:t>Section K - Form Dossiers (Extended)</w:t>
      </w:r>
    </w:p>
    <w:p>
      <w:r>
        <w:rPr>
          <w:b w:val="0"/>
          <w:color w:val="6B7280"/>
          <w:sz w:val="18"/>
        </w:rPr>
        <w:t>Details on forms and modules involved in the modernization process.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Form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Display Name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Project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form_type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Inputs (data)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Outputs (effects)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ActiveX used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DB tables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actions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coverage_score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confidence_score</w:t>
            </w:r>
          </w:p>
        </w:tc>
        <w:tc>
          <w:tcPr>
            <w:tcW w:type="dxa" w:w="7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exclusion_reason</w:t>
            </w:r>
          </w:p>
        </w:tc>
      </w:tr>
    </w:tbl>
    <w:p>
      <w:pPr>
        <w:pStyle w:val="Heading2"/>
      </w:pPr>
      <w:r>
        <w:t>Business Rules by Form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Rule ID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Form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Business Meaning</w:t>
            </w:r>
          </w:p>
        </w:tc>
        <w:tc>
          <w:tcPr>
            <w:tcW w:type="dxa" w:w="16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Risk links</w:t>
            </w:r>
          </w:p>
        </w:tc>
      </w:tr>
      <w:tr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6"/>
              </w:rPr>
              <w:t>BR-001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6"/>
              </w:rPr>
              <w:t>formula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6"/>
              </w:rPr>
              <w:t>Data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6"/>
              </w:rPr>
              <w:t>calculation_logic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6"/>
              </w:rPr>
              <w:t>Business behavior is enforced through data and calculation logic.</w:t>
            </w:r>
          </w:p>
        </w:tc>
        <w:tc>
          <w:tcPr>
            <w:tcW w:type="dxa" w:w="1680"/>
          </w:tcPr>
          <w:p>
            <w:r/>
            <w:r>
              <w:rPr>
                <w:b w:val="0"/>
                <w:color w:val="111827"/>
                <w:sz w:val="16"/>
              </w:rPr>
              <w:t>none</w:t>
            </w:r>
          </w:p>
        </w:tc>
      </w:tr>
    </w:tbl>
    <w:p>
      <w:r>
        <w:br w:type="page"/>
      </w:r>
    </w:p>
    <w:p>
      <w:pPr>
        <w:pStyle w:val="Heading1"/>
      </w:pPr>
      <w:r>
        <w:t>Section P - Form Flow Traces</w:t>
      </w:r>
    </w:p>
    <w:p>
      <w:r>
        <w:rPr>
          <w:b w:val="0"/>
          <w:color w:val="6B7280"/>
          <w:sz w:val="18"/>
        </w:rPr>
        <w:t>Capturing and analyzing golden flows for baseline outputs.</w:t>
      </w:r>
    </w:p>
    <w:p>
      <w:r>
        <w:br w:type="page"/>
      </w:r>
    </w:p>
    <w:p>
      <w:pPr>
        <w:pStyle w:val="Heading1"/>
      </w:pPr>
      <w:r>
        <w:t>Section Q - Form Traceability Matrix</w:t>
      </w:r>
    </w:p>
    <w:p>
      <w:r>
        <w:rPr>
          <w:b w:val="0"/>
          <w:color w:val="6B7280"/>
          <w:sz w:val="18"/>
        </w:rPr>
        <w:t>Ensuring traceability across all modernization phases.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260"/>
        <w:gridCol w:w="1260"/>
        <w:gridCol w:w="1260"/>
        <w:gridCol w:w="1260"/>
        <w:gridCol w:w="1260"/>
        <w:gridCol w:w="1260"/>
        <w:gridCol w:w="1260"/>
        <w:gridCol w:w="1260"/>
      </w:tblGrid>
      <w:tr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Form</w:t>
            </w:r>
          </w:p>
        </w:tc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Project</w:t>
            </w:r>
          </w:p>
        </w:tc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has_event_map</w:t>
            </w:r>
          </w:p>
        </w:tc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has_sql_map</w:t>
            </w:r>
          </w:p>
        </w:tc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has_business_rules</w:t>
            </w:r>
          </w:p>
        </w:tc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has_risk_entry</w:t>
            </w:r>
          </w:p>
        </w:tc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completeness_score</w:t>
            </w:r>
          </w:p>
        </w:tc>
        <w:tc>
          <w:tcPr>
            <w:tcW w:type="dxa" w:w="126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missing_links</w:t>
            </w:r>
          </w:p>
        </w:tc>
      </w:tr>
    </w:tbl>
    <w:p>
      <w:pPr>
        <w:pStyle w:val="Heading1"/>
      </w:pPr>
      <w:r>
        <w:t>Section R - Sprint Dependency Map</w:t>
      </w:r>
    </w:p>
    <w:p>
      <w:r>
        <w:rPr>
          <w:b w:val="0"/>
          <w:color w:val="6B7280"/>
          <w:sz w:val="18"/>
        </w:rPr>
        <w:t>Phased approach with defined outcomes and exit criteria.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Form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Suggested sprint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Depends on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Shared Components Required</w:t>
            </w:r>
          </w:p>
        </w:tc>
        <w:tc>
          <w:tcPr>
            <w:tcW w:type="dxa" w:w="201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Rationale</w:t>
            </w:r>
          </w:p>
        </w:tc>
      </w:tr>
      <w:tr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n/a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Sprint 0 (Discovery closure)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Q.event_map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none</w:t>
            </w:r>
          </w:p>
        </w:tc>
        <w:tc>
          <w:tcPr>
            <w:tcW w:type="dxa" w:w="2016"/>
          </w:tcPr>
          <w:p>
            <w:r/>
            <w:r>
              <w:rPr>
                <w:b w:val="0"/>
                <w:color w:val="111827"/>
                <w:sz w:val="16"/>
              </w:rPr>
              <w:t>Close traceability gaps before modernization changes.</w:t>
            </w:r>
          </w:p>
        </w:tc>
      </w:tr>
    </w:tbl>
    <w:p>
      <w:pPr>
        <w:pStyle w:val="Heading1"/>
      </w:pPr>
      <w:r>
        <w:t>Risks Register Snapshot</w:t>
      </w:r>
    </w:p>
    <w:p>
      <w:r>
        <w:rPr>
          <w:b w:val="0"/>
          <w:color w:val="6B7280"/>
          <w:sz w:val="18"/>
        </w:rPr>
        <w:t>Assessment of risks associated with the modernization project.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Risk ID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252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Recommended action</w:t>
            </w:r>
          </w:p>
        </w:tc>
      </w:tr>
      <w:tr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6"/>
              </w:rPr>
              <w:t>RISK-1</w:t>
            </w:r>
          </w:p>
        </w:tc>
        <w:tc>
          <w:tcPr>
            <w:tcW w:type="dxa" w:w="2520"/>
            <w:shd w:val="clear" w:color="auto" w:fill="FEE2E2"/>
          </w:tcPr>
          <w:p>
            <w:r/>
            <w:r>
              <w:rPr>
                <w:b w:val="0"/>
                <w:color w:val="111827"/>
                <w:sz w:val="16"/>
              </w:rPr>
              <w:t>HIGH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6"/>
              </w:rPr>
              <w:t>Potential data loss during translation of methods.</w:t>
            </w:r>
          </w:p>
        </w:tc>
        <w:tc>
          <w:tcPr>
            <w:tcW w:type="dxa" w:w="2520"/>
          </w:tcPr>
          <w:p>
            <w:r/>
            <w:r>
              <w:rPr>
                <w:b w:val="0"/>
                <w:color w:val="111827"/>
                <w:sz w:val="16"/>
              </w:rPr>
              <w:t>Implement comprehensive data validation and backup procedures.</w:t>
            </w:r>
          </w:p>
        </w:tc>
      </w:tr>
      <w:tr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RISK-2</w:t>
            </w:r>
          </w:p>
        </w:tc>
        <w:tc>
          <w:tcPr>
            <w:tcW w:type="dxa" w:w="2520"/>
            <w:shd w:val="clear" w:color="auto" w:fill="F3F4F6"/>
            <w:shd w:val="clear" w:color="auto" w:fill="FEF3C7"/>
          </w:tcPr>
          <w:p>
            <w:r/>
            <w:r>
              <w:rPr>
                <w:b w:val="0"/>
                <w:color w:val="111827"/>
                <w:sz w:val="16"/>
              </w:rPr>
              <w:t>MEDIUM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Authentication issues with Microsoft Entra ID integration.</w:t>
            </w:r>
          </w:p>
        </w:tc>
        <w:tc>
          <w:tcPr>
            <w:tcW w:type="dxa" w:w="252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Conduct thorough testing of authentication workflows.</w:t>
            </w:r>
          </w:p>
        </w:tc>
      </w:tr>
    </w:tbl>
    <w:p>
      <w:pPr>
        <w:pStyle w:val="Heading2"/>
      </w:pPr>
      <w:r>
        <w:t>Evidence References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Artifact</w:t>
            </w:r>
          </w:p>
        </w:tc>
        <w:tc>
          <w:tcPr>
            <w:tcW w:type="dxa" w:w="504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Reference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legacy_inventory_ref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artifact://legacy_inventory/1.0/art_legacy_inventory_ddc556c79221422d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repo_landscape_ref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artifact://repo_landscape/1.0/art_repo_landscape_024df5d6f5d44ee7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scope_lock_ref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artifact://scope_lock/1.0/art_scope_lock_afa4065ab423464a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variant_inventory_ref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artifact://variant_inventory/1.0/art_variant_inventory_66c5268fc63b4167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event_map_ref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artifact://event_map/1.0/art_event_map_b5f5e38a6aeb447d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sql_catalog_ref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artifact://sql_catalog/1.0/art_sql_catalog_38cfefe892e649b7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sql_map_ref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artifact://sql_map/1.0/art_sql_map_4777e8fddccf4896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data_access_map_ref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artifact://data_access_map/1.0/art_data_access_map_6c3a392e706d40ae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recordset_ops_ref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artifact://recordset_ops/1.0/art_recordset_ops_e6c425cfa45a4058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procedure_summary_ref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artifact://procedure_summary/1.0/art_procedure_summary_a80f611ccef14265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form_dossier_ref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artifact://form_dossier/1.0/art_form_dossier_ad3b79d85d5c4527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dependency_list_ref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artifact://dependency_inventory/1.0/art_dependency_inventory_9aba17bf43c54076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dependency_inventory_ref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artifact://dependency_inventory/1.0/art_dependency_inventory_9aba17bf43c54076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business_rules_ref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artifact://business_rule_catalog/1.0/art_business_rule_catalog_61582142c38248cc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detector_findings_ref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artifact://detector_findings/1.0/art_detector_findings_f8b5e8ca38924b95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risk_register_ref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artifact://risk_register/1.0/art_risk_register_54e09dd7557a4505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orphan_analysis_ref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artifact://orphan_analysis/1.0/art_orphan_analysis_512fcef8b1424958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delivery_constitution_ref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artifact://delivery_constitution/1.0/art_delivery_constitution_f582063980c04ad9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source_db_profile_ref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artifact://analyst/raw/source_db_profile/v1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source_schema_model_ref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artifact://analyst/raw/source_schema_model/v1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source_query_catalog_ref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artifact://analyst/raw/source_query_catalog/v1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source_relationship_candidates_ref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artifact://analyst/raw/source_relationship_candidates/v1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source_data_dictionary_ref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artifact://analyst/raw/source_data_dictionary/v1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source_data_dictionary_markdown_ref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artifact://analyst/raw/source_data_dictionary_markdown/v1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source_erd_ref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artifact://analyst/raw/source_erd/v1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source_hotspot_report_ref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artifact://analyst/raw/source_hotspot_report/v1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target_schema_model_ref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artifact://analyst/raw/target_schema_model/v1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target_erd_ref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artifact://analyst/raw/target_erd/v1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target_data_dictionary_ref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artifact://analyst/raw/target_data_dictionary/v1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schema_mapping_matrix_ref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artifact://analyst/raw/schema_mapping_matrix/v1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migration_plan_ref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artifact://analyst/raw/migration_plan/v1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validation_harness_spec_ref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artifact://analyst/raw/validation_harness_spec/v1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db_qa_report_ref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artifact://analyst/raw/db_qa_report/v1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schema_approval_record_ref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artifact://analyst/raw/schema_approval_record/v1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schema_drift_report_ref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artifact://analyst/raw/schema_drift_report/v1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variant_diff_report_ref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artifact://variant_diff_report/1.0/art_variant_diff_report_efaaa057bd554a00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reporting_model_ref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artifact://reporting_model/1.0/art_reporting_model_3a3d42e6be164b74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identity_access_model_ref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artifact://identity_access_model/1.0/art_identity_access_model_666fe530dcbe41da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discover_review_checklist_ref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artifact://discover_review_checklist/1.0/art_discover_review_checklist_9a606d9042904a55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artifact_index_ref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artifact://artifact_index/1.0/art_artifact_index_81ec01eba7544348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qa_report_ref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embedded://analyst_report_v2/qa_report_v1</w:t>
            </w:r>
          </w:p>
        </w:tc>
      </w:tr>
      <w:tr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knowledge_snapshot_ref</w:t>
            </w:r>
          </w:p>
        </w:tc>
        <w:tc>
          <w:tcPr>
            <w:tcW w:type="dxa" w:w="5040"/>
            <w:shd w:val="clear" w:color="auto" w:fill="F3F4F6"/>
          </w:tcPr>
          <w:p>
            <w:r/>
            <w:r>
              <w:rPr>
                <w:b w:val="0"/>
                <w:color w:val="111827"/>
                <w:sz w:val="16"/>
              </w:rPr>
              <w:t>runctx://runctx-58e69cca33b827ab/kctx-6c852fcceab50a55</w:t>
            </w:r>
          </w:p>
        </w:tc>
      </w:tr>
      <w:tr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run_delivery_constitution_ref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color w:val="111827"/>
                <w:sz w:val="16"/>
              </w:rPr>
              <w:t>runctx://runctx-58e69cca33b827ab/delivery_constitution/const-7d29ca999e82</w:t>
            </w:r>
          </w:p>
        </w:tc>
      </w:tr>
    </w:tbl>
    <w:p>
      <w:r>
        <w:rPr>
          <w:b w:val="0"/>
          <w:color w:val="6B7280"/>
          <w:sz w:val="16"/>
        </w:rPr>
        <w:t>Generated from analyst structured artifacts. This workbook is intended for BA/business review and should be paired with technical JSON/markdown exports for engineering implementation.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1"/>
      </w:pBdr>
      <w:tabs>
        <w:tab w:val="right" w:pos="1008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Confidential — Internal Use Only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4" w:space="1"/>
      </w:pBdr>
      <w:spacing w:before="0" w:after="80"/>
    </w:pPr>
    <w:r>
      <w:rPr>
        <w:rFonts w:ascii="Arial" w:cs="Arial" w:eastAsia="Arial" w:hAnsi="Arial"/>
        <w:color w:val="4B5563"/>
        <w:sz w:val="16"/>
        <w:szCs w:val="16"/>
      </w:rPr>
      <w:t xml:space="preserve">VB6 Banking Modernization — Business Analyst Workbook</w:t>
    </w:r>
    <w:r>
      <w:rPr>
        <w:rFonts w:ascii="Arial" w:cs="Arial" w:eastAsia="Arial" w:hAnsi="Arial"/>
        <w:color w:val="1B7A8C"/>
        <w:sz w:val="16"/>
        <w:szCs w:val="16"/>
      </w:rPr>
      <w:t xml:space="preserve">  ·  Synthetix AI Analysis Platform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1B7A8C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2026-02-26T09:38:26.705Z</dcterms:created>
  <dcterms:modified xsi:type="dcterms:W3CDTF">2026-02-26T09:38:26.705Z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