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Contractor Modernization Workbook</w:t>
            </w:r>
          </w:p>
        </w:tc>
      </w:tr>
    </w:tbl>
    <w:p>
      <w:r>
        <w:rPr>
          <w:b/>
          <w:color w:val="1F6B75"/>
          <w:sz w:val="26"/>
        </w:rPr>
        <w:t>MagicBox Contractor Modernization</w:t>
      </w:r>
    </w:p>
    <w:p>
      <w:r>
        <w:rPr>
          <w:b w:val="0"/>
          <w:color w:val="111827"/>
          <w:sz w:val="20"/>
        </w:rPr>
        <w:t>A comprehensive guide to modernizing the Contractor module using the Strangler Fig Pattern.</w:t>
      </w:r>
    </w:p>
    <w:p>
      <w:r>
        <w:rPr>
          <w:b w:val="0"/>
          <w:color w:val="6B7280"/>
          <w:sz w:val="18"/>
        </w:rPr>
        <w:t>Run 20260513_115924_9b5eaab4  ·  Generated 2026-05-13T12:00:20.107158+00:00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codebase by implementing a target-scaffold, lint gate, and skill-pack-rewrite verification for the Contractor module.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Contractor Modernization project aims to revamp the existing codebase by implementing a target-scaffold, lint gate, and skill-pack-rewrite verification. This initiative is crucial for enhancing the module's efficiency and maintainability. The project employs the Strangler Fig Pattern, ensuring a seamless transition from legacy components to modern solutions. The strategy is divided into three phases: establishing a baseline, incremental migration, and final hardening. Each phase is designed to minimize disruption while achieving modernization goals.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Contractor module with target-scaffold and lint gate.</w:t>
      </w:r>
    </w:p>
    <w:p>
      <w:pPr>
        <w:pStyle w:val="ListParagraph"/>
      </w:pPr>
      <w:r>
        <w:rPr>
          <w:b w:val="0"/>
          <w:color w:val="111827"/>
          <w:sz w:val="18"/>
        </w:rPr>
        <w:t>- Strategy: Strangler Fig Pattern for minimal disruption.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and hardening.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with readiness score of 0.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 in inventory.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 risk tier due to zero readiness score.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with minimal disruption.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(10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current dependencies to identify potential risks and migration paths.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to be migrated and their current state.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 co-approver before onboarding can proceed.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baseline equivalence.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all changes are traceable to maintain integrity and compliance.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for phased implementation and testing.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potential risks and mitigation strategies throughout the project.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disruption during the transition to the new scaffold.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a phased rollout and thorough testing before full deployment.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Compatibility issues with existing integrations.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integration testing with all external services.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artifact://legacy_inventory/1.0/art_legacy_inventory_d449bef7f7544cb6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artifact://repo_landscape/1.0/art_repo_landscape_2dc9826380644904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artifact://scope_lock/1.0/art_scope_lock_90925149a03246bb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artifact://variant_inventory/1.0/art_variant_inventory_e1ad0f59e94c4dff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artifact://event_map/1.0/art_event_map_88b3458575fd4557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artifact://sql_catalog/1.0/art_sql_catalog_391383ea86b84daf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artifact://sql_map/1.0/art_sql_map_146b58150a3f4be9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artifact://data_access_map/1.0/art_data_access_map_199f0b5ec80243e5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artifact://recordset_ops/1.0/art_recordset_ops_1d7fdfe6d9154589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artifact://procedure_summary/1.0/art_procedure_summary_edca3252b5b44dad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artifact://form_dossier/1.0/art_form_dossier_cbef823d8c8f4f5a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artifact://dependency_inventory/1.0/art_dependency_inventory_daad0c79a789448b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artifact://dependency_inventory/1.0/art_dependency_inventory_daad0c79a789448b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artifact://business_rule_catalog/1.0/art_business_rule_catalog_333398bf9db34f48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artifact://detector_findings/1.0/art_detector_findings_535a90a5db294706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artifact://risk_register/1.0/art_risk_register_ce4e15829f2a4bbb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artifact://orphan_analysis/1.0/art_orphan_analysis_48426a55e1e94bbc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artifact://delivery_constitution/1.0/art_delivery_constitution_9dcdc3e4fcf54600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artifact://variant_diff_report/1.0/art_variant_diff_report_b7ddae454bf34465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artifact://reporting_model/1.0/art_reporting_model_cf77d296ca174239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artifact://identity_access_model/1.0/art_identity_access_model_471b130dcaf449fe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artifact://discover_review_checklist/1.0/art_discover_review_checklist_518ff8f2aacf4550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artifact://artifact_index/1.0/art_artifact_index_b0395fb624f64f72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runctx://runctx-1c824a67848cfd28/kctx-9902e42d32f8c0bb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runctx://runctx-1c824a67848cfd28/delivery_constitution/const-28b78fc6e099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