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Magicbox Modernization Workbook</w:t>
            </w:r>
          </w:p>
        </w:tc>
      </w:tr>
    </w:tbl>
    <w:p>
      <w:r>
        <w:rPr>
          <w:b/>
          <w:color w:val="1F6B75"/>
          <w:sz w:val="26"/>
        </w:rPr>
        <w:t>Magicbox Modernization</w:t>
      </w:r>
    </w:p>
    <w:p>
      <w:r>
        <w:rPr>
          <w:b w:val="0"/>
          <w:color w:val="111827"/>
          <w:sz w:val="20"/>
        </w:rPr>
        <w:t>A comprehensive guide to modernizing the Magicbox system with automated approvals and bypassing sealed modules.</w:t>
      </w:r>
    </w:p>
    <w:p>
      <w:r>
        <w:rPr>
          <w:b w:val="0"/>
          <w:color w:val="6B7280"/>
          <w:sz w:val="18"/>
        </w:rPr>
        <w:t>Run 20260512_192044_92e000d2  ·  Generated 2026-05-12T19:21:17.083734+00:00  ·  Repo app</w:t>
      </w:r>
    </w:p>
    <w:p/>
    <w:p>
      <w:pPr>
        <w:pStyle w:val="Heading1"/>
      </w:pPr>
      <w:r>
        <w:t>Executive Snapshot</w:t>
      </w:r>
    </w:p>
    <w:p>
      <w:r>
        <w:rPr>
          <w:b w:val="0"/>
          <w:color w:val="6B7280"/>
          <w:sz w:val="18"/>
        </w:rPr>
        <w:t>Overview of the modernization objectives and strategic approach using the Strangler Fig Pattern.</w:t>
      </w:r>
    </w:p>
    <w:p>
      <w:r>
        <w:rPr>
          <w:b/>
          <w:color w:val="2E75B6"/>
          <w:sz w:val="20"/>
        </w:rPr>
        <w:t xml:space="preserve">Objective: </w:t>
      </w:r>
      <w:r>
        <w:rPr>
          <w:b w:val="0"/>
          <w:color w:val="111827"/>
          <w:sz w:val="20"/>
        </w:rPr>
        <w:t>Ensure that the Magicbox system automatically approves Architect decisions by Developers and bypasses sealed TSM modules during the modernization process.</w:t>
      </w:r>
    </w:p>
    <w:p>
      <w:r>
        <w:rPr>
          <w:b/>
          <w:color w:val="2E75B6"/>
          <w:sz w:val="20"/>
        </w:rPr>
        <w:t xml:space="preserve">Summary: </w:t>
      </w:r>
      <w:r>
        <w:rPr>
          <w:b w:val="0"/>
          <w:color w:val="111827"/>
          <w:sz w:val="20"/>
        </w:rPr>
        <w:t>Strangler Fig Pattern recommended.</w:t>
      </w:r>
    </w:p>
    <w:p>
      <w:r>
        <w:rPr>
          <w:b w:val="0"/>
          <w:color w:val="111827"/>
          <w:sz w:val="20"/>
        </w:rPr>
        <w:t>The Magicbox Modernization project aims to streamline the approval process by enabling automatic approvals of Architect decisions by Developers. By bypassing sealed TSM modules, the modernization process ensures efficiency and reduces manual intervention. The Strangler Fig Pattern strategy is employed to allow incremental modernization while maintaining legacy functionality. This workbook provides a detailed roadmap, including phases for baseline capture, incremental migration, and final hardening, ensuring a smooth transition to the modernized system.</w:t>
      </w:r>
    </w:p>
    <w:p>
      <w:pPr>
        <w:pStyle w:val="ListParagraph"/>
      </w:pPr>
      <w:r>
        <w:rPr>
          <w:b w:val="0"/>
          <w:color w:val="111827"/>
          <w:sz w:val="18"/>
        </w:rPr>
        <w:t>- Automate Architect decision approvals by Developers.</w:t>
      </w:r>
    </w:p>
    <w:p>
      <w:pPr>
        <w:pStyle w:val="ListParagraph"/>
      </w:pPr>
      <w:r>
        <w:rPr>
          <w:b w:val="0"/>
          <w:color w:val="111827"/>
          <w:sz w:val="18"/>
        </w:rPr>
        <w:t>- Bypass sealed TSM modules for efficiency.</w:t>
      </w:r>
    </w:p>
    <w:p>
      <w:pPr>
        <w:pStyle w:val="ListParagraph"/>
      </w:pPr>
      <w:r>
        <w:rPr>
          <w:b w:val="0"/>
          <w:color w:val="111827"/>
          <w:sz w:val="18"/>
        </w:rPr>
        <w:t>- Employ Strangler Fig Pattern for incremental modernization.</w:t>
      </w:r>
    </w:p>
    <w:p>
      <w:pPr>
        <w:pStyle w:val="ListParagraph"/>
      </w:pPr>
      <w:r>
        <w:rPr>
          <w:b w:val="0"/>
          <w:color w:val="111827"/>
          <w:sz w:val="18"/>
        </w:rPr>
        <w:t>- Ensure legacy functionality is maintained.</w:t>
      </w:r>
    </w:p>
    <w:p>
      <w:pPr>
        <w:pStyle w:val="ListParagraph"/>
      </w:pPr>
      <w:r>
        <w:rPr>
          <w:b w:val="0"/>
          <w:color w:val="111827"/>
          <w:sz w:val="18"/>
        </w:rPr>
        <w:t>- Phased approach: baseline, migration, hardening.</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n/a/100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high</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pPr>
        <w:ind w:left="115"/>
      </w:pPr>
      <w:r>
        <w:rPr>
          <w:b/>
          <w:color w:val="2E75B6"/>
          <w:sz w:val="18"/>
        </w:rPr>
        <w:t xml:space="preserve">Readiness Score: </w:t>
      </w:r>
      <w:r>
        <w:rPr>
          <w:b w:val="0"/>
          <w:color w:val="111827"/>
          <w:sz w:val="18"/>
        </w:rPr>
        <w:t>Current readiness score is 0, indicating initial phase.</w:t>
      </w:r>
    </w:p>
    <w:p>
      <w:pPr>
        <w:pStyle w:val="Heading2"/>
      </w:pPr>
      <w:r>
        <w:t>Recommended Modernization Strategy</w:t>
      </w:r>
    </w:p>
    <w:p>
      <w:r>
        <w:rPr>
          <w:b/>
          <w:color w:val="1F6B75"/>
          <w:sz w:val="20"/>
        </w:rPr>
        <w:t xml:space="preserve">Strangler Fig Pattern: </w:t>
      </w:r>
      <w:r>
        <w:rPr>
          <w:b w:val="0"/>
          <w:color w:val="111827"/>
          <w:sz w:val="20"/>
        </w:rPr>
        <w:t>Allows incremental modernization while maintaining legacy functionality.</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Derived backlog coverage below dynamic threshold (2/3) for discovered scope (0 forms).</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pass=11, warn=5,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11</w:t>
            </w:r>
          </w:p>
        </w:tc>
        <w:tc>
          <w:tcPr>
            <w:tcW w:type="dxa" w:w="1680"/>
          </w:tcPr>
          <w:p>
            <w:r/>
            <w:r>
              <w:rPr>
                <w:b w:val="0"/>
                <w:color w:val="111827"/>
                <w:sz w:val="18"/>
              </w:rPr>
              <w:t>5</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pass=11, warn=5,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1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Unresolved form references detected: System-wide</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Identify and map dependencies to ensure seamless integration during modernization.</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Document and analyze forms for migration readiness and dependency risks.</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6"/>
              </w:rPr>
              <w:t>BR-001</w:t>
            </w:r>
          </w:p>
        </w:tc>
        <w:tc>
          <w:tcPr>
            <w:tcW w:type="dxa" w:w="1680"/>
          </w:tcPr>
          <w:p>
            <w:r/>
            <w:r>
              <w:rPr>
                <w:b w:val="0"/>
                <w:color w:val="111827"/>
                <w:sz w:val="16"/>
              </w:rPr>
              <w:t>System-wide</w:t>
            </w:r>
          </w:p>
        </w:tc>
        <w:tc>
          <w:tcPr>
            <w:tcW w:type="dxa" w:w="1680"/>
          </w:tcPr>
          <w:p>
            <w:r/>
            <w:r>
              <w:rPr>
                <w:b w:val="0"/>
                <w:color w:val="111827"/>
                <w:sz w:val="16"/>
              </w:rPr>
              <w:t>Presentation</w:t>
            </w:r>
          </w:p>
        </w:tc>
        <w:tc>
          <w:tcPr>
            <w:tcW w:type="dxa" w:w="1680"/>
          </w:tcPr>
          <w:p>
            <w:r/>
            <w:r>
              <w:rPr>
                <w:b w:val="0"/>
                <w:color w:val="111827"/>
                <w:sz w:val="16"/>
              </w:rPr>
              <w:t>workflow_orchestration</w:t>
            </w:r>
          </w:p>
        </w:tc>
        <w:tc>
          <w:tcPr>
            <w:tcW w:type="dxa" w:w="1680"/>
          </w:tcPr>
          <w:p>
            <w:r/>
            <w:r>
              <w:rPr>
                <w:b w:val="0"/>
                <w:color w:val="111827"/>
                <w:sz w:val="16"/>
              </w:rPr>
              <w:t>Automatically approve Architect decisions.</w:t>
            </w:r>
          </w:p>
        </w:tc>
        <w:tc>
          <w:tcPr>
            <w:tcW w:type="dxa" w:w="1680"/>
          </w:tcPr>
          <w:p>
            <w:r/>
            <w:r>
              <w:rPr>
                <w:b w:val="0"/>
                <w:color w:val="111827"/>
                <w:sz w:val="16"/>
              </w:rPr>
              <w:t>none</w:t>
            </w:r>
          </w:p>
        </w:tc>
      </w:tr>
    </w:tbl>
    <w:p>
      <w:r>
        <w:br w:type="page"/>
      </w:r>
    </w:p>
    <w:p>
      <w:pPr>
        <w:pStyle w:val="Heading1"/>
      </w:pPr>
      <w:r>
        <w:t>Section P - Form Flow Traces</w:t>
      </w:r>
    </w:p>
    <w:p>
      <w:r>
        <w:rPr>
          <w:b w:val="0"/>
          <w:color w:val="6B7280"/>
          <w:sz w:val="18"/>
        </w:rPr>
        <w:t>Capture and analyze system flows to establish baseline and equivalence.</w:t>
      </w:r>
    </w:p>
    <w:p>
      <w:r>
        <w:br w:type="page"/>
      </w:r>
    </w:p>
    <w:p>
      <w:pPr>
        <w:pStyle w:val="Heading1"/>
      </w:pPr>
      <w:r>
        <w:t>Section Q - Form Traceability Matrix</w:t>
      </w:r>
    </w:p>
    <w:p>
      <w:r>
        <w:rPr>
          <w:b w:val="0"/>
          <w:color w:val="6B7280"/>
          <w:sz w:val="18"/>
        </w:rPr>
        <w:t>Ensure traceability of changes to maintain system integrity and compliance.</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Outline sprint plans for phased migration and dependency replacement.</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Assess and mitigate risks associated with high-risk tier modernization.</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E2E2"/>
          </w:tcPr>
          <w:p>
            <w:r/>
            <w:r>
              <w:rPr>
                <w:b w:val="0"/>
                <w:color w:val="111827"/>
                <w:sz w:val="16"/>
              </w:rPr>
              <w:t>HIGH</w:t>
            </w:r>
          </w:p>
        </w:tc>
        <w:tc>
          <w:tcPr>
            <w:tcW w:type="dxa" w:w="2520"/>
          </w:tcPr>
          <w:p>
            <w:r/>
            <w:r>
              <w:rPr>
                <w:b w:val="0"/>
                <w:color w:val="111827"/>
                <w:sz w:val="16"/>
              </w:rPr>
              <w:t>Potential misidentification of sealed TSM modules.</w:t>
            </w:r>
          </w:p>
        </w:tc>
        <w:tc>
          <w:tcPr>
            <w:tcW w:type="dxa" w:w="2520"/>
          </w:tcPr>
          <w:p>
            <w:r/>
            <w:r>
              <w:rPr>
                <w:b w:val="0"/>
                <w:color w:val="111827"/>
                <w:sz w:val="16"/>
              </w:rPr>
              <w:t>Implement thorough testing and validation processes.</w:t>
            </w:r>
          </w:p>
        </w:tc>
      </w:tr>
      <w:tr>
        <w:tc>
          <w:tcPr>
            <w:tcW w:type="dxa" w:w="2520"/>
            <w:shd w:val="clear" w:color="auto" w:fill="F3F4F6"/>
          </w:tcPr>
          <w:p>
            <w:r/>
            <w:r>
              <w:rPr>
                <w:b w:val="0"/>
                <w:color w:val="111827"/>
                <w:sz w:val="16"/>
              </w:rPr>
              <w:t>RISK-2</w:t>
            </w:r>
          </w:p>
        </w:tc>
        <w:tc>
          <w:tcPr>
            <w:tcW w:type="dxa" w:w="2520"/>
            <w:shd w:val="clear" w:color="auto" w:fill="F3F4F6"/>
            <w:shd w:val="clear" w:color="auto" w:fill="FEF3C7"/>
          </w:tcPr>
          <w:p>
            <w:r/>
            <w:r>
              <w:rPr>
                <w:b w:val="0"/>
                <w:color w:val="111827"/>
                <w:sz w:val="16"/>
              </w:rPr>
              <w:t>MEDIUM</w:t>
            </w:r>
          </w:p>
        </w:tc>
        <w:tc>
          <w:tcPr>
            <w:tcW w:type="dxa" w:w="2520"/>
            <w:shd w:val="clear" w:color="auto" w:fill="F3F4F6"/>
          </w:tcPr>
          <w:p>
            <w:r/>
            <w:r>
              <w:rPr>
                <w:b w:val="0"/>
                <w:color w:val="111827"/>
                <w:sz w:val="16"/>
              </w:rPr>
              <w:t>Automated approval process may fail due to unforeseen errors.</w:t>
            </w:r>
          </w:p>
        </w:tc>
        <w:tc>
          <w:tcPr>
            <w:tcW w:type="dxa" w:w="2520"/>
            <w:shd w:val="clear" w:color="auto" w:fill="F3F4F6"/>
          </w:tcPr>
          <w:p>
            <w:r/>
            <w:r>
              <w:rPr>
                <w:b w:val="0"/>
                <w:color w:val="111827"/>
                <w:sz w:val="16"/>
              </w:rPr>
              <w:t>Include robust error handling and logging mechanisms.</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artifact://legacy_inventory/1.0/art_legacy_inventory_e6f83d1d5fc94520</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artifact://repo_landscape/1.0/art_repo_landscape_da68441f8b4c4651</w:t>
            </w:r>
          </w:p>
        </w:tc>
      </w:tr>
      <w:tr>
        <w:tc>
          <w:tcPr>
            <w:tcW w:type="dxa" w:w="5040"/>
          </w:tcPr>
          <w:p>
            <w:r/>
            <w:r>
              <w:rPr>
                <w:b w:val="0"/>
                <w:color w:val="111827"/>
                <w:sz w:val="16"/>
              </w:rPr>
              <w:t>scope_lock_ref</w:t>
            </w:r>
          </w:p>
        </w:tc>
        <w:tc>
          <w:tcPr>
            <w:tcW w:type="dxa" w:w="5040"/>
          </w:tcPr>
          <w:p>
            <w:r/>
            <w:r>
              <w:rPr>
                <w:b w:val="0"/>
                <w:color w:val="111827"/>
                <w:sz w:val="16"/>
              </w:rPr>
              <w:t>artifact://scope_lock/1.0/art_scope_lock_549c5cfa5b044603</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artifact://variant_inventory/1.0/art_variant_inventory_917d6927ee434836</w:t>
            </w:r>
          </w:p>
        </w:tc>
      </w:tr>
      <w:tr>
        <w:tc>
          <w:tcPr>
            <w:tcW w:type="dxa" w:w="5040"/>
          </w:tcPr>
          <w:p>
            <w:r/>
            <w:r>
              <w:rPr>
                <w:b w:val="0"/>
                <w:color w:val="111827"/>
                <w:sz w:val="16"/>
              </w:rPr>
              <w:t>event_map_ref</w:t>
            </w:r>
          </w:p>
        </w:tc>
        <w:tc>
          <w:tcPr>
            <w:tcW w:type="dxa" w:w="5040"/>
          </w:tcPr>
          <w:p>
            <w:r/>
            <w:r>
              <w:rPr>
                <w:b w:val="0"/>
                <w:color w:val="111827"/>
                <w:sz w:val="16"/>
              </w:rPr>
              <w:t>artifact://event_map/1.0/art_event_map_345602cec0364012</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artifact://sql_catalog/1.0/art_sql_catalog_a9f31aee8c994d97</w:t>
            </w:r>
          </w:p>
        </w:tc>
      </w:tr>
      <w:tr>
        <w:tc>
          <w:tcPr>
            <w:tcW w:type="dxa" w:w="5040"/>
          </w:tcPr>
          <w:p>
            <w:r/>
            <w:r>
              <w:rPr>
                <w:b w:val="0"/>
                <w:color w:val="111827"/>
                <w:sz w:val="16"/>
              </w:rPr>
              <w:t>sql_map_ref</w:t>
            </w:r>
          </w:p>
        </w:tc>
        <w:tc>
          <w:tcPr>
            <w:tcW w:type="dxa" w:w="5040"/>
          </w:tcPr>
          <w:p>
            <w:r/>
            <w:r>
              <w:rPr>
                <w:b w:val="0"/>
                <w:color w:val="111827"/>
                <w:sz w:val="16"/>
              </w:rPr>
              <w:t>artifact://sql_map/1.0/art_sql_map_b459a1f683ab4141</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artifact://data_access_map/1.0/art_data_access_map_4f7952929a244369</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artifact://recordset_ops/1.0/art_recordset_ops_59a1c08d9e0443f0</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artifact://procedure_summary/1.0/art_procedure_summary_510e84392b0148ed</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artifact://form_dossier/1.0/art_form_dossier_cb28b909704641c7</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artifact://dependency_inventory/1.0/art_dependency_inventory_471ad9abb9204904</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artifact://dependency_inventory/1.0/art_dependency_inventory_471ad9abb9204904</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artifact://business_rule_catalog/1.0/art_business_rule_catalog_5b2f0143590747a0</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artifact://detector_findings/1.0/art_detector_findings_75ea5cca9de64f0b</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artifact://risk_register/1.0/art_risk_register_a1091273e86b4c97</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artifact://orphan_analysis/1.0/art_orphan_analysis_c84297d53c8e4d83</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artifact://delivery_constitution/1.0/art_delivery_constitution_7da31ff0b4a04084</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artifact://variant_diff_report/1.0/art_variant_diff_report_fe4137accb0f458f</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artifact://reporting_model/1.0/art_reporting_model_92b0d8809c314a65</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artifact://identity_access_model/1.0/art_identity_access_model_2b7f8fbcba6349ad</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artifact://discover_review_checklist/1.0/art_discover_review_checklist_7d4c316181cf467f</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artifact://artifact_index/1.0/art_artifact_index_7d54fc235de24208</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runctx://runctx-0a77635f37be0dac/kctx-9902e42d32f8c0bb</w:t>
            </w:r>
          </w:p>
        </w:tc>
      </w:tr>
      <w:tr>
        <w:tc>
          <w:tcPr>
            <w:tcW w:type="dxa" w:w="5040"/>
          </w:tcPr>
          <w:p>
            <w:r/>
            <w:r>
              <w:rPr>
                <w:b w:val="0"/>
                <w:color w:val="111827"/>
                <w:sz w:val="16"/>
              </w:rPr>
              <w:t>run_delivery_constitution_ref</w:t>
            </w:r>
          </w:p>
        </w:tc>
        <w:tc>
          <w:tcPr>
            <w:tcW w:type="dxa" w:w="5040"/>
          </w:tcPr>
          <w:p>
            <w:r/>
            <w:r>
              <w:rPr>
                <w:b w:val="0"/>
                <w:color w:val="111827"/>
                <w:sz w:val="16"/>
              </w:rPr>
              <w:t>runctx://runctx-0a77635f37be0dac/delivery_constitution/const-9900205edb83</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