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Business Requirements Document</w:t>
      </w:r>
    </w:p>
    <w:p>
      <w:r>
        <w:t>Kotlin / Android Upgrade  —  —  —  Kotlin / Android Modernization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SYN-BRD-20260519_014341_80f21536</w:t>
            </w:r>
          </w:p>
        </w:tc>
      </w:tr>
      <w:tr>
        <w:tc>
          <w:tcPr>
            <w:tcW w:type="dxa" w:w="4320"/>
          </w:tcPr>
          <w:p>
            <w:r>
              <w:t>Pattern</w:t>
            </w:r>
          </w:p>
        </w:tc>
        <w:tc>
          <w:tcPr>
            <w:tcW w:type="dxa" w:w="4320"/>
          </w:tcPr>
          <w:p>
            <w:r>
              <w:t>kotlin_android_upgrade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Android — Kotlin / JVM</w:t>
            </w:r>
          </w:p>
        </w:tc>
      </w:tr>
      <w:tr>
        <w:tc>
          <w:tcPr>
            <w:tcW w:type="dxa" w:w="4320"/>
          </w:tcPr>
          <w:p>
            <w:r>
              <w:t>Source stack</w:t>
            </w:r>
          </w:p>
        </w:tc>
        <w:tc>
          <w:tcPr>
            <w:tcW w:type="dxa" w:w="4320"/>
          </w:tcPr>
          <w:p>
            <w:r>
              <w:t>kotlin, android</w:t>
            </w:r>
          </w:p>
        </w:tc>
      </w:tr>
      <w:tr>
        <w:tc>
          <w:tcPr>
            <w:tcW w:type="dxa" w:w="4320"/>
          </w:tcPr>
          <w:p>
            <w:r>
              <w:t>Target stack</w:t>
            </w:r>
          </w:p>
        </w:tc>
        <w:tc>
          <w:tcPr>
            <w:tcW w:type="dxa" w:w="4320"/>
          </w:tcPr>
          <w:p>
            <w:r>
              <w:t>kotlin (latest), compose, hilt, stateflow</w:t>
            </w:r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>
              <w:t>Kotlin / Android Modernization</w:t>
            </w:r>
          </w:p>
        </w:tc>
      </w:tr>
      <w:tr>
        <w:tc>
          <w:tcPr>
            <w:tcW w:type="dxa" w:w="4320"/>
          </w:tcPr>
          <w:p>
            <w:r>
              <w:t>Run ID</w:t>
            </w:r>
          </w:p>
        </w:tc>
        <w:tc>
          <w:tcPr>
            <w:tcW w:type="dxa" w:w="4320"/>
          </w:tcPr>
          <w:p>
            <w:r>
              <w:t>20260519_014341_80f21536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2026-05-19T01:44:31+00:00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— generator v2 (pattern-aware Kotlin template)</w:t>
            </w:r>
          </w:p>
        </w:tc>
      </w:tr>
    </w:tbl>
    <w:p>
      <w:pPr>
        <w:pStyle w:val="Heading1"/>
      </w:pPr>
      <w:r>
        <w:rPr>
          <w:color w:val="1F2E4A"/>
        </w:rPr>
        <w:t>1.  Purpose and Context</w:t>
      </w:r>
    </w:p>
    <w:p>
      <w:r>
        <w:rPr>
          <w:b w:val="0"/>
          <w:i w:val="0"/>
        </w:rPr>
        <w:t>This project aims to modernize a Kotlin-based application into a Go application, focusing on maintaining current functionality while leveraging Go's capabilities.</w:t>
      </w:r>
    </w:p>
    <w:p>
      <w:pPr>
        <w:pStyle w:val="Heading2"/>
      </w:pPr>
      <w:r>
        <w:t>1.1  Intent Contract Summary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Intent contract is the authoritative input to BRD generation. Each row below is sourced from the engagement context artifact (SYN-SCHEMA-04) produced by the Intake Agent.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business_objective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modernization_pattern</w:t>
            </w:r>
          </w:p>
        </w:tc>
        <w:tc>
          <w:tcPr>
            <w:tcW w:type="dxa" w:w="4320"/>
          </w:tcPr>
          <w:p>
            <w:r>
              <w:t>kotlin_android_upgrade</w:t>
            </w:r>
          </w:p>
        </w:tc>
      </w:tr>
      <w:tr>
        <w:tc>
          <w:tcPr>
            <w:tcW w:type="dxa" w:w="4320"/>
          </w:tcPr>
          <w:p>
            <w:r>
              <w:t>source_language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source_platform</w:t>
            </w:r>
          </w:p>
        </w:tc>
        <w:tc>
          <w:tcPr>
            <w:tcW w:type="dxa" w:w="4320"/>
          </w:tcPr>
          <w:p>
            <w:r>
              <w:t>android_kotlin_client</w:t>
            </w:r>
          </w:p>
        </w:tc>
      </w:tr>
      <w:tr>
        <w:tc>
          <w:tcPr>
            <w:tcW w:type="dxa" w:w="4320"/>
          </w:tcPr>
          <w:p>
            <w:r>
              <w:t>target_platform</w:t>
            </w:r>
          </w:p>
        </w:tc>
        <w:tc>
          <w:tcPr>
            <w:tcW w:type="dxa" w:w="4320"/>
          </w:tcPr>
          <w:p>
            <w:r>
              <w:t>kotlin, compose, hilt, stateflow</w:t>
            </w:r>
          </w:p>
        </w:tc>
      </w:tr>
      <w:tr>
        <w:tc>
          <w:tcPr>
            <w:tcW w:type="dxa" w:w="4320"/>
          </w:tcPr>
          <w:p>
            <w:r>
              <w:t>skill_packs_applied</w:t>
            </w:r>
          </w:p>
        </w:tc>
        <w:tc>
          <w:tcPr>
            <w:tcW w:type="dxa" w:w="4320"/>
          </w:tcPr>
          <w:p>
            <w:r>
              <w:t>kotlin_modernization</w:t>
            </w:r>
          </w:p>
        </w:tc>
      </w:tr>
      <w:tr>
        <w:tc>
          <w:tcPr>
            <w:tcW w:type="dxa" w:w="4320"/>
          </w:tcPr>
          <w:p>
            <w:r>
              <w:t>engagement_confidence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1"/>
      </w:pPr>
      <w:r>
        <w:rPr>
          <w:color w:val="1F2E4A"/>
        </w:rPr>
        <w:t>2.  Architecture Decision Record</w:t>
      </w:r>
    </w:p>
    <w:p>
      <w:r>
        <w:rPr>
          <w:b w:val="0"/>
          <w:i w:val="0"/>
        </w:rPr>
        <w:t>The following decisions were confirmed during engagement intake. They are closed for this cycle — any revision requires a new intake amendment and BRD re-issue.</w:t>
      </w:r>
    </w:p>
    <w:p>
      <w:pPr>
        <w:pStyle w:val="Heading1"/>
      </w:pPr>
      <w:r>
        <w:rPr>
          <w:color w:val="1F2E4A"/>
        </w:rPr>
        <w:t>3.  Bounded Contexts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Bounded contexts derived from the module inventory + Retrofit API interfaces extracted by utils.kotlin_symbols. Each row shows what the module actually contains at class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Application and Configuration</w:t>
            </w:r>
          </w:p>
        </w:tc>
        <w:tc>
          <w:tcPr>
            <w:tcW w:type="dxa" w:w="2880"/>
          </w:tcPr>
          <w:p>
            <w:r>
              <w:t>kotlin_config</w:t>
            </w:r>
          </w:p>
        </w:tc>
        <w:tc>
          <w:tcPr>
            <w:tcW w:type="dxa" w:w="2880"/>
          </w:tcPr>
          <w:p>
            <w:r>
              <w:t>Gradle module — no main Kotlin source</w:t>
            </w:r>
          </w:p>
        </w:tc>
      </w:tr>
      <w:tr>
        <w:tc>
          <w:tcPr>
            <w:tcW w:type="dxa" w:w="2880"/>
          </w:tcPr>
          <w:p>
            <w:r>
              <w:t>Controllers and API Surface</w:t>
            </w:r>
          </w:p>
        </w:tc>
        <w:tc>
          <w:tcPr>
            <w:tcW w:type="dxa" w:w="2880"/>
          </w:tcPr>
          <w:p>
            <w:r>
              <w:t>kotlin_controllers</w:t>
            </w:r>
          </w:p>
        </w:tc>
        <w:tc>
          <w:tcPr>
            <w:tcW w:type="dxa" w:w="2880"/>
          </w:tcPr>
          <w:p>
            <w:r>
              <w:t>Gradle module — no main Kotlin source</w:t>
            </w:r>
          </w:p>
        </w:tc>
      </w:tr>
      <w:tr>
        <w:tc>
          <w:tcPr>
            <w:tcW w:type="dxa" w:w="2880"/>
          </w:tcPr>
          <w:p>
            <w:r>
              <w:t>Service Layer</w:t>
            </w:r>
          </w:p>
        </w:tc>
        <w:tc>
          <w:tcPr>
            <w:tcW w:type="dxa" w:w="2880"/>
          </w:tcPr>
          <w:p>
            <w:r>
              <w:t>kotlin_services</w:t>
            </w:r>
          </w:p>
        </w:tc>
        <w:tc>
          <w:tcPr>
            <w:tcW w:type="dxa" w:w="2880"/>
          </w:tcPr>
          <w:p>
            <w:r>
              <w:t>Gradle module — no main Kotlin source</w:t>
            </w:r>
          </w:p>
        </w:tc>
      </w:tr>
      <w:tr>
        <w:tc>
          <w:tcPr>
            <w:tcW w:type="dxa" w:w="2880"/>
          </w:tcPr>
          <w:p>
            <w:r>
              <w:t>Repositories and Data Access</w:t>
            </w:r>
          </w:p>
        </w:tc>
        <w:tc>
          <w:tcPr>
            <w:tcW w:type="dxa" w:w="2880"/>
          </w:tcPr>
          <w:p>
            <w:r>
              <w:t>kotlin_repositories</w:t>
            </w:r>
          </w:p>
        </w:tc>
        <w:tc>
          <w:tcPr>
            <w:tcW w:type="dxa" w:w="2880"/>
          </w:tcPr>
          <w:p>
            <w:r>
              <w:t>Gradle module — no main Kotlin source</w:t>
            </w:r>
          </w:p>
        </w:tc>
      </w:tr>
      <w:tr>
        <w:tc>
          <w:tcPr>
            <w:tcW w:type="dxa" w:w="2880"/>
          </w:tcPr>
          <w:p>
            <w:r>
              <w:t>Domain and Model Layer</w:t>
            </w:r>
          </w:p>
        </w:tc>
        <w:tc>
          <w:tcPr>
            <w:tcW w:type="dxa" w:w="2880"/>
          </w:tcPr>
          <w:p>
            <w:r>
              <w:t>kotlin_domain</w:t>
            </w:r>
          </w:p>
        </w:tc>
        <w:tc>
          <w:tcPr>
            <w:tcW w:type="dxa" w:w="2880"/>
          </w:tcPr>
          <w:p>
            <w:r>
              <w:t>Gradle module — no main Kotlin source</w:t>
            </w:r>
          </w:p>
        </w:tc>
      </w:tr>
      <w:tr>
        <w:tc>
          <w:tcPr>
            <w:tcW w:type="dxa" w:w="2880"/>
          </w:tcPr>
          <w:p>
            <w:r>
              <w:t>Shared Kotlin Support</w:t>
            </w:r>
          </w:p>
        </w:tc>
        <w:tc>
          <w:tcPr>
            <w:tcW w:type="dxa" w:w="2880"/>
          </w:tcPr>
          <w:p>
            <w:r>
              <w:t>kotlin_support</w:t>
            </w:r>
          </w:p>
        </w:tc>
        <w:tc>
          <w:tcPr>
            <w:tcW w:type="dxa" w:w="2880"/>
          </w:tcPr>
          <w:p>
            <w:r>
              <w:t>Gradle module — no main Kotlin source</w:t>
            </w:r>
          </w:p>
        </w:tc>
      </w:tr>
      <w:tr>
        <w:tc>
          <w:tcPr>
            <w:tcW w:type="dxa" w:w="2880"/>
          </w:tcPr>
          <w:p>
            <w:r>
              <w:t>Support Artifacts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Gradle module — no main Kotlin source</w:t>
            </w:r>
          </w:p>
        </w:tc>
      </w:tr>
    </w:tbl>
    <w:p>
      <w:pPr>
        <w:pStyle w:val="Heading1"/>
      </w:pPr>
      <w:r>
        <w:rPr>
          <w:color w:val="1F2E4A"/>
        </w:rPr>
        <w:t>4.  Domain Entity Model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Domain entities extracted by utils.kotlin_symbols during the kotlin-comprehension dispatcher run. Fields show `name: Type` with `?` marking nullable columns. View-layer display models and Room entities are split into separate sub-sections so the domain table stays clean.</w:t>
      </w:r>
    </w:p>
    <w:p>
      <w:pPr>
        <w:pStyle w:val="Heading2"/>
      </w:pPr>
      <w:r>
        <w:t>4.1  Domain data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 / data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2880"/>
          </w:tcPr>
          <w:p>
            <w:r>
              <w:t>UserWrapper</w:t>
            </w:r>
          </w:p>
        </w:tc>
        <w:tc>
          <w:tcPr>
            <w:tcW w:type="dxa" w:w="2880"/>
          </w:tcPr>
          <w:p>
            <w:r>
              <w:t>src/main/kotlin/com/realworld/springmongo/api/Wrappers.kt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ProfileWrapper</w:t>
            </w:r>
          </w:p>
        </w:tc>
        <w:tc>
          <w:tcPr>
            <w:tcW w:type="dxa" w:w="2880"/>
          </w:tcPr>
          <w:p>
            <w:r>
              <w:t>src/main/kotlin/com/realworld/springmongo/api/Wrappers.kt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CommentWrapper</w:t>
            </w:r>
          </w:p>
        </w:tc>
        <w:tc>
          <w:tcPr>
            <w:tcW w:type="dxa" w:w="2880"/>
          </w:tcPr>
          <w:p>
            <w:r>
              <w:t>src/main/kotlin/com/realworld/springmongo/api/Wrappers.kt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ArticleWrapper</w:t>
            </w:r>
          </w:p>
        </w:tc>
        <w:tc>
          <w:tcPr>
            <w:tcW w:type="dxa" w:w="2880"/>
          </w:tcPr>
          <w:p>
            <w:r>
              <w:t>src/main/kotlin/com/realworld/springmongo/api/Wrappers.kt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src/main/kotlin/com/realworld/springmongo/article/Tag.kt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ArticleView</w:t>
            </w:r>
          </w:p>
        </w:tc>
        <w:tc>
          <w:tcPr>
            <w:tcW w:type="dxa" w:w="2880"/>
          </w:tcPr>
          <w:p>
            <w:r>
              <w:t>src/main/kotlin/com/realworld/springmongo/article/dto/ArticleView.kt</w:t>
            </w:r>
          </w:p>
        </w:tc>
        <w:tc>
          <w:tcPr>
            <w:tcW w:type="dxa" w:w="2880"/>
          </w:tcPr>
          <w:p>
            <w:r>
              <w:t>slug: String, title: String, description: String, body: String, tagList: List&lt;String&gt;, createdAt: Instant, updatedAt: Instant, favorited: Boolean, favoritesCount: Int, author: ProfileView</w:t>
            </w:r>
          </w:p>
        </w:tc>
      </w:tr>
      <w:tr>
        <w:tc>
          <w:tcPr>
            <w:tcW w:type="dxa" w:w="2880"/>
          </w:tcPr>
          <w:p>
            <w:r>
              <w:t>CommentView</w:t>
            </w:r>
          </w:p>
        </w:tc>
        <w:tc>
          <w:tcPr>
            <w:tcW w:type="dxa" w:w="2880"/>
          </w:tcPr>
          <w:p>
            <w:r>
              <w:t>src/main/kotlin/com/realworld/springmongo/article/dto/CommentView.kt</w:t>
            </w:r>
          </w:p>
        </w:tc>
        <w:tc>
          <w:tcPr>
            <w:tcW w:type="dxa" w:w="2880"/>
          </w:tcPr>
          <w:p>
            <w:r>
              <w:t>id: String, createdAt: Instant, updatedAt: Instant, body: String, author: ProfileView</w:t>
            </w:r>
          </w:p>
        </w:tc>
      </w:tr>
      <w:tr>
        <w:tc>
          <w:tcPr>
            <w:tcW w:type="dxa" w:w="2880"/>
          </w:tcPr>
          <w:p>
            <w:r>
              <w:t>CreateArticleRequest</w:t>
            </w:r>
          </w:p>
        </w:tc>
        <w:tc>
          <w:tcPr>
            <w:tcW w:type="dxa" w:w="2880"/>
          </w:tcPr>
          <w:p>
            <w:r>
              <w:t>src/main/kotlin/com/realworld/springmongo/article/dto/CreateArticleRequest.kt</w:t>
            </w:r>
          </w:p>
        </w:tc>
        <w:tc>
          <w:tcPr>
            <w:tcW w:type="dxa" w:w="2880"/>
          </w:tcPr>
          <w:p>
            <w:r>
              <w:t>description: String, tagList: List&lt;String&gt;</w:t>
            </w:r>
          </w:p>
        </w:tc>
      </w:tr>
      <w:tr>
        <w:tc>
          <w:tcPr>
            <w:tcW w:type="dxa" w:w="2880"/>
          </w:tcPr>
          <w:p>
            <w:r>
              <w:t>CreateCommentRequest</w:t>
            </w:r>
          </w:p>
        </w:tc>
        <w:tc>
          <w:tcPr>
            <w:tcW w:type="dxa" w:w="2880"/>
          </w:tcPr>
          <w:p>
            <w:r>
              <w:t>src/main/kotlin/com/realworld/springmongo/article/dto/CreateCommentRequest.kt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MultipleArticlesView</w:t>
            </w:r>
          </w:p>
        </w:tc>
        <w:tc>
          <w:tcPr>
            <w:tcW w:type="dxa" w:w="2880"/>
          </w:tcPr>
          <w:p>
            <w:r>
              <w:t>src/main/kotlin/com/realworld/springmongo/article/dto/MultipleArticlesView.kt</w:t>
            </w:r>
          </w:p>
        </w:tc>
        <w:tc>
          <w:tcPr>
            <w:tcW w:type="dxa" w:w="2880"/>
          </w:tcPr>
          <w:p>
            <w:r>
              <w:t>articles: List&lt;ArticleView&gt;, articlesCount: Int</w:t>
            </w:r>
          </w:p>
        </w:tc>
      </w:tr>
      <w:tr>
        <w:tc>
          <w:tcPr>
            <w:tcW w:type="dxa" w:w="2880"/>
          </w:tcPr>
          <w:p>
            <w:r>
              <w:t>MultipleCommentsView</w:t>
            </w:r>
          </w:p>
        </w:tc>
        <w:tc>
          <w:tcPr>
            <w:tcW w:type="dxa" w:w="2880"/>
          </w:tcPr>
          <w:p>
            <w:r>
              <w:t>src/main/kotlin/com/realworld/springmongo/article/dto/MultipleCommentsView.kt</w:t>
            </w:r>
          </w:p>
        </w:tc>
        <w:tc>
          <w:tcPr>
            <w:tcW w:type="dxa" w:w="2880"/>
          </w:tcPr>
          <w:p>
            <w:r>
              <w:t>comments: List&lt;CommentView&gt;</w:t>
            </w:r>
          </w:p>
        </w:tc>
      </w:tr>
      <w:tr>
        <w:tc>
          <w:tcPr>
            <w:tcW w:type="dxa" w:w="2880"/>
          </w:tcPr>
          <w:p>
            <w:r>
              <w:t>TagListView</w:t>
            </w:r>
          </w:p>
        </w:tc>
        <w:tc>
          <w:tcPr>
            <w:tcW w:type="dxa" w:w="2880"/>
          </w:tcPr>
          <w:p>
            <w:r>
              <w:t>src/main/kotlin/com/realworld/springmongo/article/dto/TagListView.kt</w:t>
            </w:r>
          </w:p>
        </w:tc>
        <w:tc>
          <w:tcPr>
            <w:tcW w:type="dxa" w:w="2880"/>
          </w:tcPr>
          <w:p>
            <w:r>
              <w:t>tags: List&lt;String&gt;</w:t>
            </w:r>
          </w:p>
        </w:tc>
      </w:tr>
      <w:tr>
        <w:tc>
          <w:tcPr>
            <w:tcW w:type="dxa" w:w="2880"/>
          </w:tcPr>
          <w:p>
            <w:r>
              <w:t>UpdateArticleRequest</w:t>
            </w:r>
          </w:p>
        </w:tc>
        <w:tc>
          <w:tcPr>
            <w:tcW w:type="dxa" w:w="2880"/>
          </w:tcPr>
          <w:p>
            <w:r>
              <w:t>src/main/kotlin/com/realworld/springmongo/article/dto/UpdateArticleRequest.kt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InvalidRequestExceptionResponse</w:t>
            </w:r>
          </w:p>
        </w:tc>
        <w:tc>
          <w:tcPr>
            <w:tcW w:type="dxa" w:w="2880"/>
          </w:tcPr>
          <w:p>
            <w:r>
              <w:t>src/main/kotlin/com/realworld/springmongo/exceptions/GlobalControllerAdvice.kt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TokenPrincipal</w:t>
            </w:r>
          </w:p>
        </w:tc>
        <w:tc>
          <w:tcPr>
            <w:tcW w:type="dxa" w:w="2880"/>
          </w:tcPr>
          <w:p>
            <w:r>
              <w:t>src/main/kotlin/com/realworld/springmongo/security/JwtConfig.kt</w:t>
            </w:r>
          </w:p>
        </w:tc>
        <w:tc>
          <w:tcPr>
            <w:tcW w:type="dxa" w:w="2880"/>
          </w:tcPr>
          <w:p>
            <w:r>
              <w:t>userId: String, token: String</w:t>
            </w:r>
          </w:p>
        </w:tc>
      </w:tr>
      <w:tr>
        <w:tc>
          <w:tcPr>
            <w:tcW w:type="dxa" w:w="2880"/>
          </w:tcPr>
          <w:p>
            <w:r>
              <w:t>UserSession</w:t>
            </w:r>
          </w:p>
        </w:tc>
        <w:tc>
          <w:tcPr>
            <w:tcW w:type="dxa" w:w="2880"/>
          </w:tcPr>
          <w:p>
            <w:r>
              <w:t>src/main/kotlin/com/realworld/springmongo/user/UserSessionProvider.kt</w:t>
            </w:r>
          </w:p>
        </w:tc>
        <w:tc>
          <w:tcPr>
            <w:tcW w:type="dxa" w:w="2880"/>
          </w:tcPr>
          <w:p>
            <w:r>
              <w:t>user: User, token: String</w:t>
            </w:r>
          </w:p>
        </w:tc>
      </w:tr>
      <w:tr>
        <w:tc>
          <w:tcPr>
            <w:tcW w:type="dxa" w:w="2880"/>
          </w:tcPr>
          <w:p>
            <w:r>
              <w:t>ProfileView</w:t>
            </w:r>
          </w:p>
        </w:tc>
        <w:tc>
          <w:tcPr>
            <w:tcW w:type="dxa" w:w="2880"/>
          </w:tcPr>
          <w:p>
            <w:r>
              <w:t>src/main/kotlin/com/realworld/springmongo/user/dto/ProfileView.kt</w:t>
            </w:r>
          </w:p>
        </w:tc>
        <w:tc>
          <w:tcPr>
            <w:tcW w:type="dxa" w:w="2880"/>
          </w:tcPr>
          <w:p>
            <w:r>
              <w:t>username: String, bio: String?, image: String?, following: Boolean</w:t>
            </w:r>
          </w:p>
        </w:tc>
      </w:tr>
      <w:tr>
        <w:tc>
          <w:tcPr>
            <w:tcW w:type="dxa" w:w="2880"/>
          </w:tcPr>
          <w:p>
            <w:r>
              <w:t>UpdateUserRequest</w:t>
            </w:r>
          </w:p>
        </w:tc>
        <w:tc>
          <w:tcPr>
            <w:tcW w:type="dxa" w:w="2880"/>
          </w:tcPr>
          <w:p>
            <w:r>
              <w:t>src/main/kotlin/com/realworld/springmongo/user/dto/UpdateUserRequest.kt</w:t>
            </w:r>
          </w:p>
        </w:tc>
        <w:tc>
          <w:tcPr>
            <w:tcW w:type="dxa" w:w="2880"/>
          </w:tcPr>
          <w:p>
            <w:r>
              <w:t>image: String?, bio: String?</w:t>
            </w:r>
          </w:p>
        </w:tc>
      </w:tr>
      <w:tr>
        <w:tc>
          <w:tcPr>
            <w:tcW w:type="dxa" w:w="2880"/>
          </w:tcPr>
          <w:p>
            <w:r>
              <w:t>UserAuthenticationRequest</w:t>
            </w:r>
          </w:p>
        </w:tc>
        <w:tc>
          <w:tcPr>
            <w:tcW w:type="dxa" w:w="2880"/>
          </w:tcPr>
          <w:p>
            <w:r>
              <w:t>src/main/kotlin/com/realworld/springmongo/user/dto/UserAuthenticationRequest.kt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UserRegistrationRequest</w:t>
            </w:r>
          </w:p>
        </w:tc>
        <w:tc>
          <w:tcPr>
            <w:tcW w:type="dxa" w:w="2880"/>
          </w:tcPr>
          <w:p>
            <w:r>
              <w:t>src/main/kotlin/com/realworld/springmongo/user/dto/UserRegistrationRequest.kt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UserView</w:t>
            </w:r>
          </w:p>
        </w:tc>
        <w:tc>
          <w:tcPr>
            <w:tcW w:type="dxa" w:w="2880"/>
          </w:tcPr>
          <w:p>
            <w:r>
              <w:t>src/main/kotlin/com/realworld/springmongo/user/dto/UserView.kt</w:t>
            </w:r>
          </w:p>
        </w:tc>
        <w:tc>
          <w:tcPr>
            <w:tcW w:type="dxa" w:w="2880"/>
          </w:tcPr>
          <w:p>
            <w:r>
              <w:t>email: String, token: String, username: String, bio: String?, image: String?</w:t>
            </w:r>
          </w:p>
        </w:tc>
      </w:tr>
      <w:tr>
        <w:tc>
          <w:tcPr>
            <w:tcW w:type="dxa" w:w="2880"/>
          </w:tcPr>
          <w:p>
            <w:r>
              <w:t>TestDto</w:t>
            </w:r>
          </w:p>
        </w:tc>
        <w:tc>
          <w:tcPr>
            <w:tcW w:type="dxa" w:w="2880"/>
          </w:tcPr>
          <w:p>
            <w:r>
              <w:t>src/test/kotlin/com/realworld/springmongo/exceptions/ExceptionsTest.kt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rPr>
          <w:color w:val="1F2E4A"/>
        </w:rPr>
        <w:t>5.  Upstream Contract</w:t>
      </w:r>
    </w:p>
    <w:p>
      <w:r>
        <w:rPr>
          <w:b w:val="0"/>
          <w:i w:val="0"/>
        </w:rPr>
        <w:t>Consolidated view of external APIs the client currently integrates with. The modernized stack must honour these as a consumer; they are NOT the modernized service's own API surface.</w:t>
      </w:r>
    </w:p>
    <w:p>
      <w:pPr>
        <w:pStyle w:val="Heading2"/>
      </w:pPr>
      <w:r>
        <w:t>5.2  External endpoints (Retrofit surface)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One row per @GET/@POST/@PUT/@DELETE/@PATCH annotation found in Kotlin interface files. These are the exact calls the modernized stack must continue to make — parity here is externally-observable.</w:t>
      </w:r>
    </w:p>
    <w:p>
      <w:r>
        <w:rPr>
          <w:b w:val="0"/>
          <w:i w:val="0"/>
        </w:rPr>
        <w:t>Not populated — kotlin-comprehension skill pack did not run on this engagement. Re-run the analyst with skill_pack=kotlin_modernization to populate this section.</w:t>
      </w:r>
    </w:p>
    <w:p>
      <w:pPr>
        <w:pStyle w:val="Heading1"/>
      </w:pPr>
      <w:r>
        <w:rPr>
          <w:color w:val="1F2E4A"/>
        </w:rPr>
        <w:t>6.  Module Migration Scope</w:t>
      </w:r>
    </w:p>
    <w:p>
      <w:r>
        <w:rPr>
          <w:b w:val="0"/>
          <w:i w:val="0"/>
        </w:rPr>
        <w:t>Per-module scope for the in-place modernization. Every module stays on the Android client; this table shows which modules get which migration passes and in what order.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Migration 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Application and Configuration</w:t>
            </w:r>
          </w:p>
        </w:tc>
        <w:tc>
          <w:tcPr>
            <w:tcW w:type="dxa" w:w="2160"/>
          </w:tcPr>
          <w:p>
            <w:r>
              <w:t>Pending Discover run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Module scope requires kotlin-comprehension output. Re-run Discover against the repo to populate symbol kinds.</w:t>
            </w:r>
          </w:p>
        </w:tc>
      </w:tr>
      <w:tr>
        <w:tc>
          <w:tcPr>
            <w:tcW w:type="dxa" w:w="2160"/>
          </w:tcPr>
          <w:p>
            <w:r>
              <w:t>Controllers and API Surface</w:t>
            </w:r>
          </w:p>
        </w:tc>
        <w:tc>
          <w:tcPr>
            <w:tcW w:type="dxa" w:w="2160"/>
          </w:tcPr>
          <w:p>
            <w:r>
              <w:t>Pending Discover run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Module scope requires kotlin-comprehension output. Re-run Discover against the repo to populate symbol kinds.</w:t>
            </w:r>
          </w:p>
        </w:tc>
      </w:tr>
      <w:tr>
        <w:tc>
          <w:tcPr>
            <w:tcW w:type="dxa" w:w="2160"/>
          </w:tcPr>
          <w:p>
            <w:r>
              <w:t>Service Layer</w:t>
            </w:r>
          </w:p>
        </w:tc>
        <w:tc>
          <w:tcPr>
            <w:tcW w:type="dxa" w:w="2160"/>
          </w:tcPr>
          <w:p>
            <w:r>
              <w:t>Pending Discover run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Module scope requires kotlin-comprehension output. Re-run Discover against the repo to populate symbol kinds.</w:t>
            </w:r>
          </w:p>
        </w:tc>
      </w:tr>
      <w:tr>
        <w:tc>
          <w:tcPr>
            <w:tcW w:type="dxa" w:w="2160"/>
          </w:tcPr>
          <w:p>
            <w:r>
              <w:t>Repositories and Data Access</w:t>
            </w:r>
          </w:p>
        </w:tc>
        <w:tc>
          <w:tcPr>
            <w:tcW w:type="dxa" w:w="2160"/>
          </w:tcPr>
          <w:p>
            <w:r>
              <w:t>Pending Discover run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Module scope requires kotlin-comprehension output. Re-run Discover against the repo to populate symbol kinds.</w:t>
            </w:r>
          </w:p>
        </w:tc>
      </w:tr>
      <w:tr>
        <w:tc>
          <w:tcPr>
            <w:tcW w:type="dxa" w:w="2160"/>
          </w:tcPr>
          <w:p>
            <w:r>
              <w:t>Domain and Model Layer</w:t>
            </w:r>
          </w:p>
        </w:tc>
        <w:tc>
          <w:tcPr>
            <w:tcW w:type="dxa" w:w="2160"/>
          </w:tcPr>
          <w:p>
            <w:r>
              <w:t>Pending Discover run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Module scope requires kotlin-comprehension output. Re-run Discover against the repo to populate symbol kinds.</w:t>
            </w:r>
          </w:p>
        </w:tc>
      </w:tr>
      <w:tr>
        <w:tc>
          <w:tcPr>
            <w:tcW w:type="dxa" w:w="2160"/>
          </w:tcPr>
          <w:p>
            <w:r>
              <w:t>Shared Kotlin Support</w:t>
            </w:r>
          </w:p>
        </w:tc>
        <w:tc>
          <w:tcPr>
            <w:tcW w:type="dxa" w:w="2160"/>
          </w:tcPr>
          <w:p>
            <w:r>
              <w:t>Pending Discover run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Module scope requires kotlin-comprehension output. Re-run Discover against the repo to populate symbol kinds.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Pending Discover run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Module scope requires kotlin-comprehension output. Re-run Discover against the repo to populate symbol kinds.</w:t>
            </w:r>
          </w:p>
        </w:tc>
      </w:tr>
    </w:tbl>
    <w:p>
      <w:pPr>
        <w:pStyle w:val="Heading1"/>
      </w:pPr>
      <w:r>
        <w:rPr>
          <w:color w:val="1F2E4A"/>
        </w:rPr>
        <w:t>7.  Functional Requirements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Requirements are produced by the analyst agent from the legacy code + engagement context. Each FR is independently testable. IDs below are renumbered sequentially even if the analyst produced non-contiguous source IDs.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 / acceptance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User Authentication and Authorization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Implement user authentication and authorization in Go, ensuring compatibility with existing JWT-based security. — User login and registration endpoints function as expected.; JWT tokens are correctly generated and validated.; Access control is enforced based on user roles.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Article Management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Re-implement article management functionalities, including CRUD operations, in Go. — Users can create, read, update, and delete articles.; Article data is correctly persisted and retrieved.; API endpoints for articles match existing contracts.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Comment Management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Migrate comment management features to Go, maintaining current functionality. — Users can add, edit, and delete comments on articles.; Comments are correctly associated with articles.; API endpoints for comments are consistent with existing ones.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User Profile Management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Implement user profile management in Go, ensuring data integrity and consistency. — Users can view and update their profiles.; Profile data is securely stored and retrieved.; API contracts for user profiles remain unchanged.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Persistent Storage Integration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Update persistent storage solutions to be compatible with Go. — Data is correctly stored and retrieved using the new storage solution.; Migration scripts are provided for data transition.; Performance benchmarks meet or exceed current levels.</w:t>
            </w:r>
          </w:p>
        </w:tc>
      </w:tr>
    </w:tbl>
    <w:p>
      <w:pPr>
        <w:pStyle w:val="Heading1"/>
      </w:pPr>
      <w:r>
        <w:rPr>
          <w:color w:val="1F2E4A"/>
        </w:rPr>
        <w:t>8. 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NFR-001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Performance Optimization</w:t>
            </w:r>
          </w:p>
        </w:tc>
        <w:tc>
          <w:tcPr>
            <w:tcW w:type="dxa" w:w="1728"/>
          </w:tcPr>
          <w:p>
            <w:r>
              <w:t>Ensure the Go application performs at least as well as the Kotlin version under load.</w:t>
            </w:r>
          </w:p>
        </w:tc>
        <w:tc>
          <w:tcPr>
            <w:tcW w:type="dxa" w:w="1728"/>
          </w:tcPr>
          <w:p>
            <w:r>
              <w:t>Load test at 10× expected peak; measure p95/p99</w:t>
            </w:r>
          </w:p>
        </w:tc>
      </w:tr>
      <w:tr>
        <w:tc>
          <w:tcPr>
            <w:tcW w:type="dxa" w:w="1728"/>
          </w:tcPr>
          <w:p>
            <w:r>
              <w:t>NFR-002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Security Compliance</w:t>
            </w:r>
          </w:p>
        </w:tc>
        <w:tc>
          <w:tcPr>
            <w:tcW w:type="dxa" w:w="1728"/>
          </w:tcPr>
          <w:p>
            <w:r>
              <w:t>Ensure the Go application adheres to security best practices.</w:t>
            </w:r>
          </w:p>
        </w:tc>
        <w:tc>
          <w:tcPr>
            <w:tcW w:type="dxa" w:w="1728"/>
          </w:tcPr>
          <w:p>
            <w:r>
              <w:t>SAST + pre-prod pen test</w:t>
            </w:r>
          </w:p>
        </w:tc>
      </w:tr>
      <w:tr>
        <w:tc>
          <w:tcPr>
            <w:tcW w:type="dxa" w:w="1728"/>
          </w:tcPr>
          <w:p>
            <w:r>
              <w:t>NFR-003</w:t>
            </w:r>
          </w:p>
        </w:tc>
        <w:tc>
          <w:tcPr>
            <w:tcW w:type="dxa" w:w="1728"/>
          </w:tcPr>
          <w:p>
            <w:r>
              <w:t>scalability</w:t>
            </w:r>
          </w:p>
        </w:tc>
        <w:tc>
          <w:tcPr>
            <w:tcW w:type="dxa" w:w="1728"/>
          </w:tcPr>
          <w:p>
            <w:r>
              <w:t>Scalability</w:t>
            </w:r>
          </w:p>
        </w:tc>
        <w:tc>
          <w:tcPr>
            <w:tcW w:type="dxa" w:w="1728"/>
          </w:tcPr>
          <w:p>
            <w:r>
              <w:t>The application should scale to handle increased load without performance loss.</w:t>
            </w:r>
          </w:p>
        </w:tc>
        <w:tc>
          <w:tcPr>
            <w:tcW w:type="dxa" w:w="1728"/>
          </w:tcPr>
          <w:p>
            <w:r>
              <w:t>Scalability test with simulated user load</w:t>
            </w:r>
          </w:p>
        </w:tc>
      </w:tr>
      <w:tr>
        <w:tc>
          <w:tcPr>
            <w:tcW w:type="dxa" w:w="1728"/>
          </w:tcPr>
          <w:p>
            <w:r>
              <w:t>NFR-004</w:t>
            </w:r>
          </w:p>
        </w:tc>
        <w:tc>
          <w:tcPr>
            <w:tcW w:type="dxa" w:w="1728"/>
          </w:tcPr>
          <w:p>
            <w:r>
              <w:t>observability</w:t>
            </w:r>
          </w:p>
        </w:tc>
        <w:tc>
          <w:tcPr>
            <w:tcW w:type="dxa" w:w="1728"/>
          </w:tcPr>
          <w:p>
            <w:r>
              <w:t>Observability and Monitoring</w:t>
            </w:r>
          </w:p>
        </w:tc>
        <w:tc>
          <w:tcPr>
            <w:tcW w:type="dxa" w:w="1728"/>
          </w:tcPr>
          <w:p>
            <w:r>
              <w:t>Implement observability features to monitor application health and performance.</w:t>
            </w:r>
          </w:p>
        </w:tc>
        <w:tc>
          <w:tcPr>
            <w:tcW w:type="dxa" w:w="1728"/>
          </w:tcPr>
          <w:p>
            <w:r>
              <w:t>Monitoring setup review and log analysis</w:t>
            </w:r>
          </w:p>
        </w:tc>
      </w:tr>
      <w:tr>
        <w:tc>
          <w:tcPr>
            <w:tcW w:type="dxa" w:w="1728"/>
          </w:tcPr>
          <w:p>
            <w:r>
              <w:t>NFR-005</w:t>
            </w:r>
          </w:p>
        </w:tc>
        <w:tc>
          <w:tcPr>
            <w:tcW w:type="dxa" w:w="1728"/>
          </w:tcPr>
          <w:p>
            <w:r>
              <w:t>usability</w:t>
            </w:r>
          </w:p>
        </w:tc>
        <w:tc>
          <w:tcPr>
            <w:tcW w:type="dxa" w:w="1728"/>
          </w:tcPr>
          <w:p>
            <w:r>
              <w:t>Documentation Quality</w:t>
            </w:r>
          </w:p>
        </w:tc>
        <w:tc>
          <w:tcPr>
            <w:tcW w:type="dxa" w:w="1728"/>
          </w:tcPr>
          <w:p>
            <w:r>
              <w:t>Ensure all documentation is comprehensive and up-to-date.</w:t>
            </w:r>
          </w:p>
        </w:tc>
        <w:tc>
          <w:tcPr>
            <w:tcW w:type="dxa" w:w="1728"/>
          </w:tcPr>
          <w:p>
            <w:r>
              <w:t>Documentation audit and stakeholder review</w:t>
            </w:r>
          </w:p>
        </w:tc>
      </w:tr>
    </w:tbl>
    <w:p>
      <w:pPr>
        <w:pStyle w:val="Heading1"/>
      </w:pPr>
      <w:r>
        <w:rPr>
          <w:color w:val="1F2E4A"/>
        </w:rPr>
        <w:t>9.  Migration Plan</w:t>
      </w:r>
    </w:p>
    <w:p>
      <w:r>
        <w:rPr>
          <w:b w:val="0"/>
          <w:i w:val="0"/>
        </w:rPr>
        <w:t>Three-phase in-place modernization. Each phase is independently deployable and reversible via feature flags or module-level PR revert.</w:t>
      </w:r>
    </w:p>
    <w:p>
      <w:pPr>
        <w:pStyle w:val="Heading2"/>
      </w:pPr>
      <w:r>
        <w:t>Phase A  —  Baseline + equivalence harness</w:t>
      </w:r>
    </w:p>
    <w:p>
      <w:r>
        <w:rPr>
          <w:b w:val="0"/>
          <w:i w:val="0"/>
        </w:rPr>
        <w:t>Capture golden flows through the existing Fragment + LiveData stack. Build regression fixtures for the top user journeys (login, dashboard, account detail, payee management). Establish Compose preview + screenshot-test infrastructure. Exit criterion: baseline signal collected for one calendar week with zero gaps.</w:t>
      </w:r>
    </w:p>
    <w:p>
      <w:pPr>
        <w:pStyle w:val="Heading2"/>
      </w:pPr>
      <w:r>
        <w:t>Phase B  —  Incremental migration + dependency replacement</w:t>
      </w:r>
    </w:p>
    <w:p>
      <w:r>
        <w:rPr>
          <w:b w:val="0"/>
          <w:i w:val="0"/>
        </w:rPr>
        <w:t>Migrate modules in dependency order: resources (shared theme) → network (DI wiring) → account (data layer) → payees → dashboard (highest risk, nested adapters) → app shell. Dependency replacements (Koin → Hilt, LiveData → StateFlow, Fragments → Compose) run in place, preserving module boundaries. Each migrated module is covered by equivalence tests against the baseline harness before merge.</w:t>
      </w:r>
    </w:p>
    <w:p>
      <w:pPr>
        <w:pStyle w:val="Heading2"/>
      </w:pPr>
      <w:r>
        <w:t>Phase C  —  Hardening + release evidence</w:t>
      </w:r>
    </w:p>
    <w:p>
      <w:r>
        <w:rPr>
          <w:b w:val="0"/>
          <w:i w:val="0"/>
        </w:rPr>
        <w:t>Finalize quality gates. Run the full regression suite against Compose + StateFlow modules. Delete XML layouts and ModuleX classes whose Hilt replacements are live. Publish the evidence pack. Exit criterion: zero XML `inflate` calls in production code over a 72-hour window.</w:t>
      </w:r>
    </w:p>
    <w:p>
      <w:pPr>
        <w:pStyle w:val="Heading1"/>
      </w:pPr>
      <w:r>
        <w:rPr>
          <w:color w:val="1F2E4A"/>
        </w:rPr>
        <w:t>10.  Issue Log — Open Questions, Risks, and Decisions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Risks are sourced from the analyst output; open questions from the ECA's known-unknowns + assumed-unknowns, supplemented by upgrade-pattern standard questions when the ECA is thin. Generator warnings flag pipeline-level concerns (e.g. single-approver BRDs) that the intake didn't capture. Owner, Target date, and Status are populated during delivery review.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W-001</w:t>
            </w:r>
          </w:p>
        </w:tc>
        <w:tc>
          <w:tcPr>
            <w:tcW w:type="dxa" w:w="1234"/>
          </w:tcPr>
          <w:p>
            <w:r>
              <w:t>Generator warning</w:t>
            </w:r>
          </w:p>
        </w:tc>
        <w:tc>
          <w:tcPr>
            <w:tcW w:type="dxa" w:w="1234"/>
          </w:tcPr>
          <w:p>
            <w:r>
              <w:t>Partial symbol coverage detected — the following modules have files in the inventory but no production symbols in symbol_index_v1: Application and Configuration, Controllers and API Surface, Domain and Model Layer, Repositories and Data Access, Service Layer, Shared Kotlin Support. §3 / §4 / §5.2 will undershoot for these modules. Re-run the analyst against the full repo (not a truncated digest) to complete coverage.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R-001</w:t>
            </w:r>
          </w:p>
        </w:tc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Potential data loss during migration to new storage solutions.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R-002</w:t>
            </w:r>
          </w:p>
        </w:tc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Security vulnerabilities during transition to new authentication mechanisms.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R-003</w:t>
            </w:r>
          </w:p>
        </w:tc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Lack of familiarity with Go among current development team.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Q-API-VERSION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What's the resolved Starling API version string (the $API_VERSION placeholder in Retrofit interfaces)?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Q-MIN-SDK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What's the minimum SDK floor during migration? Compose materials may require minSdk bumps.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Q-A11Y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What's the accessibility compliance target? WCAG 2.1 AA, or Android accessibility-scanner-clean only?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Q-COVERAGE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Minimum test coverage per module required before a Compose migration PR is accepted?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Q-DAGGER-REM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Target date for removing the Dagger 2.29 transitive dependency once Hilt adoption is complete?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Q-DEBUG-VARIANT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DI graph strategy for debug vs. release build variants — single Hilt graph or variant-specific modules?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Q-BALANCE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Balance module status — fully excluded from scope, or investigate whether source was deleted and should be recovered?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Q-DASHBOARD-SAFE</w:t>
            </w:r>
          </w:p>
        </w:tc>
        <w:tc>
          <w:tcPr>
            <w:tcW w:type="dxa" w:w="1234"/>
          </w:tcPr>
          <w:p>
            <w:r>
              <w:t>Open question (template)</w:t>
            </w:r>
          </w:p>
        </w:tc>
        <w:tc>
          <w:tcPr>
            <w:tcW w:type="dxa" w:w="1234"/>
          </w:tcPr>
          <w:p>
            <w:r>
              <w:t>DashboardFragment nested-adapter complexity — is a Compose LazyColumn redesign acceptable, or must visual parity with the legacy ExpandableListView be preserved?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Open</w:t>
            </w:r>
          </w:p>
        </w:tc>
      </w:tr>
    </w:tbl>
    <w:p>
      <w:pPr>
        <w:pStyle w:val="Heading1"/>
      </w:pPr>
      <w:r>
        <w:rPr>
          <w:color w:val="1F2E4A"/>
        </w:rPr>
        <w:t>11.  Review and Approval</w:t>
      </w:r>
    </w:p>
    <w:p>
      <w:r>
        <w:rPr>
          <w:b w:val="0"/>
          <w:i w:val="0"/>
        </w:rPr>
        <w:t>The following stakeholders review and approve this BRD before delivery execution begins. Phase A work may proceed after Technical Lead approval; Phase B cutover requires all listed approvals.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Business Sponsor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Technical Lead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Delivery Lead</w:t>
            </w:r>
          </w:p>
        </w:tc>
        <w:tc>
          <w:tcPr>
            <w:tcW w:type="dxa" w:w="1728"/>
          </w:tcPr>
          <w:p>
            <w:r>
              <w:t>secondary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