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Legacy Modernization Scope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Legacy Modernization Scope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FR-AUTO-001 — Implement Core Platform Capability workflow contract (P1)</w:t>
      </w:r>
    </w:p>
    <w:p>
      <w:pPr>
        <w:spacing w:after="80" w:before="80"/>
      </w:pPr>
      <w:r>
        <w:rPr>
          <w:sz w:val="22"/>
          <w:szCs w:val="22"/>
        </w:rPr>
        <w:t xml:space="preserve">Implement deterministic workflow behavior for Core Platform Capability with explicit input/output and error contracts.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FR-AUTO-002 — Extend Core Platform Capability workflow — phase 2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2).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FR-AUTO-003 — Extend Core Platform Capability workflow — phase 3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3).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FR-AUTO-004 — Extend Core Platform Capability workflow — phase 4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4).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FR-AUTO-005 — Extend Core Platform Capability workflow — phase 5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5).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Error paths are captured with actionable diagnostics.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NFR-AUTO-001: Metric is continuously measured in CI/CD or runtime dashboards.; NFR-AUTO-001: Threshold breach triggers alerting and remediation workflow.; NFR-AUTO-001: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NFR-AUTO-002: Metric is continuously measured in CI/CD or runtime dashboards.; NFR-AUTO-002: Threshold breach triggers alerting and remediation workflow.; NFR-AUTO-002: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parity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NFR-AUTO-003: Metric is continuously measured in CI/CD or runtime dashboards.; NFR-AUTO-003: Threshold breach triggers alerting and remediation workflow.; NFR-AUTO-003: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Operational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NFR-AUTO-004: Metric is continuously measured in CI/CD or runtime dashboards.; NFR-AUTO-004: Threshold breach triggers alerting and remediation workflow.; NFR-AUTO-004: Compliance evidence is retained for release review.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primary Analyst LLM response could not be parsed into valid JSON, so Synthetix compiled the requirements pack from 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the generated artifacts and rerun with a stricter output contract if additional narrative depth is required.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2026-05-12T20:52:51.126Z</dcterms:created>
  <dcterms:modified xsi:type="dcterms:W3CDTF">2026-05-12T20:52:51.126Z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