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MagicBox Code Modernization Workbook</w:t>
            </w:r>
          </w:p>
        </w:tc>
      </w:tr>
    </w:tbl>
    <w:p>
      <w:r>
        <w:rPr>
          <w:b/>
          <w:color w:val="1F6B75"/>
          <w:sz w:val="26"/>
        </w:rPr>
        <w:t>MagicBox Code Modernization</w:t>
      </w:r>
    </w:p>
    <w:p>
      <w:r>
        <w:rPr>
          <w:b w:val="0"/>
          <w:color w:val="111827"/>
          <w:sz w:val="20"/>
        </w:rPr>
        <w:t>Structured plan for modernizing MagicBox codebase through iteration waves.</w:t>
      </w:r>
    </w:p>
    <w:p>
      <w:r>
        <w:rPr>
          <w:b w:val="0"/>
          <w:color w:val="6B7280"/>
          <w:sz w:val="18"/>
        </w:rPr>
        <w:t>Run 20260512_145202_ba70ab28  ·  Generated 2026-05-12T14:52:59.951450+00:00  ·  Repo app</w:t>
      </w:r>
    </w:p>
    <w:p/>
    <w:p>
      <w:pPr>
        <w:pStyle w:val="Heading1"/>
      </w:pPr>
      <w:r>
        <w:t>Executive Snapshot</w:t>
      </w:r>
    </w:p>
    <w:p>
      <w:r>
        <w:rPr>
          <w:b w:val="0"/>
          <w:color w:val="6B7280"/>
          <w:sz w:val="18"/>
        </w:rPr>
        <w:t>Overview of the modernization strategy and current project status.</w:t>
      </w:r>
    </w:p>
    <w:p>
      <w:r>
        <w:rPr>
          <w:b/>
          <w:color w:val="2E75B6"/>
          <w:sz w:val="20"/>
        </w:rPr>
        <w:t xml:space="preserve">Objective: </w:t>
      </w:r>
      <w:r>
        <w:rPr>
          <w:b w:val="0"/>
          <w:color w:val="111827"/>
          <w:sz w:val="20"/>
        </w:rPr>
        <w:t>The objective is to create a structured delivery plan for modernizing the MagicBox codebase by organizing its modules into iteration waves.</w:t>
      </w:r>
    </w:p>
    <w:p>
      <w:r>
        <w:rPr>
          <w:b/>
          <w:color w:val="2E75B6"/>
          <w:sz w:val="20"/>
        </w:rPr>
        <w:t xml:space="preserve">Summary: </w:t>
      </w:r>
      <w:r>
        <w:rPr>
          <w:b w:val="0"/>
          <w:color w:val="111827"/>
          <w:sz w:val="20"/>
        </w:rPr>
        <w:t>Phased UI Migration recommended.</w:t>
      </w:r>
    </w:p>
    <w:p>
      <w:r>
        <w:rPr>
          <w:b w:val="0"/>
          <w:color w:val="111827"/>
          <w:sz w:val="20"/>
        </w:rPr>
        <w:t>The MagicBox Code Modernization project aims to systematically update the codebase by organizing its modules into iteration waves. This approach ensures a phased transition, minimizing disruptions and maintaining business continuity. The strategy involves a Phased UI Migration, starting with capturing baseline outputs, followed by incremental migration with dependency controls, and concluding with quality assurance and release evidence. The project's readiness score is currently zero, indicating a high-risk tier, necessitating careful planning and execution.</w:t>
      </w:r>
    </w:p>
    <w:p>
      <w:pPr>
        <w:pStyle w:val="ListParagraph"/>
      </w:pPr>
      <w:r>
        <w:rPr>
          <w:b w:val="0"/>
          <w:color w:val="111827"/>
          <w:sz w:val="18"/>
        </w:rPr>
        <w:t>- Objective: Modernize MagicBox codebase via structured iteration waves.</w:t>
      </w:r>
    </w:p>
    <w:p>
      <w:pPr>
        <w:pStyle w:val="ListParagraph"/>
      </w:pPr>
      <w:r>
        <w:rPr>
          <w:b w:val="0"/>
          <w:color w:val="111827"/>
          <w:sz w:val="18"/>
        </w:rPr>
        <w:t>- Strategy: Phased UI Migration ensures business continuity.</w:t>
      </w:r>
    </w:p>
    <w:p>
      <w:pPr>
        <w:pStyle w:val="ListParagraph"/>
      </w:pPr>
      <w:r>
        <w:rPr>
          <w:b w:val="0"/>
          <w:color w:val="111827"/>
          <w:sz w:val="18"/>
        </w:rPr>
        <w:t>- Current readiness score is zero, indicating high risk.</w:t>
      </w:r>
    </w:p>
    <w:p>
      <w:pPr>
        <w:pStyle w:val="ListParagraph"/>
      </w:pPr>
      <w:r>
        <w:rPr>
          <w:b w:val="0"/>
          <w:color w:val="111827"/>
          <w:sz w:val="18"/>
        </w:rPr>
        <w:t>- Project involves no current inventory of projects, forms, or dependencies.</w:t>
      </w:r>
    </w:p>
    <w:p>
      <w:pPr>
        <w:pStyle w:val="ListParagraph"/>
      </w:pPr>
      <w:r>
        <w:rPr>
          <w:b w:val="0"/>
          <w:color w:val="111827"/>
          <w:sz w:val="18"/>
        </w:rPr>
        <w:t>- Phases include baseline capture, migration, and quality hardening.</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n/a/100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high</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pPr>
        <w:ind w:left="115"/>
      </w:pPr>
      <w:r>
        <w:rPr>
          <w:b/>
          <w:color w:val="2E75B6"/>
          <w:sz w:val="18"/>
        </w:rPr>
        <w:t xml:space="preserve">Risk: </w:t>
      </w:r>
      <w:r>
        <w:rPr>
          <w:b w:val="0"/>
          <w:color w:val="111827"/>
          <w:sz w:val="18"/>
        </w:rPr>
        <w:t>High-risk tier due to zero readiness score.</w:t>
      </w:r>
    </w:p>
    <w:p>
      <w:pPr>
        <w:pStyle w:val="Heading2"/>
      </w:pPr>
      <w:r>
        <w:t>Recommended Modernization Strategy</w:t>
      </w:r>
    </w:p>
    <w:p>
      <w:r>
        <w:rPr>
          <w:b/>
          <w:color w:val="1F6B75"/>
          <w:sz w:val="20"/>
        </w:rPr>
        <w:t xml:space="preserve">Phased UI Migration: </w:t>
      </w:r>
      <w:r>
        <w:rPr>
          <w:b w:val="0"/>
          <w:color w:val="111827"/>
          <w:sz w:val="20"/>
        </w:rPr>
        <w:t>Allows gradual transition while maintaining business continuity.</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Backlog grounded in discovered behavior (4 derived item(s), threshold 3).</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pass=11, warn=5,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11</w:t>
            </w:r>
          </w:p>
        </w:tc>
        <w:tc>
          <w:tcPr>
            <w:tcW w:type="dxa" w:w="1680"/>
          </w:tcPr>
          <w:p>
            <w:r/>
            <w:r>
              <w:rPr>
                <w:b w:val="0"/>
                <w:color w:val="111827"/>
                <w:sz w:val="18"/>
              </w:rPr>
              <w:t>5</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pass=11, warn=5,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2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Unresolved form references detected: Sales &amp; CRM, Staffing &amp; Recruitment</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Details on dependencies and their impact on modernization phases.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involved in the migration process.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6"/>
              </w:rPr>
              <w:t>BR-001</w:t>
            </w:r>
          </w:p>
        </w:tc>
        <w:tc>
          <w:tcPr>
            <w:tcW w:type="dxa" w:w="1680"/>
          </w:tcPr>
          <w:p>
            <w:r/>
            <w:r>
              <w:rPr>
                <w:b w:val="0"/>
                <w:color w:val="111827"/>
                <w:sz w:val="16"/>
              </w:rPr>
              <w:t>Staffing &amp; Recruitment</w:t>
            </w:r>
          </w:p>
        </w:tc>
        <w:tc>
          <w:tcPr>
            <w:tcW w:type="dxa" w:w="1680"/>
          </w:tcPr>
          <w:p>
            <w:r/>
            <w:r>
              <w:rPr>
                <w:b w:val="0"/>
                <w:color w:val="111827"/>
                <w:sz w:val="16"/>
              </w:rPr>
              <w:t>Presentation</w:t>
            </w:r>
          </w:p>
        </w:tc>
        <w:tc>
          <w:tcPr>
            <w:tcW w:type="dxa" w:w="1680"/>
          </w:tcPr>
          <w:p>
            <w:r/>
            <w:r>
              <w:rPr>
                <w:b w:val="0"/>
                <w:color w:val="111827"/>
                <w:sz w:val="16"/>
              </w:rPr>
              <w:t>workflow_orchestration</w:t>
            </w:r>
          </w:p>
        </w:tc>
        <w:tc>
          <w:tcPr>
            <w:tcW w:type="dxa" w:w="1680"/>
          </w:tcPr>
          <w:p>
            <w:r/>
            <w:r>
              <w:rPr>
                <w:b w:val="0"/>
                <w:color w:val="111827"/>
                <w:sz w:val="16"/>
              </w:rPr>
              <w:t>Contractor placement must be approved by a co-approver before onboarding.</w:t>
            </w:r>
          </w:p>
        </w:tc>
        <w:tc>
          <w:tcPr>
            <w:tcW w:type="dxa" w:w="1680"/>
          </w:tcPr>
          <w:p>
            <w:r/>
            <w:r>
              <w:rPr>
                <w:b w:val="0"/>
                <w:color w:val="111827"/>
                <w:sz w:val="16"/>
              </w:rPr>
              <w:t>none</w:t>
            </w:r>
          </w:p>
        </w:tc>
      </w:tr>
      <w:tr>
        <w:tc>
          <w:tcPr>
            <w:tcW w:type="dxa" w:w="1680"/>
            <w:shd w:val="clear" w:color="auto" w:fill="F3F4F6"/>
          </w:tcPr>
          <w:p>
            <w:r/>
            <w:r>
              <w:rPr>
                <w:b w:val="0"/>
                <w:color w:val="111827"/>
                <w:sz w:val="16"/>
              </w:rPr>
              <w:t>BR-002</w:t>
            </w:r>
          </w:p>
        </w:tc>
        <w:tc>
          <w:tcPr>
            <w:tcW w:type="dxa" w:w="1680"/>
            <w:shd w:val="clear" w:color="auto" w:fill="F3F4F6"/>
          </w:tcPr>
          <w:p>
            <w:r/>
            <w:r>
              <w:rPr>
                <w:b w:val="0"/>
                <w:color w:val="111827"/>
                <w:sz w:val="16"/>
              </w:rPr>
              <w:t>Sales &amp; CRM</w:t>
            </w:r>
          </w:p>
        </w:tc>
        <w:tc>
          <w:tcPr>
            <w:tcW w:type="dxa" w:w="1680"/>
            <w:shd w:val="clear" w:color="auto" w:fill="F3F4F6"/>
          </w:tcPr>
          <w:p>
            <w:r/>
            <w:r>
              <w:rPr>
                <w:b w:val="0"/>
                <w:color w:val="111827"/>
                <w:sz w:val="16"/>
              </w:rPr>
              <w:t>Presentation</w:t>
            </w:r>
          </w:p>
        </w:tc>
        <w:tc>
          <w:tcPr>
            <w:tcW w:type="dxa" w:w="1680"/>
            <w:shd w:val="clear" w:color="auto" w:fill="F3F4F6"/>
          </w:tcPr>
          <w:p>
            <w:r/>
            <w:r>
              <w:rPr>
                <w:b w:val="0"/>
                <w:color w:val="111827"/>
                <w:sz w:val="16"/>
              </w:rPr>
              <w:t>input_validation</w:t>
            </w:r>
          </w:p>
        </w:tc>
        <w:tc>
          <w:tcPr>
            <w:tcW w:type="dxa" w:w="1680"/>
            <w:shd w:val="clear" w:color="auto" w:fill="F3F4F6"/>
          </w:tcPr>
          <w:p>
            <w:r/>
            <w:r>
              <w:rPr>
                <w:b w:val="0"/>
                <w:color w:val="111827"/>
                <w:sz w:val="16"/>
              </w:rPr>
              <w:t>Sales leads must have a valid email address.</w:t>
            </w:r>
          </w:p>
        </w:tc>
        <w:tc>
          <w:tcPr>
            <w:tcW w:type="dxa" w:w="1680"/>
            <w:shd w:val="clear" w:color="auto" w:fill="F3F4F6"/>
          </w:tcPr>
          <w:p>
            <w:r/>
            <w:r>
              <w:rPr>
                <w:b w:val="0"/>
                <w:color w:val="111827"/>
                <w:sz w:val="16"/>
              </w:rPr>
              <w:t>none</w:t>
            </w:r>
          </w:p>
        </w:tc>
      </w:tr>
    </w:tbl>
    <w:p>
      <w:r>
        <w:br w:type="page"/>
      </w:r>
    </w:p>
    <w:p>
      <w:pPr>
        <w:pStyle w:val="Heading1"/>
      </w:pPr>
      <w:r>
        <w:t>Section P - Form Flow Traces</w:t>
      </w:r>
    </w:p>
    <w:p>
      <w:r>
        <w:rPr>
          <w:b w:val="0"/>
          <w:color w:val="6B7280"/>
          <w:sz w:val="18"/>
        </w:rPr>
        <w:t>Analysis of golden flows and baseline outputs for migration.</w:t>
      </w:r>
    </w:p>
    <w:p>
      <w:r>
        <w:br w:type="page"/>
      </w:r>
    </w:p>
    <w:p>
      <w:pPr>
        <w:pStyle w:val="Heading1"/>
      </w:pPr>
      <w:r>
        <w:t>Section Q - Form Traceability Matrix</w:t>
      </w:r>
    </w:p>
    <w:p>
      <w:r>
        <w:rPr>
          <w:b w:val="0"/>
          <w:color w:val="6B7280"/>
          <w:sz w:val="18"/>
        </w:rPr>
        <w:t>Tracking of changes and dependencies throughout the project.</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iteration waves and their objectives.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Identification and management of risks associated with modernization.</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RISK-1</w:t>
            </w:r>
          </w:p>
        </w:tc>
        <w:tc>
          <w:tcPr>
            <w:tcW w:type="dxa" w:w="2520"/>
            <w:shd w:val="clear" w:color="auto" w:fill="FEE2E2"/>
          </w:tcPr>
          <w:p>
            <w:r/>
            <w:r>
              <w:rPr>
                <w:b w:val="0"/>
                <w:color w:val="111827"/>
                <w:sz w:val="16"/>
              </w:rPr>
              <w:t>HIGH</w:t>
            </w:r>
          </w:p>
        </w:tc>
        <w:tc>
          <w:tcPr>
            <w:tcW w:type="dxa" w:w="2520"/>
          </w:tcPr>
          <w:p>
            <w:r/>
            <w:r>
              <w:rPr>
                <w:b w:val="0"/>
                <w:color w:val="111827"/>
                <w:sz w:val="16"/>
              </w:rPr>
              <w:t>Potential data loss during migration.</w:t>
            </w:r>
          </w:p>
        </w:tc>
        <w:tc>
          <w:tcPr>
            <w:tcW w:type="dxa" w:w="2520"/>
          </w:tcPr>
          <w:p>
            <w:r/>
            <w:r>
              <w:rPr>
                <w:b w:val="0"/>
                <w:color w:val="111827"/>
                <w:sz w:val="16"/>
              </w:rPr>
              <w:t>Implement comprehensive data backup and verification processes.</w:t>
            </w:r>
          </w:p>
        </w:tc>
      </w:tr>
      <w:tr>
        <w:tc>
          <w:tcPr>
            <w:tcW w:type="dxa" w:w="2520"/>
            <w:shd w:val="clear" w:color="auto" w:fill="F3F4F6"/>
          </w:tcPr>
          <w:p>
            <w:r/>
            <w:r>
              <w:rPr>
                <w:b w:val="0"/>
                <w:color w:val="111827"/>
                <w:sz w:val="16"/>
              </w:rPr>
              <w:t>RISK-2</w:t>
            </w:r>
          </w:p>
        </w:tc>
        <w:tc>
          <w:tcPr>
            <w:tcW w:type="dxa" w:w="2520"/>
            <w:shd w:val="clear" w:color="auto" w:fill="F3F4F6"/>
            <w:shd w:val="clear" w:color="auto" w:fill="FEF3C7"/>
          </w:tcPr>
          <w:p>
            <w:r/>
            <w:r>
              <w:rPr>
                <w:b w:val="0"/>
                <w:color w:val="111827"/>
                <w:sz w:val="16"/>
              </w:rPr>
              <w:t>MEDIUM</w:t>
            </w:r>
          </w:p>
        </w:tc>
        <w:tc>
          <w:tcPr>
            <w:tcW w:type="dxa" w:w="2520"/>
            <w:shd w:val="clear" w:color="auto" w:fill="F3F4F6"/>
          </w:tcPr>
          <w:p>
            <w:r/>
            <w:r>
              <w:rPr>
                <w:b w:val="0"/>
                <w:color w:val="111827"/>
                <w:sz w:val="16"/>
              </w:rPr>
              <w:t>Integration issues with third-party services.</w:t>
            </w:r>
          </w:p>
        </w:tc>
        <w:tc>
          <w:tcPr>
            <w:tcW w:type="dxa" w:w="2520"/>
            <w:shd w:val="clear" w:color="auto" w:fill="F3F4F6"/>
          </w:tcPr>
          <w:p>
            <w:r/>
            <w:r>
              <w:rPr>
                <w:b w:val="0"/>
                <w:color w:val="111827"/>
                <w:sz w:val="16"/>
              </w:rPr>
              <w:t>Conduct thorough integration testing with all external services.</w:t>
            </w:r>
          </w:p>
        </w:tc>
      </w:tr>
      <w:tr>
        <w:tc>
          <w:tcPr>
            <w:tcW w:type="dxa" w:w="2520"/>
          </w:tcPr>
          <w:p>
            <w:r/>
            <w:r>
              <w:rPr>
                <w:b w:val="0"/>
                <w:color w:val="111827"/>
                <w:sz w:val="16"/>
              </w:rPr>
              <w:t>RISK-3</w:t>
            </w:r>
          </w:p>
        </w:tc>
        <w:tc>
          <w:tcPr>
            <w:tcW w:type="dxa" w:w="2520"/>
            <w:shd w:val="clear" w:color="auto" w:fill="FEF3C7"/>
          </w:tcPr>
          <w:p>
            <w:r/>
            <w:r>
              <w:rPr>
                <w:b w:val="0"/>
                <w:color w:val="111827"/>
                <w:sz w:val="16"/>
              </w:rPr>
              <w:t>MEDIUM</w:t>
            </w:r>
          </w:p>
        </w:tc>
        <w:tc>
          <w:tcPr>
            <w:tcW w:type="dxa" w:w="2520"/>
          </w:tcPr>
          <w:p>
            <w:r/>
            <w:r>
              <w:rPr>
                <w:b w:val="0"/>
                <w:color w:val="111827"/>
                <w:sz w:val="16"/>
              </w:rPr>
              <w:t>User resistance to interface changes.</w:t>
            </w:r>
          </w:p>
        </w:tc>
        <w:tc>
          <w:tcPr>
            <w:tcW w:type="dxa" w:w="2520"/>
          </w:tcPr>
          <w:p>
            <w:r/>
            <w:r>
              <w:rPr>
                <w:b w:val="0"/>
                <w:color w:val="111827"/>
                <w:sz w:val="16"/>
              </w:rPr>
              <w:t>Engage users early in the design process and incorporate feedback.</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artifact://legacy_inventory/1.0/art_legacy_inventory_8af493c3b83c4228</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artifact://repo_landscape/1.0/art_repo_landscape_e99f536015f0434d</w:t>
            </w:r>
          </w:p>
        </w:tc>
      </w:tr>
      <w:tr>
        <w:tc>
          <w:tcPr>
            <w:tcW w:type="dxa" w:w="5040"/>
          </w:tcPr>
          <w:p>
            <w:r/>
            <w:r>
              <w:rPr>
                <w:b w:val="0"/>
                <w:color w:val="111827"/>
                <w:sz w:val="16"/>
              </w:rPr>
              <w:t>scope_lock_ref</w:t>
            </w:r>
          </w:p>
        </w:tc>
        <w:tc>
          <w:tcPr>
            <w:tcW w:type="dxa" w:w="5040"/>
          </w:tcPr>
          <w:p>
            <w:r/>
            <w:r>
              <w:rPr>
                <w:b w:val="0"/>
                <w:color w:val="111827"/>
                <w:sz w:val="16"/>
              </w:rPr>
              <w:t>artifact://scope_lock/1.0/art_scope_lock_d7765550548d4d6b</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artifact://variant_inventory/1.0/art_variant_inventory_aa26dd9d8900404d</w:t>
            </w:r>
          </w:p>
        </w:tc>
      </w:tr>
      <w:tr>
        <w:tc>
          <w:tcPr>
            <w:tcW w:type="dxa" w:w="5040"/>
          </w:tcPr>
          <w:p>
            <w:r/>
            <w:r>
              <w:rPr>
                <w:b w:val="0"/>
                <w:color w:val="111827"/>
                <w:sz w:val="16"/>
              </w:rPr>
              <w:t>event_map_ref</w:t>
            </w:r>
          </w:p>
        </w:tc>
        <w:tc>
          <w:tcPr>
            <w:tcW w:type="dxa" w:w="5040"/>
          </w:tcPr>
          <w:p>
            <w:r/>
            <w:r>
              <w:rPr>
                <w:b w:val="0"/>
                <w:color w:val="111827"/>
                <w:sz w:val="16"/>
              </w:rPr>
              <w:t>artifact://event_map/1.0/art_event_map_f610704693c3416d</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artifact://sql_catalog/1.0/art_sql_catalog_151421af8c634501</w:t>
            </w:r>
          </w:p>
        </w:tc>
      </w:tr>
      <w:tr>
        <w:tc>
          <w:tcPr>
            <w:tcW w:type="dxa" w:w="5040"/>
          </w:tcPr>
          <w:p>
            <w:r/>
            <w:r>
              <w:rPr>
                <w:b w:val="0"/>
                <w:color w:val="111827"/>
                <w:sz w:val="16"/>
              </w:rPr>
              <w:t>sql_map_ref</w:t>
            </w:r>
          </w:p>
        </w:tc>
        <w:tc>
          <w:tcPr>
            <w:tcW w:type="dxa" w:w="5040"/>
          </w:tcPr>
          <w:p>
            <w:r/>
            <w:r>
              <w:rPr>
                <w:b w:val="0"/>
                <w:color w:val="111827"/>
                <w:sz w:val="16"/>
              </w:rPr>
              <w:t>artifact://sql_map/1.0/art_sql_map_bd9abadd96b148e3</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artifact://data_access_map/1.0/art_data_access_map_01a5e36e68ca416a</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artifact://recordset_ops/1.0/art_recordset_ops_c4bbf5dbf4a54e00</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artifact://procedure_summary/1.0/art_procedure_summary_98adfe20f73a443c</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artifact://form_dossier/1.0/art_form_dossier_146d7d79a8d14d4f</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artifact://dependency_inventory/1.0/art_dependency_inventory_ee0bcee3c7854af0</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artifact://dependency_inventory/1.0/art_dependency_inventory_ee0bcee3c7854af0</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artifact://business_rule_catalog/1.0/art_business_rule_catalog_2695af49dcce491c</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artifact://detector_findings/1.0/art_detector_findings_ae9d68f32c2844cb</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artifact://risk_register/1.0/art_risk_register_f994b16906794952</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artifact://orphan_analysis/1.0/art_orphan_analysis_dd7c091883874d8e</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artifact://delivery_constitution/1.0/art_delivery_constitution_c62aaba4ae8c4a32</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artifact://variant_diff_report/1.0/art_variant_diff_report_d8a00f2827f34c95</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artifact://reporting_model/1.0/art_reporting_model_8871cc760d144864</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artifact://identity_access_model/1.0/art_identity_access_model_64edc7a604004ea0</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artifact://discover_review_checklist/1.0/art_discover_review_checklist_4089001f5f6d447e</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artifact://artifact_index/1.0/art_artifact_index_e569b920e9b0440c</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runctx://runctx-03a2c96a884d4f26/kctx-6c852fcceab50a55</w:t>
            </w:r>
          </w:p>
        </w:tc>
      </w:tr>
      <w:tr>
        <w:tc>
          <w:tcPr>
            <w:tcW w:type="dxa" w:w="5040"/>
          </w:tcPr>
          <w:p>
            <w:r/>
            <w:r>
              <w:rPr>
                <w:b w:val="0"/>
                <w:color w:val="111827"/>
                <w:sz w:val="16"/>
              </w:rPr>
              <w:t>run_delivery_constitution_ref</w:t>
            </w:r>
          </w:p>
        </w:tc>
        <w:tc>
          <w:tcPr>
            <w:tcW w:type="dxa" w:w="5040"/>
          </w:tcPr>
          <w:p>
            <w:r/>
            <w:r>
              <w:rPr>
                <w:b w:val="0"/>
                <w:color w:val="111827"/>
                <w:sz w:val="16"/>
              </w:rPr>
              <w:t>runctx://runctx-03a2c96a884d4f26/delivery_constitution/const-e45c86ab20ab</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