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modernizing the MagicBox codebase with robust retry mechanisms.</w:t>
      </w:r>
    </w:p>
    <w:p>
      <w:r>
        <w:rPr>
          <w:b w:val="0"/>
          <w:color w:val="6B7280"/>
          <w:sz w:val="18"/>
        </w:rPr>
        <w:t>Run 20260513_151516_314ceb0f  ·  Generated 2026-05-13T15:16:01.492092+00:00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objectives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codebase, ensuring that retry mechanisms are reliable and robust, particularly in the context of 'doctor on retry' scenarios.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Modernization project aims to update the existing codebase to ensure reliable retry mechanisms, focusing on 'doctor on retry' scenarios. With a high-risk tier and a readiness score of zero, the project employs a Phased UI Migration strategy. This approach allows for a gradual transition, maintaining existing functionality while migrating forms and modules. The strategy includes capturing baseline outputs, managing dependency risks, and finalizing quality gates to ensure a successful modernization.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codebase with robust retry mechanisms.</w:t>
      </w:r>
    </w:p>
    <w:p>
      <w:pPr>
        <w:pStyle w:val="ListParagraph"/>
      </w:pPr>
      <w:r>
        <w:rPr>
          <w:b w:val="0"/>
          <w:color w:val="111827"/>
          <w:sz w:val="18"/>
        </w:rPr>
        <w:t>- Strategy: Phased UI Migration for gradual transition.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readiness score of zero.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 capture, incremental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Focus: 'Doctor on retry' scenarios for reliability.</w:t>
      </w:r>
    </w:p>
    <w:p>
      <w:pPr>
        <w:pStyle w:val="ListParagraph"/>
      </w:pPr>
      <w:r>
        <w:rPr>
          <w:b w:val="0"/>
          <w:color w:val="111827"/>
          <w:sz w:val="18"/>
        </w:rPr>
        <w:t>- Outcome: Maintain functionality while modernizing.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requires careful management.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Allows gradual transition while maintaining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Placement approval process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manage risks during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for migration readiness.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approval process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 coapprover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for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throughout the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Plan and execute sprints aligned with migration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 and mitigate risks associated with high-risk tier.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Retry logic may introduce performance bottlenecks.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performance testing and optimize retry logic.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Inadequate error handling could lead to data inconsistencies.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Implement comprehensive error handling and logging.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artifact://legacy_inventory/1.0/art_legacy_inventory_62ef827d11a54bdb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artifact://repo_landscape/1.0/art_repo_landscape_796064967b9743c8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artifact://scope_lock/1.0/art_scope_lock_70d99b4bc8dd421c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artifact://variant_inventory/1.0/art_variant_inventory_2684bbaf891e452d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artifact://event_map/1.0/art_event_map_de5cfd42667e48f7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artifact://sql_catalog/1.0/art_sql_catalog_cd7938bf069340d4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artifact://sql_map/1.0/art_sql_map_fd4e685ebba041ff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artifact://data_access_map/1.0/art_data_access_map_d7dbabc087e44593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artifact://recordset_ops/1.0/art_recordset_ops_075222c6e39347e4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artifact://procedure_summary/1.0/art_procedure_summary_f9393fa40b254802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artifact://form_dossier/1.0/art_form_dossier_c6c98d577531424b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artifact://dependency_inventory/1.0/art_dependency_inventory_b4d63afa64654ccd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artifact://dependency_inventory/1.0/art_dependency_inventory_b4d63afa64654ccd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artifact://business_rule_catalog/1.0/art_business_rule_catalog_b4b33a6a43d44aad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artifact://detector_findings/1.0/art_detector_findings_e922ac7e96d44634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artifact://risk_register/1.0/art_risk_register_61e64035f34e4621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artifact://orphan_analysis/1.0/art_orphan_analysis_4a538893fb9946e2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artifact://delivery_constitution/1.0/art_delivery_constitution_bf9669bcc8fa42f1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artifact://variant_diff_report/1.0/art_variant_diff_report_95841d6e7b744c87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artifact://reporting_model/1.0/art_reporting_model_2994e7043db94728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artifact://identity_access_model/1.0/art_identity_access_model_faf9309d0f3944ee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artifact://discover_review_checklist/1.0/art_discover_review_checklist_8d6d013d9498435e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artifact://artifact_index/1.0/art_artifact_index_c1440774ecfd4297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runctx://runctx-ae45755e567e4a73/kctx-9902e42d32f8c0bb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runctx://runctx-ae45755e567e4a73/delivery_constitution/const-7cb177186230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