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Capability BRD</w:t>
      </w:r>
    </w:p>
    <w:p>
      <w:r>
        <w:rPr>
          <w:i/>
        </w:rPr>
        <w:t>Engagement: 20260421_102545_5685bd5b · Repo: https://github.com/vishakjai/TestVB6Project1 · Artifact: art_capbrd_e290de46e800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'BANK' has no production symbols in symbol_index_v1.; W-002 partial coverage: module 'Unassigned UI'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r>
        <w:rPr>
          <w:b w:val="0"/>
          <w:i w:val="0"/>
        </w:rPr>
        <w:t>This document catalogues the present capabilities of https://github.com/vishakjai/TestVB6Project1. It answers the question 'what does the system do today' and is the parity contract every migration FR with "preserve existing" in its acceptance criteria must cite.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3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p>
      <w:r>
        <w:rPr>
          <w:b w:val="0"/>
          <w:i/>
        </w:rPr>
        <w:t>(no Gradle dependency inventory captured)</w:t>
      </w:r>
    </w:p>
    <w:p>
      <w:pPr>
        <w:pStyle w:val="Heading1"/>
      </w:pPr>
      <w:r>
        <w:rPr>
          <w:color w:val="1F2E4A"/>
        </w:rPr>
        <w:t>4.1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BANK</w:t>
            </w:r>
          </w:p>
        </w:tc>
        <w:tc>
          <w:tcPr>
            <w:tcW w:type="dxa" w:w="2160"/>
          </w:tcPr>
          <w:p>
            <w:r>
              <w:t>vb6_project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Unassigned UI</w:t>
            </w:r>
          </w:p>
        </w:tc>
        <w:tc>
          <w:tcPr>
            <w:tcW w:type="dxa" w:w="2160"/>
          </w:tcPr>
          <w:p>
            <w:r>
              <w:t>ui_unassigned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BANK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Unassigned UI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