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contractor placements and related workflows.</w:t>
      </w:r>
    </w:p>
    <w:p>
      <w:r>
        <w:rPr>
          <w:b w:val="0"/>
          <w:i w:val="0"/>
          <w:color w:val="111111"/>
          <w:sz w:val="20"/>
        </w:rPr>
        <w:t>Phase 4+5+cost-cuts on Contractor (cheap models locked, no code edits in flight).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contractor placements and related workflows.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39a18fb51c1b5daf7d9af3f2aa2758438312dca450b75ea0e0fa5a563dcae7cf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3c3b86a9e1cf2d0fd31dc72b32277d21c01e8676ed835d3806d9de60ab77c0fd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