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Modernization Workbook</w:t>
            </w:r>
          </w:p>
        </w:tc>
      </w:tr>
    </w:tbl>
    <w:p>
      <w:r>
        <w:rPr>
          <w:b/>
          <w:color w:val="1F6B75"/>
          <w:sz w:val="26"/>
        </w:rPr>
        <w:t>MagicBox Modernization</w:t>
      </w:r>
    </w:p>
    <w:p>
      <w:r>
        <w:rPr>
          <w:b w:val="0"/>
          <w:color w:val="111827"/>
          <w:sz w:val="20"/>
        </w:rPr>
        <w:t>A comprehensive guide to modernizing the MagicBox codebase with a focus on UI and PHP analysis.</w:t>
      </w:r>
    </w:p>
    <w:p>
      <w:r>
        <w:rPr>
          <w:b w:val="0"/>
          <w:color w:val="6B7280"/>
          <w:sz w:val="18"/>
        </w:rPr>
        <w:t>Run 20260512_173910_277c6650  ·  Generated 2026-05-12T17:39:50.363258+00:00  ·  Repo app</w:t>
      </w:r>
    </w:p>
    <w:p/>
    <w:p>
      <w:pPr>
        <w:pStyle w:val="Heading1"/>
      </w:pPr>
      <w:r>
        <w:t>Executive Snapshot</w:t>
      </w:r>
    </w:p>
    <w:p>
      <w:r>
        <w:rPr>
          <w:b w:val="0"/>
          <w:color w:val="6B7280"/>
          <w:sz w:val="18"/>
        </w:rPr>
        <w:t>Overview of the modernization project objectives and current status.</w:t>
      </w:r>
    </w:p>
    <w:p>
      <w:r>
        <w:rPr>
          <w:b/>
          <w:color w:val="2E75B6"/>
          <w:sz w:val="20"/>
        </w:rPr>
        <w:t xml:space="preserve">Objective: </w:t>
      </w:r>
      <w:r>
        <w:rPr>
          <w:b w:val="0"/>
          <w:color w:val="111827"/>
          <w:sz w:val="20"/>
        </w:rPr>
        <w:t>The objective is to modernize the codebase by verifying UI modes, analyzing PHP code, and ensuring the UI scaffold contracts are correctly implemented. The goal is to clear Stage 4 with screen-driven specifications.</w:t>
      </w:r>
    </w:p>
    <w:p>
      <w:r>
        <w:rPr>
          <w:b/>
          <w:color w:val="2E75B6"/>
          <w:sz w:val="20"/>
        </w:rPr>
        <w:t xml:space="preserve">Summary: </w:t>
      </w:r>
      <w:r>
        <w:rPr>
          <w:b w:val="0"/>
          <w:color w:val="111827"/>
          <w:sz w:val="20"/>
        </w:rPr>
        <w:t>Phased UI Migration recommended.</w:t>
      </w:r>
    </w:p>
    <w:p>
      <w:r>
        <w:rPr>
          <w:b w:val="0"/>
          <w:color w:val="111827"/>
          <w:sz w:val="20"/>
        </w:rPr>
        <w:t>The MagicBox Modernization project aims to update the existing codebase by verifying UI modes, analyzing PHP code, and ensuring proper implementation of UI scaffold contracts. This initiative is crucial for clearing Stage 4 with screen-driven specifications. The strategy involves a phased UI migration to modern frameworks, minimizing disruption while ensuring quality and compliance. The project is currently in a high-risk tier with a readiness score of zero, indicating the need for careful planning and execution.</w:t>
      </w:r>
    </w:p>
    <w:p>
      <w:pPr>
        <w:pStyle w:val="ListParagraph"/>
      </w:pPr>
      <w:r>
        <w:rPr>
          <w:b w:val="0"/>
          <w:color w:val="111827"/>
          <w:sz w:val="18"/>
        </w:rPr>
        <w:t>- Objective: Modernize codebase with UI and PHP focus.</w:t>
      </w:r>
    </w:p>
    <w:p>
      <w:pPr>
        <w:pStyle w:val="ListParagraph"/>
      </w:pPr>
      <w:r>
        <w:rPr>
          <w:b w:val="0"/>
          <w:color w:val="111827"/>
          <w:sz w:val="18"/>
        </w:rPr>
        <w:t>- Strategy: Phased UI Migration to minimize disruption.</w:t>
      </w:r>
    </w:p>
    <w:p>
      <w:pPr>
        <w:pStyle w:val="ListParagraph"/>
      </w:pPr>
      <w:r>
        <w:rPr>
          <w:b w:val="0"/>
          <w:color w:val="111827"/>
          <w:sz w:val="18"/>
        </w:rPr>
        <w:t>- Current readiness score is zero; risk tier is high.</w:t>
      </w:r>
    </w:p>
    <w:p>
      <w:pPr>
        <w:pStyle w:val="ListParagraph"/>
      </w:pPr>
      <w:r>
        <w:rPr>
          <w:b w:val="0"/>
          <w:color w:val="111827"/>
          <w:sz w:val="18"/>
        </w:rPr>
        <w:t>- No current inventory of projects, forms, or dependencies.</w:t>
      </w:r>
    </w:p>
    <w:p>
      <w:pPr>
        <w:pStyle w:val="ListParagraph"/>
      </w:pPr>
      <w:r>
        <w:rPr>
          <w:b w:val="0"/>
          <w:color w:val="111827"/>
          <w:sz w:val="18"/>
        </w:rPr>
        <w:t>- Goal: Clear Stage 4 with screen-driven specifications.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Alert: </w:t>
      </w:r>
      <w:r>
        <w:rPr>
          <w:b w:val="0"/>
          <w:color w:val="111827"/>
          <w:sz w:val="18"/>
        </w:rPr>
        <w:t>High risk tier requires immediate attention.</w:t>
      </w:r>
    </w:p>
    <w:p>
      <w:pPr>
        <w:pStyle w:val="Heading2"/>
      </w:pPr>
      <w:r>
        <w:t>Recommended Modernization Strategy</w:t>
      </w:r>
    </w:p>
    <w:p>
      <w:r>
        <w:rPr>
          <w:b/>
          <w:color w:val="1F6B75"/>
          <w:sz w:val="20"/>
        </w:rPr>
        <w:t xml:space="preserve">Phased UI Migration: </w:t>
      </w:r>
      <w:r>
        <w:rPr>
          <w:b w:val="0"/>
          <w:color w:val="111827"/>
          <w:sz w:val="20"/>
        </w:rPr>
        <w:t>Gradual migration to modern UI frameworks to minimize disruption.</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(7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2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Staffing &amp; Recruitment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Analysis of current dependencies and their impact on modernization.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examination of forms to be migrated and their current state.</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Staffing &amp; Recruitment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Placement requests must be approved by a co-approver before onboarding.</w:t>
            </w:r>
          </w:p>
        </w:tc>
        <w:tc>
          <w:tcPr>
            <w:tcW w:type="dxa" w:w="1680"/>
          </w:tcPr>
          <w:p>
            <w:r/>
            <w:r>
              <w:rPr>
                <w:b w:val="0"/>
                <w:color w:val="111827"/>
                <w:sz w:val="16"/>
              </w:rPr>
              <w:t>none</w:t>
            </w:r>
          </w:p>
        </w:tc>
      </w:tr>
      <w:tr>
        <w:tc>
          <w:tcPr>
            <w:tcW w:type="dxa" w:w="1680"/>
            <w:shd w:val="clear" w:color="auto" w:fill="F3F4F6"/>
          </w:tcPr>
          <w:p>
            <w:r/>
            <w:r>
              <w:rPr>
                <w:b w:val="0"/>
                <w:color w:val="111827"/>
                <w:sz w:val="16"/>
              </w:rPr>
              <w:t>BR-002</w:t>
            </w:r>
          </w:p>
        </w:tc>
        <w:tc>
          <w:tcPr>
            <w:tcW w:type="dxa" w:w="1680"/>
            <w:shd w:val="clear" w:color="auto" w:fill="F3F4F6"/>
          </w:tcPr>
          <w:p>
            <w:r/>
            <w:r>
              <w:rPr>
                <w:b w:val="0"/>
                <w:color w:val="111827"/>
                <w:sz w:val="16"/>
              </w:rPr>
              <w:t>Staffing &amp; Recruitment</w:t>
            </w:r>
          </w:p>
        </w:tc>
        <w:tc>
          <w:tcPr>
            <w:tcW w:type="dxa" w:w="1680"/>
            <w:shd w:val="clear" w:color="auto" w:fill="F3F4F6"/>
          </w:tcPr>
          <w:p>
            <w:r/>
            <w:r>
              <w:rPr>
                <w:b w:val="0"/>
                <w:color w:val="111827"/>
                <w:sz w:val="16"/>
              </w:rPr>
              <w:t>Presentation</w:t>
            </w:r>
          </w:p>
        </w:tc>
        <w:tc>
          <w:tcPr>
            <w:tcW w:type="dxa" w:w="1680"/>
            <w:shd w:val="clear" w:color="auto" w:fill="F3F4F6"/>
          </w:tcPr>
          <w:p>
            <w:r/>
            <w:r>
              <w:rPr>
                <w:b w:val="0"/>
                <w:color w:val="111827"/>
                <w:sz w:val="16"/>
              </w:rPr>
              <w:t>input_validation</w:t>
            </w:r>
          </w:p>
        </w:tc>
        <w:tc>
          <w:tcPr>
            <w:tcW w:type="dxa" w:w="1680"/>
            <w:shd w:val="clear" w:color="auto" w:fill="F3F4F6"/>
          </w:tcPr>
          <w:p>
            <w:r/>
            <w:r>
              <w:rPr>
                <w:b w:val="0"/>
                <w:color w:val="111827"/>
                <w:sz w:val="16"/>
              </w:rPr>
              <w:t>All candidate entries must include a valid email address.</w:t>
            </w:r>
          </w:p>
        </w:tc>
        <w:tc>
          <w:tcPr>
            <w:tcW w:type="dxa" w:w="1680"/>
            <w:shd w:val="clear" w:color="auto" w:fill="F3F4F6"/>
          </w:tcPr>
          <w:p>
            <w:r/>
            <w:r>
              <w:rPr>
                <w:b w:val="0"/>
                <w:color w:val="111827"/>
                <w:sz w:val="16"/>
              </w:rPr>
              <w:t>none</w:t>
            </w:r>
          </w:p>
        </w:tc>
      </w:tr>
    </w:tbl>
    <w:p>
      <w:r>
        <w:br w:type="page"/>
      </w:r>
    </w:p>
    <w:p>
      <w:pPr>
        <w:pStyle w:val="Heading1"/>
      </w:pPr>
      <w:r>
        <w:t>Section P - Form Flow Traces</w:t>
      </w:r>
    </w:p>
    <w:p>
      <w:r>
        <w:rPr>
          <w:b w:val="0"/>
          <w:color w:val="6B7280"/>
          <w:sz w:val="18"/>
        </w:rPr>
        <w:t>Capture and analysis of golden flows and baseline outputs.</w:t>
      </w:r>
    </w:p>
    <w:p>
      <w:r>
        <w:br w:type="page"/>
      </w:r>
    </w:p>
    <w:p>
      <w:pPr>
        <w:pStyle w:val="Heading1"/>
      </w:pPr>
      <w:r>
        <w:t>Section Q - Form Traceability Matrix</w:t>
      </w:r>
    </w:p>
    <w:p>
      <w:r>
        <w:rPr>
          <w:b w:val="0"/>
          <w:color w:val="6B7280"/>
          <w:sz w:val="18"/>
        </w:rPr>
        <w:t>Ensuring traceability of changes and their alignment with objectives.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 plans for phased migration and dependency replacement.</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Identification and management of risks associated with the modernization process.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F3C7"/>
          </w:tcPr>
          <w:p>
            <w:r/>
            <w:r>
              <w:rPr>
                <w:b w:val="0"/>
                <w:color w:val="111827"/>
                <w:sz w:val="16"/>
              </w:rPr>
              <w:t>MEDIUM</w:t>
            </w:r>
          </w:p>
        </w:tc>
        <w:tc>
          <w:tcPr>
            <w:tcW w:type="dxa" w:w="2520"/>
          </w:tcPr>
          <w:p>
            <w:r/>
            <w:r>
              <w:rPr>
                <w:b w:val="0"/>
                <w:color w:val="111827"/>
                <w:sz w:val="16"/>
              </w:rPr>
              <w:t>Potential disruption during UI migration.</w:t>
            </w:r>
          </w:p>
        </w:tc>
        <w:tc>
          <w:tcPr>
            <w:tcW w:type="dxa" w:w="2520"/>
          </w:tcPr>
          <w:p>
            <w:r/>
            <w:r>
              <w:rPr>
                <w:b w:val="0"/>
                <w:color w:val="111827"/>
                <w:sz w:val="16"/>
              </w:rPr>
              <w:t>Plan phased migration with rollback options.</w:t>
            </w:r>
          </w:p>
        </w:tc>
      </w:tr>
      <w:tr>
        <w:tc>
          <w:tcPr>
            <w:tcW w:type="dxa" w:w="2520"/>
            <w:shd w:val="clear" w:color="auto" w:fill="F3F4F6"/>
          </w:tcPr>
          <w:p>
            <w:r/>
            <w:r>
              <w:rPr>
                <w:b w:val="0"/>
                <w:color w:val="111827"/>
                <w:sz w:val="16"/>
              </w:rPr>
              <w:t>RISK-2</w:t>
            </w:r>
          </w:p>
        </w:tc>
        <w:tc>
          <w:tcPr>
            <w:tcW w:type="dxa" w:w="2520"/>
            <w:shd w:val="clear" w:color="auto" w:fill="F3F4F6"/>
            <w:shd w:val="clear" w:color="auto" w:fill="FEE2E2"/>
          </w:tcPr>
          <w:p>
            <w:r/>
            <w:r>
              <w:rPr>
                <w:b w:val="0"/>
                <w:color w:val="111827"/>
                <w:sz w:val="16"/>
              </w:rPr>
              <w:t>HIGH</w:t>
            </w:r>
          </w:p>
        </w:tc>
        <w:tc>
          <w:tcPr>
            <w:tcW w:type="dxa" w:w="2520"/>
            <w:shd w:val="clear" w:color="auto" w:fill="F3F4F6"/>
          </w:tcPr>
          <w:p>
            <w:r/>
            <w:r>
              <w:rPr>
                <w:b w:val="0"/>
                <w:color w:val="111827"/>
                <w:sz w:val="16"/>
              </w:rPr>
              <w:t>Security vulnerabilities in legacy PHP code.</w:t>
            </w:r>
          </w:p>
        </w:tc>
        <w:tc>
          <w:tcPr>
            <w:tcW w:type="dxa" w:w="2520"/>
            <w:shd w:val="clear" w:color="auto" w:fill="F3F4F6"/>
          </w:tcPr>
          <w:p>
            <w:r/>
            <w:r>
              <w:rPr>
                <w:b w:val="0"/>
                <w:color w:val="111827"/>
                <w:sz w:val="16"/>
              </w:rPr>
              <w:t>Conduct thorough security testing and apply patches.</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artifact://legacy_inventory/1.0/art_legacy_inventory_12773be00daa4482</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artifact://repo_landscape/1.0/art_repo_landscape_1571e99b9d9b4a65</w:t>
            </w:r>
          </w:p>
        </w:tc>
      </w:tr>
      <w:tr>
        <w:tc>
          <w:tcPr>
            <w:tcW w:type="dxa" w:w="5040"/>
          </w:tcPr>
          <w:p>
            <w:r/>
            <w:r>
              <w:rPr>
                <w:b w:val="0"/>
                <w:color w:val="111827"/>
                <w:sz w:val="16"/>
              </w:rPr>
              <w:t>scope_lock_ref</w:t>
            </w:r>
          </w:p>
        </w:tc>
        <w:tc>
          <w:tcPr>
            <w:tcW w:type="dxa" w:w="5040"/>
          </w:tcPr>
          <w:p>
            <w:r/>
            <w:r>
              <w:rPr>
                <w:b w:val="0"/>
                <w:color w:val="111827"/>
                <w:sz w:val="16"/>
              </w:rPr>
              <w:t>artifact://scope_lock/1.0/art_scope_lock_350fb9c61a5d4991</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artifact://variant_inventory/1.0/art_variant_inventory_9562ae7b1aef4fb8</w:t>
            </w:r>
          </w:p>
        </w:tc>
      </w:tr>
      <w:tr>
        <w:tc>
          <w:tcPr>
            <w:tcW w:type="dxa" w:w="5040"/>
          </w:tcPr>
          <w:p>
            <w:r/>
            <w:r>
              <w:rPr>
                <w:b w:val="0"/>
                <w:color w:val="111827"/>
                <w:sz w:val="16"/>
              </w:rPr>
              <w:t>event_map_ref</w:t>
            </w:r>
          </w:p>
        </w:tc>
        <w:tc>
          <w:tcPr>
            <w:tcW w:type="dxa" w:w="5040"/>
          </w:tcPr>
          <w:p>
            <w:r/>
            <w:r>
              <w:rPr>
                <w:b w:val="0"/>
                <w:color w:val="111827"/>
                <w:sz w:val="16"/>
              </w:rPr>
              <w:t>artifact://event_map/1.0/art_event_map_20517f7a880a4230</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artifact://sql_catalog/1.0/art_sql_catalog_1e5b0d307981428e</w:t>
            </w:r>
          </w:p>
        </w:tc>
      </w:tr>
      <w:tr>
        <w:tc>
          <w:tcPr>
            <w:tcW w:type="dxa" w:w="5040"/>
          </w:tcPr>
          <w:p>
            <w:r/>
            <w:r>
              <w:rPr>
                <w:b w:val="0"/>
                <w:color w:val="111827"/>
                <w:sz w:val="16"/>
              </w:rPr>
              <w:t>sql_map_ref</w:t>
            </w:r>
          </w:p>
        </w:tc>
        <w:tc>
          <w:tcPr>
            <w:tcW w:type="dxa" w:w="5040"/>
          </w:tcPr>
          <w:p>
            <w:r/>
            <w:r>
              <w:rPr>
                <w:b w:val="0"/>
                <w:color w:val="111827"/>
                <w:sz w:val="16"/>
              </w:rPr>
              <w:t>artifact://sql_map/1.0/art_sql_map_1991cb09789d4382</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artifact://data_access_map/1.0/art_data_access_map_4530cf51801044a1</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artifact://recordset_ops/1.0/art_recordset_ops_d8ca2342d75b43a4</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artifact://procedure_summary/1.0/art_procedure_summary_a45837b4497940bf</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artifact://form_dossier/1.0/art_form_dossier_7466231adf7d4515</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artifact://dependency_inventory/1.0/art_dependency_inventory_c28b6d727e494d58</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artifact://dependency_inventory/1.0/art_dependency_inventory_c28b6d727e494d58</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artifact://business_rule_catalog/1.0/art_business_rule_catalog_0ba5227840954e07</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artifact://detector_findings/1.0/art_detector_findings_60c8e65df2a04da6</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artifact://risk_register/1.0/art_risk_register_91261ad4792841f0</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artifact://orphan_analysis/1.0/art_orphan_analysis_844ff2aa3cda4a76</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artifact://delivery_constitution/1.0/art_delivery_constitution_0fbee53a15bd40d1</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artifact://variant_diff_report/1.0/art_variant_diff_report_49f7596baab4464e</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artifact://reporting_model/1.0/art_reporting_model_4a732f9228224d95</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artifact://identity_access_model/1.0/art_identity_access_model_13bebcb95b9b4f90</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artifact://discover_review_checklist/1.0/art_discover_review_checklist_ee0c50109b0a4a80</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artifact://artifact_index/1.0/art_artifact_index_e9fa9ff50e4148e2</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runctx://runctx-c15464b04248a497/kctx-6c852fcceab50a55</w:t>
            </w:r>
          </w:p>
        </w:tc>
      </w:tr>
      <w:tr>
        <w:tc>
          <w:tcPr>
            <w:tcW w:type="dxa" w:w="5040"/>
          </w:tcPr>
          <w:p>
            <w:r/>
            <w:r>
              <w:rPr>
                <w:b w:val="0"/>
                <w:color w:val="111827"/>
                <w:sz w:val="16"/>
              </w:rPr>
              <w:t>run_delivery_constitution_ref</w:t>
            </w:r>
          </w:p>
        </w:tc>
        <w:tc>
          <w:tcPr>
            <w:tcW w:type="dxa" w:w="5040"/>
          </w:tcPr>
          <w:p>
            <w:r/>
            <w:r>
              <w:rPr>
                <w:b w:val="0"/>
                <w:color w:val="111827"/>
                <w:sz w:val="16"/>
              </w:rPr>
              <w:t>runctx://runctx-c15464b04248a497/delivery_constitution/const-2b82120f6254</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