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Adopt-Flow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Adopt-Flow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Maintain Parent Corpus Reference (P0)</w:t>
      </w:r>
    </w:p>
    <w:p>
      <w:pPr>
        <w:spacing w:after="80" w:before="80"/>
      </w:pPr>
      <w:r>
        <w:rPr>
          <w:sz w:val="22"/>
          <w:szCs w:val="22"/>
        </w:rPr>
        <w:t xml:space="preserve">Ensure the modernized flow maintains a reference to the parent corpus as in the legacy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parent corpus reference is accessible in the modernized 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with the parent corpus is maintained.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updates to the corpus are reflected in real-time.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meet the response time metric.; System load does not exceed 75% CPU utilization under peak conditions.; Performance degradation is less than 5% during stress testing.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reveal no critical vulnerabilities.; All data transmissions are encrypted.; Access controls are implemented according to policy.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above 99.9%.; Automated failover mechanisms are in place.; Downtime incidents are resolved within SLA timeframes.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testing results in a satisfaction score above 85%.; The user interface is consistent and intuitive.; Help and documentation are readily accessible.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system deploys successfully in all target environments.; Configuration settings are environment-agnostic.; Deployment scripts are automated and error-free.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flow must update the parent corpus upon execution.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Flow execution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FlowModule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integrity issues during modernization.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Legacy system dependencies may not be fully documented.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dependency analysis and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Adopt-Flow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2026-05-12T14:01:08.503Z</dcterms:created>
  <dcterms:modified xsi:type="dcterms:W3CDTF">2026-05-12T14:01:08.503Z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