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 (BRD)</w:t>
      </w:r>
    </w:p>
    <w:p>
      <w:pPr>
        <w:jc w:val="center"/>
      </w:pPr>
      <w:r>
        <w:rPr>
          <w:i/>
        </w:rPr>
        <w:t>Business problem, goals, stakeholders, and priorities</w:t>
      </w:r>
    </w:p>
    <w:p>
      <w:r>
        <w:t>Project: NextRojgar | Version 0.1 | Draft for implementation</w:t>
      </w:r>
    </w:p>
    <w:p>
      <w:r>
        <w:t>Status note: this document distinguishes planned capabilities from implemented functionality. The immediate milestone is frontend-first.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NextRojgar is a proposed recruitment-information and utility portal that helps people in India discover public-sector job opportunities and related exam updates from one organized experience.</w:t>
      </w:r>
    </w:p>
    <w:p>
      <w:pPr>
        <w:pStyle w:val="Heading1"/>
      </w:pPr>
      <w:r>
        <w:t>2. Business problem</w:t>
      </w:r>
    </w:p>
    <w:p>
      <w:pPr>
        <w:pStyle w:val="ListBullet"/>
      </w:pPr>
      <w:r>
        <w:t>Recruitment information is distributed across department and exam websites.</w:t>
      </w:r>
    </w:p>
    <w:p>
      <w:pPr>
        <w:pStyle w:val="ListBullet"/>
      </w:pPr>
      <w:r>
        <w:t>Candidates need to find current notices, dates, eligibility, application links, admit cards, results, answer keys, and syllabus.</w:t>
      </w:r>
    </w:p>
    <w:p>
      <w:pPr>
        <w:pStyle w:val="ListBullet"/>
      </w:pPr>
      <w:r>
        <w:t>Candidates may need simple document/image utilities while preparing applications.</w:t>
      </w:r>
    </w:p>
    <w:p>
      <w:pPr>
        <w:pStyle w:val="Heading1"/>
      </w:pPr>
      <w:r>
        <w:t>3. Business goals</w:t>
      </w:r>
    </w:p>
    <w:p>
      <w:pPr>
        <w:pStyle w:val="ListBullet"/>
      </w:pPr>
      <w:r>
        <w:t>Make recruitment information easier to discover and understand.</w:t>
      </w:r>
    </w:p>
    <w:p>
      <w:pPr>
        <w:pStyle w:val="ListBullet"/>
      </w:pPr>
      <w:r>
        <w:t>Present notices consistently and link to authoritative sources.</w:t>
      </w:r>
    </w:p>
    <w:p>
      <w:pPr>
        <w:pStyle w:val="ListBullet"/>
      </w:pPr>
      <w:r>
        <w:t>Build a responsive, maintainable platform that can add sections over time.</w:t>
      </w:r>
    </w:p>
    <w:p>
      <w:pPr>
        <w:pStyle w:val="ListBullet"/>
      </w:pPr>
      <w:r>
        <w:t>Keep initial development and operating costs low.</w:t>
      </w:r>
    </w:p>
    <w:p>
      <w:pPr>
        <w:pStyle w:val="ListBullet"/>
      </w:pPr>
      <w:r>
        <w:t>Build trust through transparent sourcing, accurate dates, and editorial status.</w:t>
      </w:r>
    </w:p>
    <w:p>
      <w:pPr>
        <w:pStyle w:val="Heading1"/>
      </w:pPr>
      <w:r>
        <w:t>4. Stakeholders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Stakeholder</w:t>
            </w:r>
          </w:p>
        </w:tc>
        <w:tc>
          <w:tcPr>
            <w:tcW w:type="dxa" w:w="4968"/>
          </w:tcPr>
          <w:p>
            <w:r>
              <w:t>Need / responsibility</w:t>
            </w:r>
          </w:p>
        </w:tc>
      </w:tr>
      <w:tr>
        <w:tc>
          <w:tcPr>
            <w:tcW w:type="dxa" w:w="4968"/>
          </w:tcPr>
          <w:p>
            <w:r>
              <w:t>Candidate / visitor</w:t>
            </w:r>
          </w:p>
        </w:tc>
        <w:tc>
          <w:tcPr>
            <w:tcW w:type="dxa" w:w="4968"/>
          </w:tcPr>
          <w:p>
            <w:r>
              <w:t>Browse notices, understand key details, follow official links, use tools.</w:t>
            </w:r>
          </w:p>
        </w:tc>
      </w:tr>
      <w:tr>
        <w:tc>
          <w:tcPr>
            <w:tcW w:type="dxa" w:w="4968"/>
          </w:tcPr>
          <w:p>
            <w:r>
              <w:t>Content editor (future)</w:t>
            </w:r>
          </w:p>
        </w:tc>
        <w:tc>
          <w:tcPr>
            <w:tcW w:type="dxa" w:w="4968"/>
          </w:tcPr>
          <w:p>
            <w:r>
              <w:t>Create, verify, update, publish, and archive notices.</w:t>
            </w:r>
          </w:p>
        </w:tc>
      </w:tr>
      <w:tr>
        <w:tc>
          <w:tcPr>
            <w:tcW w:type="dxa" w:w="4968"/>
          </w:tcPr>
          <w:p>
            <w:r>
              <w:t>Project owner</w:t>
            </w:r>
          </w:p>
        </w:tc>
        <w:tc>
          <w:tcPr>
            <w:tcW w:type="dxa" w:w="4968"/>
          </w:tcPr>
          <w:p>
            <w:r>
              <w:t>Set priorities, review quality, and control scope/cost.</w:t>
            </w:r>
          </w:p>
        </w:tc>
      </w:tr>
      <w:tr>
        <w:tc>
          <w:tcPr>
            <w:tcW w:type="dxa" w:w="4968"/>
          </w:tcPr>
          <w:p>
            <w:r>
              <w:t>Developer / coding agent</w:t>
            </w:r>
          </w:p>
        </w:tc>
        <w:tc>
          <w:tcPr>
            <w:tcW w:type="dxa" w:w="4968"/>
          </w:tcPr>
          <w:p>
            <w:r>
              <w:t>Implement maintainable features and test/document them.</w:t>
            </w:r>
          </w:p>
        </w:tc>
      </w:tr>
      <w:tr>
        <w:tc>
          <w:tcPr>
            <w:tcW w:type="dxa" w:w="4968"/>
          </w:tcPr>
          <w:p>
            <w:r>
              <w:t>Recruiting body</w:t>
            </w:r>
          </w:p>
        </w:tc>
        <w:tc>
          <w:tcPr>
            <w:tcW w:type="dxa" w:w="4968"/>
          </w:tcPr>
          <w:p>
            <w:r>
              <w:t>Provides authoritative information; not a NextRojgar system user.</w:t>
            </w:r>
          </w:p>
        </w:tc>
      </w:tr>
    </w:tbl>
    <w:p/>
    <w:p>
      <w:pPr>
        <w:pStyle w:val="Heading1"/>
      </w:pPr>
      <w:r>
        <w:t>5. Business scope and priorities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Priority</w:t>
            </w:r>
          </w:p>
        </w:tc>
        <w:tc>
          <w:tcPr>
            <w:tcW w:type="dxa" w:w="3312"/>
          </w:tcPr>
          <w:p>
            <w:r>
              <w:t>Capability</w:t>
            </w:r>
          </w:p>
        </w:tc>
        <w:tc>
          <w:tcPr>
            <w:tcW w:type="dxa" w:w="3312"/>
          </w:tcPr>
          <w:p>
            <w:r>
              <w:t>Value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Responsive homepage and navigation</w:t>
            </w:r>
          </w:p>
        </w:tc>
        <w:tc>
          <w:tcPr>
            <w:tcW w:type="dxa" w:w="3312"/>
          </w:tcPr>
          <w:p>
            <w:r>
              <w:t>Clear entry point and product foundation.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Section route scaffolding</w:t>
            </w:r>
          </w:p>
        </w:tc>
        <w:tc>
          <w:tcPr>
            <w:tcW w:type="dxa" w:w="3312"/>
          </w:tcPr>
          <w:p>
            <w:r>
              <w:t>Establish information architecture.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Sample cards and mock data</w:t>
            </w:r>
          </w:p>
        </w:tc>
        <w:tc>
          <w:tcPr>
            <w:tcW w:type="dxa" w:w="3312"/>
          </w:tcPr>
          <w:p>
            <w:r>
              <w:t>Frontend can progress before API exists.</w:t>
            </w:r>
          </w:p>
        </w:tc>
      </w:tr>
      <w:tr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Search, filters, job listing/detail pages</w:t>
            </w:r>
          </w:p>
        </w:tc>
        <w:tc>
          <w:tcPr>
            <w:tcW w:type="dxa" w:w="3312"/>
          </w:tcPr>
          <w:p>
            <w:r>
              <w:t>Improve discovery and decision-making.</w:t>
            </w:r>
          </w:p>
        </w:tc>
      </w:tr>
      <w:tr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API, database, editorial workflow</w:t>
            </w:r>
          </w:p>
        </w:tc>
        <w:tc>
          <w:tcPr>
            <w:tcW w:type="dxa" w:w="3312"/>
          </w:tcPr>
          <w:p>
            <w:r>
              <w:t>Controlled live content management.</w:t>
            </w:r>
          </w:p>
        </w:tc>
      </w:tr>
      <w:tr>
        <w:tc>
          <w:tcPr>
            <w:tcW w:type="dxa" w:w="3312"/>
          </w:tcPr>
          <w:p>
            <w:r>
              <w:t>P2</w:t>
            </w:r>
          </w:p>
        </w:tc>
        <w:tc>
          <w:tcPr>
            <w:tcW w:type="dxa" w:w="3312"/>
          </w:tcPr>
          <w:p>
            <w:r>
              <w:t>Results, admit cards, answer keys, syllabus, admissions</w:t>
            </w:r>
          </w:p>
        </w:tc>
        <w:tc>
          <w:tcPr>
            <w:tcW w:type="dxa" w:w="3312"/>
          </w:tcPr>
          <w:p>
            <w:r>
              <w:t>Expand coverage.</w:t>
            </w:r>
          </w:p>
        </w:tc>
      </w:tr>
      <w:tr>
        <w:tc>
          <w:tcPr>
            <w:tcW w:type="dxa" w:w="3312"/>
          </w:tcPr>
          <w:p>
            <w:r>
              <w:t>P2</w:t>
            </w:r>
          </w:p>
        </w:tc>
        <w:tc>
          <w:tcPr>
            <w:tcW w:type="dxa" w:w="3312"/>
          </w:tcPr>
          <w:p>
            <w:r>
              <w:t>Online tools</w:t>
            </w:r>
          </w:p>
        </w:tc>
        <w:tc>
          <w:tcPr>
            <w:tcW w:type="dxa" w:w="3312"/>
          </w:tcPr>
          <w:p>
            <w:r>
              <w:t>Add practical utility incrementally.</w:t>
            </w:r>
          </w:p>
        </w:tc>
      </w:tr>
      <w:tr>
        <w:tc>
          <w:tcPr>
            <w:tcW w:type="dxa" w:w="3312"/>
          </w:tcPr>
          <w:p>
            <w:r>
              <w:t>P3</w:t>
            </w:r>
          </w:p>
        </w:tc>
        <w:tc>
          <w:tcPr>
            <w:tcW w:type="dxa" w:w="3312"/>
          </w:tcPr>
          <w:p>
            <w:r>
              <w:t>Accounts, saved jobs, notifications</w:t>
            </w:r>
          </w:p>
        </w:tc>
        <w:tc>
          <w:tcPr>
            <w:tcW w:type="dxa" w:w="3312"/>
          </w:tcPr>
          <w:p>
            <w:r>
              <w:t>Only after user need is validated.</w:t>
            </w:r>
          </w:p>
        </w:tc>
      </w:tr>
    </w:tbl>
    <w:p/>
    <w:p>
      <w:pPr>
        <w:pStyle w:val="Heading1"/>
      </w:pPr>
      <w:r>
        <w:t>6. Business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BR-01</w:t>
            </w:r>
          </w:p>
        </w:tc>
        <w:tc>
          <w:tcPr>
            <w:tcW w:type="dxa" w:w="4968"/>
          </w:tcPr>
          <w:p>
            <w:r>
              <w:t>Homepage links to the main information categories.</w:t>
            </w:r>
          </w:p>
        </w:tc>
      </w:tr>
      <w:tr>
        <w:tc>
          <w:tcPr>
            <w:tcW w:type="dxa" w:w="4968"/>
          </w:tcPr>
          <w:p>
            <w:r>
              <w:t>BR-02</w:t>
            </w:r>
          </w:p>
        </w:tc>
        <w:tc>
          <w:tcPr>
            <w:tcW w:type="dxa" w:w="4968"/>
          </w:tcPr>
          <w:p>
            <w:r>
              <w:t>Visitors can browse recruitment information.</w:t>
            </w:r>
          </w:p>
        </w:tc>
      </w:tr>
      <w:tr>
        <w:tc>
          <w:tcPr>
            <w:tcW w:type="dxa" w:w="4968"/>
          </w:tcPr>
          <w:p>
            <w:r>
              <w:t>BR-03</w:t>
            </w:r>
          </w:p>
        </w:tc>
        <w:tc>
          <w:tcPr>
            <w:tcW w:type="dxa" w:w="4968"/>
          </w:tcPr>
          <w:p>
            <w:r>
              <w:t>Notice details show available key information and official source/application links where available.</w:t>
            </w:r>
          </w:p>
        </w:tc>
      </w:tr>
      <w:tr>
        <w:tc>
          <w:tcPr>
            <w:tcW w:type="dxa" w:w="4968"/>
          </w:tcPr>
          <w:p>
            <w:r>
              <w:t>BR-04</w:t>
            </w:r>
          </w:p>
        </w:tc>
        <w:tc>
          <w:tcPr>
            <w:tcW w:type="dxa" w:w="4968"/>
          </w:tcPr>
          <w:p>
            <w:r>
              <w:t>Demo content is distinguishable from live, verified content.</w:t>
            </w:r>
          </w:p>
        </w:tc>
      </w:tr>
      <w:tr>
        <w:tc>
          <w:tcPr>
            <w:tcW w:type="dxa" w:w="4968"/>
          </w:tcPr>
          <w:p>
            <w:r>
              <w:t>BR-05</w:t>
            </w:r>
          </w:p>
        </w:tc>
        <w:tc>
          <w:tcPr>
            <w:tcW w:type="dxa" w:w="4968"/>
          </w:tcPr>
          <w:p>
            <w:r>
              <w:t>Planned sections include admit cards, results, answer keys, syllabus, admissions, current affairs, study resources, and tools.</w:t>
            </w:r>
          </w:p>
        </w:tc>
      </w:tr>
      <w:tr>
        <w:tc>
          <w:tcPr>
            <w:tcW w:type="dxa" w:w="4968"/>
          </w:tcPr>
          <w:p>
            <w:r>
              <w:t>BR-06</w:t>
            </w:r>
          </w:p>
        </w:tc>
        <w:tc>
          <w:tcPr>
            <w:tcW w:type="dxa" w:w="4968"/>
          </w:tcPr>
          <w:p>
            <w:r>
              <w:t>The site works across mobile, tablet, and desktop.</w:t>
            </w:r>
          </w:p>
        </w:tc>
      </w:tr>
      <w:tr>
        <w:tc>
          <w:tcPr>
            <w:tcW w:type="dxa" w:w="4968"/>
          </w:tcPr>
          <w:p>
            <w:r>
              <w:t>BR-07</w:t>
            </w:r>
          </w:p>
        </w:tc>
        <w:tc>
          <w:tcPr>
            <w:tcW w:type="dxa" w:w="4968"/>
          </w:tcPr>
          <w:p>
            <w:r>
              <w:t>Frontend and backend remain separate applications.</w:t>
            </w:r>
          </w:p>
        </w:tc>
      </w:tr>
      <w:tr>
        <w:tc>
          <w:tcPr>
            <w:tcW w:type="dxa" w:w="4968"/>
          </w:tcPr>
          <w:p>
            <w:r>
              <w:t>BR-08</w:t>
            </w:r>
          </w:p>
        </w:tc>
        <w:tc>
          <w:tcPr>
            <w:tcW w:type="dxa" w:w="4968"/>
          </w:tcPr>
          <w:p>
            <w:r>
              <w:t>Future administrative write actions require authorization.</w:t>
            </w:r>
          </w:p>
        </w:tc>
      </w:tr>
      <w:tr>
        <w:tc>
          <w:tcPr>
            <w:tcW w:type="dxa" w:w="4968"/>
          </w:tcPr>
          <w:p>
            <w:r>
              <w:t>BR-09</w:t>
            </w:r>
          </w:p>
        </w:tc>
        <w:tc>
          <w:tcPr>
            <w:tcW w:type="dxa" w:w="4968"/>
          </w:tcPr>
          <w:p>
            <w:r>
              <w:t>Privacy, terms, contact, and disclaimer information is provided before public launch.</w:t>
            </w:r>
          </w:p>
        </w:tc>
      </w:tr>
      <w:tr>
        <w:tc>
          <w:tcPr>
            <w:tcW w:type="dxa" w:w="4968"/>
          </w:tcPr>
          <w:p>
            <w:r>
              <w:t>BR-10</w:t>
            </w:r>
          </w:p>
        </w:tc>
        <w:tc>
          <w:tcPr>
            <w:tcW w:type="dxa" w:w="4968"/>
          </w:tcPr>
          <w:p>
            <w:r>
              <w:t>The site does not imply official government status or endorsement.</w:t>
            </w:r>
          </w:p>
        </w:tc>
      </w:tr>
    </w:tbl>
    <w:p/>
    <w:p>
      <w:pPr>
        <w:pStyle w:val="Heading1"/>
      </w:pPr>
      <w:r>
        <w:t>7. Business rules</w:t>
      </w:r>
    </w:p>
    <w:p>
      <w:pPr>
        <w:pStyle w:val="ListBullet"/>
      </w:pPr>
      <w:r>
        <w:t>Official sources take precedence for recruitment facts.</w:t>
      </w:r>
    </w:p>
    <w:p>
      <w:pPr>
        <w:pStyle w:val="ListBullet"/>
      </w:pPr>
      <w:r>
        <w:t>Do not invent missing data; mark it unavailable or omit it.</w:t>
      </w:r>
    </w:p>
    <w:p>
      <w:pPr>
        <w:pStyle w:val="ListBullet"/>
      </w:pPr>
      <w:r>
        <w:t>Expired notices should be marked or archived clearly.</w:t>
      </w:r>
    </w:p>
    <w:p>
      <w:pPr>
        <w:pStyle w:val="ListBullet"/>
      </w:pPr>
      <w:r>
        <w:t>Public pages display only publishable records.</w:t>
      </w:r>
    </w:p>
    <w:p>
      <w:pPr>
        <w:pStyle w:val="ListBullet"/>
      </w:pPr>
      <w:r>
        <w:t>Administrative actions should be permission-controlled and auditable.</w:t>
      </w:r>
    </w:p>
    <w:p>
      <w:pPr>
        <w:pStyle w:val="ListBullet"/>
      </w:pPr>
      <w:r>
        <w:t>Do not automatically publish scraped content without source, rights, and editorial review.</w:t>
      </w:r>
    </w:p>
    <w:p>
      <w:pPr>
        <w:pStyle w:val="Heading1"/>
      </w:pPr>
      <w:r>
        <w:t>8. Success measures and open decisions</w:t>
      </w:r>
    </w:p>
    <w:p>
      <w:r>
        <w:t>Initial success is functional delivery, not invented traffic targets. Once public, measure navigation success, search use, official-link clicks, mobile usability, performance, content freshness, and errors.</w:t>
      </w:r>
    </w:p>
    <w:p>
      <w:pPr>
        <w:pStyle w:val="ListBullet"/>
      </w:pPr>
      <w:r>
        <w:t>Which recruiting categories are in the first public release?</w:t>
      </w:r>
    </w:p>
    <w:p>
      <w:pPr>
        <w:pStyle w:val="ListBullet"/>
      </w:pPr>
      <w:r>
        <w:t>Who verifies and updates notices, and how often?</w:t>
      </w:r>
    </w:p>
    <w:p>
      <w:pPr>
        <w:pStyle w:val="ListBullet"/>
      </w:pPr>
      <w:r>
        <w:t>How will content be sourced: manual entry, licensed feed, or another reviewed method?</w:t>
      </w:r>
    </w:p>
    <w:p>
      <w:pPr>
        <w:pStyle w:val="ListBullet"/>
      </w:pPr>
      <w:r>
        <w:t>Which database access and authentication approach will be selected?</w:t>
      </w:r>
    </w:p>
    <w:p>
      <w:pPr>
        <w:pStyle w:val="ListBullet"/>
      </w:pPr>
      <w:r>
        <w:t>Which online tool should be built first?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4E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