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Identity and Access Management Architecture</w:t>
      </w:r>
    </w:p>
    <w:p>
      <w:r>
        <w:t>Version: 5</w:t>
      </w:r>
    </w:p>
    <w:p>
      <w:r>
        <w:t>Status: APPROVED</w:t>
      </w:r>
    </w:p>
    <w:p>
      <w:r>
        <w:t>Owner: Architecture Board</w:t>
      </w:r>
    </w:p>
    <w:p>
      <w:pPr>
        <w:pStyle w:val="Heading1"/>
      </w:pPr>
      <w:r>
        <w:t>Section 1: Overview</w:t>
      </w:r>
    </w:p>
    <w:p>
      <w:r>
        <w:t>This document defines the architecture under consideration. The proposed approach uses SAML 2.0 federation with SSO.</w:t>
      </w:r>
    </w:p>
    <w:p>
      <w:pPr>
        <w:pStyle w:val="Heading1"/>
      </w:pPr>
      <w:r>
        <w:t>Section 2: Rationale</w:t>
      </w:r>
    </w:p>
    <w:p>
      <w:r>
        <w:t>This approach was evaluated against alternatives for scalability, operational cost, and long-term maintainability.</w:t>
      </w:r>
    </w:p>
    <w:p>
      <w:pPr>
        <w:pStyle w:val="Heading1"/>
      </w:pPr>
      <w:r>
        <w:t>Section 4.2: Decision</w:t>
      </w:r>
    </w:p>
    <w:p>
      <w:r>
        <w:t>The architecture for Identity and Access Management Architecture uses SAML 2.0 federation with SSO going forward. Approved directly by the Architecture Board as the org-wide IAM standard.</w:t>
      </w:r>
    </w:p>
    <w:p>
      <w:pPr>
        <w:pStyle w:val="Heading1"/>
      </w:pPr>
      <w:r>
        <w:t>Section 5: Rollout</w:t>
      </w:r>
    </w:p>
    <w:p>
      <w:r>
        <w:t>Rollout is planned across all affected business units within two quarters.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