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Risk Assessment &amp; Security Strategy Planning</w:t>
      </w:r>
    </w:p>
    <w:p>
      <w:pPr>
        <w:jc w:val="center"/>
      </w:pPr>
      <w:r>
        <w:rPr>
          <w:i/>
          <w:sz w:val="20"/>
        </w:rPr>
        <w:t>Food-processing data systems | Week 1</w:t>
      </w:r>
    </w:p>
    <w:p>
      <w:r>
        <w:t>Prepared as a technical learning project. All operational data and measured results in this package are simulated unless explicitly identified as external guidance.</w:t>
      </w:r>
    </w:p>
    <w:p>
      <w:pPr>
        <w:pStyle w:val="Heading1"/>
      </w:pPr>
      <w:r>
        <w:t>Executive summary</w:t>
      </w:r>
    </w:p>
    <w:p>
      <w:r>
        <w:t>Food-processing data systems can connect business applications, laboratory and quality records, production planning, sensors, and operational technology. A security incident can affect confidentiality, record integrity, availability, traceability, and potentially production continuity. This assessment uses a simple, transparent risk register to prioritize discussion; it is not a formal audit.</w:t>
      </w:r>
    </w:p>
    <w:p>
      <w:pPr>
        <w:pStyle w:val="Heading1"/>
      </w:pPr>
      <w:r>
        <w:t>Scope and assumptions</w:t>
      </w:r>
    </w:p>
    <w:p>
      <w:r>
        <w:t>The assumed environment includes an ERP or production application, quality/lab records, supplier and batch traceability data, OT/IoT sensors, employee endpoints, remote vendor access, backups, and analytics/reporting. No actual organization, network scan, incident log, or production dataset was supplied. All likelihood and impact values are hypothetical.</w:t>
      </w:r>
    </w:p>
    <w:p>
      <w:pPr>
        <w:pStyle w:val="Heading1"/>
      </w:pPr>
      <w:r>
        <w:t>Literature review and framework</w:t>
      </w:r>
    </w:p>
    <w:p>
      <w:r>
        <w:t>NIST CSF 2.0 organizes cybersecurity outcomes around Govern, Identify, Protect, Detect, Respond, and Recover. NIST SP 800-30 provides a risk-assessment process; NIST SP 800-82 addresses OT-specific safety, reliability, and availability considerations. CISA Cross-Sector Cybersecurity Performance Goals provide baseline practices. These sources are used as frameworks, not as proof that any particular control is already implemented.</w:t>
      </w:r>
    </w:p>
    <w:p>
      <w:pPr>
        <w:pStyle w:val="Heading1"/>
      </w:pPr>
      <w:r>
        <w:t>Risk scoring method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Threat scenario</w:t>
            </w:r>
          </w:p>
        </w:tc>
        <w:tc>
          <w:tcPr>
            <w:tcW w:type="dxa" w:w="1987"/>
          </w:tcPr>
          <w:p>
            <w:r>
              <w:t>Likelihood (1–5)</w:t>
            </w:r>
          </w:p>
        </w:tc>
        <w:tc>
          <w:tcPr>
            <w:tcW w:type="dxa" w:w="1987"/>
          </w:tcPr>
          <w:p>
            <w:r>
              <w:t>Impact (1–5)</w:t>
            </w:r>
          </w:p>
        </w:tc>
        <w:tc>
          <w:tcPr>
            <w:tcW w:type="dxa" w:w="1987"/>
          </w:tcPr>
          <w:p>
            <w:r>
              <w:t>Score</w:t>
            </w:r>
          </w:p>
        </w:tc>
        <w:tc>
          <w:tcPr>
            <w:tcW w:type="dxa" w:w="1987"/>
          </w:tcPr>
          <w:p>
            <w:r>
              <w:t>Illustrative band</w:t>
            </w:r>
          </w:p>
        </w:tc>
      </w:tr>
      <w:tr>
        <w:tc>
          <w:tcPr>
            <w:tcW w:type="dxa" w:w="1987"/>
          </w:tcPr>
          <w:p>
            <w:r>
              <w:t>Unauthorized access to production/quality records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Ransomware disrupts production scheduling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Sensor data tampering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15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Unencrypted transfer of supplier data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</w:tr>
      <w:tr>
        <w:tc>
          <w:tcPr>
            <w:tcW w:type="dxa" w:w="1987"/>
          </w:tcPr>
          <w:p>
            <w:r>
              <w:t>Insider misuse of batch/traceability data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12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</w:tr>
      <w:tr>
        <w:tc>
          <w:tcPr>
            <w:tcW w:type="dxa" w:w="1987"/>
          </w:tcPr>
          <w:p>
            <w:r>
              <w:t>Lost/compromised endpoint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9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</w:tr>
      <w:tr>
        <w:tc>
          <w:tcPr>
            <w:tcW w:type="dxa" w:w="1987"/>
          </w:tcPr>
          <w:p>
            <w:r>
              <w:t>Backup failure or untested restoration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15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Third-party remote access compromise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15</w:t>
            </w:r>
          </w:p>
        </w:tc>
        <w:tc>
          <w:tcPr>
            <w:tcW w:type="dxa" w:w="1987"/>
          </w:tcPr>
          <w:p>
            <w:r>
              <w:t>High</w:t>
            </w:r>
          </w:p>
        </w:tc>
      </w:tr>
      <w:tr>
        <w:tc>
          <w:tcPr>
            <w:tcW w:type="dxa" w:w="1987"/>
          </w:tcPr>
          <w:p>
            <w:r>
              <w:t>Data quality error causing false alert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9</w:t>
            </w:r>
          </w:p>
        </w:tc>
        <w:tc>
          <w:tcPr>
            <w:tcW w:type="dxa" w:w="1987"/>
          </w:tcPr>
          <w:p>
            <w:r>
              <w:t>Medium</w:t>
            </w:r>
          </w:p>
        </w:tc>
      </w:tr>
      <w:tr>
        <w:tc>
          <w:tcPr>
            <w:tcW w:type="dxa" w:w="1987"/>
          </w:tcPr>
          <w:p>
            <w:r>
              <w:t>Denial of service against reporting service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Low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577840" cy="3087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87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Risk prioritization and findings</w:t>
      </w:r>
    </w:p>
    <w:p>
      <w:r>
        <w:t>The initial register highlights several scenarios with high illustrative scores: unauthorized access to critical records, ransomware disrupting production, sensor-data tampering, unencrypted transfers, insider misuse, backup recovery failure, and compromised vendor access. A score of likelihood × impact is intentionally simple and does not quantify annualized loss. The highest scores should trigger workshops to validate business impact and existing safeguards.</w:t>
      </w:r>
    </w:p>
    <w:p>
      <w:pPr>
        <w:pStyle w:val="Heading1"/>
      </w:pPr>
      <w:r>
        <w:t>Proposed security strategy</w:t>
      </w:r>
    </w:p>
    <w:p>
      <w:pPr>
        <w:pStyle w:val="ListBullet"/>
      </w:pPr>
      <w:r>
        <w:t>Identity: enforce MFA for remote and privileged access; use named accounts, least privilege, time-bound vendor access, and periodic access reviews.</w:t>
      </w:r>
    </w:p>
    <w:p>
      <w:pPr>
        <w:pStyle w:val="ListBullet"/>
      </w:pPr>
      <w:r>
        <w:t>Segmentation: separate enterprise IT, OT control networks, guest Wi-Fi, and external vendor pathways; document and approve necessary conduits.</w:t>
      </w:r>
    </w:p>
    <w:p>
      <w:pPr>
        <w:pStyle w:val="ListBullet"/>
      </w:pPr>
      <w:r>
        <w:t>Data integrity: apply schema/range checks, source identity, timestamps, versioning, audit trails, and approval gates for critical record changes.</w:t>
      </w:r>
    </w:p>
    <w:p>
      <w:pPr>
        <w:pStyle w:val="ListBullet"/>
      </w:pPr>
      <w:r>
        <w:t>Resilience: maintain offline or immutable backups; define recovery time and recovery point objectives; test restoration rather than relying on backup-job success alone.</w:t>
      </w:r>
    </w:p>
    <w:p>
      <w:pPr>
        <w:pStyle w:val="ListBullet"/>
      </w:pPr>
      <w:r>
        <w:t>Detection: centralize authentication, endpoint, network, and application logs; alert on unusual privileged actions, repeated failures, and unexpected OT communications.</w:t>
      </w:r>
    </w:p>
    <w:p>
      <w:pPr>
        <w:pStyle w:val="ListBullet"/>
      </w:pPr>
      <w:r>
        <w:t>Response: prepare playbooks for ransomware, suspected sensor tampering, data disclosure, and vendor-account compromise; assign decision owners and preserve evidence.</w:t>
      </w:r>
    </w:p>
    <w:p>
      <w:pPr>
        <w:pStyle w:val="ListBullet"/>
      </w:pPr>
      <w:r>
        <w:t>People and suppliers: train staff, verify supplier access, set contract security requirements, and review incident notification paths.</w:t>
      </w:r>
    </w:p>
    <w:p>
      <w:pPr>
        <w:pStyle w:val="Heading1"/>
      </w:pPr>
      <w:r>
        <w:t>Illustrative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Phase</w:t>
            </w:r>
          </w:p>
        </w:tc>
        <w:tc>
          <w:tcPr>
            <w:tcW w:type="dxa" w:w="2484"/>
          </w:tcPr>
          <w:p>
            <w:r>
              <w:t>Target window</w:t>
            </w:r>
          </w:p>
        </w:tc>
        <w:tc>
          <w:tcPr>
            <w:tcW w:type="dxa" w:w="2484"/>
          </w:tcPr>
          <w:p>
            <w:r>
              <w:t>Actions</w:t>
            </w:r>
          </w:p>
        </w:tc>
        <w:tc>
          <w:tcPr>
            <w:tcW w:type="dxa" w:w="2484"/>
          </w:tcPr>
          <w:p>
            <w:r>
              <w:t>Evidence</w:t>
            </w:r>
          </w:p>
        </w:tc>
      </w:tr>
      <w:tr>
        <w:tc>
          <w:tcPr>
            <w:tcW w:type="dxa" w:w="2484"/>
          </w:tcPr>
          <w:p>
            <w:r>
              <w:t>Stabilize</w:t>
            </w:r>
          </w:p>
        </w:tc>
        <w:tc>
          <w:tcPr>
            <w:tcW w:type="dxa" w:w="2484"/>
          </w:tcPr>
          <w:p>
            <w:r>
              <w:t>0–30 days</w:t>
            </w:r>
          </w:p>
        </w:tc>
        <w:tc>
          <w:tcPr>
            <w:tcW w:type="dxa" w:w="2484"/>
          </w:tcPr>
          <w:p>
            <w:r>
              <w:t>Inventory critical assets; enable MFA on remote/admin accounts; verify backups</w:t>
            </w:r>
          </w:p>
        </w:tc>
        <w:tc>
          <w:tcPr>
            <w:tcW w:type="dxa" w:w="2484"/>
          </w:tcPr>
          <w:p>
            <w:r>
              <w:t>Approved inventory, MFA report, restore-test record</w:t>
            </w:r>
          </w:p>
        </w:tc>
      </w:tr>
      <w:tr>
        <w:tc>
          <w:tcPr>
            <w:tcW w:type="dxa" w:w="2484"/>
          </w:tcPr>
          <w:p>
            <w:r>
              <w:t>Harden</w:t>
            </w:r>
          </w:p>
        </w:tc>
        <w:tc>
          <w:tcPr>
            <w:tcW w:type="dxa" w:w="2484"/>
          </w:tcPr>
          <w:p>
            <w:r>
              <w:t>31–90 days</w:t>
            </w:r>
          </w:p>
        </w:tc>
        <w:tc>
          <w:tcPr>
            <w:tcW w:type="dxa" w:w="2484"/>
          </w:tcPr>
          <w:p>
            <w:r>
              <w:t>Segment IT/OT; remove shared accounts; centralize key logs; define incident roles</w:t>
            </w:r>
          </w:p>
        </w:tc>
        <w:tc>
          <w:tcPr>
            <w:tcW w:type="dxa" w:w="2484"/>
          </w:tcPr>
          <w:p>
            <w:r>
              <w:t>Network diagram, account review, log coverage</w:t>
            </w:r>
          </w:p>
        </w:tc>
      </w:tr>
      <w:tr>
        <w:tc>
          <w:tcPr>
            <w:tcW w:type="dxa" w:w="2484"/>
          </w:tcPr>
          <w:p>
            <w:r>
              <w:t>Validate</w:t>
            </w:r>
          </w:p>
        </w:tc>
        <w:tc>
          <w:tcPr>
            <w:tcW w:type="dxa" w:w="2484"/>
          </w:tcPr>
          <w:p>
            <w:r>
              <w:t>3–6 months</w:t>
            </w:r>
          </w:p>
        </w:tc>
        <w:tc>
          <w:tcPr>
            <w:tcW w:type="dxa" w:w="2484"/>
          </w:tcPr>
          <w:p>
            <w:r>
              <w:t>Run tabletop exercises; test restore; review supplier access; tune alerting</w:t>
            </w:r>
          </w:p>
        </w:tc>
        <w:tc>
          <w:tcPr>
            <w:tcW w:type="dxa" w:w="2484"/>
          </w:tcPr>
          <w:p>
            <w:r>
              <w:t>Exercise report, recovery timings, action log</w:t>
            </w:r>
          </w:p>
        </w:tc>
      </w:tr>
      <w:tr>
        <w:tc>
          <w:tcPr>
            <w:tcW w:type="dxa" w:w="2484"/>
          </w:tcPr>
          <w:p>
            <w:r>
              <w:t>Improve</w:t>
            </w:r>
          </w:p>
        </w:tc>
        <w:tc>
          <w:tcPr>
            <w:tcW w:type="dxa" w:w="2484"/>
          </w:tcPr>
          <w:p>
            <w:r>
              <w:t>6–12 months</w:t>
            </w:r>
          </w:p>
        </w:tc>
        <w:tc>
          <w:tcPr>
            <w:tcW w:type="dxa" w:w="2484"/>
          </w:tcPr>
          <w:p>
            <w:r>
              <w:t>Repeat risk assessment; test controls; measure remediation aging</w:t>
            </w:r>
          </w:p>
        </w:tc>
        <w:tc>
          <w:tcPr>
            <w:tcW w:type="dxa" w:w="2484"/>
          </w:tcPr>
          <w:p>
            <w:r>
              <w:t>Updated risk register and management review</w:t>
            </w:r>
          </w:p>
        </w:tc>
      </w:tr>
    </w:tbl>
    <w:p>
      <w:pPr>
        <w:pStyle w:val="Heading1"/>
      </w:pPr>
      <w:r>
        <w:t>Python implementation</w:t>
      </w:r>
    </w:p>
    <w:p>
      <w:r>
        <w:t>The script computes a score and a transparent band from the supplied synthetic CSV. Run it from the code directory with pandas installed.</w:t>
      </w:r>
    </w:p>
    <w:p>
      <w:pPr>
        <w:spacing w:after="0"/>
      </w:pPr>
      <w:r>
        <w:rPr>
          <w:rFonts w:ascii="Consolas" w:hAnsi="Consolas"/>
          <w:sz w:val="15"/>
        </w:rPr>
        <w:t>"""Week 1: illustrative risk scoring. Synthetic scenarios only."""</w:t>
      </w:r>
    </w:p>
    <w:p>
      <w:pPr>
        <w:spacing w:after="0"/>
      </w:pPr>
      <w:r>
        <w:rPr>
          <w:rFonts w:ascii="Consolas" w:hAnsi="Consolas"/>
          <w:sz w:val="15"/>
        </w:rPr>
        <w:t>import pandas as pd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df = pd.read_csv("risk_register.csv")</w:t>
      </w:r>
    </w:p>
    <w:p>
      <w:pPr>
        <w:spacing w:after="0"/>
      </w:pPr>
      <w:r>
        <w:rPr>
          <w:rFonts w:ascii="Consolas" w:hAnsi="Consolas"/>
          <w:sz w:val="15"/>
        </w:rPr>
        <w:t>df["risk_score"] = df["Likelihood_1_5"] * df["Impact_1_5"]</w:t>
      </w:r>
    </w:p>
    <w:p>
      <w:pPr>
        <w:spacing w:after="0"/>
      </w:pPr>
      <w:r>
        <w:rPr>
          <w:rFonts w:ascii="Consolas" w:hAnsi="Consolas"/>
          <w:sz w:val="15"/>
        </w:rPr>
        <w:t>def band(score):</w:t>
      </w:r>
    </w:p>
    <w:p>
      <w:pPr>
        <w:spacing w:after="0"/>
      </w:pPr>
      <w:r>
        <w:rPr>
          <w:rFonts w:ascii="Consolas" w:hAnsi="Consolas"/>
          <w:sz w:val="15"/>
        </w:rPr>
        <w:t xml:space="preserve">    if score &gt;= 15: return "High"</w:t>
      </w:r>
    </w:p>
    <w:p>
      <w:pPr>
        <w:spacing w:after="0"/>
      </w:pPr>
      <w:r>
        <w:rPr>
          <w:rFonts w:ascii="Consolas" w:hAnsi="Consolas"/>
          <w:sz w:val="15"/>
        </w:rPr>
        <w:t xml:space="preserve">    if score &gt;= 8: return "Medium"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"Low"</w:t>
      </w:r>
    </w:p>
    <w:p>
      <w:pPr>
        <w:spacing w:after="0"/>
      </w:pPr>
      <w:r>
        <w:rPr>
          <w:rFonts w:ascii="Consolas" w:hAnsi="Consolas"/>
          <w:sz w:val="15"/>
        </w:rPr>
        <w:t>df["calculated_band"] = df["risk_score"].map(band)</w:t>
      </w:r>
    </w:p>
    <w:p>
      <w:pPr>
        <w:spacing w:after="0"/>
      </w:pPr>
      <w:r>
        <w:rPr>
          <w:rFonts w:ascii="Consolas" w:hAnsi="Consolas"/>
          <w:sz w:val="15"/>
        </w:rPr>
        <w:t>print(df[["Threat", "risk_score", "calculated_band", "Recommended_Control"]]</w:t>
      </w:r>
    </w:p>
    <w:p>
      <w:pPr>
        <w:spacing w:after="0"/>
      </w:pPr>
      <w:r>
        <w:rPr>
          <w:rFonts w:ascii="Consolas" w:hAnsi="Consolas"/>
          <w:sz w:val="15"/>
        </w:rPr>
        <w:t xml:space="preserve">      .sort_values("risk_score", ascending=False).to_string(index=False))</w:t>
      </w:r>
    </w:p>
    <w:p>
      <w:pPr>
        <w:spacing w:after="0"/>
      </w:pPr>
      <w:r>
        <w:rPr>
          <w:rFonts w:ascii="Consolas" w:hAnsi="Consolas"/>
          <w:sz w:val="15"/>
        </w:rPr>
        <w:t>df.to_csv("risk_register_scored.csv", index=False)</w:t>
      </w:r>
    </w:p>
    <w:p>
      <w:pPr>
        <w:pStyle w:val="Heading1"/>
      </w:pPr>
      <w:r>
        <w:t>Conclusion</w:t>
      </w:r>
    </w:p>
    <w:p>
      <w:r>
        <w:t>Treat the register as a starting hypothesis. Confirm business-critical assets, safety dependencies, regulatory duties, and actual control maturity before setting final risk acceptance or investment decisions.</w:t>
      </w:r>
    </w:p>
    <w:p>
      <w:pPr>
        <w:pStyle w:val="Heading1"/>
      </w:pPr>
      <w:r>
        <w:t>Submission description (200+ words)</w:t>
      </w:r>
    </w:p>
    <w:p>
      <w:r>
        <w:t>This report presents a structured, hypothetical cybersecurity risk assessment for data systems used in a food-processing environment. It frames the system around production and quality records, operational technology (OT), sensor telemetry, supplier information, traceability records, endpoints, backups, and third-party access. The report begins with a concise literature and standards review, using NIST Cybersecurity Framework 2.0, NIST SP 800-30, NIST SP 800-82, and CISA baseline guidance as reference points. It then defines a transparent likelihood-and-impact scoring method and applies it to a risk register containing plausible threat scenarios. Scores are prioritization aids rather than measured probabilities; the document explains this limitation and calls for validation through interviews, asset discovery, and business-impact analysis. The accompanying Python script reads the CSV risk register, calculates scores, assigns illustrative severity bands, sorts the findings, and exports a scored register. A generated bar chart makes the relative priorities easier to communicate to technical and non-technical readers. Recommended controls cover identity and access management, multi-factor authentication, network segmentation, secure transfer, logging, backup resilience, vendor access, data validation, and incident response. The report also outlines a phased security roadmap with ownership and evidence of completion. All scenarios and risk scores are hypothetical; they do not claim to describe an actual food company or a real breach. The purpose is to demonstrate a reproducible method that can be adapted to a real environment after the scope, assets, regulatory obligations, and risk appetite have been confirmed.</w:t>
      </w:r>
    </w:p>
    <w:p>
      <w:pPr>
        <w:pStyle w:val="Heading1"/>
      </w:pPr>
      <w:r>
        <w:t>References and further reading</w:t>
      </w:r>
    </w:p>
    <w:p>
      <w:pPr>
        <w:pStyle w:val="ListNumber"/>
      </w:pPr>
      <w:r>
        <w:t>NIST, Cybersecurity Framework (CSF) 2.0, 2024. https://www.nist.gov/cyberframework</w:t>
      </w:r>
    </w:p>
    <w:p>
      <w:pPr>
        <w:pStyle w:val="ListNumber"/>
      </w:pPr>
      <w:r>
        <w:t>NIST SP 800-30 Rev. 1, Guide for Conducting Risk Assessments, 2012. https://csrc.nist.gov/pubs/sp/800/30/r1/final</w:t>
      </w:r>
    </w:p>
    <w:p>
      <w:pPr>
        <w:pStyle w:val="ListNumber"/>
      </w:pPr>
      <w:r>
        <w:t>NIST SP 800-82 Rev. 3, Guide to Operational Technology (OT) Security, 2023. https://csrc.nist.gov/pubs/sp/800/82/r3/final</w:t>
      </w:r>
    </w:p>
    <w:p>
      <w:pPr>
        <w:pStyle w:val="ListNumber"/>
      </w:pPr>
      <w:r>
        <w:t>CISA, Cross-Sector Cybersecurity Performance Goals. https://www.cisa.gov/cross-sector-cybersecurity-performance-goals</w:t>
      </w:r>
    </w:p>
    <w:p>
      <w:pPr>
        <w:pStyle w:val="ListNumber"/>
      </w:pPr>
      <w:r>
        <w:t>NIST SP 800-53 Rev. 5, Security and Privacy Controls for Information Systems and Organizations, 2020 (updates may apply). https://csrc.nist.gov/pubs/sp/800/53/r5/upd1/final</w:t>
      </w:r>
    </w:p>
    <w:p>
      <w:pPr>
        <w:pStyle w:val="ListNumber"/>
      </w:pPr>
      <w:r>
        <w:t>NIST FIPS 197, Advanced Encryption Standard (AES), updated 2023. https://csrc.nist.gov/pubs/fips/197/final</w:t>
      </w:r>
    </w:p>
    <w:p>
      <w:pPr>
        <w:pStyle w:val="ListNumber"/>
      </w:pPr>
      <w:r>
        <w:t>NIST SP 800-57 Part 1 Rev. 5, Recommendation for Key Management, 2020. https://csrc.nist.gov/pubs/sp/800/57/pt1/r5/final</w:t>
      </w:r>
    </w:p>
    <w:p>
      <w:pPr>
        <w:pStyle w:val="ListNumber"/>
      </w:pPr>
      <w:r>
        <w:t>scikit-learn documentation, Model evaluation and classification metrics. https://scikit-learn.org/stable/modules/model_evaluation.html</w:t>
      </w:r>
    </w:p>
    <w:p>
      <w:pPr>
        <w:pStyle w:val="ListNumber"/>
      </w:pPr>
      <w:r>
        <w:t>Python cryptography documentation, Fernet and AEAD recipes. https://cryptography.io/en/latest/</w:t>
      </w:r>
    </w:p>
    <w:p>
      <w:pPr>
        <w:pStyle w:val="ListNumber"/>
      </w:pPr>
      <w:r>
        <w:t>FDA, Food Traceability Final Rule (FSMA Section 204) overview. https://www.fda.gov/food/food-safety-modernization-act-fsma/fsma-final-rule-requirements-additional-traceability-records-certain-foods</w:t>
      </w:r>
    </w:p>
    <w:p>
      <w:pPr>
        <w:pStyle w:val="Heading1"/>
      </w:pPr>
      <w:r>
        <w:t>Limitations and responsible use</w:t>
      </w:r>
    </w:p>
    <w:p>
      <w:r>
        <w:t>This is a reproducible educational prototype, not a production security assessment or certification. The scenario data are synthetic, do not represent a named company, and must not be interpreted as evidence of real incident rates or system performance. Production deployment requires asset inventory, stakeholder interviews, legal/regulatory review, threat modeling, independent testing, and qualified security review.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