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Data Encryption &amp; Privacy Preservation Analysis</w:t>
      </w:r>
    </w:p>
    <w:p>
      <w:pPr>
        <w:jc w:val="center"/>
      </w:pPr>
      <w:r>
        <w:rPr>
          <w:i/>
          <w:sz w:val="20"/>
        </w:rPr>
        <w:t>Food-processing data systems | Week 4</w:t>
      </w:r>
    </w:p>
    <w:p>
      <w:r>
        <w:t>Prepared as a technical learning project. All operational data and measured results in this package are simulated unless explicitly identified as external guidance.</w:t>
      </w:r>
    </w:p>
    <w:p>
      <w:pPr>
        <w:pStyle w:val="Heading1"/>
      </w:pPr>
      <w:r>
        <w:t>Executive summary</w:t>
      </w:r>
    </w:p>
    <w:p>
      <w:r>
        <w:t>Encryption is one part of a wider privacy and security program. Correct algorithm choice must be paired with key management, access control, secure implementation, retention, monitoring, and recovery.</w:t>
      </w:r>
    </w:p>
    <w:p>
      <w:pPr>
        <w:pStyle w:val="Heading1"/>
      </w:pPr>
      <w:r>
        <w:t>Data classification and use cases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Class</w:t>
            </w:r>
          </w:p>
        </w:tc>
        <w:tc>
          <w:tcPr>
            <w:tcW w:type="dxa" w:w="3312"/>
          </w:tcPr>
          <w:p>
            <w:r>
              <w:t>Example</w:t>
            </w:r>
          </w:p>
        </w:tc>
        <w:tc>
          <w:tcPr>
            <w:tcW w:type="dxa" w:w="3312"/>
          </w:tcPr>
          <w:p>
            <w:r>
              <w:t>Handling</w:t>
            </w:r>
          </w:p>
        </w:tc>
      </w:tr>
      <w:tr>
        <w:tc>
          <w:tcPr>
            <w:tcW w:type="dxa" w:w="3312"/>
          </w:tcPr>
          <w:p>
            <w:r>
              <w:t>Public</w:t>
            </w:r>
          </w:p>
        </w:tc>
        <w:tc>
          <w:tcPr>
            <w:tcW w:type="dxa" w:w="3312"/>
          </w:tcPr>
          <w:p>
            <w:r>
              <w:t>Published product or facility information</w:t>
            </w:r>
          </w:p>
        </w:tc>
        <w:tc>
          <w:tcPr>
            <w:tcW w:type="dxa" w:w="3312"/>
          </w:tcPr>
          <w:p>
            <w:r>
              <w:t>Integrity and change management</w:t>
            </w:r>
          </w:p>
        </w:tc>
      </w:tr>
      <w:tr>
        <w:tc>
          <w:tcPr>
            <w:tcW w:type="dxa" w:w="3312"/>
          </w:tcPr>
          <w:p>
            <w:r>
              <w:t>Internal</w:t>
            </w:r>
          </w:p>
        </w:tc>
        <w:tc>
          <w:tcPr>
            <w:tcW w:type="dxa" w:w="3312"/>
          </w:tcPr>
          <w:p>
            <w:r>
              <w:t>Operational schedules and non-sensitive reports</w:t>
            </w:r>
          </w:p>
        </w:tc>
        <w:tc>
          <w:tcPr>
            <w:tcW w:type="dxa" w:w="3312"/>
          </w:tcPr>
          <w:p>
            <w:r>
              <w:t>Authenticated access and controlled sharing</w:t>
            </w:r>
          </w:p>
        </w:tc>
      </w:tr>
      <w:tr>
        <w:tc>
          <w:tcPr>
            <w:tcW w:type="dxa" w:w="3312"/>
          </w:tcPr>
          <w:p>
            <w:r>
              <w:t>Confidential</w:t>
            </w:r>
          </w:p>
        </w:tc>
        <w:tc>
          <w:tcPr>
            <w:tcW w:type="dxa" w:w="3312"/>
          </w:tcPr>
          <w:p>
            <w:r>
              <w:t>Supplier terms, quality records, detailed production data</w:t>
            </w:r>
          </w:p>
        </w:tc>
        <w:tc>
          <w:tcPr>
            <w:tcW w:type="dxa" w:w="3312"/>
          </w:tcPr>
          <w:p>
            <w:r>
              <w:t>Encryption, least privilege, audit logs, retention limits</w:t>
            </w:r>
          </w:p>
        </w:tc>
      </w:tr>
      <w:tr>
        <w:tc>
          <w:tcPr>
            <w:tcW w:type="dxa" w:w="3312"/>
          </w:tcPr>
          <w:p>
            <w:r>
              <w:t>Restricted</w:t>
            </w:r>
          </w:p>
        </w:tc>
        <w:tc>
          <w:tcPr>
            <w:tcW w:type="dxa" w:w="3312"/>
          </w:tcPr>
          <w:p>
            <w:r>
              <w:t>Credentials, key material, sensitive personal data if present</w:t>
            </w:r>
          </w:p>
        </w:tc>
        <w:tc>
          <w:tcPr>
            <w:tcW w:type="dxa" w:w="3312"/>
          </w:tcPr>
          <w:p>
            <w:r>
              <w:t>Dedicated secrets/key management, strict access, no plaintext logs</w:t>
            </w:r>
          </w:p>
        </w:tc>
      </w:tr>
    </w:tbl>
    <w:p>
      <w:pPr>
        <w:pStyle w:val="Heading1"/>
      </w:pPr>
      <w:r>
        <w:t>Comparison of methods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Typical use</w:t>
            </w:r>
          </w:p>
        </w:tc>
        <w:tc>
          <w:tcPr>
            <w:tcW w:type="dxa" w:w="2484"/>
          </w:tcPr>
          <w:p>
            <w:r>
              <w:t>Strengths</w:t>
            </w:r>
          </w:p>
        </w:tc>
        <w:tc>
          <w:tcPr>
            <w:tcW w:type="dxa" w:w="2484"/>
          </w:tcPr>
          <w:p>
            <w:r>
              <w:t>Limitations / cautions</w:t>
            </w:r>
          </w:p>
        </w:tc>
      </w:tr>
      <w:tr>
        <w:tc>
          <w:tcPr>
            <w:tcW w:type="dxa" w:w="2484"/>
          </w:tcPr>
          <w:p>
            <w:r>
              <w:t>AES-256-GCM (symmetric AEAD)</w:t>
            </w:r>
          </w:p>
        </w:tc>
        <w:tc>
          <w:tcPr>
            <w:tcW w:type="dxa" w:w="2484"/>
          </w:tcPr>
          <w:p>
            <w:r>
              <w:t>Bulk data encryption with integrity/authentication</w:t>
            </w:r>
          </w:p>
        </w:tc>
        <w:tc>
          <w:tcPr>
            <w:tcW w:type="dxa" w:w="2484"/>
          </w:tcPr>
          <w:p>
            <w:r>
              <w:t>Fast; key and nonce management are critical</w:t>
            </w:r>
          </w:p>
        </w:tc>
        <w:tc>
          <w:tcPr>
            <w:tcW w:type="dxa" w:w="2484"/>
          </w:tcPr>
          <w:p>
            <w:r>
              <w:t>Recommended general pattern for application payloads when implemented by a maintained library</w:t>
            </w:r>
          </w:p>
        </w:tc>
      </w:tr>
      <w:tr>
        <w:tc>
          <w:tcPr>
            <w:tcW w:type="dxa" w:w="2484"/>
          </w:tcPr>
          <w:p>
            <w:r>
              <w:t>TLS 1.2/1.3</w:t>
            </w:r>
          </w:p>
        </w:tc>
        <w:tc>
          <w:tcPr>
            <w:tcW w:type="dxa" w:w="2484"/>
          </w:tcPr>
          <w:p>
            <w:r>
              <w:t>Data in transit</w:t>
            </w:r>
          </w:p>
        </w:tc>
        <w:tc>
          <w:tcPr>
            <w:tcW w:type="dxa" w:w="2484"/>
          </w:tcPr>
          <w:p>
            <w:r>
              <w:t>Protects a channel; does not automatically protect stored exports</w:t>
            </w:r>
          </w:p>
        </w:tc>
        <w:tc>
          <w:tcPr>
            <w:tcW w:type="dxa" w:w="2484"/>
          </w:tcPr>
          <w:p>
            <w:r>
              <w:t>Use for APIs, brokers, service-to-service traffic; validate certificates</w:t>
            </w:r>
          </w:p>
        </w:tc>
      </w:tr>
      <w:tr>
        <w:tc>
          <w:tcPr>
            <w:tcW w:type="dxa" w:w="2484"/>
          </w:tcPr>
          <w:p>
            <w:r>
              <w:t>Public-key cryptography</w:t>
            </w:r>
          </w:p>
        </w:tc>
        <w:tc>
          <w:tcPr>
            <w:tcW w:type="dxa" w:w="2484"/>
          </w:tcPr>
          <w:p>
            <w:r>
              <w:t>Key establishment, signatures, identity workflows</w:t>
            </w:r>
          </w:p>
        </w:tc>
        <w:tc>
          <w:tcPr>
            <w:tcW w:type="dxa" w:w="2484"/>
          </w:tcPr>
          <w:p>
            <w:r>
              <w:t>Not usually used to encrypt large datasets directly</w:t>
            </w:r>
          </w:p>
        </w:tc>
        <w:tc>
          <w:tcPr>
            <w:tcW w:type="dxa" w:w="2484"/>
          </w:tcPr>
          <w:p>
            <w:r>
              <w:t>Use vetted protocols and certificate lifecycle management</w:t>
            </w:r>
          </w:p>
        </w:tc>
      </w:tr>
      <w:tr>
        <w:tc>
          <w:tcPr>
            <w:tcW w:type="dxa" w:w="2484"/>
          </w:tcPr>
          <w:p>
            <w:r>
              <w:t>Hash (e.g., SHA-256)</w:t>
            </w:r>
          </w:p>
        </w:tc>
        <w:tc>
          <w:tcPr>
            <w:tcW w:type="dxa" w:w="2484"/>
          </w:tcPr>
          <w:p>
            <w:r>
              <w:t>Integrity fingerprint / change detection</w:t>
            </w:r>
          </w:p>
        </w:tc>
        <w:tc>
          <w:tcPr>
            <w:tcW w:type="dxa" w:w="2484"/>
          </w:tcPr>
          <w:p>
            <w:r>
              <w:t>Does not encrypt; a hash alone does not authenticate a sender</w:t>
            </w:r>
          </w:p>
        </w:tc>
        <w:tc>
          <w:tcPr>
            <w:tcW w:type="dxa" w:w="2484"/>
          </w:tcPr>
          <w:p>
            <w:r>
              <w:t>Manifest, deduplication, integrity checks; sign or MAC where authenticity is required</w:t>
            </w:r>
          </w:p>
        </w:tc>
      </w:tr>
      <w:tr>
        <w:tc>
          <w:tcPr>
            <w:tcW w:type="dxa" w:w="2484"/>
          </w:tcPr>
          <w:p>
            <w:r>
              <w:t>Tokenization / minimization</w:t>
            </w:r>
          </w:p>
        </w:tc>
        <w:tc>
          <w:tcPr>
            <w:tcW w:type="dxa" w:w="2484"/>
          </w:tcPr>
          <w:p>
            <w:r>
              <w:t>Reduce exposure of direct identifiers</w:t>
            </w:r>
          </w:p>
        </w:tc>
        <w:tc>
          <w:tcPr>
            <w:tcW w:type="dxa" w:w="2484"/>
          </w:tcPr>
          <w:p>
            <w:r>
              <w:t>Does not replace access controls or encryption</w:t>
            </w:r>
          </w:p>
        </w:tc>
        <w:tc>
          <w:tcPr>
            <w:tcW w:type="dxa" w:w="2484"/>
          </w:tcPr>
          <w:p>
            <w:r>
              <w:t>Use when analysts do not need original identifiers</w:t>
            </w:r>
          </w:p>
        </w:tc>
      </w:tr>
      <w:tr>
        <w:tc>
          <w:tcPr>
            <w:tcW w:type="dxa" w:w="2484"/>
          </w:tcPr>
          <w:p>
            <w:r>
              <w:t>Differential privacy</w:t>
            </w:r>
          </w:p>
        </w:tc>
        <w:tc>
          <w:tcPr>
            <w:tcW w:type="dxa" w:w="2484"/>
          </w:tcPr>
          <w:p>
            <w:r>
              <w:t>Bound disclosure in aggregate statistical outputs</w:t>
            </w:r>
          </w:p>
        </w:tc>
        <w:tc>
          <w:tcPr>
            <w:tcW w:type="dxa" w:w="2484"/>
          </w:tcPr>
          <w:p>
            <w:r>
              <w:t>Utility/privacy trade-off; requires careful parameter and query design</w:t>
            </w:r>
          </w:p>
        </w:tc>
        <w:tc>
          <w:tcPr>
            <w:tcW w:type="dxa" w:w="2484"/>
          </w:tcPr>
          <w:p>
            <w:r>
              <w:t>Consider for aggregate analytics, not as a direct replacement for record encryption</w:t>
            </w:r>
          </w:p>
        </w:tc>
      </w:tr>
    </w:tbl>
    <w:p>
      <w:pPr>
        <w:pStyle w:val="Heading1"/>
      </w:pPr>
      <w:r>
        <w:t>AES-GCM demonstration</w:t>
      </w:r>
    </w:p>
    <w:p>
      <w:r>
        <w:t>The following example uses the Python cryptography library. Install dependencies from requirements.txt before running.</w:t>
      </w:r>
    </w:p>
    <w:p>
      <w:pPr>
        <w:spacing w:after="0"/>
      </w:pPr>
      <w:r>
        <w:rPr>
          <w:rFonts w:ascii="Consolas" w:hAnsi="Consolas"/>
          <w:sz w:val="15"/>
        </w:rPr>
        <w:t>"""Week 4: authenticated encryption demo. Do not hard-code real keys in production."""</w:t>
      </w:r>
    </w:p>
    <w:p>
      <w:pPr>
        <w:spacing w:after="0"/>
      </w:pPr>
      <w:r>
        <w:rPr>
          <w:rFonts w:ascii="Consolas" w:hAnsi="Consolas"/>
          <w:sz w:val="15"/>
        </w:rPr>
        <w:t>import os</w:t>
      </w:r>
    </w:p>
    <w:p>
      <w:pPr>
        <w:spacing w:after="0"/>
      </w:pPr>
      <w:r>
        <w:rPr>
          <w:rFonts w:ascii="Consolas" w:hAnsi="Consolas"/>
          <w:sz w:val="15"/>
        </w:rPr>
        <w:t>from cryptography.hazmat.primitives.ciphers.aead import AESGCM</w:t>
      </w:r>
    </w:p>
    <w:p>
      <w:pPr>
        <w:spacing w:after="0"/>
      </w:pPr>
      <w:r>
        <w:rPr>
          <w:rFonts w:ascii="Consolas" w:hAnsi="Consolas"/>
          <w:sz w:val="15"/>
        </w:rPr>
        <w:t xml:space="preserve"> </w:t>
      </w:r>
    </w:p>
    <w:p>
      <w:pPr>
        <w:spacing w:after="0"/>
      </w:pPr>
      <w:r>
        <w:rPr>
          <w:rFonts w:ascii="Consolas" w:hAnsi="Consolas"/>
          <w:sz w:val="15"/>
        </w:rPr>
        <w:t># AES-GCM provides confidentiality and integrity/authenticity when used correctly.</w:t>
      </w:r>
    </w:p>
    <w:p>
      <w:pPr>
        <w:spacing w:after="0"/>
      </w:pPr>
      <w:r>
        <w:rPr>
          <w:rFonts w:ascii="Consolas" w:hAnsi="Consolas"/>
          <w:sz w:val="15"/>
        </w:rPr>
        <w:t>key = AESGCM.generate_key(bit_length=256)</w:t>
      </w:r>
    </w:p>
    <w:p>
      <w:pPr>
        <w:spacing w:after="0"/>
      </w:pPr>
      <w:r>
        <w:rPr>
          <w:rFonts w:ascii="Consolas" w:hAnsi="Consolas"/>
          <w:sz w:val="15"/>
        </w:rPr>
        <w:t>aesgcm = AESGCM(key)</w:t>
      </w:r>
    </w:p>
    <w:p>
      <w:pPr>
        <w:spacing w:after="0"/>
      </w:pPr>
      <w:r>
        <w:rPr>
          <w:rFonts w:ascii="Consolas" w:hAnsi="Consolas"/>
          <w:sz w:val="15"/>
        </w:rPr>
        <w:t>nonce = os.urandom(12)  # A nonce must never be reused with the same key.</w:t>
      </w:r>
    </w:p>
    <w:p>
      <w:pPr>
        <w:spacing w:after="0"/>
      </w:pPr>
      <w:r>
        <w:rPr>
          <w:rFonts w:ascii="Consolas" w:hAnsi="Consolas"/>
          <w:sz w:val="15"/>
        </w:rPr>
        <w:t>plaintext = b"batch_id=B-1001;quality_status=approved"</w:t>
      </w:r>
    </w:p>
    <w:p>
      <w:pPr>
        <w:spacing w:after="0"/>
      </w:pPr>
      <w:r>
        <w:rPr>
          <w:rFonts w:ascii="Consolas" w:hAnsi="Consolas"/>
          <w:sz w:val="15"/>
        </w:rPr>
        <w:t>associated_data = b"food-processing-demo:v1"</w:t>
      </w:r>
    </w:p>
    <w:p>
      <w:pPr>
        <w:spacing w:after="0"/>
      </w:pPr>
      <w:r>
        <w:rPr>
          <w:rFonts w:ascii="Consolas" w:hAnsi="Consolas"/>
          <w:sz w:val="15"/>
        </w:rPr>
        <w:t>ciphertext = aesgcm.encrypt(nonce, plaintext, associated_data)</w:t>
      </w:r>
    </w:p>
    <w:p>
      <w:pPr>
        <w:spacing w:after="0"/>
      </w:pPr>
      <w:r>
        <w:rPr>
          <w:rFonts w:ascii="Consolas" w:hAnsi="Consolas"/>
          <w:sz w:val="15"/>
        </w:rPr>
        <w:t>recovered = aesgcm.decrypt(nonce, ciphertext, associated_data)</w:t>
      </w:r>
    </w:p>
    <w:p>
      <w:pPr>
        <w:spacing w:after="0"/>
      </w:pPr>
      <w:r>
        <w:rPr>
          <w:rFonts w:ascii="Consolas" w:hAnsi="Consolas"/>
          <w:sz w:val="15"/>
        </w:rPr>
        <w:t xml:space="preserve"> </w:t>
      </w:r>
    </w:p>
    <w:p>
      <w:pPr>
        <w:spacing w:after="0"/>
      </w:pPr>
      <w:r>
        <w:rPr>
          <w:rFonts w:ascii="Consolas" w:hAnsi="Consolas"/>
          <w:sz w:val="15"/>
        </w:rPr>
        <w:t>assert recovered == plaintext</w:t>
      </w:r>
    </w:p>
    <w:p>
      <w:pPr>
        <w:spacing w:after="0"/>
      </w:pPr>
      <w:r>
        <w:rPr>
          <w:rFonts w:ascii="Consolas" w:hAnsi="Consolas"/>
          <w:sz w:val="15"/>
        </w:rPr>
        <w:t>print("Round-trip encryption/decryption passed.")</w:t>
      </w:r>
    </w:p>
    <w:p>
      <w:pPr>
        <w:spacing w:after="0"/>
      </w:pPr>
      <w:r>
        <w:rPr>
          <w:rFonts w:ascii="Consolas" w:hAnsi="Consolas"/>
          <w:sz w:val="15"/>
        </w:rPr>
        <w:t>print("Plaintext bytes:", len(plaintext))</w:t>
      </w:r>
    </w:p>
    <w:p>
      <w:pPr>
        <w:spacing w:after="0"/>
      </w:pPr>
      <w:r>
        <w:rPr>
          <w:rFonts w:ascii="Consolas" w:hAnsi="Consolas"/>
          <w:sz w:val="15"/>
        </w:rPr>
        <w:t>print("Ciphertext + authentication tag bytes:", len(ciphertext))</w:t>
      </w:r>
    </w:p>
    <w:p>
      <w:pPr>
        <w:spacing w:after="0"/>
      </w:pPr>
      <w:r>
        <w:rPr>
          <w:rFonts w:ascii="Consolas" w:hAnsi="Consolas"/>
          <w:sz w:val="15"/>
        </w:rPr>
        <w:t># Production requirements: protect/rotate keys in KMS/HSM or a secret manager;</w:t>
      </w:r>
    </w:p>
    <w:p>
      <w:pPr>
        <w:spacing w:after="0"/>
      </w:pPr>
      <w:r>
        <w:rPr>
          <w:rFonts w:ascii="Consolas" w:hAnsi="Consolas"/>
          <w:sz w:val="15"/>
        </w:rPr>
        <w:t># never log keys or plaintext; define access, rotation, backup, and recovery procedures.</w:t>
      </w:r>
    </w:p>
    <w:p>
      <w:pPr>
        <w:pStyle w:val="Heading1"/>
      </w:pPr>
      <w:r>
        <w:t>Privacy-preserving operating strategy</w:t>
      </w:r>
    </w:p>
    <w:p>
      <w:pPr>
        <w:pStyle w:val="ListBullet"/>
      </w:pPr>
      <w:r>
        <w:t>Collect only fields needed for a documented purpose; define retention and deletion rules.</w:t>
      </w:r>
    </w:p>
    <w:p>
      <w:pPr>
        <w:pStyle w:val="ListBullet"/>
      </w:pPr>
      <w:r>
        <w:t>Encrypt network traffic using correctly configured TLS and encrypt stored datasets/backups using platform-supported encryption.</w:t>
      </w:r>
    </w:p>
    <w:p>
      <w:pPr>
        <w:pStyle w:val="ListBullet"/>
      </w:pPr>
      <w:r>
        <w:t>Keep keys separate from encrypted data; use a KMS/HSM or approved secret manager, restrict key administrators, and rotate/revoke keys under documented procedures.</w:t>
      </w:r>
    </w:p>
    <w:p>
      <w:pPr>
        <w:pStyle w:val="ListBullet"/>
      </w:pPr>
      <w:r>
        <w:t>Use pseudonymous IDs for analytics where direct identity is unnecessary; restrict re-identification mapping to a separate role.</w:t>
      </w:r>
    </w:p>
    <w:p>
      <w:pPr>
        <w:pStyle w:val="ListBullet"/>
      </w:pPr>
      <w:r>
        <w:t>Mask secrets and sensitive fields in logs, tickets, notebooks, exports, and screenshots.</w:t>
      </w:r>
    </w:p>
    <w:p>
      <w:pPr>
        <w:pStyle w:val="ListBullet"/>
      </w:pPr>
      <w:r>
        <w:t>Apply row/column permissions and approval workflows for bulk export or sensitive record changes.</w:t>
      </w:r>
    </w:p>
    <w:p>
      <w:pPr>
        <w:pStyle w:val="ListBullet"/>
      </w:pPr>
      <w:r>
        <w:t>Test key backup/recovery and document the impact of lost, revoked, or compromised keys.</w:t>
      </w:r>
    </w:p>
    <w:p>
      <w:pPr>
        <w:pStyle w:val="Heading1"/>
      </w:pPr>
      <w:r>
        <w:t>Accessibility versus privacy</w:t>
      </w:r>
    </w:p>
    <w:p>
      <w:r>
        <w:t>Production teams may need record-level access to investigate a specific batch, while analysts often need aggregated trends. Use purpose-based roles, time-limited access, audited break-glass procedures, and curated datasets to support legitimate operations without broad default access.</w:t>
      </w:r>
    </w:p>
    <w:p>
      <w:pPr>
        <w:pStyle w:val="Heading1"/>
      </w:pPr>
      <w:r>
        <w:t>Test interpretation</w:t>
      </w:r>
    </w:p>
    <w:p>
      <w:r>
        <w:t>The AES-GCM example checks that decrypted bytes equal the original bytes. That verifies the local round trip only; it does not prove key custody, endpoint security, certificate validation, backup recoverability, or resistance to all implementation errors.</w:t>
      </w:r>
    </w:p>
    <w:p>
      <w:pPr>
        <w:pStyle w:val="Heading1"/>
      </w:pPr>
      <w:r>
        <w:t>Conclusion</w:t>
      </w:r>
    </w:p>
    <w:p>
      <w:r>
        <w:t>Use standard, maintained cryptographic libraries and protocols. Avoid designing custom cryptography; focus implementation effort on correct configuration, key lifecycle, identity, data minimization, and auditability.</w:t>
      </w:r>
    </w:p>
    <w:p>
      <w:pPr>
        <w:pStyle w:val="Heading1"/>
      </w:pPr>
      <w:r>
        <w:t>Submission description (200+ words)</w:t>
      </w:r>
    </w:p>
    <w:p>
      <w:r>
        <w:t>This report analyzes encryption and privacy-preservation options for food-processing data systems. It distinguishes encryption in transit from encryption at rest, symmetric authenticated encryption from public-key mechanisms, cryptographic hashes from encryption, and privacy techniques such as minimization, tokenization, and differential privacy. The comparison focuses on practical use cases, security properties, limitations, and operational responsibilities. The accompanying Python demonstration uses the maintained cryptography library's AES-GCM interface to generate a fresh 256-bit key and a 96-bit random nonce, encrypt a small synthetic batch record with associated context, and decrypt it to verify a successful round trip. The example uses no real business or personal data. It emphasizes that nonce reuse with the same AES-GCM key is unsafe and that keys must not be hard-coded, logged, or stored alongside ciphertext in a production system. The report proposes a privacy strategy based on data classification, collection minimization, role-based access, encryption in transit and at rest, managed key lifecycle, redacted logs, retention limits, and controlled exports. It also discusses the trade-off between data accessibility and privacy: operators may need detailed batch records while analysts often need only pseudonymized or aggregated views. Hashes can detect changes to a file but do not prove sender identity unless paired with an authenticated mechanism such as a signature or MAC. The included code is an educational cryptographic primitive demonstration, not a complete key-management or transport solution. Production implementation should use reviewed libraries and protocols, managed KMS/HSM capabilities where appropriate, formal access controls, and security review.</w:t>
      </w:r>
    </w:p>
    <w:p>
      <w:pPr>
        <w:pStyle w:val="Heading1"/>
      </w:pPr>
      <w:r>
        <w:t>References and further reading</w:t>
      </w:r>
    </w:p>
    <w:p>
      <w:pPr>
        <w:pStyle w:val="ListNumber"/>
      </w:pPr>
      <w:r>
        <w:t>NIST, Cybersecurity Framework (CSF) 2.0, 2024. https://www.nist.gov/cyberframework</w:t>
      </w:r>
    </w:p>
    <w:p>
      <w:pPr>
        <w:pStyle w:val="ListNumber"/>
      </w:pPr>
      <w:r>
        <w:t>NIST SP 800-30 Rev. 1, Guide for Conducting Risk Assessments, 2012. https://csrc.nist.gov/pubs/sp/800/30/r1/final</w:t>
      </w:r>
    </w:p>
    <w:p>
      <w:pPr>
        <w:pStyle w:val="ListNumber"/>
      </w:pPr>
      <w:r>
        <w:t>NIST SP 800-82 Rev. 3, Guide to Operational Technology (OT) Security, 2023. https://csrc.nist.gov/pubs/sp/800/82/r3/final</w:t>
      </w:r>
    </w:p>
    <w:p>
      <w:pPr>
        <w:pStyle w:val="ListNumber"/>
      </w:pPr>
      <w:r>
        <w:t>CISA, Cross-Sector Cybersecurity Performance Goals. https://www.cisa.gov/cross-sector-cybersecurity-performance-goals</w:t>
      </w:r>
    </w:p>
    <w:p>
      <w:pPr>
        <w:pStyle w:val="ListNumber"/>
      </w:pPr>
      <w:r>
        <w:t>NIST SP 800-53 Rev. 5, Security and Privacy Controls for Information Systems and Organizations, 2020 (updates may apply). https://csrc.nist.gov/pubs/sp/800/53/r5/upd1/final</w:t>
      </w:r>
    </w:p>
    <w:p>
      <w:pPr>
        <w:pStyle w:val="ListNumber"/>
      </w:pPr>
      <w:r>
        <w:t>NIST FIPS 197, Advanced Encryption Standard (AES), updated 2023. https://csrc.nist.gov/pubs/fips/197/final</w:t>
      </w:r>
    </w:p>
    <w:p>
      <w:pPr>
        <w:pStyle w:val="ListNumber"/>
      </w:pPr>
      <w:r>
        <w:t>NIST SP 800-57 Part 1 Rev. 5, Recommendation for Key Management, 2020. https://csrc.nist.gov/pubs/sp/800/57/pt1/r5/final</w:t>
      </w:r>
    </w:p>
    <w:p>
      <w:pPr>
        <w:pStyle w:val="ListNumber"/>
      </w:pPr>
      <w:r>
        <w:t>scikit-learn documentation, Model evaluation and classification metrics. https://scikit-learn.org/stable/modules/model_evaluation.html</w:t>
      </w:r>
    </w:p>
    <w:p>
      <w:pPr>
        <w:pStyle w:val="ListNumber"/>
      </w:pPr>
      <w:r>
        <w:t>Python cryptography documentation, Fernet and AEAD recipes. https://cryptography.io/en/latest/</w:t>
      </w:r>
    </w:p>
    <w:p>
      <w:pPr>
        <w:pStyle w:val="ListNumber"/>
      </w:pPr>
      <w:r>
        <w:t>FDA, Food Traceability Final Rule (FSMA Section 204) overview. https://www.fda.gov/food/food-safety-modernization-act-fsma/fsma-final-rule-requirements-additional-traceability-records-certain-foods</w:t>
      </w:r>
    </w:p>
    <w:p>
      <w:pPr>
        <w:pStyle w:val="Heading1"/>
      </w:pPr>
      <w:r>
        <w:t>Limitations and responsible use</w:t>
      </w:r>
    </w:p>
    <w:p>
      <w:r>
        <w:t>This is a reproducible educational prototype, not a production security assessment or certification. The scenario data are synthetic, do not represent a named company, and must not be interpreted as evidence of real incident rates or system performance. Production deployment requires asset inventory, stakeholder interviews, legal/regulatory review, threat modeling, independent testing, and qualified security 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