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F4E79"/>
          <w:sz w:val="40"/>
          <w:szCs w:val="40"/>
        </w:rPr>
        <w:t xml:space="preserve">LAB 10 — SETUP &amp; RUN GUIDE</w:t>
      </w:r>
    </w:p>
    <w:p>
      <w:pPr>
        <w:spacing w:after="120"/>
        <w:jc w:val="center"/>
      </w:pPr>
      <w:r>
        <w:rPr>
          <w:b/>
          <w:bCs/>
          <w:sz w:val="30"/>
          <w:szCs w:val="30"/>
        </w:rPr>
        <w:t xml:space="preserve">Container Apps Deploy · CI/CD · LLMOps (Capstone)</w:t>
      </w:r>
    </w:p>
    <w:p>
      <w:pPr>
        <w:spacing w:after="400"/>
        <w:jc w:val="center"/>
      </w:pPr>
      <w:r>
        <w:rPr>
          <w:i/>
          <w:iCs/>
          <w:color w:val="1F4E79"/>
          <w:sz w:val="21"/>
          <w:szCs w:val="21"/>
        </w:rPr>
        <w:t xml:space="preserve">Docker · Azure Container Registry · Azure Container Apps · GitHub Actions · Application Insights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E2EFDA" w:val="clear"/>
            <w:tcMar>
              <w:top w:type="dxa" w:w="120"/>
              <w:left w:type="dxa" w:w="180"/>
              <w:bottom w:type="dxa" w:w="120"/>
              <w:right w:type="dxa" w:w="180"/>
            </w:tcMar>
          </w:tcPr>
          <w:p>
            <w:pPr>
              <w:spacing w:after="60"/>
            </w:pPr>
            <w:r>
              <w:rPr>
                <w:b/>
                <w:bCs/>
                <w:color w:val="1F4E79"/>
              </w:rPr>
              <w:t xml:space="preserve">Scenario — a bank's agent goes live</w:t>
            </w:r>
          </w:p>
          <w:p>
            <w:pPr>
              <w:spacing w:after="40"/>
            </w:pPr>
            <w:r>
              <w:rPr>
                <w:sz w:val="20"/>
                <w:szCs w:val="20"/>
              </w:rPr>
              <w:t xml:space="preserve">A bank's transaction-triage agent must go to production with a rehearsed 02:00 rollback runbook and an eval gate that blocks bad deploys. You will containerise it, push to ACR, deploy to Azure Container Apps with auto-scaling and health probes, wire a GitHub Actions blue/green pipeline with an automated eval gate, and rehearse a SEV-1 rollback.</w:t>
            </w:r>
          </w:p>
        </w:tc>
      </w:tr>
    </w:tbl>
    <w:p>
      <w:pPr>
        <w:spacing w:before="300"/>
        <w:jc w:val="center"/>
      </w:pPr>
      <w:r>
        <w:rPr>
          <w:color w:val="1F4E79"/>
          <w:sz w:val="20"/>
          <w:szCs w:val="20"/>
        </w:rPr>
        <w:t xml:space="preserve">Estimated time: 4 hours · Level: Advanced · Language: India English</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Part 0 — Before you start</w:t>
      </w:r>
    </w:p>
    <w:p>
      <w:pPr>
        <w:spacing w:after="120" w:line="276"/>
      </w:pPr>
      <w:r>
        <w:t xml:space="preserve">This guide creates the Azure services for Lab 10 and runs every activity. A companion Outcomes guide explains how to read the results; a Rollback Runbook (Excel) is the 02:00 SEV-1 procedure. Written in simple India English.</w:t>
      </w:r>
    </w:p>
    <w:p>
      <w:pPr>
        <w:pStyle w:val="Heading2"/>
      </w:pPr>
      <w:r>
        <w:t xml:space="preserve">0.1 The artefacts you will produce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100"/>
        <w:gridCol w:w="3760"/>
      </w:tblGrid>
      <w:tr>
        <w:trPr>
          <w:tblHeader/>
        </w:trPr>
        <w:tc>
          <w:tcPr>
            <w:tcW w:type="dxa" w:w="5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w:t>
            </w:r>
          </w:p>
        </w:tc>
        <w:tc>
          <w:tcPr>
            <w:tcW w:type="dxa" w:w="51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Artefact</w:t>
            </w:r>
          </w:p>
        </w:tc>
        <w:tc>
          <w:tcPr>
            <w:tcW w:type="dxa" w:w="376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From</w:t>
            </w:r>
          </w:p>
        </w:tc>
      </w:tr>
      <w:tr>
        <w:tc>
          <w:tcPr>
            <w:tcW w:type="dxa" w:w="5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1</w:t>
            </w:r>
          </w:p>
        </w:tc>
        <w:tc>
          <w:tcPr>
            <w:tcW w:type="dxa" w:w="51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Containerised agent image in ACR</w:t>
            </w:r>
          </w:p>
        </w:tc>
        <w:tc>
          <w:tcPr>
            <w:tcW w:type="dxa" w:w="3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Lab 10-A (Dockerfile + az acr build)</w:t>
            </w:r>
          </w:p>
        </w:tc>
      </w:tr>
      <w:tr>
        <w:tc>
          <w:tcPr>
            <w:tcW w:type="dxa" w:w="5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2</w:t>
            </w:r>
          </w:p>
        </w:tc>
        <w:tc>
          <w:tcPr>
            <w:tcW w:type="dxa" w:w="51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Live agent on Container Apps (autoscale + probes)</w:t>
            </w:r>
          </w:p>
        </w:tc>
        <w:tc>
          <w:tcPr>
            <w:tcW w:type="dxa" w:w="37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Lab 10-B</w:t>
            </w:r>
          </w:p>
        </w:tc>
      </w:tr>
      <w:tr>
        <w:tc>
          <w:tcPr>
            <w:tcW w:type="dxa" w:w="5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3</w:t>
            </w:r>
          </w:p>
        </w:tc>
        <w:tc>
          <w:tcPr>
            <w:tcW w:type="dxa" w:w="51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Blue/green CI/CD pipeline with eval gate</w:t>
            </w:r>
          </w:p>
        </w:tc>
        <w:tc>
          <w:tcPr>
            <w:tcW w:type="dxa" w:w="3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Lab 10-C (GitHub Actions)</w:t>
            </w:r>
          </w:p>
        </w:tc>
      </w:tr>
      <w:tr>
        <w:tc>
          <w:tcPr>
            <w:tcW w:type="dxa" w:w="5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4</w:t>
            </w:r>
          </w:p>
        </w:tc>
        <w:tc>
          <w:tcPr>
            <w:tcW w:type="dxa" w:w="51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Rehearsed SEV-1 rollback runbook</w:t>
            </w:r>
          </w:p>
        </w:tc>
        <w:tc>
          <w:tcPr>
            <w:tcW w:type="dxa" w:w="37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Lab10_Rollback_Runbook.xlsx</w:t>
            </w:r>
          </w:p>
        </w:tc>
      </w:tr>
    </w:tbl>
    <w:p>
      <w:pPr>
        <w:pStyle w:val="Heading2"/>
      </w:pPr>
      <w:r>
        <w:t xml:space="preserve">0.2 Offline first</w:t>
      </w:r>
    </w:p>
    <w:p>
      <w:pPr>
        <w:spacing w:after="120" w:line="276"/>
      </w:pPr>
      <w:r>
        <w:t xml:space="preserve">The whole app and the eval gate run locally with no Docker and no Azure, so you can learn the flow first. The deploy scripts and pipeline are the Azure path.</w:t>
      </w:r>
    </w:p>
    <w:p>
      <w:pPr>
        <w:pBdr>
          <w:top w:val="single" w:color="D9D9D9" w:sz="4"/>
        </w:pBdr>
        <w:shd w:fill="F3F3F3" w:val="clear"/>
        <w:spacing w:after="0" w:before="0" w:line="240"/>
      </w:pPr>
      <w:r>
        <w:rPr>
          <w:rFonts w:ascii="Consolas" w:cs="Consolas" w:eastAsia="Consolas" w:hAnsi="Consolas"/>
          <w:sz w:val="18"/>
          <w:szCs w:val="18"/>
        </w:rPr>
        <w:t xml:space="preserve">pip install -r app/requirements.txt</w:t>
      </w:r>
    </w:p>
    <w:p>
      <w:pPr>
        <w:shd w:fill="F3F3F3" w:val="clear"/>
        <w:spacing w:after="0" w:before="0" w:line="240"/>
      </w:pPr>
      <w:r>
        <w:rPr>
          <w:rFonts w:ascii="Consolas" w:cs="Consolas" w:eastAsia="Consolas" w:hAnsi="Consolas"/>
          <w:sz w:val="18"/>
          <w:szCs w:val="18"/>
        </w:rPr>
        <w:t xml:space="preserve">uvicorn main:app --app-dir app --port 8000     # open http://localhost:8000/health</w:t>
      </w:r>
    </w:p>
    <w:p>
      <w:pPr>
        <w:shd w:fill="F3F3F3" w:val="clear"/>
        <w:spacing w:after="0" w:before="0" w:line="240"/>
      </w:pPr>
      <w:r>
        <w:rPr>
          <w:rFonts w:ascii="Consolas" w:cs="Consolas" w:eastAsia="Consolas" w:hAnsi="Consolas"/>
          <w:sz w:val="18"/>
          <w:szCs w:val="18"/>
        </w:rPr>
        <w:t xml:space="preserve">python eval/eval_gate.py                        # GOOD policy -&gt; PASS (exit 0)</w:t>
      </w:r>
    </w:p>
    <w:p>
      <w:pPr>
        <w:shd w:fill="F3F3F3" w:val="clear"/>
        <w:spacing w:after="0" w:before="0" w:line="240"/>
      </w:pPr>
      <w:r>
        <w:rPr>
          <w:rFonts w:ascii="Consolas" w:cs="Consolas" w:eastAsia="Consolas" w:hAnsi="Consolas"/>
          <w:sz w:val="18"/>
          <w:szCs w:val="18"/>
        </w:rPr>
        <w:t xml:space="preserve">AGENT_POLICY=app/policies/policy_v2_bad.json python eval/eval_gate.py   # BAD -&gt; FAIL (exit 1)</w:t>
      </w:r>
    </w:p>
    <w:p>
      <w:pPr>
        <w:pStyle w:val="Heading2"/>
      </w:pPr>
      <w:r>
        <w:t xml:space="preserve">0.3 Prerequisites</w:t>
      </w:r>
    </w:p>
    <w:p>
      <w:pPr>
        <w:pStyle w:val="ListParagraph"/>
        <w:numPr>
          <w:ilvl w:val="0"/>
          <w:numId w:val="2"/>
        </w:numPr>
        <w:spacing w:after="60"/>
      </w:pPr>
      <w:r>
        <w:t xml:space="preserve">Azure subscription (Contributor) and the Azure CLI (az). Docker is optional — az acr build builds in the cloud.</w:t>
      </w:r>
    </w:p>
    <w:p>
      <w:pPr>
        <w:pStyle w:val="ListParagraph"/>
        <w:numPr>
          <w:ilvl w:val="0"/>
          <w:numId w:val="2"/>
        </w:numPr>
        <w:spacing w:after="60"/>
      </w:pPr>
      <w:r>
        <w:t xml:space="preserve">A GitHub repo for the CI/CD part, with permission to add secrets.</w:t>
      </w:r>
    </w:p>
    <w:p>
      <w:r>
        <w:br w:type="page"/>
      </w:r>
    </w:p>
    <w:p>
      <w:pPr>
        <w:pStyle w:val="Heading1"/>
      </w:pPr>
      <w:r>
        <w:t xml:space="preserve">Part 1 — When Container Apps wins vs AKS</w:t>
      </w:r>
    </w:p>
    <w:p>
      <w:pPr>
        <w:spacing w:after="120" w:line="276"/>
      </w:pPr>
      <w:r>
        <w:t xml:space="preserve">Both run containers on Azure. For this agent — a stateless HTTP API that must autoscale, do blue/green, and stay cheap — Azure Container Apps (ACA) is the right default. AKS (Kubernetes) is the read-ahead for when you outgrow ACA; we do not build AKS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30"/>
        <w:gridCol w:w="3630"/>
      </w:tblGrid>
      <w:tr>
        <w:trPr>
          <w:tblHeader/>
        </w:trPr>
        <w:tc>
          <w:tcPr>
            <w:tcW w:type="dxa" w:w="17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Dimension</w:t>
            </w:r>
          </w:p>
        </w:tc>
        <w:tc>
          <w:tcPr>
            <w:tcW w:type="dxa" w:w="403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Azure Container Apps (use this)</w:t>
            </w:r>
          </w:p>
        </w:tc>
        <w:tc>
          <w:tcPr>
            <w:tcW w:type="dxa" w:w="363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AKS (read-ahead)</w:t>
            </w:r>
          </w:p>
        </w:tc>
      </w:tr>
      <w:tr>
        <w:tc>
          <w:tcPr>
            <w:tcW w:type="dxa" w:w="17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Ops burden</w:t>
            </w:r>
          </w:p>
        </w:tc>
        <w:tc>
          <w:tcPr>
            <w:tcW w:type="dxa" w:w="403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Serverless; no nodes/cluster to manage</w:t>
            </w:r>
          </w:p>
        </w:tc>
        <w:tc>
          <w:tcPr>
            <w:tcW w:type="dxa" w:w="363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You run and patch a Kubernetes cluster</w:t>
            </w:r>
          </w:p>
        </w:tc>
      </w:tr>
      <w:tr>
        <w:tc>
          <w:tcPr>
            <w:tcW w:type="dxa" w:w="17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Autoscale</w:t>
            </w:r>
          </w:p>
        </w:tc>
        <w:tc>
          <w:tcPr>
            <w:tcW w:type="dxa" w:w="403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Built-in KEDA; scale to zero; HTTP/event rules</w:t>
            </w:r>
          </w:p>
        </w:tc>
        <w:tc>
          <w:tcPr>
            <w:tcW w:type="dxa" w:w="363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Configure HPA/KEDA yourself</w:t>
            </w:r>
          </w:p>
        </w:tc>
      </w:tr>
      <w:tr>
        <w:tc>
          <w:tcPr>
            <w:tcW w:type="dxa" w:w="17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Blue/green</w:t>
            </w:r>
          </w:p>
        </w:tc>
        <w:tc>
          <w:tcPr>
            <w:tcW w:type="dxa" w:w="403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Revisions + traffic split out of the box</w:t>
            </w:r>
          </w:p>
        </w:tc>
        <w:tc>
          <w:tcPr>
            <w:tcW w:type="dxa" w:w="363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Do it with Deployments/Services/Ingress</w:t>
            </w:r>
          </w:p>
        </w:tc>
      </w:tr>
      <w:tr>
        <w:tc>
          <w:tcPr>
            <w:tcW w:type="dxa" w:w="17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Best for</w:t>
            </w:r>
          </w:p>
        </w:tc>
        <w:tc>
          <w:tcPr>
            <w:tcW w:type="dxa" w:w="403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Microservices, APIs, event-driven agents</w:t>
            </w:r>
          </w:p>
        </w:tc>
        <w:tc>
          <w:tcPr>
            <w:tcW w:type="dxa" w:w="363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Complex orchestration, GPUs, service mesh, node control</w:t>
            </w:r>
          </w:p>
        </w:tc>
      </w:tr>
      <w:tr>
        <w:tc>
          <w:tcPr>
            <w:tcW w:type="dxa" w:w="17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When to move up</w:t>
            </w:r>
          </w:p>
        </w:tc>
        <w:tc>
          <w:tcPr>
            <w:tcW w:type="dxa" w:w="403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You need custom networking, DaemonSets, node pools, or heavy stateful workloads</w:t>
            </w:r>
          </w:p>
        </w:tc>
        <w:tc>
          <w:tcPr>
            <w:tcW w:type="dxa" w:w="363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That is exactly AKS territory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D6E4F0" w:val="clear"/>
            <w:tcMar>
              <w:top w:type="dxa" w:w="120"/>
              <w:left w:type="dxa" w:w="180"/>
              <w:bottom w:type="dxa" w:w="120"/>
              <w:right w:type="dxa" w:w="180"/>
            </w:tcMar>
          </w:tcPr>
          <w:p>
            <w:pPr>
              <w:spacing w:after="60"/>
            </w:pPr>
            <w:r>
              <w:rPr>
                <w:b/>
                <w:bCs/>
                <w:color w:val="1F4E79"/>
              </w:rPr>
              <w:t xml:space="preserve">One-line rule</w:t>
            </w:r>
          </w:p>
          <w:p>
            <w:pPr>
              <w:spacing w:after="40"/>
            </w:pPr>
            <w:r>
              <w:rPr>
                <w:sz w:val="20"/>
                <w:szCs w:val="20"/>
              </w:rPr>
              <w:t xml:space="preserve">Start on Container Apps. Reach for AKS only when you need Kubernetes-level control (custom CNI, node pools, GPUs, sidecars/mesh) that ACA does not expose. Most agent APIs never need to.</w:t>
            </w:r>
          </w:p>
        </w:tc>
      </w:tr>
    </w:tbl>
    <w:p>
      <w:r>
        <w:br w:type="page"/>
      </w:r>
    </w:p>
    <w:p>
      <w:pPr>
        <w:pStyle w:val="Heading1"/>
      </w:pPr>
      <w:r>
        <w:t xml:space="preserve">Part 2 — The app you are shipping</w:t>
      </w:r>
    </w:p>
    <w:p>
      <w:pPr>
        <w:spacing w:after="120" w:line="276"/>
      </w:pPr>
      <w:r>
        <w:t xml:space="preserve">The service is a small FastAPI app: a bank transaction-triage agent that returns approve / review / block. Its decisions come from a VERSIONED policy file — this plays the role of the 'prompt' that LLMOps versions, and a bad change to it is what the eval gate must catch.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rPr>
          <w:tblHeader/>
        </w:trPr>
        <w:tc>
          <w:tcPr>
            <w:tcW w:type="dxa" w:w="20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Endpoint</w:t>
            </w:r>
          </w:p>
        </w:tc>
        <w:tc>
          <w:tcPr>
            <w:tcW w:type="dxa" w:w="44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Purpose</w:t>
            </w:r>
          </w:p>
        </w:tc>
        <w:tc>
          <w:tcPr>
            <w:tcW w:type="dxa" w:w="296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Used by</w:t>
            </w:r>
          </w:p>
        </w:tc>
      </w:tr>
      <w:tr>
        <w:tc>
          <w:tcPr>
            <w:tcW w:type="dxa" w:w="2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GET /health</w:t>
            </w:r>
          </w:p>
        </w:tc>
        <w:tc>
          <w:tcPr>
            <w:tcW w:type="dxa" w:w="4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Liveness — is the process up?</w:t>
            </w:r>
          </w:p>
        </w:tc>
        <w:tc>
          <w:tcPr>
            <w:tcW w:type="dxa" w:w="29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Container Apps liveness probe</w:t>
            </w:r>
          </w:p>
        </w:tc>
      </w:tr>
      <w:tr>
        <w:tc>
          <w:tcPr>
            <w:tcW w:type="dxa" w:w="20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GET /ready</w:t>
            </w:r>
          </w:p>
        </w:tc>
        <w:tc>
          <w:tcPr>
            <w:tcW w:type="dxa" w:w="44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Readiness — is a valid policy loaded?</w:t>
            </w:r>
          </w:p>
        </w:tc>
        <w:tc>
          <w:tcPr>
            <w:tcW w:type="dxa" w:w="29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Container Apps readiness probe</w:t>
            </w:r>
          </w:p>
        </w:tc>
      </w:tr>
      <w:tr>
        <w:tc>
          <w:tcPr>
            <w:tcW w:type="dxa" w:w="2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POST /decide</w:t>
            </w:r>
          </w:p>
        </w:tc>
        <w:tc>
          <w:tcPr>
            <w:tcW w:type="dxa" w:w="4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The triage decision for one transaction</w:t>
            </w:r>
          </w:p>
        </w:tc>
        <w:tc>
          <w:tcPr>
            <w:tcW w:type="dxa" w:w="29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Callers + the eval gate</w:t>
            </w:r>
          </w:p>
        </w:tc>
      </w:tr>
      <w:tr>
        <w:tc>
          <w:tcPr>
            <w:tcW w:type="dxa" w:w="20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GET /version</w:t>
            </w:r>
          </w:p>
        </w:tc>
        <w:tc>
          <w:tcPr>
            <w:tcW w:type="dxa" w:w="44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app version + git sha + policy version</w:t>
            </w:r>
          </w:p>
        </w:tc>
        <w:tc>
          <w:tcPr>
            <w:tcW w:type="dxa" w:w="29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Traceability / rollback verification</w:t>
            </w:r>
          </w:p>
        </w:tc>
      </w:tr>
      <w:tr>
        <w:tc>
          <w:tcPr>
            <w:tcW w:type="dxa" w:w="2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GET /modelcard</w:t>
            </w:r>
          </w:p>
        </w:tc>
        <w:tc>
          <w:tcPr>
            <w:tcW w:type="dxa" w:w="4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The auto-generated model card</w:t>
            </w:r>
          </w:p>
        </w:tc>
        <w:tc>
          <w:tcPr>
            <w:tcW w:type="dxa" w:w="29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LLMOps / audit</w:t>
            </w:r>
          </w:p>
        </w:tc>
      </w:tr>
    </w:tbl>
    <w:p>
      <w:pPr>
        <w:spacing w:after="120" w:line="276"/>
      </w:pPr>
      <w:r>
        <w:t xml:space="preserve">Two policies ship: policy_v1.json (good) and policy_v2_bad.json (a regression where the high-value block rule is removed — the '02:00 bad prompt change'). Point the app at either with the AGENT_POLICY environment variable.</w:t>
      </w:r>
    </w:p>
    <w:p>
      <w:r>
        <w:br w:type="page"/>
      </w:r>
    </w:p>
    <w:p>
      <w:pPr>
        <w:pStyle w:val="Heading1"/>
      </w:pPr>
      <w:r>
        <w:t xml:space="preserve">Part 3 — Create the Azure services</w:t>
      </w:r>
    </w:p>
    <w:p>
      <w:pPr>
        <w:pStyle w:val="Heading2"/>
      </w:pPr>
      <w:r>
        <w:t xml:space="preserve">3.1 Names to reuse (edit deploy/00_env.sh)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Placeholder</w:t>
            </w:r>
          </w:p>
        </w:tc>
        <w:tc>
          <w:tcPr>
            <w:tcW w:type="dxa" w:w="576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Example</w:t>
            </w:r>
          </w:p>
        </w:tc>
      </w:tr>
      <w:tr>
        <w:tc>
          <w:tcPr>
            <w:tcW w:type="dxa" w:w="36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Resource group</w:t>
            </w:r>
          </w:p>
        </w:tc>
        <w:tc>
          <w:tcPr>
            <w:tcW w:type="dxa" w:w="5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rg-lab10-agent</w:t>
            </w:r>
          </w:p>
        </w:tc>
      </w:tr>
      <w:tr>
        <w:tc>
          <w:tcPr>
            <w:tcW w:type="dxa" w:w="36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Region</w:t>
            </w:r>
          </w:p>
        </w:tc>
        <w:tc>
          <w:tcPr>
            <w:tcW w:type="dxa" w:w="57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eastus</w:t>
            </w:r>
          </w:p>
        </w:tc>
      </w:tr>
      <w:tr>
        <w:tc>
          <w:tcPr>
            <w:tcW w:type="dxa" w:w="36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ACR name (globally unique, lowercase)</w:t>
            </w:r>
          </w:p>
        </w:tc>
        <w:tc>
          <w:tcPr>
            <w:tcW w:type="dxa" w:w="5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acrlab10vrl -&gt; acrlab10vrl.azurecr.io</w:t>
            </w:r>
          </w:p>
        </w:tc>
      </w:tr>
      <w:tr>
        <w:tc>
          <w:tcPr>
            <w:tcW w:type="dxa" w:w="36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Container Apps environment</w:t>
            </w:r>
          </w:p>
        </w:tc>
        <w:tc>
          <w:tcPr>
            <w:tcW w:type="dxa" w:w="57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cae-lab10</w:t>
            </w:r>
          </w:p>
        </w:tc>
      </w:tr>
      <w:tr>
        <w:tc>
          <w:tcPr>
            <w:tcW w:type="dxa" w:w="36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Container App</w:t>
            </w:r>
          </w:p>
        </w:tc>
        <w:tc>
          <w:tcPr>
            <w:tcW w:type="dxa" w:w="5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bank-triage-agent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FF2CC" w:val="clear"/>
            <w:tcMar>
              <w:top w:type="dxa" w:w="120"/>
              <w:left w:type="dxa" w:w="180"/>
              <w:bottom w:type="dxa" w:w="120"/>
              <w:right w:type="dxa" w:w="180"/>
            </w:tcMar>
          </w:tcPr>
          <w:p>
            <w:pPr>
              <w:spacing w:after="60"/>
            </w:pPr>
            <w:r>
              <w:rPr>
                <w:b/>
                <w:bCs/>
                <w:color w:val="1F4E79"/>
              </w:rPr>
              <w:t xml:space="preserve">Reuse what you already have</w:t>
            </w:r>
          </w:p>
          <w:p>
            <w:pPr>
              <w:spacing w:after="40"/>
            </w:pPr>
            <w:r>
              <w:rPr>
                <w:sz w:val="20"/>
                <w:szCs w:val="20"/>
              </w:rPr>
              <w:t xml:space="preserve">If you created a resource group or an Application Insights resource in an earlier lab, reuse them — no need to make new ones. Only ACR and the Container Apps environment are new for Lab 10.</w:t>
            </w:r>
          </w:p>
        </w:tc>
      </w:tr>
    </w:tbl>
    <w:p>
      <w:pPr>
        <w:pStyle w:val="Heading2"/>
      </w:pPr>
      <w:r>
        <w:t xml:space="preserve">3.2 Sign in and register providers</w:t>
      </w:r>
    </w:p>
    <w:p>
      <w:pPr>
        <w:pBdr>
          <w:top w:val="single" w:color="D9D9D9" w:sz="4"/>
        </w:pBdr>
        <w:shd w:fill="F3F3F3" w:val="clear"/>
        <w:spacing w:after="0" w:before="0" w:line="240"/>
      </w:pPr>
      <w:r>
        <w:rPr>
          <w:rFonts w:ascii="Consolas" w:cs="Consolas" w:eastAsia="Consolas" w:hAnsi="Consolas"/>
          <w:sz w:val="18"/>
          <w:szCs w:val="18"/>
        </w:rPr>
        <w:t xml:space="preserve">az login</w:t>
      </w:r>
    </w:p>
    <w:p>
      <w:pPr>
        <w:shd w:fill="F3F3F3" w:val="clear"/>
        <w:spacing w:after="0" w:before="0" w:line="240"/>
      </w:pPr>
      <w:r>
        <w:rPr>
          <w:rFonts w:ascii="Consolas" w:cs="Consolas" w:eastAsia="Consolas" w:hAnsi="Consolas"/>
          <w:sz w:val="18"/>
          <w:szCs w:val="18"/>
        </w:rPr>
        <w:t xml:space="preserve">az account set --subscription "&lt;your-subscription&gt;"</w:t>
      </w:r>
    </w:p>
    <w:p>
      <w:pPr>
        <w:shd w:fill="F3F3F3" w:val="clear"/>
        <w:spacing w:after="0" w:before="0" w:line="240"/>
      </w:pPr>
      <w:r>
        <w:rPr>
          <w:rFonts w:ascii="Consolas" w:cs="Consolas" w:eastAsia="Consolas" w:hAnsi="Consolas"/>
          <w:sz w:val="18"/>
          <w:szCs w:val="18"/>
        </w:rPr>
        <w:t xml:space="preserve">az extension add --name containerapp --upgrade</w:t>
      </w:r>
    </w:p>
    <w:p>
      <w:pPr>
        <w:shd w:fill="F3F3F3" w:val="clear"/>
        <w:spacing w:after="0" w:before="0" w:line="240"/>
      </w:pPr>
      <w:r>
        <w:rPr>
          <w:rFonts w:ascii="Consolas" w:cs="Consolas" w:eastAsia="Consolas" w:hAnsi="Consolas"/>
          <w:sz w:val="18"/>
          <w:szCs w:val="18"/>
        </w:rPr>
        <w:t xml:space="preserve">az provider register --namespace Microsoft.App</w:t>
      </w:r>
    </w:p>
    <w:p>
      <w:pPr>
        <w:shd w:fill="F3F3F3" w:val="clear"/>
        <w:spacing w:after="0" w:before="0" w:line="240"/>
      </w:pPr>
      <w:r>
        <w:rPr>
          <w:rFonts w:ascii="Consolas" w:cs="Consolas" w:eastAsia="Consolas" w:hAnsi="Consolas"/>
          <w:sz w:val="18"/>
          <w:szCs w:val="18"/>
        </w:rPr>
        <w:t xml:space="preserve">az provider register --namespace Microsoft.OperationalInsights</w:t>
      </w:r>
    </w:p>
    <w:p>
      <w:r>
        <w:br w:type="page"/>
      </w:r>
    </w:p>
    <w:p>
      <w:pPr>
        <w:pStyle w:val="Heading1"/>
      </w:pPr>
      <w:r>
        <w:t xml:space="preserve">Part 4 — Lab 10-A: containerise and push to ACR</w:t>
      </w:r>
    </w:p>
    <w:p>
      <w:pPr>
        <w:pStyle w:val="Heading3"/>
      </w:pPr>
      <w:r>
        <w:t xml:space="preserve">What the Dockerfile does</w:t>
      </w:r>
    </w:p>
    <w:p>
      <w:pPr>
        <w:spacing w:after="120" w:line="276"/>
      </w:pPr>
      <w:r>
        <w:t xml:space="preserve">It uses a slim Python base, installs only the small runtime deps, copies the app, runs as a non-root user (bank security baseline), adds a container HEALTHCHECK, and starts uvicorn on the port Container Apps expects.</w:t>
      </w:r>
    </w:p>
    <w:p>
      <w:pPr>
        <w:pStyle w:val="Heading3"/>
      </w:pPr>
      <w:r>
        <w:t xml:space="preserve">Build and push (cloud build — no local Docker needed)</w:t>
      </w:r>
    </w:p>
    <w:p>
      <w:pPr>
        <w:pBdr>
          <w:top w:val="single" w:color="D9D9D9" w:sz="4"/>
        </w:pBdr>
        <w:shd w:fill="F3F3F3" w:val="clear"/>
        <w:spacing w:after="0" w:before="0" w:line="240"/>
      </w:pPr>
      <w:r>
        <w:rPr>
          <w:rFonts w:ascii="Consolas" w:cs="Consolas" w:eastAsia="Consolas" w:hAnsi="Consolas"/>
          <w:sz w:val="18"/>
          <w:szCs w:val="18"/>
        </w:rPr>
        <w:t xml:space="preserve">source deploy/00_env.sh</w:t>
      </w:r>
    </w:p>
    <w:p>
      <w:pPr>
        <w:shd w:fill="F3F3F3" w:val="clear"/>
        <w:spacing w:after="0" w:before="0" w:line="240"/>
      </w:pPr>
      <w:r>
        <w:rPr>
          <w:rFonts w:ascii="Consolas" w:cs="Consolas" w:eastAsia="Consolas" w:hAnsi="Consolas"/>
          <w:sz w:val="18"/>
          <w:szCs w:val="18"/>
        </w:rPr>
        <w:t xml:space="preserve">export TAG=$(git rev-parse --short HEAD)   # or any tag</w:t>
      </w:r>
    </w:p>
    <w:p>
      <w:pPr>
        <w:shd w:fill="F3F3F3" w:val="clear"/>
        <w:spacing w:after="0" w:before="0" w:line="240"/>
      </w:pPr>
      <w:r>
        <w:rPr>
          <w:rFonts w:ascii="Consolas" w:cs="Consolas" w:eastAsia="Consolas" w:hAnsi="Consolas"/>
          <w:sz w:val="18"/>
          <w:szCs w:val="18"/>
        </w:rPr>
        <w:t xml:space="preserve">./deploy/01_acr_build_push.sh</w:t>
      </w:r>
    </w:p>
    <w:p>
      <w:pPr>
        <w:spacing w:after="120" w:line="276"/>
      </w:pPr>
      <w:r>
        <w:t xml:space="preserve">Under the hood this runs az acr build, which builds the image in Azure and pushes it to your registry as bank-triage-agent:&lt;tag&gt;.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D6E4F0" w:val="clear"/>
            <w:tcMar>
              <w:top w:type="dxa" w:w="120"/>
              <w:left w:type="dxa" w:w="180"/>
              <w:bottom w:type="dxa" w:w="120"/>
              <w:right w:type="dxa" w:w="180"/>
            </w:tcMar>
          </w:tcPr>
          <w:p>
            <w:pPr>
              <w:spacing w:after="60"/>
            </w:pPr>
            <w:r>
              <w:rPr>
                <w:b/>
                <w:bCs/>
                <w:color w:val="1F4E79"/>
              </w:rPr>
              <w:t xml:space="preserve">Check</w:t>
            </w:r>
          </w:p>
          <w:p>
            <w:pPr>
              <w:spacing w:after="40"/>
            </w:pPr>
            <w:r>
              <w:rPr>
                <w:sz w:val="20"/>
                <w:szCs w:val="20"/>
              </w:rPr>
              <w:t xml:space="preserve">az acr repository show-tags --name &lt;ACR&gt; --repository bank-triage-agent lists your new tag.</w:t>
            </w:r>
          </w:p>
        </w:tc>
      </w:tr>
    </w:tbl>
    <w:p>
      <w:r>
        <w:br w:type="page"/>
      </w:r>
    </w:p>
    <w:p>
      <w:pPr>
        <w:pStyle w:val="Heading1"/>
      </w:pPr>
      <w:r>
        <w:t xml:space="preserve">Part 5 — Lab 10-B: deploy to Container Apps</w:t>
      </w:r>
    </w:p>
    <w:p>
      <w:pPr>
        <w:spacing w:after="120" w:line="276"/>
      </w:pPr>
      <w:r>
        <w:t xml:space="preserve">Goal: a live, auto-scaling app with health probes.</w:t>
      </w:r>
    </w:p>
    <w:p>
      <w:pPr>
        <w:pBdr>
          <w:top w:val="single" w:color="D9D9D9" w:sz="4"/>
        </w:pBdr>
        <w:shd w:fill="F3F3F3" w:val="clear"/>
        <w:spacing w:after="0" w:before="0" w:line="240"/>
      </w:pPr>
      <w:r>
        <w:rPr>
          <w:rFonts w:ascii="Consolas" w:cs="Consolas" w:eastAsia="Consolas" w:hAnsi="Consolas"/>
          <w:sz w:val="18"/>
          <w:szCs w:val="18"/>
        </w:rPr>
        <w:t xml:space="preserve">./deploy/02_deploy_containerapp.sh</w:t>
      </w:r>
    </w:p>
    <w:p>
      <w:pPr>
        <w:spacing w:after="120" w:line="276"/>
      </w:pPr>
      <w:r>
        <w:t xml:space="preserve">This creates the Container Apps environment (once), creates the app in MULTIPLE revision mode (needed for blue/green), sets an HTTP auto-scale rule, then applies deploy/containerapp.yaml which adds the liveness / readiness / startup probes.</w:t>
      </w:r>
    </w:p>
    <w:p>
      <w:pPr>
        <w:pStyle w:val="Heading2"/>
      </w:pPr>
      <w:r>
        <w:t xml:space="preserve">5.1 Auto-scaling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Setting</w:t>
            </w:r>
          </w:p>
        </w:tc>
        <w:tc>
          <w:tcPr>
            <w:tcW w:type="dxa" w:w="26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Value</w:t>
            </w:r>
          </w:p>
        </w:tc>
        <w:tc>
          <w:tcPr>
            <w:tcW w:type="dxa" w:w="416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Meaning</w:t>
            </w:r>
          </w:p>
        </w:tc>
      </w:tr>
      <w:tr>
        <w:tc>
          <w:tcPr>
            <w:tcW w:type="dxa" w:w="26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min replicas</w:t>
            </w:r>
          </w:p>
        </w:tc>
        <w:tc>
          <w:tcPr>
            <w:tcW w:type="dxa" w:w="26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1</w:t>
            </w:r>
          </w:p>
        </w:tc>
        <w:tc>
          <w:tcPr>
            <w:tcW w:type="dxa" w:w="41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Keep one warm for latency (use 0 to scale to zero)</w:t>
            </w:r>
          </w:p>
        </w:tc>
      </w:tr>
      <w:tr>
        <w:tc>
          <w:tcPr>
            <w:tcW w:type="dxa" w:w="26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max replicas</w:t>
            </w:r>
          </w:p>
        </w:tc>
        <w:tc>
          <w:tcPr>
            <w:tcW w:type="dxa" w:w="26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10</w:t>
            </w:r>
          </w:p>
        </w:tc>
        <w:tc>
          <w:tcPr>
            <w:tcW w:type="dxa" w:w="41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Upper bound on scale-out</w:t>
            </w:r>
          </w:p>
        </w:tc>
      </w:tr>
      <w:tr>
        <w:tc>
          <w:tcPr>
            <w:tcW w:type="dxa" w:w="26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rule</w:t>
            </w:r>
          </w:p>
        </w:tc>
        <w:tc>
          <w:tcPr>
            <w:tcW w:type="dxa" w:w="26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http concurrency = 50</w:t>
            </w:r>
          </w:p>
        </w:tc>
        <w:tc>
          <w:tcPr>
            <w:tcW w:type="dxa" w:w="41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Add a replica for roughly every 50 concurrent requests</w:t>
            </w:r>
          </w:p>
        </w:tc>
      </w:tr>
    </w:tbl>
    <w:p>
      <w:pPr>
        <w:pStyle w:val="Heading2"/>
      </w:pPr>
      <w:r>
        <w:t xml:space="preserve">5.2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rPr>
          <w:tblHeader/>
        </w:trPr>
        <w:tc>
          <w:tcPr>
            <w:tcW w:type="dxa" w:w="18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Probe</w:t>
            </w:r>
          </w:p>
        </w:tc>
        <w:tc>
          <w:tcPr>
            <w:tcW w:type="dxa" w:w="18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Path</w:t>
            </w:r>
          </w:p>
        </w:tc>
        <w:tc>
          <w:tcPr>
            <w:tcW w:type="dxa" w:w="576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Why it matters</w:t>
            </w:r>
          </w:p>
        </w:tc>
      </w:tr>
      <w:tr>
        <w:tc>
          <w:tcPr>
            <w:tcW w:type="dxa" w:w="18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Startup</w:t>
            </w:r>
          </w:p>
        </w:tc>
        <w:tc>
          <w:tcPr>
            <w:tcW w:type="dxa" w:w="18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/health</w:t>
            </w:r>
          </w:p>
        </w:tc>
        <w:tc>
          <w:tcPr>
            <w:tcW w:type="dxa" w:w="5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Give the app time to boot before liveness starts</w:t>
            </w:r>
          </w:p>
        </w:tc>
      </w:tr>
      <w:tr>
        <w:tc>
          <w:tcPr>
            <w:tcW w:type="dxa" w:w="18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Liveness</w:t>
            </w:r>
          </w:p>
        </w:tc>
        <w:tc>
          <w:tcPr>
            <w:tcW w:type="dxa" w:w="18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/health</w:t>
            </w:r>
          </w:p>
        </w:tc>
        <w:tc>
          <w:tcPr>
            <w:tcW w:type="dxa" w:w="57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Restart the container if the process wedges</w:t>
            </w:r>
          </w:p>
        </w:tc>
      </w:tr>
      <w:tr>
        <w:tc>
          <w:tcPr>
            <w:tcW w:type="dxa" w:w="18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Readiness</w:t>
            </w:r>
          </w:p>
        </w:tc>
        <w:tc>
          <w:tcPr>
            <w:tcW w:type="dxa" w:w="18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/ready</w:t>
            </w:r>
          </w:p>
        </w:tc>
        <w:tc>
          <w:tcPr>
            <w:tcW w:type="dxa" w:w="5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Only send traffic once a valid policy is loaded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D6E4F0" w:val="clear"/>
            <w:tcMar>
              <w:top w:type="dxa" w:w="120"/>
              <w:left w:type="dxa" w:w="180"/>
              <w:bottom w:type="dxa" w:w="120"/>
              <w:right w:type="dxa" w:w="180"/>
            </w:tcMar>
          </w:tcPr>
          <w:p>
            <w:pPr>
              <w:spacing w:after="60"/>
            </w:pPr>
            <w:r>
              <w:rPr>
                <w:b/>
                <w:bCs/>
                <w:color w:val="1F4E79"/>
              </w:rPr>
              <w:t xml:space="preserve">Check</w:t>
            </w:r>
          </w:p>
          <w:p>
            <w:pPr>
              <w:spacing w:after="40"/>
            </w:pPr>
            <w:r>
              <w:rPr>
                <w:sz w:val="20"/>
                <w:szCs w:val="20"/>
              </w:rPr>
              <w:t xml:space="preserve">az containerapp show ... --query properties.configuration.ingress.fqdn gives the URL. Open /health, /ready and /version.</w:t>
            </w:r>
          </w:p>
        </w:tc>
      </w:tr>
    </w:tbl>
    <w:p>
      <w:r>
        <w:br w:type="page"/>
      </w:r>
    </w:p>
    <w:p>
      <w:pPr>
        <w:pStyle w:val="Heading1"/>
      </w:pPr>
      <w:r>
        <w:t xml:space="preserve">Part 6 — Lab 10-C: CI/CD with blue/green + eval gate</w:t>
      </w:r>
    </w:p>
    <w:p>
      <w:pPr>
        <w:spacing w:after="40" w:before="80"/>
        <w:jc w:val="center"/>
      </w:pPr>
      <w:r>
        <w:drawing>
          <wp:inline distT="0" distB="0" distL="0" distR="0">
            <wp:extent cx="5524500" cy="3152775"/>
            <wp:effectExtent t="0" r="0" b="0" l="0"/>
            <wp:docPr id="1" name="statemachine" descr="agent state machine diagram" title="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52775"/>
                    </a:xfrm>
                    <a:prstGeom prst="rect">
                      <a:avLst/>
                    </a:prstGeom>
                  </pic:spPr>
                </pic:pic>
              </a:graphicData>
            </a:graphic>
          </wp:inline>
        </w:drawing>
      </w:r>
    </w:p>
    <w:p>
      <w:pPr>
        <w:spacing w:after="140"/>
        <w:jc w:val="center"/>
      </w:pPr>
      <w:r>
        <w:rPr>
          <w:i/>
          <w:iCs/>
          <w:color w:val="595959"/>
          <w:sz w:val="18"/>
          <w:szCs w:val="18"/>
        </w:rPr>
        <w:t xml:space="preserve">Figure 1 — the pipeline: build -&gt; ACR -&gt; deploy GREEN at 0% -&gt; eval gate -&gt; promote or block.</w:t>
      </w:r>
    </w:p>
    <w:p>
      <w:pPr>
        <w:pStyle w:val="Heading2"/>
      </w:pPr>
      <w:r>
        <w:t xml:space="preserve">6.1 The flow</w:t>
      </w:r>
    </w:p>
    <w:p>
      <w:pPr>
        <w:pStyle w:val="ListParagraph"/>
        <w:numPr>
          <w:ilvl w:val="0"/>
          <w:numId w:val="3"/>
        </w:numPr>
        <w:spacing w:after="80"/>
      </w:pPr>
      <w:r>
        <w:t xml:space="preserve">On push, GitHub Actions runs an in-process eval pre-check (fast fail on a bad policy).</w:t>
      </w:r>
    </w:p>
    <w:p>
      <w:pPr>
        <w:pStyle w:val="ListParagraph"/>
        <w:numPr>
          <w:ilvl w:val="0"/>
          <w:numId w:val="3"/>
        </w:numPr>
        <w:spacing w:after="80"/>
      </w:pPr>
      <w:r>
        <w:t xml:space="preserve">It builds the image with az acr build and generates the model card.</w:t>
      </w:r>
    </w:p>
    <w:p>
      <w:pPr>
        <w:pStyle w:val="ListParagraph"/>
        <w:numPr>
          <w:ilvl w:val="0"/>
          <w:numId w:val="3"/>
        </w:numPr>
        <w:spacing w:after="80"/>
      </w:pPr>
      <w:r>
        <w:t xml:space="preserve">It deploys the new image as a GREEN revision at 0% traffic (users stay on BLUE).</w:t>
      </w:r>
    </w:p>
    <w:p>
      <w:pPr>
        <w:pStyle w:val="ListParagraph"/>
        <w:numPr>
          <w:ilvl w:val="0"/>
          <w:numId w:val="3"/>
        </w:numPr>
        <w:spacing w:after="80"/>
      </w:pPr>
      <w:r>
        <w:t xml:space="preserve">It smoke-tests and runs the eval gate against GREEN's own URL.</w:t>
      </w:r>
    </w:p>
    <w:p>
      <w:pPr>
        <w:pStyle w:val="ListParagraph"/>
        <w:numPr>
          <w:ilvl w:val="0"/>
          <w:numId w:val="3"/>
        </w:numPr>
        <w:spacing w:after="80"/>
      </w:pPr>
      <w:r>
        <w:t xml:space="preserve">Only if the gate PASSES does it shift 100% traffic to GREEN. If it fails, the job fails and traffic never moves.</w:t>
      </w:r>
    </w:p>
    <w:p>
      <w:pPr>
        <w:pStyle w:val="Heading2"/>
      </w:pPr>
      <w:r>
        <w:t xml:space="preserve">6.2 Wire the GitHub secrets (OIDC login)</w:t>
      </w:r>
    </w:p>
    <w:p>
      <w:pPr>
        <w:spacing w:after="120" w:line="276"/>
      </w:pPr>
      <w:r>
        <w:t xml:space="preserve">Create a federated credential (app registration) and add three repo secrets so azure/login works without a stored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Secret</w:t>
            </w:r>
          </w:p>
        </w:tc>
        <w:tc>
          <w:tcPr>
            <w:tcW w:type="dxa" w:w="616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What</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AZURE_CLIENT_ID</w:t>
            </w:r>
          </w:p>
        </w:tc>
        <w:tc>
          <w:tcPr>
            <w:tcW w:type="dxa" w:w="61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App registration (federated) client id</w:t>
            </w:r>
          </w:p>
        </w:tc>
      </w:tr>
      <w:tr>
        <w:tc>
          <w:tcPr>
            <w:tcW w:type="dxa" w:w="32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AZURE_TENANT_ID</w:t>
            </w:r>
          </w:p>
        </w:tc>
        <w:tc>
          <w:tcPr>
            <w:tcW w:type="dxa" w:w="61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Your tenant id</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AZURE_SUBSCRIPTION_ID</w:t>
            </w:r>
          </w:p>
        </w:tc>
        <w:tc>
          <w:tcPr>
            <w:tcW w:type="dxa" w:w="61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Your subscription id</w:t>
            </w:r>
          </w:p>
        </w:tc>
      </w:tr>
    </w:tbl>
    <w:p>
      <w:pPr>
        <w:pBdr>
          <w:top w:val="single" w:color="D9D9D9" w:sz="4"/>
        </w:pBdr>
        <w:shd w:fill="F3F3F3" w:val="clear"/>
        <w:spacing w:after="0" w:before="0" w:line="240"/>
      </w:pPr>
      <w:r>
        <w:rPr>
          <w:rFonts w:ascii="Consolas" w:cs="Consolas" w:eastAsia="Consolas" w:hAnsi="Consolas"/>
          <w:sz w:val="18"/>
          <w:szCs w:val="18"/>
        </w:rPr>
        <w:t xml:space="preserve"># high level (run once): create the app registration + federated credential</w:t>
      </w:r>
    </w:p>
    <w:p>
      <w:pPr>
        <w:shd w:fill="F3F3F3" w:val="clear"/>
        <w:spacing w:after="0" w:before="0" w:line="240"/>
      </w:pPr>
      <w:r>
        <w:rPr>
          <w:rFonts w:ascii="Consolas" w:cs="Consolas" w:eastAsia="Consolas" w:hAnsi="Consolas"/>
          <w:sz w:val="18"/>
          <w:szCs w:val="18"/>
        </w:rPr>
        <w:t xml:space="preserve">az ad app create --display-name lab10-gha</w:t>
      </w:r>
    </w:p>
    <w:p>
      <w:pPr>
        <w:shd w:fill="F3F3F3" w:val="clear"/>
        <w:spacing w:after="0" w:before="0" w:line="240"/>
      </w:pPr>
      <w:r>
        <w:rPr>
          <w:rFonts w:ascii="Consolas" w:cs="Consolas" w:eastAsia="Consolas" w:hAnsi="Consolas"/>
          <w:sz w:val="18"/>
          <w:szCs w:val="18"/>
        </w:rPr>
        <w:t xml:space="preserve"># then add a federated credential for your repo/branch and assign it</w:t>
      </w:r>
    </w:p>
    <w:p>
      <w:pPr>
        <w:shd w:fill="F3F3F3" w:val="clear"/>
        <w:spacing w:after="0" w:before="0" w:line="240"/>
      </w:pPr>
      <w:r>
        <w:rPr>
          <w:rFonts w:ascii="Consolas" w:cs="Consolas" w:eastAsia="Consolas" w:hAnsi="Consolas"/>
          <w:sz w:val="18"/>
          <w:szCs w:val="18"/>
        </w:rPr>
        <w:t xml:space="preserve"># Contributor + AcrPush on the resource group. See Azure OIDC docs.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E2EFDA" w:val="clear"/>
            <w:tcMar>
              <w:top w:type="dxa" w:w="120"/>
              <w:left w:type="dxa" w:w="180"/>
              <w:bottom w:type="dxa" w:w="120"/>
              <w:right w:type="dxa" w:w="180"/>
            </w:tcMar>
          </w:tcPr>
          <w:p>
            <w:pPr>
              <w:spacing w:after="60"/>
            </w:pPr>
            <w:r>
              <w:rPr>
                <w:b/>
                <w:bCs/>
                <w:color w:val="1F4E79"/>
              </w:rPr>
              <w:t xml:space="preserve">The eval gate is the point</w:t>
            </w:r>
          </w:p>
          <w:p>
            <w:pPr>
              <w:spacing w:after="40"/>
            </w:pPr>
            <w:r>
              <w:rPr>
                <w:sz w:val="20"/>
                <w:szCs w:val="20"/>
              </w:rPr>
              <w:t xml:space="preserve">The gate runs the golden set against the candidate. A good change scores 12/12 and promotes; the bad policy scores 7/12 and the pipeline BLOCKS the deploy. This is what stops a bad prompt reaching production.</w:t>
            </w:r>
          </w:p>
        </w:tc>
      </w:tr>
    </w:tbl>
    <w:p>
      <w:r>
        <w:br w:type="page"/>
      </w:r>
    </w:p>
    <w:p>
      <w:pPr>
        <w:pStyle w:val="Heading1"/>
      </w:pPr>
      <w:r>
        <w:t xml:space="preserve">Part 7 — LLMOps: versioning, model cards, rollback</w:t>
      </w:r>
    </w:p>
    <w:p>
      <w:pPr>
        <w:pStyle w:val="Heading2"/>
      </w:pPr>
      <w:r>
        <w:t xml:space="preserve">7.1 Prompt / policy versioning</w:t>
      </w:r>
    </w:p>
    <w:p>
      <w:pPr>
        <w:spacing w:after="120" w:line="276"/>
      </w:pPr>
      <w:r>
        <w:t xml:space="preserve">The active policy is chosen by the AGENT_POLICY env var and its version shows on /version. Every deploy records which policy version is live, so you always know what is serving and can roll back to a known-good one.</w:t>
      </w:r>
    </w:p>
    <w:p>
      <w:pPr>
        <w:pStyle w:val="Heading2"/>
      </w:pPr>
      <w:r>
        <w:t xml:space="preserve">7.2 Model card automation</w:t>
      </w:r>
    </w:p>
    <w:p>
      <w:pPr>
        <w:pBdr>
          <w:top w:val="single" w:color="D9D9D9" w:sz="4"/>
        </w:pBdr>
        <w:shd w:fill="F3F3F3" w:val="clear"/>
        <w:spacing w:after="0" w:before="0" w:line="240"/>
      </w:pPr>
      <w:r>
        <w:rPr>
          <w:rFonts w:ascii="Consolas" w:cs="Consolas" w:eastAsia="Consolas" w:hAnsi="Consolas"/>
          <w:sz w:val="18"/>
          <w:szCs w:val="18"/>
        </w:rPr>
        <w:t xml:space="preserve">python scripts/model_card.py --app-version $TAG --git-sha $TAG \</w:t>
      </w:r>
    </w:p>
    <w:p>
      <w:pPr>
        <w:shd w:fill="F3F3F3" w:val="clear"/>
        <w:spacing w:after="0" w:before="0" w:line="240"/>
      </w:pPr>
      <w:r>
        <w:rPr>
          <w:rFonts w:ascii="Consolas" w:cs="Consolas" w:eastAsia="Consolas" w:hAnsi="Consolas"/>
          <w:sz w:val="18"/>
          <w:szCs w:val="18"/>
        </w:rPr>
        <w:t xml:space="preserve">  --policy app/policies/policy_v1.json --eval-passed 12 --eval-total 12</w:t>
      </w:r>
    </w:p>
    <w:p>
      <w:pPr>
        <w:spacing w:after="120" w:line="276"/>
      </w:pPr>
      <w:r>
        <w:t xml:space="preserve">CI runs this on every release, so each image ships with an accurate model card (version, policy, eval score, limitations, rollback note) at /modelcard — no hand-written docs that drift.</w:t>
      </w:r>
    </w:p>
    <w:p>
      <w:pPr>
        <w:pStyle w:val="Heading2"/>
      </w:pPr>
      <w:r>
        <w:t xml:space="preserve">7.3 Rollback pattern</w:t>
      </w:r>
    </w:p>
    <w:p>
      <w:pPr>
        <w:spacing w:after="120" w:line="276"/>
      </w:pPr>
      <w:r>
        <w:t xml:space="preserve">Because Container Apps keeps previous revisions, rollback is a traffic shift, not a rebuild: send 100% back to the last known-good revision. This is instant and reversible — the heart of the SEV-1 runbook.</w:t>
      </w:r>
    </w:p>
    <w:p>
      <w:pPr>
        <w:pBdr>
          <w:top w:val="single" w:color="D9D9D9" w:sz="4"/>
        </w:pBdr>
        <w:shd w:fill="F3F3F3" w:val="clear"/>
        <w:spacing w:after="0" w:before="0" w:line="240"/>
      </w:pPr>
      <w:r>
        <w:rPr>
          <w:rFonts w:ascii="Consolas" w:cs="Consolas" w:eastAsia="Consolas" w:hAnsi="Consolas"/>
          <w:sz w:val="18"/>
          <w:szCs w:val="18"/>
        </w:rPr>
        <w:t xml:space="preserve">./deploy/04_rollback.sh            # 100% traffic back to the previous good revision</w:t>
      </w:r>
    </w:p>
    <w:p>
      <w:r>
        <w:br w:type="page"/>
      </w:r>
    </w:p>
    <w:p>
      <w:pPr>
        <w:pStyle w:val="Heading1"/>
      </w:pPr>
      <w:r>
        <w:t xml:space="preserve">Part 8 — The 02:00 SEV-1 rollback drill</w:t>
      </w:r>
    </w:p>
    <w:p>
      <w:pPr>
        <w:spacing w:after="120" w:line="276"/>
      </w:pPr>
      <w:r>
        <w:t xml:space="preserve">Rehearse the incident using Lab10_Rollback_Runbook.xlsx. The trigger: a bad policy change is failing in production at 02:00. The goal: restore service in under 10 minutes.</w:t>
      </w:r>
    </w:p>
    <w:p>
      <w:pPr>
        <w:pStyle w:val="ListParagraph"/>
        <w:numPr>
          <w:ilvl w:val="0"/>
          <w:numId w:val="3"/>
        </w:numPr>
        <w:spacing w:after="80"/>
      </w:pPr>
      <w:r>
        <w:t xml:space="preserve">Simulate the bad deploy: deploy the app with AGENT_POLICY=policies/policy_v2_bad.json (or let the pipeline try — the gate should catch it; for the drill, deploy it directly to force the incident).</w:t>
      </w:r>
    </w:p>
    <w:p>
      <w:pPr>
        <w:pStyle w:val="ListParagraph"/>
        <w:numPr>
          <w:ilvl w:val="0"/>
          <w:numId w:val="3"/>
        </w:numPr>
        <w:spacing w:after="80"/>
      </w:pPr>
      <w:r>
        <w:t xml:space="preserve">Detect: the /decide endpoint now approves high-value transactions it should block; App Insights shows the bad behaviour.</w:t>
      </w:r>
    </w:p>
    <w:p>
      <w:pPr>
        <w:pStyle w:val="ListParagraph"/>
        <w:numPr>
          <w:ilvl w:val="0"/>
          <w:numId w:val="3"/>
        </w:numPr>
        <w:spacing w:after="80"/>
      </w:pPr>
      <w:r>
        <w:t xml:space="preserve">Roll back: run ./deploy/04_rollback.sh — traffic shifts to the good revision in seconds.</w:t>
      </w:r>
    </w:p>
    <w:p>
      <w:pPr>
        <w:pStyle w:val="ListParagraph"/>
        <w:numPr>
          <w:ilvl w:val="0"/>
          <w:numId w:val="3"/>
        </w:numPr>
        <w:spacing w:after="80"/>
      </w:pPr>
      <w:r>
        <w:t xml:space="preserve">Verify: curl /version shows policy_version back to v1; errors clear.</w:t>
      </w:r>
    </w:p>
    <w:p>
      <w:pPr>
        <w:pStyle w:val="ListParagraph"/>
        <w:numPr>
          <w:ilvl w:val="0"/>
          <w:numId w:val="3"/>
        </w:numPr>
        <w:spacing w:after="80"/>
      </w:pPr>
      <w:r>
        <w:t xml:space="preserve">Learn: add a golden-set case so the gate blocks this change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FF2CC" w:val="clear"/>
            <w:tcMar>
              <w:top w:type="dxa" w:w="120"/>
              <w:left w:type="dxa" w:w="180"/>
              <w:bottom w:type="dxa" w:w="120"/>
              <w:right w:type="dxa" w:w="180"/>
            </w:tcMar>
          </w:tcPr>
          <w:p>
            <w:pPr>
              <w:spacing w:after="60"/>
            </w:pPr>
            <w:r>
              <w:rPr>
                <w:b/>
                <w:bCs/>
                <w:color w:val="1F4E79"/>
              </w:rPr>
              <w:t xml:space="preserve">Why the gate + runbook are both needed</w:t>
            </w:r>
          </w:p>
          <w:p>
            <w:pPr>
              <w:spacing w:after="40"/>
            </w:pPr>
            <w:r>
              <w:rPr>
                <w:sz w:val="20"/>
                <w:szCs w:val="20"/>
              </w:rPr>
              <w:t xml:space="preserve">The eval gate is prevention (it should stop the bad deploy). The runbook is the safety net for when something still slips through. A production bank agent needs both, and the team must have rehearsed the runbook before 02:00, not during it.</w:t>
            </w:r>
          </w:p>
        </w:tc>
      </w:tr>
    </w:tbl>
    <w:p>
      <w:r>
        <w:br w:type="page"/>
      </w:r>
    </w:p>
    <w:p>
      <w:pPr>
        <w:pStyle w:val="Heading1"/>
      </w:pPr>
      <w:r>
        <w:t xml:space="preserve">Part 9 — Troubleshooting and cleanup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Symptom</w:t>
            </w:r>
          </w:p>
        </w:tc>
        <w:tc>
          <w:tcPr>
            <w:tcW w:type="dxa" w:w="6160"/>
            <w:tcBorders>
              <w:top w:val="single" w:color="BFBFBF" w:sz="1"/>
              <w:left w:val="single" w:color="BFBFBF" w:sz="1"/>
              <w:bottom w:val="single" w:color="BFBFBF" w:sz="1"/>
              <w:right w:val="single" w:color="BFBFBF" w:sz="1"/>
            </w:tcBorders>
            <w:shd w:fill="1F4E79" w:val="clear"/>
            <w:tcMar>
              <w:top w:type="dxa" w:w="70"/>
              <w:left w:type="dxa" w:w="100"/>
              <w:bottom w:type="dxa" w:w="70"/>
              <w:right w:type="dxa" w:w="100"/>
            </w:tcMar>
          </w:tcPr>
          <w:p>
            <w:r>
              <w:rPr>
                <w:b/>
                <w:bCs/>
                <w:color w:val="FFFFFF"/>
                <w:sz w:val="19"/>
                <w:szCs w:val="19"/>
              </w:rPr>
              <w:t xml:space="preserve">Likely cause and fix</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az acr build fails</w:t>
            </w:r>
          </w:p>
        </w:tc>
        <w:tc>
          <w:tcPr>
            <w:tcW w:type="dxa" w:w="61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Check you are logged in and the ACR name is correct/unique</w:t>
            </w:r>
          </w:p>
        </w:tc>
      </w:tr>
      <w:tr>
        <w:tc>
          <w:tcPr>
            <w:tcW w:type="dxa" w:w="32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App shows 'not ready'</w:t>
            </w:r>
          </w:p>
        </w:tc>
        <w:tc>
          <w:tcPr>
            <w:tcW w:type="dxa" w:w="61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The policy file failed to load — check AGENT_POLICY path in the revision</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Image pull fails</w:t>
            </w:r>
          </w:p>
        </w:tc>
        <w:tc>
          <w:tcPr>
            <w:tcW w:type="dxa" w:w="61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Registry creds/identity missing — enable admin or assign AcrPull</w:t>
            </w:r>
          </w:p>
        </w:tc>
      </w:tr>
      <w:tr>
        <w:tc>
          <w:tcPr>
            <w:tcW w:type="dxa" w:w="320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Traffic did not shift</w:t>
            </w:r>
          </w:p>
        </w:tc>
        <w:tc>
          <w:tcPr>
            <w:tcW w:type="dxa" w:w="6160"/>
            <w:tcBorders>
              <w:top w:val="single" w:color="BFBFBF" w:sz="1"/>
              <w:left w:val="single" w:color="BFBFBF" w:sz="1"/>
              <w:bottom w:val="single" w:color="BFBFBF" w:sz="1"/>
              <w:right w:val="single" w:color="BFBFBF" w:sz="1"/>
            </w:tcBorders>
            <w:shd w:fill="F5F8FC" w:val="clear"/>
            <w:tcMar>
              <w:top w:type="dxa" w:w="60"/>
              <w:left w:type="dxa" w:w="100"/>
              <w:bottom w:type="dxa" w:w="60"/>
              <w:right w:type="dxa" w:w="100"/>
            </w:tcMar>
          </w:tcPr>
          <w:p>
            <w:r>
              <w:rPr>
                <w:sz w:val="18"/>
                <w:szCs w:val="18"/>
              </w:rPr>
              <w:t xml:space="preserve">App must be in multiple revision mode; check revision names in the traffic command</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Pipeline blocked</w:t>
            </w:r>
          </w:p>
        </w:tc>
        <w:tc>
          <w:tcPr>
            <w:tcW w:type="dxa" w:w="61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tcPr>
          <w:p>
            <w:r>
              <w:rPr>
                <w:sz w:val="18"/>
                <w:szCs w:val="18"/>
              </w:rPr>
              <w:t xml:space="preserve">The eval gate failed — that is correct if the policy regressed; read the failing cases</w:t>
            </w:r>
          </w:p>
        </w:tc>
      </w:tr>
    </w:tbl>
    <w:p>
      <w:pPr>
        <w:pStyle w:val="Heading2"/>
      </w:pPr>
      <w:r>
        <w:t xml:space="preserve">9.1 Clean up</w:t>
      </w:r>
    </w:p>
    <w:p>
      <w:pPr>
        <w:pBdr>
          <w:top w:val="single" w:color="D9D9D9" w:sz="4"/>
        </w:pBdr>
        <w:shd w:fill="F3F3F3" w:val="clear"/>
        <w:spacing w:after="0" w:before="0" w:line="240"/>
      </w:pPr>
      <w:r>
        <w:rPr>
          <w:rFonts w:ascii="Consolas" w:cs="Consolas" w:eastAsia="Consolas" w:hAnsi="Consolas"/>
          <w:sz w:val="18"/>
          <w:szCs w:val="18"/>
        </w:rPr>
        <w:t xml:space="preserve">az group delete --name rg-lab10-agent --yes --no-wait</w:t>
      </w:r>
    </w:p>
    <w:p>
      <w:pPr>
        <w:pStyle w:val="Heading2"/>
      </w:pPr>
      <w:r>
        <w:t xml:space="preserve">9.2 Outcomes checklist</w:t>
      </w:r>
    </w:p>
    <w:p>
      <w:pPr>
        <w:pStyle w:val="ListParagraph"/>
        <w:numPr>
          <w:ilvl w:val="0"/>
          <w:numId w:val="2"/>
        </w:numPr>
        <w:spacing w:after="60"/>
      </w:pPr>
      <w:r>
        <w:rPr>
          <w:b/>
          <w:bCs/>
        </w:rPr>
        <w:t xml:space="preserve">✓ </w:t>
      </w:r>
      <w:r>
        <w:t xml:space="preserve">Image built and pushed to ACR (10-A).</w:t>
      </w:r>
    </w:p>
    <w:p>
      <w:pPr>
        <w:pStyle w:val="ListParagraph"/>
        <w:numPr>
          <w:ilvl w:val="0"/>
          <w:numId w:val="2"/>
        </w:numPr>
        <w:spacing w:after="60"/>
      </w:pPr>
      <w:r>
        <w:rPr>
          <w:b/>
          <w:bCs/>
        </w:rPr>
        <w:t xml:space="preserve">✓ </w:t>
      </w:r>
      <w:r>
        <w:t xml:space="preserve">Live on Container Apps with autoscale + probes (10-B).</w:t>
      </w:r>
    </w:p>
    <w:p>
      <w:pPr>
        <w:pStyle w:val="ListParagraph"/>
        <w:numPr>
          <w:ilvl w:val="0"/>
          <w:numId w:val="2"/>
        </w:numPr>
        <w:spacing w:after="60"/>
      </w:pPr>
      <w:r>
        <w:rPr>
          <w:b/>
          <w:bCs/>
        </w:rPr>
        <w:t xml:space="preserve">✓ </w:t>
      </w:r>
      <w:r>
        <w:t xml:space="preserve">Blue/green pipeline with an eval gate that blocks bad deploys (10-C).</w:t>
      </w:r>
    </w:p>
    <w:p>
      <w:pPr>
        <w:pStyle w:val="ListParagraph"/>
        <w:numPr>
          <w:ilvl w:val="0"/>
          <w:numId w:val="2"/>
        </w:numPr>
        <w:spacing w:after="60"/>
      </w:pPr>
      <w:r>
        <w:rPr>
          <w:b/>
          <w:bCs/>
        </w:rPr>
        <w:t xml:space="preserve">✓ </w:t>
      </w:r>
      <w:r>
        <w:t xml:space="preserve">SEV-1 rollback rehearsed against the runbook.</w:t>
      </w:r>
    </w:p>
    <w:p>
      <w:pPr>
        <w:spacing w:after="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E2EFDA" w:val="clear"/>
            <w:tcMar>
              <w:top w:type="dxa" w:w="120"/>
              <w:left w:type="dxa" w:w="180"/>
              <w:bottom w:type="dxa" w:w="120"/>
              <w:right w:type="dxa" w:w="180"/>
            </w:tcMar>
          </w:tcPr>
          <w:p>
            <w:pPr>
              <w:spacing w:after="60"/>
            </w:pPr>
            <w:r>
              <w:rPr>
                <w:b/>
                <w:bCs/>
                <w:color w:val="1F4E79"/>
              </w:rPr>
              <w:t xml:space="preserve">Next</w:t>
            </w:r>
          </w:p>
          <w:p>
            <w:pPr>
              <w:spacing w:after="40"/>
            </w:pPr>
            <w:r>
              <w:rPr>
                <w:sz w:val="20"/>
                <w:szCs w:val="20"/>
              </w:rPr>
              <w:t xml:space="preserve">Read the Outcomes Interpretation guide to understand revisions, traffic weights, probe states, the eval-gate verdict, and the rollback outcome.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Lab 8 · synthetic teaching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2"/>
      </w:pBdr>
      <w:jc w:val="right"/>
    </w:pPr>
    <w:r>
      <w:rPr>
        <w:color w:val="595959"/>
        <w:sz w:val="16"/>
        <w:szCs w:val="16"/>
      </w:rPr>
      <w:t xml:space="preserve">Lab 10 — Setup &amp; Run Guide (Container Apps · CI/CD · LLMOps)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160" w:before="280"/>
      <w:outlineLvl w:val="0"/>
    </w:pPr>
    <w:rPr>
      <w:rFonts w:ascii="Arial" w:cs="Arial" w:eastAsia="Arial" w:hAnsi="Arial"/>
      <w:b/>
      <w:bCs/>
      <w:color w:val="1F4E79"/>
      <w:sz w:val="32"/>
      <w:szCs w:val="32"/>
    </w:rPr>
  </w:style>
  <w:style w:type="paragraph" w:styleId="Heading2">
    <w:name w:val="Heading 2"/>
    <w:basedOn w:val="Normal"/>
    <w:next w:val="Normal"/>
    <w:qFormat/>
    <w:pPr>
      <w:spacing w:after="100" w:before="22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59595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db1a9f35c14efa67d095a799dfce597692b698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10 — Setup &amp; Run Guide</dc:title>
  <dc:creator>FDE Training</dc:creator>
  <cp:lastModifiedBy>Un-named</cp:lastModifiedBy>
  <cp:revision>1</cp:revision>
  <dcterms:created xsi:type="dcterms:W3CDTF">2026-07-10T09:10:04.100Z</dcterms:created>
  <dcterms:modified xsi:type="dcterms:W3CDTF">2026-07-10T09:10:04.151Z</dcterms:modified>
</cp:coreProperties>
</file>

<file path=docProps/custom.xml><?xml version="1.0" encoding="utf-8"?>
<Properties xmlns="http://schemas.openxmlformats.org/officeDocument/2006/custom-properties" xmlns:vt="http://schemas.openxmlformats.org/officeDocument/2006/docPropsVTypes"/>
</file>