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120"/>
      </w:pPr>
      <w:r>
        <w:rPr>
          <w:rFonts w:ascii="Consolas" w:cs="Consolas" w:eastAsia="Consolas" w:hAnsi="Consolas"/>
          <w:b/>
          <w:bCs/>
          <w:color w:val="1F6FEB"/>
          <w:sz w:val="18"/>
          <w:szCs w:val="18"/>
        </w:rPr>
        <w:t xml:space="preserve">ET AI HACKATHON 2026  ·  PROBLEM STATEMENT 3</w:t>
      </w:r>
    </w:p>
    <w:p>
      <w:pPr>
        <w:spacing w:after="100"/>
      </w:pPr>
      <w:r>
        <w:rPr>
          <w:b/>
          <w:bCs/>
          <w:color w:val="1A2433"/>
          <w:sz w:val="64"/>
          <w:szCs w:val="64"/>
        </w:rPr>
        <w:t xml:space="preserve">VoltEdge AI</w:t>
      </w:r>
    </w:p>
    <w:p>
      <w:pPr>
        <w:spacing w:after="300"/>
      </w:pPr>
      <w:r>
        <w:rPr>
          <w:color w:val="5A6B80"/>
          <w:sz w:val="30"/>
          <w:szCs w:val="30"/>
        </w:rPr>
        <w:t xml:space="preserve">AI for Industrial EV Supply Chain &amp; Asset Intelligence</w:t>
      </w:r>
    </w:p>
    <w:p>
      <w:pPr>
        <w:pBdr>
          <w:top w:val="single" w:color="1F6FEB" w:sz="6" w:space="8"/>
        </w:pBdr>
        <w:spacing w:after="400"/>
      </w:pPr>
    </w:p>
    <w:p>
      <w:pPr>
        <w:spacing w:after="400" w:line="276"/>
      </w:pPr>
      <w:r>
        <w:rPr>
          <w:color w:val="1A2433"/>
          <w:sz w:val="21"/>
          <w:szCs w:val="21"/>
        </w:rPr>
        <w:t xml:space="preserve">An intelligence layer over the four asset domains an industrial EV operator already has data for — battery health, fleet electrification, multi-tier supply chain, and manufacturing quality — joined by one rule: </w:t>
      </w:r>
      <w:r>
        <w:rPr>
          <w:b/>
          <w:bCs/>
          <w:color w:val="1A2433"/>
          <w:sz w:val="21"/>
          <w:szCs w:val="21"/>
        </w:rPr>
        <w:t xml:space="preserve">every figure the system reports traces back to the tool call that produced it.</w:t>
      </w:r>
    </w:p>
    <w:p>
      <w:pPr>
        <w:spacing w:after="120" w:line="276"/>
      </w:pPr>
      <w:r>
        <w:rPr>
          <w:i/>
          <w:iCs/>
          <w:color w:val="5A6B80"/>
          <w:sz w:val="21"/>
          <w:szCs w:val="21"/>
        </w:rPr>
        <w:t xml:space="preserve">Project report  ·  Working prototype, architecture, measured evidence and limitations</w:t>
      </w:r>
    </w:p>
    <w:p>
      <w:r>
        <w:br w:type="page"/>
      </w:r>
    </w:p>
    <w:p>
      <w:pPr>
        <w:pStyle w:val="Heading1"/>
        <w:spacing w:after="160" w:before="360"/>
      </w:pPr>
      <w:r>
        <w:rPr>
          <w:b/>
          <w:bCs/>
          <w:color w:val="1A2433"/>
          <w:sz w:val="30"/>
          <w:szCs w:val="3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rPr>
          <w:b/>
          <w:bCs/>
          <w:color w:val="1A2433"/>
          <w:sz w:val="30"/>
          <w:szCs w:val="30"/>
        </w:rPr>
        <w:t xml:space="preserve">1. Executive summary</w:t>
      </w:r>
    </w:p>
    <w:p>
      <w:pPr>
        <w:spacing w:after="120" w:line="276"/>
      </w:pPr>
      <w:r>
        <w:rPr>
          <w:color w:val="1A2433"/>
          <w:sz w:val="21"/>
          <w:szCs w:val="21"/>
        </w:rPr>
        <w:t xml:space="preserve">VoltEdge AI is a working prototype that addresses industrial EV adoption from the two angles the problem statement names: helping asset-intensive organisations run EV fleets with the rigour they apply to conventional equipment, and helping manufacturers manage quality-critical battery supply chains.</w:t>
      </w:r>
    </w:p>
    <w:p>
      <w:pPr>
        <w:spacing w:after="120" w:line="276"/>
      </w:pPr>
      <w:r>
        <w:rPr>
          <w:color w:val="1A2433"/>
          <w:sz w:val="21"/>
          <w:szCs w:val="21"/>
        </w:rPr>
        <w:t xml:space="preserve">The prototype is complete and running. It comprises a FastAPI backend exposing 41 endpoints across 8 routers, a Next.js application with 8 interactive pages, seven domain services, a five-agent orchestration layer over a ten-tool registry, and a cross-module compound risk engine.</w:t>
      </w:r>
    </w:p>
    <w:p>
      <w:pPr>
        <w:pStyle w:val="Heading2"/>
        <w:spacing w:after="120" w:before="260"/>
      </w:pPr>
      <w:r>
        <w:rPr>
          <w:b/>
          <w:bCs/>
          <w:color w:val="1F6FEB"/>
          <w:sz w:val="24"/>
          <w:szCs w:val="24"/>
        </w:rPr>
        <w:t xml:space="preserve">What distinguishes it</w:t>
      </w:r>
    </w:p>
    <w:p>
      <w:pPr>
        <w:spacing w:after="120" w:line="276"/>
      </w:pPr>
      <w:r>
        <w:rPr>
          <w:color w:val="1A2433"/>
          <w:sz w:val="21"/>
          <w:szCs w:val="21"/>
        </w:rPr>
        <w:t xml:space="preserve">Most fleet software presents four separate dashboards. The decisions that actually cause loss fall in the gaps between them: a battery ages normally, a cobalt alert fires, a production line stays in spec — each individually unalarming, and nobody connects them.</w:t>
      </w:r>
    </w:p>
    <w:p>
      <w:pPr>
        <w:spacing w:after="120" w:line="276"/>
      </w:pPr>
      <w:r>
        <w:rPr>
          <w:color w:val="1A2433"/>
          <w:sz w:val="21"/>
          <w:szCs w:val="21"/>
        </w:rPr>
        <w:t xml:space="preserve">VoltEdge is built around that gap. Its compound risk engine correlates signals across modules and, for every finding, states explicitly which modules it joined and why no single module would have escalated on its own.</w:t>
      </w:r>
    </w:p>
    <w:p>
      <w:pPr>
        <w:pStyle w:val="Heading2"/>
        <w:spacing w:after="120" w:before="260"/>
      </w:pPr>
      <w:r>
        <w:rPr>
          <w:b/>
          <w:bCs/>
          <w:color w:val="1F6FEB"/>
          <w:sz w:val="24"/>
          <w:szCs w:val="24"/>
        </w:rPr>
        <w:t xml:space="preserve">Headline results</w:t>
      </w:r>
    </w:p>
    <w:tbl>
      <w:tblPr>
        <w:tblW w:type="dxa" w:w="9026"/>
        <w:tblBorders>
          <w:top w:val="single" w:color="D3DDEA" w:sz="2"/>
          <w:left w:val="none"/>
          <w:bottom w:val="single" w:color="D3DDEA" w:sz="2"/>
          <w:right w:val="none"/>
          <w:insideH w:val="single" w:color="D3DDEA" w:sz="1"/>
          <w:insideV w:val="none"/>
        </w:tblBorders>
      </w:tblPr>
      <w:tblGrid>
        <w:gridCol w:w="3100"/>
        <w:gridCol w:w="1500"/>
        <w:gridCol w:w="2200"/>
        <w:gridCol w:w="2226"/>
      </w:tblGrid>
      <w:tr>
        <w:trPr>
          <w:tblHeader/>
        </w:trPr>
        <w:tc>
          <w:tcPr>
            <w:tcW w:type="dxa" w:w="3100"/>
            <w:shd w:fill="E8EEF7" w:color="auto" w:val="clear"/>
            <w:tcMar>
              <w:top w:type="dxa" w:w="90"/>
              <w:left w:type="dxa" w:w="130"/>
              <w:bottom w:type="dxa" w:w="90"/>
              <w:right w:type="dxa" w:w="130"/>
            </w:tcMar>
          </w:tcPr>
          <w:p>
            <w:pPr>
              <w:spacing w:after="0" w:line="260"/>
            </w:pPr>
            <w:r>
              <w:rPr>
                <w:b/>
                <w:bCs/>
                <w:color w:val="1A2433"/>
                <w:sz w:val="19"/>
                <w:szCs w:val="19"/>
              </w:rPr>
              <w:t xml:space="preserve">Claim</w:t>
            </w:r>
          </w:p>
        </w:tc>
        <w:tc>
          <w:tcPr>
            <w:tcW w:type="dxa" w:w="1500"/>
            <w:shd w:fill="E8EEF7" w:color="auto" w:val="clear"/>
            <w:tcMar>
              <w:top w:type="dxa" w:w="90"/>
              <w:left w:type="dxa" w:w="130"/>
              <w:bottom w:type="dxa" w:w="90"/>
              <w:right w:type="dxa" w:w="130"/>
            </w:tcMar>
          </w:tcPr>
          <w:p>
            <w:pPr>
              <w:spacing w:after="0" w:line="260"/>
            </w:pPr>
            <w:r>
              <w:rPr>
                <w:b/>
                <w:bCs/>
                <w:color w:val="1A2433"/>
                <w:sz w:val="19"/>
                <w:szCs w:val="19"/>
              </w:rPr>
              <w:t xml:space="preserve">Measured</w:t>
            </w:r>
          </w:p>
        </w:tc>
        <w:tc>
          <w:tcPr>
            <w:tcW w:type="dxa" w:w="2200"/>
            <w:shd w:fill="E8EEF7" w:color="auto" w:val="clear"/>
            <w:tcMar>
              <w:top w:type="dxa" w:w="90"/>
              <w:left w:type="dxa" w:w="130"/>
              <w:bottom w:type="dxa" w:w="90"/>
              <w:right w:type="dxa" w:w="130"/>
            </w:tcMar>
          </w:tcPr>
          <w:p>
            <w:pPr>
              <w:spacing w:after="0" w:line="260"/>
            </w:pPr>
            <w:r>
              <w:rPr>
                <w:b/>
                <w:bCs/>
                <w:color w:val="1A2433"/>
                <w:sz w:val="19"/>
                <w:szCs w:val="19"/>
              </w:rPr>
              <w:t xml:space="preserve">Baseline</w:t>
            </w:r>
          </w:p>
        </w:tc>
        <w:tc>
          <w:tcPr>
            <w:tcW w:type="dxa" w:w="2226"/>
            <w:shd w:fill="E8EEF7" w:color="auto" w:val="clear"/>
            <w:tcMar>
              <w:top w:type="dxa" w:w="90"/>
              <w:left w:type="dxa" w:w="130"/>
              <w:bottom w:type="dxa" w:w="90"/>
              <w:right w:type="dxa" w:w="130"/>
            </w:tcMar>
          </w:tcPr>
          <w:p>
            <w:pPr>
              <w:spacing w:after="0" w:line="260"/>
            </w:pPr>
            <w:r>
              <w:rPr>
                <w:b/>
                <w:bCs/>
                <w:color w:val="1A2433"/>
                <w:sz w:val="19"/>
                <w:szCs w:val="19"/>
              </w:rPr>
              <w:t xml:space="preserve">Data</w:t>
            </w:r>
          </w:p>
        </w:tc>
      </w:tr>
      <w:tr>
        <w:tc>
          <w:tcPr>
            <w:tcW w:type="dxa" w:w="3100"/>
            <w:tcMar>
              <w:top w:type="dxa" w:w="90"/>
              <w:left w:type="dxa" w:w="130"/>
              <w:bottom w:type="dxa" w:w="90"/>
              <w:right w:type="dxa" w:w="130"/>
            </w:tcMar>
          </w:tcPr>
          <w:p>
            <w:pPr>
              <w:spacing w:after="0" w:line="260"/>
            </w:pPr>
            <w:r>
              <w:rPr>
                <w:b w:val="false"/>
                <w:bCs w:val="false"/>
                <w:color w:val="1A2433"/>
                <w:sz w:val="19"/>
                <w:szCs w:val="19"/>
              </w:rPr>
              <w:t xml:space="preserve">Battery degradation forecast (RMSE, %SoH)</w:t>
            </w:r>
          </w:p>
        </w:tc>
        <w:tc>
          <w:tcPr>
            <w:tcW w:type="dxa" w:w="1500"/>
            <w:tcMar>
              <w:top w:type="dxa" w:w="90"/>
              <w:left w:type="dxa" w:w="130"/>
              <w:bottom w:type="dxa" w:w="90"/>
              <w:right w:type="dxa" w:w="130"/>
            </w:tcMar>
          </w:tcPr>
          <w:p>
            <w:pPr>
              <w:spacing w:after="0" w:line="260"/>
            </w:pPr>
            <w:r>
              <w:rPr>
                <w:rFonts w:ascii="Consolas" w:cs="Consolas" w:eastAsia="Consolas" w:hAnsi="Consolas"/>
                <w:b/>
                <w:bCs/>
                <w:color w:val="1A2433"/>
                <w:sz w:val="19"/>
                <w:szCs w:val="19"/>
              </w:rPr>
              <w:t xml:space="preserve">2.281</w:t>
            </w:r>
          </w:p>
        </w:tc>
        <w:tc>
          <w:tcPr>
            <w:tcW w:type="dxa" w:w="2200"/>
            <w:tcMar>
              <w:top w:type="dxa" w:w="90"/>
              <w:left w:type="dxa" w:w="130"/>
              <w:bottom w:type="dxa" w:w="90"/>
              <w:right w:type="dxa" w:w="130"/>
            </w:tcMar>
          </w:tcPr>
          <w:p>
            <w:pPr>
              <w:spacing w:after="0" w:line="260"/>
            </w:pPr>
            <w:r>
              <w:rPr>
                <w:b w:val="false"/>
                <w:bCs w:val="false"/>
                <w:color w:val="1A2433"/>
                <w:sz w:val="19"/>
                <w:szCs w:val="19"/>
              </w:rPr>
              <w:t xml:space="preserve">3.718 persistence</w:t>
            </w:r>
          </w:p>
        </w:tc>
        <w:tc>
          <w:tcPr>
            <w:tcW w:type="dxa" w:w="2226"/>
            <w:tcMar>
              <w:top w:type="dxa" w:w="90"/>
              <w:left w:type="dxa" w:w="130"/>
              <w:bottom w:type="dxa" w:w="90"/>
              <w:right w:type="dxa" w:w="130"/>
            </w:tcMar>
          </w:tcPr>
          <w:p>
            <w:pPr>
              <w:spacing w:after="0" w:line="260"/>
            </w:pPr>
            <w:r>
              <w:rPr>
                <w:b w:val="false"/>
                <w:bCs w:val="false"/>
                <w:color w:val="1A2433"/>
                <w:sz w:val="19"/>
                <w:szCs w:val="19"/>
              </w:rPr>
              <w:t xml:space="preserve">Real — NASA PCoE</w:t>
            </w:r>
          </w:p>
        </w:tc>
      </w:tr>
      <w:tr>
        <w:tc>
          <w:tcPr>
            <w:tcW w:type="dxa" w:w="3100"/>
            <w:shd w:fill="F5F8FC" w:color="auto" w:val="clear"/>
            <w:tcMar>
              <w:top w:type="dxa" w:w="90"/>
              <w:left w:type="dxa" w:w="130"/>
              <w:bottom w:type="dxa" w:w="90"/>
              <w:right w:type="dxa" w:w="130"/>
            </w:tcMar>
          </w:tcPr>
          <w:p>
            <w:pPr>
              <w:spacing w:after="0" w:line="260"/>
            </w:pPr>
            <w:r>
              <w:rPr>
                <w:b w:val="false"/>
                <w:bCs w:val="false"/>
                <w:color w:val="1A2433"/>
                <w:sz w:val="19"/>
                <w:szCs w:val="19"/>
              </w:rPr>
              <w:t xml:space="preserve">Remaining useful life error</w:t>
            </w:r>
          </w:p>
        </w:tc>
        <w:tc>
          <w:tcPr>
            <w:tcW w:type="dxa" w:w="1500"/>
            <w:shd w:fill="F5F8FC" w:color="auto" w:val="clear"/>
            <w:tcMar>
              <w:top w:type="dxa" w:w="90"/>
              <w:left w:type="dxa" w:w="130"/>
              <w:bottom w:type="dxa" w:w="90"/>
              <w:right w:type="dxa" w:w="130"/>
            </w:tcMar>
          </w:tcPr>
          <w:p>
            <w:pPr>
              <w:spacing w:after="0" w:line="260"/>
            </w:pPr>
            <w:r>
              <w:rPr>
                <w:rFonts w:ascii="Consolas" w:cs="Consolas" w:eastAsia="Consolas" w:hAnsi="Consolas"/>
                <w:b/>
                <w:bCs/>
                <w:color w:val="1A2433"/>
                <w:sz w:val="19"/>
                <w:szCs w:val="19"/>
              </w:rPr>
              <w:t xml:space="preserve">16 cycles</w:t>
            </w:r>
          </w:p>
        </w:tc>
        <w:tc>
          <w:tcPr>
            <w:tcW w:type="dxa" w:w="2200"/>
            <w:shd w:fill="F5F8FC" w:color="auto" w:val="clear"/>
            <w:tcMar>
              <w:top w:type="dxa" w:w="90"/>
              <w:left w:type="dxa" w:w="130"/>
              <w:bottom w:type="dxa" w:w="90"/>
              <w:right w:type="dxa" w:w="130"/>
            </w:tcMar>
          </w:tcPr>
          <w:p>
            <w:pPr>
              <w:spacing w:after="0" w:line="260"/>
            </w:pPr>
            <w:r>
              <w:rPr>
                <w:b w:val="false"/>
                <w:bCs w:val="false"/>
                <w:color w:val="1A2433"/>
                <w:sz w:val="19"/>
                <w:szCs w:val="19"/>
              </w:rPr>
              <w:t xml:space="preserve">10.6% of cell life</w:t>
            </w:r>
          </w:p>
        </w:tc>
        <w:tc>
          <w:tcPr>
            <w:tcW w:type="dxa" w:w="2226"/>
            <w:shd w:fill="F5F8FC" w:color="auto" w:val="clear"/>
            <w:tcMar>
              <w:top w:type="dxa" w:w="90"/>
              <w:left w:type="dxa" w:w="130"/>
              <w:bottom w:type="dxa" w:w="90"/>
              <w:right w:type="dxa" w:w="130"/>
            </w:tcMar>
          </w:tcPr>
          <w:p>
            <w:pPr>
              <w:spacing w:after="0" w:line="260"/>
            </w:pPr>
            <w:r>
              <w:rPr>
                <w:b w:val="false"/>
                <w:bCs w:val="false"/>
                <w:color w:val="1A2433"/>
                <w:sz w:val="19"/>
                <w:szCs w:val="19"/>
              </w:rPr>
              <w:t xml:space="preserve">Real — ground-truth EOL</w:t>
            </w:r>
          </w:p>
        </w:tc>
      </w:tr>
      <w:tr>
        <w:tc>
          <w:tcPr>
            <w:tcW w:type="dxa" w:w="3100"/>
            <w:tcMar>
              <w:top w:type="dxa" w:w="90"/>
              <w:left w:type="dxa" w:w="130"/>
              <w:bottom w:type="dxa" w:w="90"/>
              <w:right w:type="dxa" w:w="130"/>
            </w:tcMar>
          </w:tcPr>
          <w:p>
            <w:pPr>
              <w:spacing w:after="0" w:line="260"/>
            </w:pPr>
            <w:r>
              <w:rPr>
                <w:b w:val="false"/>
                <w:bCs w:val="false"/>
                <w:color w:val="1A2433"/>
                <w:sz w:val="19"/>
                <w:szCs w:val="19"/>
              </w:rPr>
              <w:t xml:space="preserve">Manufacturing defect recall</w:t>
            </w:r>
          </w:p>
        </w:tc>
        <w:tc>
          <w:tcPr>
            <w:tcW w:type="dxa" w:w="1500"/>
            <w:tcMar>
              <w:top w:type="dxa" w:w="90"/>
              <w:left w:type="dxa" w:w="130"/>
              <w:bottom w:type="dxa" w:w="90"/>
              <w:right w:type="dxa" w:w="130"/>
            </w:tcMar>
          </w:tcPr>
          <w:p>
            <w:pPr>
              <w:spacing w:after="0" w:line="260"/>
            </w:pPr>
            <w:r>
              <w:rPr>
                <w:rFonts w:ascii="Consolas" w:cs="Consolas" w:eastAsia="Consolas" w:hAnsi="Consolas"/>
                <w:b/>
                <w:bCs/>
                <w:color w:val="1A2433"/>
                <w:sz w:val="19"/>
                <w:szCs w:val="19"/>
              </w:rPr>
              <w:t xml:space="preserve">0.854</w:t>
            </w:r>
          </w:p>
        </w:tc>
        <w:tc>
          <w:tcPr>
            <w:tcW w:type="dxa" w:w="2200"/>
            <w:tcMar>
              <w:top w:type="dxa" w:w="90"/>
              <w:left w:type="dxa" w:w="130"/>
              <w:bottom w:type="dxa" w:w="90"/>
              <w:right w:type="dxa" w:w="130"/>
            </w:tcMar>
          </w:tcPr>
          <w:p>
            <w:pPr>
              <w:spacing w:after="0" w:line="260"/>
            </w:pPr>
            <w:r>
              <w:rPr>
                <w:b w:val="false"/>
                <w:bCs w:val="false"/>
                <w:color w:val="1A2433"/>
                <w:sz w:val="19"/>
                <w:szCs w:val="19"/>
              </w:rPr>
              <w:t xml:space="preserve">0.521 (3σ SPC)</w:t>
            </w:r>
          </w:p>
        </w:tc>
        <w:tc>
          <w:tcPr>
            <w:tcW w:type="dxa" w:w="2226"/>
            <w:tcMar>
              <w:top w:type="dxa" w:w="90"/>
              <w:left w:type="dxa" w:w="130"/>
              <w:bottom w:type="dxa" w:w="90"/>
              <w:right w:type="dxa" w:w="130"/>
            </w:tcMar>
          </w:tcPr>
          <w:p>
            <w:pPr>
              <w:spacing w:after="0" w:line="260"/>
            </w:pPr>
            <w:r>
              <w:rPr>
                <w:b w:val="false"/>
                <w:bCs w:val="false"/>
                <w:color w:val="1A2433"/>
                <w:sz w:val="19"/>
                <w:szCs w:val="19"/>
              </w:rPr>
              <w:t xml:space="preserve">Synthetic, 2,600 batches</w:t>
            </w:r>
          </w:p>
        </w:tc>
      </w:tr>
      <w:tr>
        <w:tc>
          <w:tcPr>
            <w:tcW w:type="dxa" w:w="3100"/>
            <w:shd w:fill="F5F8FC" w:color="auto" w:val="clear"/>
            <w:tcMar>
              <w:top w:type="dxa" w:w="90"/>
              <w:left w:type="dxa" w:w="130"/>
              <w:bottom w:type="dxa" w:w="90"/>
              <w:right w:type="dxa" w:w="130"/>
            </w:tcMar>
          </w:tcPr>
          <w:p>
            <w:pPr>
              <w:spacing w:after="0" w:line="260"/>
            </w:pPr>
            <w:r>
              <w:rPr>
                <w:b w:val="false"/>
                <w:bCs w:val="false"/>
                <w:color w:val="1A2433"/>
                <w:sz w:val="19"/>
                <w:szCs w:val="19"/>
              </w:rPr>
              <w:t xml:space="preserve">Defect detection ROC-AUC</w:t>
            </w:r>
          </w:p>
        </w:tc>
        <w:tc>
          <w:tcPr>
            <w:tcW w:type="dxa" w:w="1500"/>
            <w:shd w:fill="F5F8FC" w:color="auto" w:val="clear"/>
            <w:tcMar>
              <w:top w:type="dxa" w:w="90"/>
              <w:left w:type="dxa" w:w="130"/>
              <w:bottom w:type="dxa" w:w="90"/>
              <w:right w:type="dxa" w:w="130"/>
            </w:tcMar>
          </w:tcPr>
          <w:p>
            <w:pPr>
              <w:spacing w:after="0" w:line="260"/>
            </w:pPr>
            <w:r>
              <w:rPr>
                <w:rFonts w:ascii="Consolas" w:cs="Consolas" w:eastAsia="Consolas" w:hAnsi="Consolas"/>
                <w:b/>
                <w:bCs/>
                <w:color w:val="1A2433"/>
                <w:sz w:val="19"/>
                <w:szCs w:val="19"/>
              </w:rPr>
              <w:t xml:space="preserve">0.903</w:t>
            </w:r>
          </w:p>
        </w:tc>
        <w:tc>
          <w:tcPr>
            <w:tcW w:type="dxa" w:w="2200"/>
            <w:shd w:fill="F5F8FC" w:color="auto" w:val="clear"/>
            <w:tcMar>
              <w:top w:type="dxa" w:w="90"/>
              <w:left w:type="dxa" w:w="130"/>
              <w:bottom w:type="dxa" w:w="90"/>
              <w:right w:type="dxa" w:w="130"/>
            </w:tcMar>
          </w:tcPr>
          <w:p>
            <w:pPr>
              <w:spacing w:after="0" w:line="260"/>
            </w:pPr>
            <w:r>
              <w:rPr>
                <w:b w:val="false"/>
                <w:bCs w:val="false"/>
                <w:color w:val="1A2433"/>
                <w:sz w:val="19"/>
                <w:szCs w:val="19"/>
              </w:rPr>
              <w:t xml:space="preserve">at 17.7% flagged</w:t>
            </w:r>
          </w:p>
        </w:tc>
        <w:tc>
          <w:tcPr>
            <w:tcW w:type="dxa" w:w="2226"/>
            <w:shd w:fill="F5F8FC" w:color="auto" w:val="clear"/>
            <w:tcMar>
              <w:top w:type="dxa" w:w="90"/>
              <w:left w:type="dxa" w:w="130"/>
              <w:bottom w:type="dxa" w:w="90"/>
              <w:right w:type="dxa" w:w="130"/>
            </w:tcMar>
          </w:tcPr>
          <w:p>
            <w:pPr>
              <w:spacing w:after="0" w:line="260"/>
            </w:pPr>
            <w:r>
              <w:rPr>
                <w:b w:val="false"/>
                <w:bCs w:val="false"/>
                <w:color w:val="1A2433"/>
                <w:sz w:val="19"/>
                <w:szCs w:val="19"/>
              </w:rPr>
              <w:t xml:space="preserve">Synthetic, hold-out</w:t>
            </w:r>
          </w:p>
        </w:tc>
      </w:tr>
      <w:tr>
        <w:tc>
          <w:tcPr>
            <w:tcW w:type="dxa" w:w="3100"/>
            <w:tcMar>
              <w:top w:type="dxa" w:w="90"/>
              <w:left w:type="dxa" w:w="130"/>
              <w:bottom w:type="dxa" w:w="90"/>
              <w:right w:type="dxa" w:w="130"/>
            </w:tcMar>
          </w:tcPr>
          <w:p>
            <w:pPr>
              <w:spacing w:after="0" w:line="260"/>
            </w:pPr>
            <w:r>
              <w:rPr>
                <w:b w:val="false"/>
                <w:bCs w:val="false"/>
                <w:color w:val="1A2433"/>
                <w:sz w:val="19"/>
                <w:szCs w:val="19"/>
              </w:rPr>
              <w:t xml:space="preserve">Process drift detection</w:t>
            </w:r>
          </w:p>
        </w:tc>
        <w:tc>
          <w:tcPr>
            <w:tcW w:type="dxa" w:w="1500"/>
            <w:tcMar>
              <w:top w:type="dxa" w:w="90"/>
              <w:left w:type="dxa" w:w="130"/>
              <w:bottom w:type="dxa" w:w="90"/>
              <w:right w:type="dxa" w:w="130"/>
            </w:tcMar>
          </w:tcPr>
          <w:p>
            <w:pPr>
              <w:spacing w:after="0" w:line="260"/>
            </w:pPr>
            <w:r>
              <w:rPr>
                <w:rFonts w:ascii="Consolas" w:cs="Consolas" w:eastAsia="Consolas" w:hAnsi="Consolas"/>
                <w:b/>
                <w:bCs/>
                <w:color w:val="1A2433"/>
                <w:sz w:val="19"/>
                <w:szCs w:val="19"/>
              </w:rPr>
              <w:t xml:space="preserve">4.9σ</w:t>
            </w:r>
          </w:p>
        </w:tc>
        <w:tc>
          <w:tcPr>
            <w:tcW w:type="dxa" w:w="2200"/>
            <w:tcMar>
              <w:top w:type="dxa" w:w="90"/>
              <w:left w:type="dxa" w:w="130"/>
              <w:bottom w:type="dxa" w:w="90"/>
              <w:right w:type="dxa" w:w="130"/>
            </w:tcMar>
          </w:tcPr>
          <w:p>
            <w:pPr>
              <w:spacing w:after="0" w:line="260"/>
            </w:pPr>
            <w:r>
              <w:rPr>
                <w:b w:val="false"/>
                <w:bCs w:val="false"/>
                <w:color w:val="1A2433"/>
                <w:sz w:val="19"/>
                <w:szCs w:val="19"/>
              </w:rPr>
              <w:t xml:space="preserve">caught while in spec</w:t>
            </w:r>
          </w:p>
        </w:tc>
        <w:tc>
          <w:tcPr>
            <w:tcW w:type="dxa" w:w="2226"/>
            <w:tcMar>
              <w:top w:type="dxa" w:w="90"/>
              <w:left w:type="dxa" w:w="130"/>
              <w:bottom w:type="dxa" w:w="90"/>
              <w:right w:type="dxa" w:w="130"/>
            </w:tcMar>
          </w:tcPr>
          <w:p>
            <w:pPr>
              <w:spacing w:after="0" w:line="260"/>
            </w:pPr>
            <w:r>
              <w:rPr>
                <w:b w:val="false"/>
                <w:bCs w:val="false"/>
                <w:color w:val="1A2433"/>
                <w:sz w:val="19"/>
                <w:szCs w:val="19"/>
              </w:rPr>
              <w:t xml:space="preserve">Synthetic (blade wear)</w:t>
            </w:r>
          </w:p>
        </w:tc>
      </w:tr>
      <w:tr>
        <w:tc>
          <w:tcPr>
            <w:tcW w:type="dxa" w:w="3100"/>
            <w:shd w:fill="F5F8FC" w:color="auto" w:val="clear"/>
            <w:tcMar>
              <w:top w:type="dxa" w:w="90"/>
              <w:left w:type="dxa" w:w="130"/>
              <w:bottom w:type="dxa" w:w="90"/>
              <w:right w:type="dxa" w:w="130"/>
            </w:tcMar>
          </w:tcPr>
          <w:p>
            <w:pPr>
              <w:spacing w:after="0" w:line="260"/>
            </w:pPr>
            <w:r>
              <w:rPr>
                <w:b w:val="false"/>
                <w:bCs w:val="false"/>
                <w:color w:val="1A2433"/>
                <w:sz w:val="19"/>
                <w:szCs w:val="19"/>
              </w:rPr>
              <w:t xml:space="preserve">Fleet carbon saved vs all-diesel</w:t>
            </w:r>
          </w:p>
        </w:tc>
        <w:tc>
          <w:tcPr>
            <w:tcW w:type="dxa" w:w="1500"/>
            <w:shd w:fill="F5F8FC" w:color="auto" w:val="clear"/>
            <w:tcMar>
              <w:top w:type="dxa" w:w="90"/>
              <w:left w:type="dxa" w:w="130"/>
              <w:bottom w:type="dxa" w:w="90"/>
              <w:right w:type="dxa" w:w="130"/>
            </w:tcMar>
          </w:tcPr>
          <w:p>
            <w:pPr>
              <w:spacing w:after="0" w:line="260"/>
            </w:pPr>
            <w:r>
              <w:rPr>
                <w:rFonts w:ascii="Consolas" w:cs="Consolas" w:eastAsia="Consolas" w:hAnsi="Consolas"/>
                <w:b/>
                <w:bCs/>
                <w:color w:val="1A2433"/>
                <w:sz w:val="19"/>
                <w:szCs w:val="19"/>
              </w:rPr>
              <w:t xml:space="preserve">64.6 t/yr</w:t>
            </w:r>
          </w:p>
        </w:tc>
        <w:tc>
          <w:tcPr>
            <w:tcW w:type="dxa" w:w="2200"/>
            <w:shd w:fill="F5F8FC" w:color="auto" w:val="clear"/>
            <w:tcMar>
              <w:top w:type="dxa" w:w="90"/>
              <w:left w:type="dxa" w:w="130"/>
              <w:bottom w:type="dxa" w:w="90"/>
              <w:right w:type="dxa" w:w="130"/>
            </w:tcMar>
          </w:tcPr>
          <w:p>
            <w:pPr>
              <w:spacing w:after="0" w:line="260"/>
            </w:pPr>
            <w:r>
              <w:rPr>
                <w:b w:val="false"/>
                <w:bCs w:val="false"/>
                <w:color w:val="1A2433"/>
                <w:sz w:val="19"/>
                <w:szCs w:val="19"/>
              </w:rPr>
              <w:t xml:space="preserve">8.8% reduction</w:t>
            </w:r>
          </w:p>
        </w:tc>
        <w:tc>
          <w:tcPr>
            <w:tcW w:type="dxa" w:w="2226"/>
            <w:shd w:fill="F5F8FC" w:color="auto" w:val="clear"/>
            <w:tcMar>
              <w:top w:type="dxa" w:w="90"/>
              <w:left w:type="dxa" w:w="130"/>
              <w:bottom w:type="dxa" w:w="90"/>
              <w:right w:type="dxa" w:w="130"/>
            </w:tcMar>
          </w:tcPr>
          <w:p>
            <w:pPr>
              <w:spacing w:after="0" w:line="260"/>
            </w:pPr>
            <w:r>
              <w:rPr>
                <w:b w:val="false"/>
                <w:bCs w:val="false"/>
                <w:color w:val="1A2433"/>
                <w:sz w:val="19"/>
                <w:szCs w:val="19"/>
              </w:rPr>
              <w:t xml:space="preserve">Modelled, assumptions in API</w:t>
            </w:r>
          </w:p>
        </w:tc>
      </w:tr>
    </w:tbl>
    <w:p>
      <w:pPr>
        <w:spacing w:after="160"/>
      </w:pPr>
    </w:p>
    <w:tbl>
      <w:tblPr>
        <w:tblW w:type="dxa" w:w="9026"/>
        <w:tblBorders>
          <w:top w:val="single" w:color="D3DDEA" w:sz="2"/>
          <w:left w:val="single" w:color="1F6FEB" w:sz="18"/>
          <w:bottom w:val="single" w:color="D3DDEA" w:sz="2"/>
          <w:right w:val="none"/>
          <w:insideH w:val="none"/>
          <w:insideV w:val="none"/>
        </w:tblBorders>
      </w:tblPr>
      <w:tblGrid>
        <w:gridCol w:w="9026"/>
      </w:tblGrid>
      <w:tr>
        <w:tc>
          <w:tcPr>
            <w:tcW w:type="dxa" w:w="9026"/>
            <w:shd w:fill="F5F8FC" w:color="auto" w:val="clear"/>
            <w:tcMar>
              <w:top w:type="dxa" w:w="160"/>
              <w:left w:type="dxa" w:w="200"/>
              <w:bottom w:type="dxa" w:w="160"/>
              <w:right w:type="dxa" w:w="200"/>
            </w:tcMar>
          </w:tcPr>
          <w:p>
            <w:pPr>
              <w:spacing w:after="80"/>
            </w:pPr>
            <w:r>
              <w:rPr>
                <w:b/>
                <w:bCs/>
                <w:color w:val="1F6FEB"/>
                <w:sz w:val="20"/>
                <w:szCs w:val="20"/>
              </w:rPr>
              <w:t xml:space="preserve">Evidence posture</w:t>
            </w:r>
          </w:p>
          <w:p>
            <w:pPr>
              <w:spacing w:after="60" w:line="276"/>
            </w:pPr>
            <w:r>
              <w:rPr>
                <w:color w:val="1A2433"/>
                <w:sz w:val="20"/>
                <w:szCs w:val="20"/>
              </w:rPr>
              <w:t xml:space="preserve">Every performance claim is validated on held-out data against a stated baseline, and every figure is labelled by provenance: real, synthetic, or modelled. Where real data exists it is used; where it does not, the document and the application both say so on screen.</w:t>
            </w:r>
          </w:p>
        </w:tc>
      </w:tr>
    </w:tbl>
    <w:p>
      <w:r>
        <w:br w:type="page"/>
      </w:r>
    </w:p>
    <w:p>
      <w:pPr>
        <w:pStyle w:val="Heading1"/>
        <w:spacing w:after="160" w:before="360"/>
      </w:pPr>
      <w:r>
        <w:rPr>
          <w:b/>
          <w:bCs/>
          <w:color w:val="1A2433"/>
          <w:sz w:val="30"/>
          <w:szCs w:val="30"/>
        </w:rPr>
        <w:t xml:space="preserve">2. Problem context</w:t>
      </w:r>
    </w:p>
    <w:p>
      <w:pPr>
        <w:spacing w:after="120" w:line="276"/>
      </w:pPr>
      <w:r>
        <w:rPr>
          <w:color w:val="1A2433"/>
          <w:sz w:val="21"/>
          <w:szCs w:val="21"/>
        </w:rPr>
        <w:t xml:space="preserve">India registered over two million electric vehicles in FY2025, yet EVs remain under 7% of total vehicle sales. In industrial and commercial segments — freight, mining, intra-plant logistics, construction equipment — penetration is below 2.5% per SIAM FY2025 data.</w:t>
      </w:r>
    </w:p>
    <w:p>
      <w:pPr>
        <w:spacing w:after="120" w:line="276"/>
      </w:pPr>
      <w:r>
        <w:rPr>
          <w:color w:val="1A2433"/>
          <w:sz w:val="21"/>
          <w:szCs w:val="21"/>
        </w:rPr>
        <w:t xml:space="preserve">The barrier is no longer primarily financial. FAME-II has disbursed over ₹10,000 crore, and total-cost-of-ownership parity with diesel is approaching for many use cases. The bottleneck is operational: industrial fleet operators lack the asset intelligence tooling to manage EV procurement, battery lifecycle, charging infrastructure and maintenance with the rigour they apply to conventional plant.</w:t>
      </w:r>
    </w:p>
    <w:p>
      <w:pPr>
        <w:spacing w:after="120" w:line="276"/>
      </w:pPr>
      <w:r>
        <w:rPr>
          <w:color w:val="1A2433"/>
          <w:sz w:val="21"/>
          <w:szCs w:val="21"/>
        </w:rPr>
        <w:t xml:space="preserve">Simultaneously, EV manufacturers face supply chain complexity that generic tools handle poorly — battery-grade lithium, cobalt and nickel sourcing, cell-to-pack quality traceability, and multi-tier supplier risk.</w:t>
      </w:r>
    </w:p>
    <w:p>
      <w:pPr>
        <w:pStyle w:val="Heading2"/>
        <w:spacing w:after="120" w:before="260"/>
      </w:pPr>
      <w:r>
        <w:rPr>
          <w:b/>
          <w:bCs/>
          <w:color w:val="1F6FEB"/>
          <w:sz w:val="24"/>
          <w:szCs w:val="24"/>
        </w:rPr>
        <w:t xml:space="preserve">The insight we built on</w:t>
      </w:r>
    </w:p>
    <w:p>
      <w:pPr>
        <w:spacing w:after="120" w:line="276"/>
      </w:pPr>
      <w:r>
        <w:rPr>
          <w:color w:val="1A2433"/>
          <w:sz w:val="21"/>
          <w:szCs w:val="21"/>
        </w:rPr>
        <w:t xml:space="preserve">The claim that the barrier is "operational" is a claim about fragmentation, not about missing data. The data largely exists. What is missing is anything that reasons across it.</w:t>
      </w:r>
    </w:p>
    <w:p>
      <w:pPr>
        <w:spacing w:after="120" w:line="276"/>
      </w:pPr>
      <w:r>
        <w:rPr>
          <w:b/>
          <w:bCs/>
          <w:color w:val="1A2433"/>
          <w:sz w:val="21"/>
          <w:szCs w:val="21"/>
        </w:rPr>
        <w:t xml:space="preserve">The failure mode is not a missing metric. It is a missing correlation.</w:t>
      </w:r>
    </w:p>
    <w:p>
      <w:pPr>
        <w:pStyle w:val="Heading1"/>
        <w:spacing w:after="160" w:before="360"/>
      </w:pPr>
      <w:r>
        <w:rPr>
          <w:b/>
          <w:bCs/>
          <w:color w:val="1A2433"/>
          <w:sz w:val="30"/>
          <w:szCs w:val="30"/>
        </w:rPr>
        <w:t xml:space="preserve">3. Solution overview</w:t>
      </w:r>
    </w:p>
    <w:p>
      <w:pPr>
        <w:spacing w:after="120" w:line="276"/>
      </w:pPr>
      <w:r>
        <w:rPr>
          <w:color w:val="1A2433"/>
          <w:sz w:val="21"/>
          <w:szCs w:val="21"/>
        </w:rPr>
        <w:t xml:space="preserve">VoltEdge unifies four domains behind a single intelligence layer, with the battery passport acting as the connective tissue that lets a signal in one domain resolve to specific assets in another.</w:t>
      </w:r>
    </w:p>
    <w:tbl>
      <w:tblPr>
        <w:tblW w:type="dxa" w:w="9026"/>
        <w:tblBorders>
          <w:top w:val="single" w:color="D3DDEA" w:sz="2"/>
          <w:left w:val="none"/>
          <w:bottom w:val="single" w:color="D3DDEA" w:sz="2"/>
          <w:right w:val="none"/>
          <w:insideH w:val="single" w:color="D3DDEA" w:sz="1"/>
          <w:insideV w:val="none"/>
        </w:tblBorders>
      </w:tblPr>
      <w:tblGrid>
        <w:gridCol w:w="2100"/>
        <w:gridCol w:w="2200"/>
        <w:gridCol w:w="4726"/>
      </w:tblGrid>
      <w:tr>
        <w:trPr>
          <w:tblHeader/>
        </w:trPr>
        <w:tc>
          <w:tcPr>
            <w:tcW w:type="dxa" w:w="2100"/>
            <w:shd w:fill="E8EEF7" w:color="auto" w:val="clear"/>
            <w:tcMar>
              <w:top w:type="dxa" w:w="90"/>
              <w:left w:type="dxa" w:w="130"/>
              <w:bottom w:type="dxa" w:w="90"/>
              <w:right w:type="dxa" w:w="130"/>
            </w:tcMar>
          </w:tcPr>
          <w:p>
            <w:pPr>
              <w:spacing w:after="0" w:line="260"/>
            </w:pPr>
            <w:r>
              <w:rPr>
                <w:b/>
                <w:bCs/>
                <w:color w:val="1A2433"/>
                <w:sz w:val="19"/>
                <w:szCs w:val="19"/>
              </w:rPr>
              <w:t xml:space="preserve">Module</w:t>
            </w:r>
          </w:p>
        </w:tc>
        <w:tc>
          <w:tcPr>
            <w:tcW w:type="dxa" w:w="2200"/>
            <w:shd w:fill="E8EEF7" w:color="auto" w:val="clear"/>
            <w:tcMar>
              <w:top w:type="dxa" w:w="90"/>
              <w:left w:type="dxa" w:w="130"/>
              <w:bottom w:type="dxa" w:w="90"/>
              <w:right w:type="dxa" w:w="130"/>
            </w:tcMar>
          </w:tcPr>
          <w:p>
            <w:pPr>
              <w:spacing w:after="0" w:line="260"/>
            </w:pPr>
            <w:r>
              <w:rPr>
                <w:b/>
                <w:bCs/>
                <w:color w:val="1A2433"/>
                <w:sz w:val="19"/>
                <w:szCs w:val="19"/>
              </w:rPr>
              <w:t xml:space="preserve">Route</w:t>
            </w:r>
          </w:p>
        </w:tc>
        <w:tc>
          <w:tcPr>
            <w:tcW w:type="dxa" w:w="4726"/>
            <w:shd w:fill="E8EEF7" w:color="auto" w:val="clear"/>
            <w:tcMar>
              <w:top w:type="dxa" w:w="90"/>
              <w:left w:type="dxa" w:w="130"/>
              <w:bottom w:type="dxa" w:w="90"/>
              <w:right w:type="dxa" w:w="130"/>
            </w:tcMar>
          </w:tcPr>
          <w:p>
            <w:pPr>
              <w:spacing w:after="0" w:line="260"/>
            </w:pPr>
            <w:r>
              <w:rPr>
                <w:b/>
                <w:bCs/>
                <w:color w:val="1A2433"/>
                <w:sz w:val="19"/>
                <w:szCs w:val="19"/>
              </w:rPr>
              <w:t xml:space="preserve">What it answers</w:t>
            </w:r>
          </w:p>
        </w:tc>
      </w:tr>
      <w:tr>
        <w:tc>
          <w:tcPr>
            <w:tcW w:type="dxa" w:w="2100"/>
            <w:tcMar>
              <w:top w:type="dxa" w:w="90"/>
              <w:left w:type="dxa" w:w="130"/>
              <w:bottom w:type="dxa" w:w="90"/>
              <w:right w:type="dxa" w:w="130"/>
            </w:tcMar>
          </w:tcPr>
          <w:p>
            <w:pPr>
              <w:spacing w:after="0" w:line="260"/>
            </w:pPr>
            <w:r>
              <w:rPr>
                <w:color w:val="1A2433"/>
                <w:sz w:val="19"/>
                <w:szCs w:val="19"/>
              </w:rPr>
              <w:t xml:space="preserve">Command Center</w:t>
            </w:r>
          </w:p>
        </w:tc>
        <w:tc>
          <w:tcPr>
            <w:tcW w:type="dxa" w:w="2200"/>
            <w:tcMar>
              <w:top w:type="dxa" w:w="90"/>
              <w:left w:type="dxa" w:w="130"/>
              <w:bottom w:type="dxa" w:w="90"/>
              <w:right w:type="dxa" w:w="130"/>
            </w:tcMar>
          </w:tcPr>
          <w:p>
            <w:pPr>
              <w:spacing w:after="0" w:line="260"/>
            </w:pPr>
            <w:r>
              <w:rPr>
                <w:rFonts w:ascii="Consolas" w:cs="Consolas" w:eastAsia="Consolas" w:hAnsi="Consolas"/>
                <w:color w:val="1A2433"/>
                <w:sz w:val="19"/>
                <w:szCs w:val="19"/>
              </w:rPr>
              <w:t xml:space="preserve">/</w:t>
            </w:r>
          </w:p>
        </w:tc>
        <w:tc>
          <w:tcPr>
            <w:tcW w:type="dxa" w:w="4726"/>
            <w:tcMar>
              <w:top w:type="dxa" w:w="90"/>
              <w:left w:type="dxa" w:w="130"/>
              <w:bottom w:type="dxa" w:w="90"/>
              <w:right w:type="dxa" w:w="130"/>
            </w:tcMar>
          </w:tcPr>
          <w:p>
            <w:pPr>
              <w:spacing w:after="0" w:line="260"/>
            </w:pPr>
            <w:r>
              <w:rPr>
                <w:color w:val="1A2433"/>
                <w:sz w:val="19"/>
                <w:szCs w:val="19"/>
              </w:rPr>
              <w:t xml:space="preserve">Fleet-wide position across all four domains</w:t>
            </w:r>
          </w:p>
        </w:tc>
      </w:tr>
      <w:tr>
        <w:tc>
          <w:tcPr>
            <w:tcW w:type="dxa" w:w="2100"/>
            <w:shd w:fill="F5F8FC" w:color="auto" w:val="clear"/>
            <w:tcMar>
              <w:top w:type="dxa" w:w="90"/>
              <w:left w:type="dxa" w:w="130"/>
              <w:bottom w:type="dxa" w:w="90"/>
              <w:right w:type="dxa" w:w="130"/>
            </w:tcMar>
          </w:tcPr>
          <w:p>
            <w:pPr>
              <w:spacing w:after="0" w:line="260"/>
            </w:pPr>
            <w:r>
              <w:rPr>
                <w:color w:val="1A2433"/>
                <w:sz w:val="19"/>
                <w:szCs w:val="19"/>
              </w:rPr>
              <w:t xml:space="preserve">Agent Console</w:t>
            </w:r>
          </w:p>
        </w:tc>
        <w:tc>
          <w:tcPr>
            <w:tcW w:type="dxa" w:w="2200"/>
            <w:shd w:fill="F5F8FC" w:color="auto" w:val="clear"/>
            <w:tcMar>
              <w:top w:type="dxa" w:w="90"/>
              <w:left w:type="dxa" w:w="130"/>
              <w:bottom w:type="dxa" w:w="90"/>
              <w:right w:type="dxa" w:w="130"/>
            </w:tcMar>
          </w:tcPr>
          <w:p>
            <w:pPr>
              <w:spacing w:after="0" w:line="260"/>
            </w:pPr>
            <w:r>
              <w:rPr>
                <w:rFonts w:ascii="Consolas" w:cs="Consolas" w:eastAsia="Consolas" w:hAnsi="Consolas"/>
                <w:color w:val="1A2433"/>
                <w:sz w:val="19"/>
                <w:szCs w:val="19"/>
              </w:rPr>
              <w:t xml:space="preserve">/agent-console</w:t>
            </w:r>
          </w:p>
        </w:tc>
        <w:tc>
          <w:tcPr>
            <w:tcW w:type="dxa" w:w="4726"/>
            <w:shd w:fill="F5F8FC" w:color="auto" w:val="clear"/>
            <w:tcMar>
              <w:top w:type="dxa" w:w="90"/>
              <w:left w:type="dxa" w:w="130"/>
              <w:bottom w:type="dxa" w:w="90"/>
              <w:right w:type="dxa" w:w="130"/>
            </w:tcMar>
          </w:tcPr>
          <w:p>
            <w:pPr>
              <w:spacing w:after="0" w:line="260"/>
            </w:pPr>
            <w:r>
              <w:rPr>
                <w:color w:val="1A2433"/>
                <w:sz w:val="19"/>
                <w:szCs w:val="19"/>
              </w:rPr>
              <w:t xml:space="preserve">Cross-module questions; compound risk findings</w:t>
            </w:r>
          </w:p>
        </w:tc>
      </w:tr>
      <w:tr>
        <w:tc>
          <w:tcPr>
            <w:tcW w:type="dxa" w:w="2100"/>
            <w:tcMar>
              <w:top w:type="dxa" w:w="90"/>
              <w:left w:type="dxa" w:w="130"/>
              <w:bottom w:type="dxa" w:w="90"/>
              <w:right w:type="dxa" w:w="130"/>
            </w:tcMar>
          </w:tcPr>
          <w:p>
            <w:pPr>
              <w:spacing w:after="0" w:line="260"/>
            </w:pPr>
            <w:r>
              <w:rPr>
                <w:color w:val="1A2433"/>
                <w:sz w:val="19"/>
                <w:szCs w:val="19"/>
              </w:rPr>
              <w:t xml:space="preserve">Battery APM</w:t>
            </w:r>
          </w:p>
        </w:tc>
        <w:tc>
          <w:tcPr>
            <w:tcW w:type="dxa" w:w="2200"/>
            <w:tcMar>
              <w:top w:type="dxa" w:w="90"/>
              <w:left w:type="dxa" w:w="130"/>
              <w:bottom w:type="dxa" w:w="90"/>
              <w:right w:type="dxa" w:w="130"/>
            </w:tcMar>
          </w:tcPr>
          <w:p>
            <w:pPr>
              <w:spacing w:after="0" w:line="260"/>
            </w:pPr>
            <w:r>
              <w:rPr>
                <w:rFonts w:ascii="Consolas" w:cs="Consolas" w:eastAsia="Consolas" w:hAnsi="Consolas"/>
                <w:color w:val="1A2433"/>
                <w:sz w:val="19"/>
                <w:szCs w:val="19"/>
              </w:rPr>
              <w:t xml:space="preserve">/battery-apm</w:t>
            </w:r>
          </w:p>
        </w:tc>
        <w:tc>
          <w:tcPr>
            <w:tcW w:type="dxa" w:w="4726"/>
            <w:tcMar>
              <w:top w:type="dxa" w:w="90"/>
              <w:left w:type="dxa" w:w="130"/>
              <w:bottom w:type="dxa" w:w="90"/>
              <w:right w:type="dxa" w:w="130"/>
            </w:tcMar>
          </w:tcPr>
          <w:p>
            <w:pPr>
              <w:spacing w:after="0" w:line="260"/>
            </w:pPr>
            <w:r>
              <w:rPr>
                <w:color w:val="1A2433"/>
                <w:sz w:val="19"/>
                <w:szCs w:val="19"/>
              </w:rPr>
              <w:t xml:space="preserve">State of health, degradation forecasts, thermal alerts</w:t>
            </w:r>
          </w:p>
        </w:tc>
      </w:tr>
      <w:tr>
        <w:tc>
          <w:tcPr>
            <w:tcW w:type="dxa" w:w="2100"/>
            <w:shd w:fill="F5F8FC" w:color="auto" w:val="clear"/>
            <w:tcMar>
              <w:top w:type="dxa" w:w="90"/>
              <w:left w:type="dxa" w:w="130"/>
              <w:bottom w:type="dxa" w:w="90"/>
              <w:right w:type="dxa" w:w="130"/>
            </w:tcMar>
          </w:tcPr>
          <w:p>
            <w:pPr>
              <w:spacing w:after="0" w:line="260"/>
            </w:pPr>
            <w:r>
              <w:rPr>
                <w:color w:val="1A2433"/>
                <w:sz w:val="19"/>
                <w:szCs w:val="19"/>
              </w:rPr>
              <w:t xml:space="preserve">Battery Passport</w:t>
            </w:r>
          </w:p>
        </w:tc>
        <w:tc>
          <w:tcPr>
            <w:tcW w:type="dxa" w:w="2200"/>
            <w:shd w:fill="F5F8FC" w:color="auto" w:val="clear"/>
            <w:tcMar>
              <w:top w:type="dxa" w:w="90"/>
              <w:left w:type="dxa" w:w="130"/>
              <w:bottom w:type="dxa" w:w="90"/>
              <w:right w:type="dxa" w:w="130"/>
            </w:tcMar>
          </w:tcPr>
          <w:p>
            <w:pPr>
              <w:spacing w:after="0" w:line="260"/>
            </w:pPr>
            <w:r>
              <w:rPr>
                <w:rFonts w:ascii="Consolas" w:cs="Consolas" w:eastAsia="Consolas" w:hAnsi="Consolas"/>
                <w:color w:val="1A2433"/>
                <w:sz w:val="19"/>
                <w:szCs w:val="19"/>
              </w:rPr>
              <w:t xml:space="preserve">/battery-passport</w:t>
            </w:r>
          </w:p>
        </w:tc>
        <w:tc>
          <w:tcPr>
            <w:tcW w:type="dxa" w:w="4726"/>
            <w:shd w:fill="F5F8FC" w:color="auto" w:val="clear"/>
            <w:tcMar>
              <w:top w:type="dxa" w:w="90"/>
              <w:left w:type="dxa" w:w="130"/>
              <w:bottom w:type="dxa" w:w="90"/>
              <w:right w:type="dxa" w:w="130"/>
            </w:tcMar>
          </w:tcPr>
          <w:p>
            <w:pPr>
              <w:spacing w:after="0" w:line="260"/>
            </w:pPr>
            <w:r>
              <w:rPr>
                <w:color w:val="1A2433"/>
                <w:sz w:val="19"/>
                <w:szCs w:val="19"/>
              </w:rPr>
              <w:t xml:space="preserve">Pack identity, AIS-156 compliance, second-life value</w:t>
            </w:r>
          </w:p>
        </w:tc>
      </w:tr>
      <w:tr>
        <w:tc>
          <w:tcPr>
            <w:tcW w:type="dxa" w:w="2100"/>
            <w:tcMar>
              <w:top w:type="dxa" w:w="90"/>
              <w:left w:type="dxa" w:w="130"/>
              <w:bottom w:type="dxa" w:w="90"/>
              <w:right w:type="dxa" w:w="130"/>
            </w:tcMar>
          </w:tcPr>
          <w:p>
            <w:pPr>
              <w:spacing w:after="0" w:line="260"/>
            </w:pPr>
            <w:r>
              <w:rPr>
                <w:color w:val="1A2433"/>
                <w:sz w:val="19"/>
                <w:szCs w:val="19"/>
              </w:rPr>
              <w:t xml:space="preserve">Quality (QMS)</w:t>
            </w:r>
          </w:p>
        </w:tc>
        <w:tc>
          <w:tcPr>
            <w:tcW w:type="dxa" w:w="2200"/>
            <w:tcMar>
              <w:top w:type="dxa" w:w="90"/>
              <w:left w:type="dxa" w:w="130"/>
              <w:bottom w:type="dxa" w:w="90"/>
              <w:right w:type="dxa" w:w="130"/>
            </w:tcMar>
          </w:tcPr>
          <w:p>
            <w:pPr>
              <w:spacing w:after="0" w:line="260"/>
            </w:pPr>
            <w:r>
              <w:rPr>
                <w:rFonts w:ascii="Consolas" w:cs="Consolas" w:eastAsia="Consolas" w:hAnsi="Consolas"/>
                <w:color w:val="1A2433"/>
                <w:sz w:val="19"/>
                <w:szCs w:val="19"/>
              </w:rPr>
              <w:t xml:space="preserve">/quality</w:t>
            </w:r>
          </w:p>
        </w:tc>
        <w:tc>
          <w:tcPr>
            <w:tcW w:type="dxa" w:w="4726"/>
            <w:tcMar>
              <w:top w:type="dxa" w:w="90"/>
              <w:left w:type="dxa" w:w="130"/>
              <w:bottom w:type="dxa" w:w="90"/>
              <w:right w:type="dxa" w:w="130"/>
            </w:tcMar>
          </w:tcPr>
          <w:p>
            <w:pPr>
              <w:spacing w:after="0" w:line="260"/>
            </w:pPr>
            <w:r>
              <w:rPr>
                <w:color w:val="1A2433"/>
                <w:sz w:val="19"/>
                <w:szCs w:val="19"/>
              </w:rPr>
              <w:t xml:space="preserve">Defect detection vs SPC, process drift, traceability</w:t>
            </w:r>
          </w:p>
        </w:tc>
      </w:tr>
      <w:tr>
        <w:tc>
          <w:tcPr>
            <w:tcW w:type="dxa" w:w="2100"/>
            <w:shd w:fill="F5F8FC" w:color="auto" w:val="clear"/>
            <w:tcMar>
              <w:top w:type="dxa" w:w="90"/>
              <w:left w:type="dxa" w:w="130"/>
              <w:bottom w:type="dxa" w:w="90"/>
              <w:right w:type="dxa" w:w="130"/>
            </w:tcMar>
          </w:tcPr>
          <w:p>
            <w:pPr>
              <w:spacing w:after="0" w:line="260"/>
            </w:pPr>
            <w:r>
              <w:rPr>
                <w:color w:val="1A2433"/>
                <w:sz w:val="19"/>
                <w:szCs w:val="19"/>
              </w:rPr>
              <w:t xml:space="preserve">Fleet Readiness</w:t>
            </w:r>
          </w:p>
        </w:tc>
        <w:tc>
          <w:tcPr>
            <w:tcW w:type="dxa" w:w="2200"/>
            <w:shd w:fill="F5F8FC" w:color="auto" w:val="clear"/>
            <w:tcMar>
              <w:top w:type="dxa" w:w="90"/>
              <w:left w:type="dxa" w:w="130"/>
              <w:bottom w:type="dxa" w:w="90"/>
              <w:right w:type="dxa" w:w="130"/>
            </w:tcMar>
          </w:tcPr>
          <w:p>
            <w:pPr>
              <w:spacing w:after="0" w:line="260"/>
            </w:pPr>
            <w:r>
              <w:rPr>
                <w:rFonts w:ascii="Consolas" w:cs="Consolas" w:eastAsia="Consolas" w:hAnsi="Consolas"/>
                <w:color w:val="1A2433"/>
                <w:sz w:val="19"/>
                <w:szCs w:val="19"/>
              </w:rPr>
              <w:t xml:space="preserve">/fleet-readiness</w:t>
            </w:r>
          </w:p>
        </w:tc>
        <w:tc>
          <w:tcPr>
            <w:tcW w:type="dxa" w:w="4726"/>
            <w:shd w:fill="F5F8FC" w:color="auto" w:val="clear"/>
            <w:tcMar>
              <w:top w:type="dxa" w:w="90"/>
              <w:left w:type="dxa" w:w="130"/>
              <w:bottom w:type="dxa" w:w="90"/>
              <w:right w:type="dxa" w:w="130"/>
            </w:tcMar>
          </w:tcPr>
          <w:p>
            <w:pPr>
              <w:spacing w:after="0" w:line="260"/>
            </w:pPr>
            <w:r>
              <w:rPr>
                <w:color w:val="1A2433"/>
                <w:sz w:val="19"/>
                <w:szCs w:val="19"/>
              </w:rPr>
              <w:t xml:space="preserve">Which diesel vehicles to electrify, and the TCO case</w:t>
            </w:r>
          </w:p>
        </w:tc>
      </w:tr>
      <w:tr>
        <w:tc>
          <w:tcPr>
            <w:tcW w:type="dxa" w:w="2100"/>
            <w:tcMar>
              <w:top w:type="dxa" w:w="90"/>
              <w:left w:type="dxa" w:w="130"/>
              <w:bottom w:type="dxa" w:w="90"/>
              <w:right w:type="dxa" w:w="130"/>
            </w:tcMar>
          </w:tcPr>
          <w:p>
            <w:pPr>
              <w:spacing w:after="0" w:line="260"/>
            </w:pPr>
            <w:r>
              <w:rPr>
                <w:color w:val="1A2433"/>
                <w:sz w:val="19"/>
                <w:szCs w:val="19"/>
              </w:rPr>
              <w:t xml:space="preserve">Supply Chain Risk</w:t>
            </w:r>
          </w:p>
        </w:tc>
        <w:tc>
          <w:tcPr>
            <w:tcW w:type="dxa" w:w="2200"/>
            <w:tcMar>
              <w:top w:type="dxa" w:w="90"/>
              <w:left w:type="dxa" w:w="130"/>
              <w:bottom w:type="dxa" w:w="90"/>
              <w:right w:type="dxa" w:w="130"/>
            </w:tcMar>
          </w:tcPr>
          <w:p>
            <w:pPr>
              <w:spacing w:after="0" w:line="260"/>
            </w:pPr>
            <w:r>
              <w:rPr>
                <w:rFonts w:ascii="Consolas" w:cs="Consolas" w:eastAsia="Consolas" w:hAnsi="Consolas"/>
                <w:color w:val="1A2433"/>
                <w:sz w:val="19"/>
                <w:szCs w:val="19"/>
              </w:rPr>
              <w:t xml:space="preserve">/supply-chain</w:t>
            </w:r>
          </w:p>
        </w:tc>
        <w:tc>
          <w:tcPr>
            <w:tcW w:type="dxa" w:w="4726"/>
            <w:tcMar>
              <w:top w:type="dxa" w:w="90"/>
              <w:left w:type="dxa" w:w="130"/>
              <w:bottom w:type="dxa" w:w="90"/>
              <w:right w:type="dxa" w:w="130"/>
            </w:tcMar>
          </w:tcPr>
          <w:p>
            <w:pPr>
              <w:spacing w:after="0" w:line="260"/>
            </w:pPr>
            <w:r>
              <w:rPr>
                <w:color w:val="1A2433"/>
                <w:sz w:val="19"/>
                <w:szCs w:val="19"/>
              </w:rPr>
              <w:t xml:space="preserve">Multi-tier supplier and critical-mineral exposure</w:t>
            </w:r>
          </w:p>
        </w:tc>
      </w:tr>
      <w:tr>
        <w:tc>
          <w:tcPr>
            <w:tcW w:type="dxa" w:w="2100"/>
            <w:shd w:fill="F5F8FC" w:color="auto" w:val="clear"/>
            <w:tcMar>
              <w:top w:type="dxa" w:w="90"/>
              <w:left w:type="dxa" w:w="130"/>
              <w:bottom w:type="dxa" w:w="90"/>
              <w:right w:type="dxa" w:w="130"/>
            </w:tcMar>
          </w:tcPr>
          <w:p>
            <w:pPr>
              <w:spacing w:after="0" w:line="260"/>
            </w:pPr>
            <w:r>
              <w:rPr>
                <w:color w:val="1A2433"/>
                <w:sz w:val="19"/>
                <w:szCs w:val="19"/>
              </w:rPr>
              <w:t xml:space="preserve">Net Zero</w:t>
            </w:r>
          </w:p>
        </w:tc>
        <w:tc>
          <w:tcPr>
            <w:tcW w:type="dxa" w:w="2200"/>
            <w:shd w:fill="F5F8FC" w:color="auto" w:val="clear"/>
            <w:tcMar>
              <w:top w:type="dxa" w:w="90"/>
              <w:left w:type="dxa" w:w="130"/>
              <w:bottom w:type="dxa" w:w="90"/>
              <w:right w:type="dxa" w:w="130"/>
            </w:tcMar>
          </w:tcPr>
          <w:p>
            <w:pPr>
              <w:spacing w:after="0" w:line="260"/>
            </w:pPr>
            <w:r>
              <w:rPr>
                <w:rFonts w:ascii="Consolas" w:cs="Consolas" w:eastAsia="Consolas" w:hAnsi="Consolas"/>
                <w:color w:val="1A2433"/>
                <w:sz w:val="19"/>
                <w:szCs w:val="19"/>
              </w:rPr>
              <w:t xml:space="preserve">/net-zero</w:t>
            </w:r>
          </w:p>
        </w:tc>
        <w:tc>
          <w:tcPr>
            <w:tcW w:type="dxa" w:w="4726"/>
            <w:shd w:fill="F5F8FC" w:color="auto" w:val="clear"/>
            <w:tcMar>
              <w:top w:type="dxa" w:w="90"/>
              <w:left w:type="dxa" w:w="130"/>
              <w:bottom w:type="dxa" w:w="90"/>
              <w:right w:type="dxa" w:w="130"/>
            </w:tcMar>
          </w:tcPr>
          <w:p>
            <w:pPr>
              <w:spacing w:after="0" w:line="260"/>
            </w:pPr>
            <w:r>
              <w:rPr>
                <w:color w:val="1A2433"/>
                <w:sz w:val="19"/>
                <w:szCs w:val="19"/>
              </w:rPr>
              <w:t xml:space="preserve">Scope 1/2/3 emissions and highest-impact next actions</w:t>
            </w:r>
          </w:p>
        </w:tc>
      </w:tr>
    </w:tbl>
    <w:p>
      <w:pPr>
        <w:spacing w:after="160"/>
      </w:pPr>
    </w:p>
    <w:p>
      <w:pPr>
        <w:pStyle w:val="Heading2"/>
        <w:spacing w:after="120" w:before="260"/>
      </w:pPr>
      <w:r>
        <w:rPr>
          <w:b/>
          <w:bCs/>
          <w:color w:val="1F6FEB"/>
          <w:sz w:val="24"/>
          <w:szCs w:val="24"/>
        </w:rPr>
        <w:t xml:space="preserve">The connective tissue</w:t>
      </w:r>
    </w:p>
    <w:p>
      <w:pPr>
        <w:spacing w:after="120" w:line="276"/>
      </w:pPr>
      <w:r>
        <w:rPr>
          <w:color w:val="1A2433"/>
          <w:sz w:val="21"/>
          <w:szCs w:val="21"/>
        </w:rPr>
        <w:t xml:space="preserve">The Battery Pack Aadhaar — a 21-character pack identity carrying immutable manufacturing facts and a live operational ledger — is what turns four modules into one system.</w:t>
      </w:r>
    </w:p>
    <w:p>
      <w:pPr>
        <w:pStyle w:val="ListParagraph"/>
        <w:numPr>
          <w:ilvl w:val="0"/>
          <w:numId w:val="2"/>
        </w:numPr>
        <w:spacing w:after="80" w:line="276"/>
      </w:pPr>
      <w:r>
        <w:rPr>
          <w:color w:val="1A2433"/>
          <w:sz w:val="21"/>
          <w:szCs w:val="21"/>
        </w:rPr>
        <w:t xml:space="preserve">A cobalt supply alert resolves to specific vehicles, because the pack's material composition record says which chemistry it uses.</w:t>
      </w:r>
    </w:p>
    <w:p>
      <w:pPr>
        <w:pStyle w:val="ListParagraph"/>
        <w:numPr>
          <w:ilvl w:val="0"/>
          <w:numId w:val="2"/>
        </w:numPr>
        <w:spacing w:after="80" w:line="276"/>
      </w:pPr>
      <w:r>
        <w:rPr>
          <w:color w:val="1A2433"/>
          <w:sz w:val="21"/>
          <w:szCs w:val="21"/>
        </w:rPr>
        <w:t xml:space="preserve">A flagged manufacturing batch resolves to specific vehicles on the road, through the cell → pack → vehicle lineage.</w:t>
      </w:r>
    </w:p>
    <w:p>
      <w:pPr>
        <w:pStyle w:val="ListParagraph"/>
        <w:numPr>
          <w:ilvl w:val="0"/>
          <w:numId w:val="2"/>
        </w:numPr>
        <w:spacing w:after="80" w:line="276"/>
      </w:pPr>
      <w:r>
        <w:rPr>
          <w:color w:val="1A2433"/>
          <w:sz w:val="21"/>
          <w:szCs w:val="21"/>
        </w:rPr>
        <w:t xml:space="preserve">An ageing pack resolves to a procurement decision, because its chemistry determines its replacement lead time.</w:t>
      </w:r>
    </w:p>
    <w:p>
      <w:r>
        <w:br w:type="page"/>
      </w:r>
    </w:p>
    <w:p>
      <w:pPr>
        <w:pStyle w:val="Heading1"/>
        <w:spacing w:after="160" w:before="360"/>
      </w:pPr>
      <w:r>
        <w:rPr>
          <w:b/>
          <w:bCs/>
          <w:color w:val="1A2433"/>
          <w:sz w:val="30"/>
          <w:szCs w:val="30"/>
        </w:rPr>
        <w:t xml:space="preserve">4. System architecture</w:t>
      </w:r>
    </w:p>
    <w:p>
      <w:pPr>
        <w:spacing w:after="120" w:line="276"/>
      </w:pPr>
      <w:r>
        <w:rPr>
          <w:color w:val="1A2433"/>
          <w:sz w:val="21"/>
          <w:szCs w:val="21"/>
        </w:rPr>
        <w:t xml:space="preserve">The system is a five-layer pipeline. Signal enters at the data layer and leaves as a decision at the experience layer.</w:t>
      </w:r>
    </w:p>
    <w:tbl>
      <w:tblPr>
        <w:tblW w:type="dxa" w:w="9026"/>
        <w:tblBorders>
          <w:top w:val="single" w:color="D3DDEA" w:sz="2"/>
          <w:left w:val="none"/>
          <w:bottom w:val="single" w:color="D3DDEA" w:sz="2"/>
          <w:right w:val="none"/>
          <w:insideH w:val="single" w:color="D3DDEA" w:sz="1"/>
          <w:insideV w:val="none"/>
        </w:tblBorders>
      </w:tblPr>
      <w:tblGrid>
        <w:gridCol w:w="1900"/>
        <w:gridCol w:w="7126"/>
      </w:tblGrid>
      <w:tr>
        <w:trPr>
          <w:tblHeader/>
        </w:trPr>
        <w:tc>
          <w:tcPr>
            <w:tcW w:type="dxa" w:w="1900"/>
            <w:shd w:fill="E8EEF7" w:color="auto" w:val="clear"/>
            <w:tcMar>
              <w:top w:type="dxa" w:w="90"/>
              <w:left w:type="dxa" w:w="130"/>
              <w:bottom w:type="dxa" w:w="90"/>
              <w:right w:type="dxa" w:w="130"/>
            </w:tcMar>
          </w:tcPr>
          <w:p>
            <w:pPr>
              <w:spacing w:after="0" w:line="260"/>
            </w:pPr>
            <w:r>
              <w:rPr>
                <w:b/>
                <w:bCs/>
                <w:color w:val="1A2433"/>
                <w:sz w:val="19"/>
                <w:szCs w:val="19"/>
              </w:rPr>
              <w:t xml:space="preserve">Layer</w:t>
            </w:r>
          </w:p>
        </w:tc>
        <w:tc>
          <w:tcPr>
            <w:tcW w:type="dxa" w:w="7126"/>
            <w:shd w:fill="E8EEF7" w:color="auto" w:val="clear"/>
            <w:tcMar>
              <w:top w:type="dxa" w:w="90"/>
              <w:left w:type="dxa" w:w="130"/>
              <w:bottom w:type="dxa" w:w="90"/>
              <w:right w:type="dxa" w:w="130"/>
            </w:tcMar>
          </w:tcPr>
          <w:p>
            <w:pPr>
              <w:spacing w:after="0" w:line="260"/>
            </w:pPr>
            <w:r>
              <w:rPr>
                <w:b/>
                <w:bCs/>
                <w:color w:val="1A2433"/>
                <w:sz w:val="19"/>
                <w:szCs w:val="19"/>
              </w:rPr>
              <w:t xml:space="preserve">Contents</w:t>
            </w:r>
          </w:p>
        </w:tc>
      </w:tr>
      <w:tr>
        <w:tc>
          <w:tcPr>
            <w:tcW w:type="dxa" w:w="1900"/>
            <w:tcMar>
              <w:top w:type="dxa" w:w="90"/>
              <w:left w:type="dxa" w:w="130"/>
              <w:bottom w:type="dxa" w:w="90"/>
              <w:right w:type="dxa" w:w="130"/>
            </w:tcMar>
          </w:tcPr>
          <w:p>
            <w:pPr>
              <w:spacing w:after="0" w:line="260"/>
            </w:pPr>
            <w:r>
              <w:rPr>
                <w:color w:val="1A2433"/>
                <w:sz w:val="19"/>
                <w:szCs w:val="19"/>
              </w:rPr>
              <w:t xml:space="preserve">01 · Data</w:t>
            </w:r>
          </w:p>
        </w:tc>
        <w:tc>
          <w:tcPr>
            <w:tcW w:type="dxa" w:w="7126"/>
            <w:tcMar>
              <w:top w:type="dxa" w:w="90"/>
              <w:left w:type="dxa" w:w="130"/>
              <w:bottom w:type="dxa" w:w="90"/>
              <w:right w:type="dxa" w:w="130"/>
            </w:tcMar>
          </w:tcPr>
          <w:p>
            <w:pPr>
              <w:spacing w:after="0" w:line="260"/>
            </w:pPr>
            <w:r>
              <w:rPr>
                <w:color w:val="1A2433"/>
                <w:sz w:val="19"/>
                <w:szCs w:val="19"/>
              </w:rPr>
              <w:t xml:space="preserve">NASA PCoE cell ageing data (real); CEA grid factors (published); BMS telemetry, supplier registry and production line records (modelled)</w:t>
            </w:r>
          </w:p>
        </w:tc>
      </w:tr>
      <w:tr>
        <w:tc>
          <w:tcPr>
            <w:tcW w:type="dxa" w:w="1900"/>
            <w:shd w:fill="F5F8FC" w:color="auto" w:val="clear"/>
            <w:tcMar>
              <w:top w:type="dxa" w:w="90"/>
              <w:left w:type="dxa" w:w="130"/>
              <w:bottom w:type="dxa" w:w="90"/>
              <w:right w:type="dxa" w:w="130"/>
            </w:tcMar>
          </w:tcPr>
          <w:p>
            <w:pPr>
              <w:spacing w:after="0" w:line="260"/>
            </w:pPr>
            <w:r>
              <w:rPr>
                <w:color w:val="1A2433"/>
                <w:sz w:val="19"/>
                <w:szCs w:val="19"/>
              </w:rPr>
              <w:t xml:space="preserve">02 · Domain services</w:t>
            </w:r>
          </w:p>
        </w:tc>
        <w:tc>
          <w:tcPr>
            <w:tcW w:type="dxa" w:w="7126"/>
            <w:shd w:fill="F5F8FC" w:color="auto" w:val="clear"/>
            <w:tcMar>
              <w:top w:type="dxa" w:w="90"/>
              <w:left w:type="dxa" w:w="130"/>
              <w:bottom w:type="dxa" w:w="90"/>
              <w:right w:type="dxa" w:w="130"/>
            </w:tcMar>
          </w:tcPr>
          <w:p>
            <w:pPr>
              <w:spacing w:after="0" w:line="260"/>
            </w:pPr>
            <w:r>
              <w:rPr>
                <w:color w:val="1A2433"/>
                <w:sz w:val="19"/>
                <w:szCs w:val="19"/>
              </w:rPr>
              <w:t xml:space="preserve">degradation.py, qms.py, bpan.py, compound.py, nasa_data.py, agents.py, seed_data.py — deterministic and independently testable</w:t>
            </w:r>
          </w:p>
        </w:tc>
      </w:tr>
      <w:tr>
        <w:tc>
          <w:tcPr>
            <w:tcW w:type="dxa" w:w="1900"/>
            <w:tcMar>
              <w:top w:type="dxa" w:w="90"/>
              <w:left w:type="dxa" w:w="130"/>
              <w:bottom w:type="dxa" w:w="90"/>
              <w:right w:type="dxa" w:w="130"/>
            </w:tcMar>
          </w:tcPr>
          <w:p>
            <w:pPr>
              <w:spacing w:after="0" w:line="260"/>
            </w:pPr>
            <w:r>
              <w:rPr>
                <w:color w:val="1A2433"/>
                <w:sz w:val="19"/>
                <w:szCs w:val="19"/>
              </w:rPr>
              <w:t xml:space="preserve">03 · Intelligence</w:t>
            </w:r>
          </w:p>
        </w:tc>
        <w:tc>
          <w:tcPr>
            <w:tcW w:type="dxa" w:w="7126"/>
            <w:tcMar>
              <w:top w:type="dxa" w:w="90"/>
              <w:left w:type="dxa" w:w="130"/>
              <w:bottom w:type="dxa" w:w="90"/>
              <w:right w:type="dxa" w:w="130"/>
            </w:tcMar>
          </w:tcPr>
          <w:p>
            <w:pPr>
              <w:spacing w:after="0" w:line="260"/>
            </w:pPr>
            <w:r>
              <w:rPr>
                <w:color w:val="1A2433"/>
                <w:sz w:val="19"/>
                <w:szCs w:val="19"/>
              </w:rPr>
              <w:t xml:space="preserve">Planner → 5 specialist agents → synthesiser, over 10 deterministic tools; compound risk engine correlating 4 modules</w:t>
            </w:r>
          </w:p>
        </w:tc>
      </w:tr>
      <w:tr>
        <w:tc>
          <w:tcPr>
            <w:tcW w:type="dxa" w:w="1900"/>
            <w:shd w:fill="F5F8FC" w:color="auto" w:val="clear"/>
            <w:tcMar>
              <w:top w:type="dxa" w:w="90"/>
              <w:left w:type="dxa" w:w="130"/>
              <w:bottom w:type="dxa" w:w="90"/>
              <w:right w:type="dxa" w:w="130"/>
            </w:tcMar>
          </w:tcPr>
          <w:p>
            <w:pPr>
              <w:spacing w:after="0" w:line="260"/>
            </w:pPr>
            <w:r>
              <w:rPr>
                <w:color w:val="1A2433"/>
                <w:sz w:val="19"/>
                <w:szCs w:val="19"/>
              </w:rPr>
              <w:t xml:space="preserve">04 · API</w:t>
            </w:r>
          </w:p>
        </w:tc>
        <w:tc>
          <w:tcPr>
            <w:tcW w:type="dxa" w:w="7126"/>
            <w:shd w:fill="F5F8FC" w:color="auto" w:val="clear"/>
            <w:tcMar>
              <w:top w:type="dxa" w:w="90"/>
              <w:left w:type="dxa" w:w="130"/>
              <w:bottom w:type="dxa" w:w="90"/>
              <w:right w:type="dxa" w:w="130"/>
            </w:tcMar>
          </w:tcPr>
          <w:p>
            <w:pPr>
              <w:spacing w:after="0" w:line="260"/>
            </w:pPr>
            <w:r>
              <w:rPr>
                <w:color w:val="1A2433"/>
                <w:sz w:val="19"/>
                <w:szCs w:val="19"/>
              </w:rPr>
              <w:t xml:space="preserve">FastAPI — 41 endpoints across 8 routers, browsable at /docs</w:t>
            </w:r>
          </w:p>
        </w:tc>
      </w:tr>
      <w:tr>
        <w:tc>
          <w:tcPr>
            <w:tcW w:type="dxa" w:w="1900"/>
            <w:tcMar>
              <w:top w:type="dxa" w:w="90"/>
              <w:left w:type="dxa" w:w="130"/>
              <w:bottom w:type="dxa" w:w="90"/>
              <w:right w:type="dxa" w:w="130"/>
            </w:tcMar>
          </w:tcPr>
          <w:p>
            <w:pPr>
              <w:spacing w:after="0" w:line="260"/>
            </w:pPr>
            <w:r>
              <w:rPr>
                <w:color w:val="1A2433"/>
                <w:sz w:val="19"/>
                <w:szCs w:val="19"/>
              </w:rPr>
              <w:t xml:space="preserve">05 · Experience</w:t>
            </w:r>
          </w:p>
        </w:tc>
        <w:tc>
          <w:tcPr>
            <w:tcW w:type="dxa" w:w="7126"/>
            <w:tcMar>
              <w:top w:type="dxa" w:w="90"/>
              <w:left w:type="dxa" w:w="130"/>
              <w:bottom w:type="dxa" w:w="90"/>
              <w:right w:type="dxa" w:w="130"/>
            </w:tcMar>
          </w:tcPr>
          <w:p>
            <w:pPr>
              <w:spacing w:after="0" w:line="260"/>
            </w:pPr>
            <w:r>
              <w:rPr>
                <w:color w:val="1A2433"/>
                <w:sz w:val="19"/>
                <w:szCs w:val="19"/>
              </w:rPr>
              <w:t xml:space="preserve">Next.js 16 — 8 pages, every asset clickable through to its underlying evidence</w:t>
            </w:r>
          </w:p>
        </w:tc>
      </w:tr>
    </w:tbl>
    <w:p>
      <w:pPr>
        <w:spacing w:after="160"/>
      </w:pPr>
    </w:p>
    <w:p>
      <w:pPr>
        <w:pStyle w:val="Heading2"/>
        <w:spacing w:after="120" w:before="260"/>
      </w:pPr>
      <w:r>
        <w:rPr>
          <w:b/>
          <w:bCs/>
          <w:color w:val="1F6FEB"/>
          <w:sz w:val="24"/>
          <w:szCs w:val="24"/>
        </w:rPr>
        <w:t xml:space="preserve">The architectural guarantee</w:t>
      </w:r>
    </w:p>
    <w:tbl>
      <w:tblPr>
        <w:tblW w:type="dxa" w:w="9026"/>
        <w:tblBorders>
          <w:top w:val="single" w:color="D3DDEA" w:sz="2"/>
          <w:left w:val="single" w:color="1F6FEB" w:sz="18"/>
          <w:bottom w:val="single" w:color="D3DDEA" w:sz="2"/>
          <w:right w:val="none"/>
          <w:insideH w:val="none"/>
          <w:insideV w:val="none"/>
        </w:tblBorders>
      </w:tblPr>
      <w:tblGrid>
        <w:gridCol w:w="9026"/>
      </w:tblGrid>
      <w:tr>
        <w:tc>
          <w:tcPr>
            <w:tcW w:type="dxa" w:w="9026"/>
            <w:shd w:fill="F5F8FC" w:color="auto" w:val="clear"/>
            <w:tcMar>
              <w:top w:type="dxa" w:w="160"/>
              <w:left w:type="dxa" w:w="200"/>
              <w:bottom w:type="dxa" w:w="160"/>
              <w:right w:type="dxa" w:w="200"/>
            </w:tcMar>
          </w:tcPr>
          <w:p>
            <w:pPr>
              <w:spacing w:after="80"/>
            </w:pPr>
            <w:r>
              <w:rPr>
                <w:b/>
                <w:bCs/>
                <w:color w:val="1F6FEB"/>
                <w:sz w:val="20"/>
                <w:szCs w:val="20"/>
              </w:rPr>
              <w:t xml:space="preserve">Tools are the source of truth; the model only reasons</w:t>
            </w:r>
          </w:p>
          <w:p>
            <w:pPr>
              <w:spacing w:after="60" w:line="276"/>
            </w:pPr>
            <w:r>
              <w:rPr>
                <w:color w:val="1A2433"/>
                <w:sz w:val="20"/>
                <w:szCs w:val="20"/>
              </w:rPr>
              <w:t xml:space="preserve">Every number a specialist agent states came from a deterministic read against the live data store. The language model interprets figures it was handed — it never generates them.</w:t>
            </w:r>
          </w:p>
          <w:p>
            <w:pPr>
              <w:spacing w:after="60" w:line="276"/>
            </w:pPr>
            <w:r>
              <w:rPr>
                <w:color w:val="1A2433"/>
                <w:sz w:val="20"/>
                <w:szCs w:val="20"/>
              </w:rPr>
              <w:t xml:space="preserve">This keeps the platform auditable, which is a hard requirement for anything touching battery safety or regulatory reporting. It also means the orchestrator degrades gracefully: with no model key configured it falls back to deterministic planning and template synthesis, so a demonstration never depends on an external API.</w:t>
            </w:r>
          </w:p>
        </w:tc>
      </w:tr>
    </w:tbl>
    <w:p>
      <w:pPr>
        <w:spacing w:after="160"/>
      </w:pPr>
    </w:p>
    <w:p>
      <w:pPr>
        <w:pStyle w:val="Heading2"/>
        <w:spacing w:after="120" w:before="260"/>
      </w:pPr>
      <w:r>
        <w:rPr>
          <w:b/>
          <w:bCs/>
          <w:color w:val="1F6FEB"/>
          <w:sz w:val="24"/>
          <w:szCs w:val="24"/>
        </w:rPr>
        <w:t xml:space="preserve">Agent roster</w:t>
      </w:r>
    </w:p>
    <w:tbl>
      <w:tblPr>
        <w:tblW w:type="dxa" w:w="9026"/>
        <w:tblBorders>
          <w:top w:val="single" w:color="D3DDEA" w:sz="2"/>
          <w:left w:val="none"/>
          <w:bottom w:val="single" w:color="D3DDEA" w:sz="2"/>
          <w:right w:val="none"/>
          <w:insideH w:val="single" w:color="D3DDEA" w:sz="1"/>
          <w:insideV w:val="none"/>
        </w:tblBorders>
      </w:tblPr>
      <w:tblGrid>
        <w:gridCol w:w="2600"/>
        <w:gridCol w:w="6426"/>
      </w:tblGrid>
      <w:tr>
        <w:trPr>
          <w:tblHeader/>
        </w:trPr>
        <w:tc>
          <w:tcPr>
            <w:tcW w:type="dxa" w:w="2600"/>
            <w:shd w:fill="E8EEF7" w:color="auto" w:val="clear"/>
            <w:tcMar>
              <w:top w:type="dxa" w:w="90"/>
              <w:left w:type="dxa" w:w="130"/>
              <w:bottom w:type="dxa" w:w="90"/>
              <w:right w:type="dxa" w:w="130"/>
            </w:tcMar>
          </w:tcPr>
          <w:p>
            <w:pPr>
              <w:spacing w:after="0" w:line="260"/>
            </w:pPr>
            <w:r>
              <w:rPr>
                <w:b/>
                <w:bCs/>
                <w:color w:val="1A2433"/>
                <w:sz w:val="19"/>
                <w:szCs w:val="19"/>
              </w:rPr>
              <w:t xml:space="preserve">Agent</w:t>
            </w:r>
          </w:p>
        </w:tc>
        <w:tc>
          <w:tcPr>
            <w:tcW w:type="dxa" w:w="6426"/>
            <w:shd w:fill="E8EEF7" w:color="auto" w:val="clear"/>
            <w:tcMar>
              <w:top w:type="dxa" w:w="90"/>
              <w:left w:type="dxa" w:w="130"/>
              <w:bottom w:type="dxa" w:w="90"/>
              <w:right w:type="dxa" w:w="130"/>
            </w:tcMar>
          </w:tcPr>
          <w:p>
            <w:pPr>
              <w:spacing w:after="0" w:line="260"/>
            </w:pPr>
            <w:r>
              <w:rPr>
                <w:b/>
                <w:bCs/>
                <w:color w:val="1A2433"/>
                <w:sz w:val="19"/>
                <w:szCs w:val="19"/>
              </w:rPr>
              <w:t xml:space="preserve">Remit</w:t>
            </w:r>
          </w:p>
        </w:tc>
      </w:tr>
      <w:tr>
        <w:tc>
          <w:tcPr>
            <w:tcW w:type="dxa" w:w="2600"/>
            <w:tcMar>
              <w:top w:type="dxa" w:w="90"/>
              <w:left w:type="dxa" w:w="130"/>
              <w:bottom w:type="dxa" w:w="90"/>
              <w:right w:type="dxa" w:w="130"/>
            </w:tcMar>
          </w:tcPr>
          <w:p>
            <w:pPr>
              <w:spacing w:after="0" w:line="260"/>
            </w:pPr>
            <w:r>
              <w:rPr>
                <w:color w:val="1A2433"/>
                <w:sz w:val="19"/>
                <w:szCs w:val="19"/>
              </w:rPr>
              <w:t xml:space="preserve">Battery APM</w:t>
            </w:r>
          </w:p>
        </w:tc>
        <w:tc>
          <w:tcPr>
            <w:tcW w:type="dxa" w:w="6426"/>
            <w:tcMar>
              <w:top w:type="dxa" w:w="90"/>
              <w:left w:type="dxa" w:w="130"/>
              <w:bottom w:type="dxa" w:w="90"/>
              <w:right w:type="dxa" w:w="130"/>
            </w:tcMar>
          </w:tcPr>
          <w:p>
            <w:pPr>
              <w:spacing w:after="0" w:line="260"/>
            </w:pPr>
            <w:r>
              <w:rPr>
                <w:color w:val="1A2433"/>
                <w:sz w:val="19"/>
                <w:szCs w:val="19"/>
              </w:rPr>
              <w:t xml:space="preserve">Predictive battery health, degradation physics, remaining useful life</w:t>
            </w:r>
          </w:p>
        </w:tc>
      </w:tr>
      <w:tr>
        <w:tc>
          <w:tcPr>
            <w:tcW w:type="dxa" w:w="2600"/>
            <w:shd w:fill="F5F8FC" w:color="auto" w:val="clear"/>
            <w:tcMar>
              <w:top w:type="dxa" w:w="90"/>
              <w:left w:type="dxa" w:w="130"/>
              <w:bottom w:type="dxa" w:w="90"/>
              <w:right w:type="dxa" w:w="130"/>
            </w:tcMar>
          </w:tcPr>
          <w:p>
            <w:pPr>
              <w:spacing w:after="0" w:line="260"/>
            </w:pPr>
            <w:r>
              <w:rPr>
                <w:color w:val="1A2433"/>
                <w:sz w:val="19"/>
                <w:szCs w:val="19"/>
              </w:rPr>
              <w:t xml:space="preserve">Supply Chain Risk</w:t>
            </w:r>
          </w:p>
        </w:tc>
        <w:tc>
          <w:tcPr>
            <w:tcW w:type="dxa" w:w="6426"/>
            <w:shd w:fill="F5F8FC" w:color="auto" w:val="clear"/>
            <w:tcMar>
              <w:top w:type="dxa" w:w="90"/>
              <w:left w:type="dxa" w:w="130"/>
              <w:bottom w:type="dxa" w:w="90"/>
              <w:right w:type="dxa" w:w="130"/>
            </w:tcMar>
          </w:tcPr>
          <w:p>
            <w:pPr>
              <w:spacing w:after="0" w:line="260"/>
            </w:pPr>
            <w:r>
              <w:rPr>
                <w:color w:val="1A2433"/>
                <w:sz w:val="19"/>
                <w:szCs w:val="19"/>
              </w:rPr>
              <w:t xml:space="preserve">Multi-tier supplier risk, critical minerals, disruption monitoring</w:t>
            </w:r>
          </w:p>
        </w:tc>
      </w:tr>
      <w:tr>
        <w:tc>
          <w:tcPr>
            <w:tcW w:type="dxa" w:w="2600"/>
            <w:tcMar>
              <w:top w:type="dxa" w:w="90"/>
              <w:left w:type="dxa" w:w="130"/>
              <w:bottom w:type="dxa" w:w="90"/>
              <w:right w:type="dxa" w:w="130"/>
            </w:tcMar>
          </w:tcPr>
          <w:p>
            <w:pPr>
              <w:spacing w:after="0" w:line="260"/>
            </w:pPr>
            <w:r>
              <w:rPr>
                <w:color w:val="1A2433"/>
                <w:sz w:val="19"/>
                <w:szCs w:val="19"/>
              </w:rPr>
              <w:t xml:space="preserve">Procurement &amp; Readiness</w:t>
            </w:r>
          </w:p>
        </w:tc>
        <w:tc>
          <w:tcPr>
            <w:tcW w:type="dxa" w:w="6426"/>
            <w:tcMar>
              <w:top w:type="dxa" w:w="90"/>
              <w:left w:type="dxa" w:w="130"/>
              <w:bottom w:type="dxa" w:w="90"/>
              <w:right w:type="dxa" w:w="130"/>
            </w:tcMar>
          </w:tcPr>
          <w:p>
            <w:pPr>
              <w:spacing w:after="0" w:line="260"/>
            </w:pPr>
            <w:r>
              <w:rPr>
                <w:color w:val="1A2433"/>
                <w:sz w:val="19"/>
                <w:szCs w:val="19"/>
              </w:rPr>
              <w:t xml:space="preserve">Electrification readiness scoring, TCO, procurement planning</w:t>
            </w:r>
          </w:p>
        </w:tc>
      </w:tr>
      <w:tr>
        <w:tc>
          <w:tcPr>
            <w:tcW w:type="dxa" w:w="2600"/>
            <w:shd w:fill="F5F8FC" w:color="auto" w:val="clear"/>
            <w:tcMar>
              <w:top w:type="dxa" w:w="90"/>
              <w:left w:type="dxa" w:w="130"/>
              <w:bottom w:type="dxa" w:w="90"/>
              <w:right w:type="dxa" w:w="130"/>
            </w:tcMar>
          </w:tcPr>
          <w:p>
            <w:pPr>
              <w:spacing w:after="0" w:line="260"/>
            </w:pPr>
            <w:r>
              <w:rPr>
                <w:color w:val="1A2433"/>
                <w:sz w:val="19"/>
                <w:szCs w:val="19"/>
              </w:rPr>
              <w:t xml:space="preserve">Carbon Intelligence</w:t>
            </w:r>
          </w:p>
        </w:tc>
        <w:tc>
          <w:tcPr>
            <w:tcW w:type="dxa" w:w="6426"/>
            <w:shd w:fill="F5F8FC" w:color="auto" w:val="clear"/>
            <w:tcMar>
              <w:top w:type="dxa" w:w="90"/>
              <w:left w:type="dxa" w:w="130"/>
              <w:bottom w:type="dxa" w:w="90"/>
              <w:right w:type="dxa" w:w="130"/>
            </w:tcMar>
          </w:tcPr>
          <w:p>
            <w:pPr>
              <w:spacing w:after="0" w:line="260"/>
            </w:pPr>
            <w:r>
              <w:rPr>
                <w:color w:val="1A2433"/>
                <w:sz w:val="19"/>
                <w:szCs w:val="19"/>
              </w:rPr>
              <w:t xml:space="preserve">Scope 1/2/3 accounting, BRSR Core reporting, decarbonisation priorities</w:t>
            </w:r>
          </w:p>
        </w:tc>
      </w:tr>
      <w:tr>
        <w:tc>
          <w:tcPr>
            <w:tcW w:type="dxa" w:w="2600"/>
            <w:tcMar>
              <w:top w:type="dxa" w:w="90"/>
              <w:left w:type="dxa" w:w="130"/>
              <w:bottom w:type="dxa" w:w="90"/>
              <w:right w:type="dxa" w:w="130"/>
            </w:tcMar>
          </w:tcPr>
          <w:p>
            <w:pPr>
              <w:spacing w:after="0" w:line="260"/>
            </w:pPr>
            <w:r>
              <w:rPr>
                <w:color w:val="1A2433"/>
                <w:sz w:val="19"/>
                <w:szCs w:val="19"/>
              </w:rPr>
              <w:t xml:space="preserve">Compliance &amp; Traceability</w:t>
            </w:r>
          </w:p>
        </w:tc>
        <w:tc>
          <w:tcPr>
            <w:tcW w:type="dxa" w:w="6426"/>
            <w:tcMar>
              <w:top w:type="dxa" w:w="90"/>
              <w:left w:type="dxa" w:w="130"/>
              <w:bottom w:type="dxa" w:w="90"/>
              <w:right w:type="dxa" w:w="130"/>
            </w:tcMar>
          </w:tcPr>
          <w:p>
            <w:pPr>
              <w:spacing w:after="0" w:line="260"/>
            </w:pPr>
            <w:r>
              <w:rPr>
                <w:color w:val="1A2433"/>
                <w:sz w:val="19"/>
                <w:szCs w:val="19"/>
              </w:rPr>
              <w:t xml:space="preserve">Battery Pack Aadhaar traceability, AIS-156 Phase 2 safety</w:t>
            </w:r>
          </w:p>
        </w:tc>
      </w:tr>
    </w:tbl>
    <w:p>
      <w:r>
        <w:br w:type="page"/>
      </w:r>
    </w:p>
    <w:p>
      <w:pPr>
        <w:pStyle w:val="Heading1"/>
        <w:spacing w:after="160" w:before="360"/>
      </w:pPr>
      <w:r>
        <w:rPr>
          <w:b/>
          <w:bCs/>
          <w:color w:val="1A2433"/>
          <w:sz w:val="30"/>
          <w:szCs w:val="30"/>
        </w:rPr>
        <w:t xml:space="preserve">5. Module detail</w:t>
      </w:r>
    </w:p>
    <w:p>
      <w:pPr>
        <w:pStyle w:val="Heading2"/>
        <w:spacing w:after="120" w:before="260"/>
      </w:pPr>
      <w:r>
        <w:rPr>
          <w:b/>
          <w:bCs/>
          <w:color w:val="1F6FEB"/>
          <w:sz w:val="24"/>
          <w:szCs w:val="24"/>
        </w:rPr>
        <w:t xml:space="preserve">5.1  Battery Asset Performance Management</w:t>
      </w:r>
    </w:p>
    <w:p>
      <w:pPr>
        <w:spacing w:after="120" w:line="276"/>
      </w:pPr>
      <w:r>
        <w:rPr>
          <w:color w:val="1A2433"/>
          <w:sz w:val="21"/>
          <w:szCs w:val="21"/>
        </w:rPr>
        <w:t xml:space="preserve">Monitors state of health, charging patterns, thermal events and degradation trajectories across the EV fleet, producing remaining-useful-life estimates and predictive maintenance triggers.</w:t>
      </w:r>
    </w:p>
    <w:p>
      <w:pPr>
        <w:pStyle w:val="Heading3"/>
        <w:spacing w:after="100" w:before="200"/>
      </w:pPr>
      <w:r>
        <w:rPr>
          <w:b/>
          <w:bCs/>
          <w:color w:val="1A2433"/>
          <w:sz w:val="21"/>
          <w:szCs w:val="21"/>
        </w:rPr>
        <w:t xml:space="preserve">The degradation model</w:t>
      </w:r>
    </w:p>
    <w:p>
      <w:pPr>
        <w:spacing w:after="120" w:line="276"/>
      </w:pPr>
      <w:r>
        <w:rPr>
          <w:color w:val="1A2433"/>
          <w:sz w:val="21"/>
          <w:szCs w:val="21"/>
        </w:rPr>
        <w:t xml:space="preserve">The model form is physics-informed rather than a black box: </w:t>
      </w:r>
      <w:r>
        <w:rPr>
          <w:rFonts w:ascii="Consolas" w:cs="Consolas" w:eastAsia="Consolas" w:hAnsi="Consolas"/>
          <w:b/>
          <w:bCs/>
          <w:color w:val="1A2433"/>
          <w:sz w:val="21"/>
          <w:szCs w:val="21"/>
        </w:rPr>
        <w:t xml:space="preserve">SOH(t) = 100 − a·√t − b·t</w:t>
      </w:r>
    </w:p>
    <w:p>
      <w:pPr>
        <w:pStyle w:val="ListParagraph"/>
        <w:numPr>
          <w:ilvl w:val="0"/>
          <w:numId w:val="2"/>
        </w:numPr>
        <w:spacing w:after="80" w:line="276"/>
      </w:pPr>
      <w:r>
        <w:rPr>
          <w:color w:val="1A2433"/>
          <w:sz w:val="21"/>
          <w:szCs w:val="21"/>
        </w:rPr>
        <w:t xml:space="preserve">The √t term captures calendar ageing driven by solid-electrolyte interphase (SEI) layer growth, which follows a square-root-of-time law.</w:t>
      </w:r>
    </w:p>
    <w:p>
      <w:pPr>
        <w:pStyle w:val="ListParagraph"/>
        <w:numPr>
          <w:ilvl w:val="0"/>
          <w:numId w:val="2"/>
        </w:numPr>
        <w:spacing w:after="80" w:line="276"/>
      </w:pPr>
      <w:r>
        <w:rPr>
          <w:color w:val="1A2433"/>
          <w:sz w:val="21"/>
          <w:szCs w:val="21"/>
        </w:rPr>
        <w:t xml:space="preserve">The linear term captures cycling ageing — loss of active material, approximately linear in throughput.</w:t>
      </w:r>
    </w:p>
    <w:p>
      <w:pPr>
        <w:spacing w:after="120" w:line="276"/>
      </w:pPr>
      <w:r>
        <w:rPr>
          <w:color w:val="1A2433"/>
          <w:sz w:val="21"/>
          <w:szCs w:val="21"/>
        </w:rPr>
        <w:t xml:space="preserve">Constraining the functional form to two coefficients keeps the fit stable on short, noisy per-asset histories and avoids the out-of-distribution collapse that affects unconstrained regressors on battery data.</w:t>
      </w:r>
    </w:p>
    <w:p>
      <w:pPr>
        <w:pStyle w:val="Heading3"/>
        <w:spacing w:after="100" w:before="200"/>
      </w:pPr>
      <w:r>
        <w:rPr>
          <w:b/>
          <w:bCs/>
          <w:color w:val="1A2433"/>
          <w:sz w:val="21"/>
          <w:szCs w:val="21"/>
        </w:rPr>
        <w:t xml:space="preserve">Per-asset model selection</w:t>
      </w:r>
    </w:p>
    <w:p>
      <w:pPr>
        <w:spacing w:after="120" w:line="276"/>
      </w:pPr>
      <w:r>
        <w:rPr>
          <w:color w:val="1A2433"/>
          <w:sz w:val="21"/>
          <w:szCs w:val="21"/>
        </w:rPr>
        <w:t xml:space="preserve">Cells entering the capacity "knee" — accelerated non-linear fade near end of life — are poorly described by their own early history. The model therefore selects an exponential recency weighting per asset, chosen on an inner split of the training data so the held-out test set is never consulted. This lifted real-data improvement over baseline from 20.2% to 38.6%.</w:t>
      </w:r>
    </w:p>
    <w:p>
      <w:pPr>
        <w:spacing w:after="80"/>
      </w:pPr>
    </w:p>
    <w:p>
      <w:pPr>
        <w:pStyle w:val="Heading2"/>
        <w:spacing w:after="120" w:before="260"/>
      </w:pPr>
      <w:r>
        <w:rPr>
          <w:b/>
          <w:bCs/>
          <w:color w:val="1F6FEB"/>
          <w:sz w:val="24"/>
          <w:szCs w:val="24"/>
        </w:rPr>
        <w:t xml:space="preserve">5.2  Manufacturing Quality Intelligence (QMS)</w:t>
      </w:r>
    </w:p>
    <w:p>
      <w:pPr>
        <w:spacing w:after="120" w:line="276"/>
      </w:pPr>
      <w:r>
        <w:rPr>
          <w:color w:val="1A2433"/>
          <w:sz w:val="21"/>
          <w:szCs w:val="21"/>
        </w:rPr>
        <w:t xml:space="preserve">Two classifiers are trained deliberately, because the brief asks for defects to be caught before product reaches assembly.</w:t>
      </w:r>
    </w:p>
    <w:p>
      <w:pPr>
        <w:pStyle w:val="ListParagraph"/>
        <w:numPr>
          <w:ilvl w:val="0"/>
          <w:numId w:val="2"/>
        </w:numPr>
        <w:spacing w:after="80" w:line="276"/>
      </w:pPr>
      <w:r>
        <w:rPr>
          <w:b/>
          <w:bCs/>
          <w:color w:val="1A2433"/>
          <w:sz w:val="21"/>
          <w:szCs w:val="21"/>
        </w:rPr>
        <w:t xml:space="preserve">Early warning</w:t>
      </w:r>
      <w:r>
        <w:rPr>
          <w:color w:val="1A2433"/>
          <w:sz w:val="21"/>
          <w:szCs w:val="21"/>
        </w:rPr>
        <w:t xml:space="preserve"> — process parameters and incoming material only. Known the moment a batch is coated and welded, hours before in-line inspection returns a verdict. This is the model that buys lead time.</w:t>
      </w:r>
    </w:p>
    <w:p>
      <w:pPr>
        <w:pStyle w:val="ListParagraph"/>
        <w:numPr>
          <w:ilvl w:val="0"/>
          <w:numId w:val="2"/>
        </w:numPr>
        <w:spacing w:after="80" w:line="276"/>
      </w:pPr>
      <w:r>
        <w:rPr>
          <w:b/>
          <w:bCs/>
          <w:color w:val="1A2433"/>
          <w:sz w:val="21"/>
          <w:szCs w:val="21"/>
        </w:rPr>
        <w:t xml:space="preserve">Full</w:t>
      </w:r>
      <w:r>
        <w:rPr>
          <w:color w:val="1A2433"/>
          <w:sz w:val="21"/>
          <w:szCs w:val="21"/>
        </w:rPr>
        <w:t xml:space="preserve"> — adds in-line inspection results. By the time these exist, the cells are already built.</w:t>
      </w:r>
    </w:p>
    <w:p>
      <w:pPr>
        <w:spacing w:after="120" w:line="276"/>
      </w:pPr>
      <w:r>
        <w:rPr>
          <w:color w:val="1A2433"/>
          <w:sz w:val="21"/>
          <w:szCs w:val="21"/>
        </w:rPr>
        <w:t xml:space="preserve">Both are compared against the rule a conventional QMS actually runs: 3-sigma control limits on individual process parameters.</w:t>
      </w:r>
    </w:p>
    <w:p>
      <w:pPr>
        <w:pStyle w:val="Heading3"/>
        <w:spacing w:after="100" w:before="200"/>
      </w:pPr>
      <w:r>
        <w:rPr>
          <w:b/>
          <w:bCs/>
          <w:color w:val="1A2433"/>
          <w:sz w:val="21"/>
          <w:szCs w:val="21"/>
        </w:rPr>
        <w:t xml:space="preserve">Feature engineering</w:t>
      </w:r>
    </w:p>
    <w:p>
      <w:pPr>
        <w:spacing w:after="120" w:line="276"/>
      </w:pPr>
      <w:r>
        <w:rPr>
          <w:color w:val="1A2433"/>
          <w:sz w:val="21"/>
          <w:szCs w:val="21"/>
        </w:rPr>
        <w:t xml:space="preserve">Defect risk depends on absolute deviation from target — a coating that is too thin is as damaging as one too thick. Features are therefore expressed as |value − target| ÷ tolerance. Feeding raw process values to a linear model cannot represent that U-shaped relationship and scored near random (measured ROC-AUC 0.45). This was the single most consequential correctness issue in the module.</w:t>
      </w:r>
    </w:p>
    <w:p>
      <w:pPr>
        <w:pStyle w:val="Heading3"/>
        <w:spacing w:after="100" w:before="200"/>
      </w:pPr>
      <w:r>
        <w:rPr>
          <w:b/>
          <w:bCs/>
          <w:color w:val="1A2433"/>
          <w:sz w:val="21"/>
          <w:szCs w:val="21"/>
        </w:rPr>
        <w:t xml:space="preserve">Additional capability</w:t>
      </w:r>
    </w:p>
    <w:p>
      <w:pPr>
        <w:pStyle w:val="ListParagraph"/>
        <w:numPr>
          <w:ilvl w:val="0"/>
          <w:numId w:val="2"/>
        </w:numPr>
        <w:spacing w:after="80" w:line="276"/>
      </w:pPr>
      <w:r>
        <w:rPr>
          <w:color w:val="1A2433"/>
          <w:sz w:val="21"/>
          <w:szCs w:val="21"/>
        </w:rPr>
        <w:t xml:space="preserve">Process drift detection — catches a parameter walking off target while individual batches remain in spec, so no reject has yet been raised.</w:t>
      </w:r>
    </w:p>
    <w:p>
      <w:pPr>
        <w:pStyle w:val="ListParagraph"/>
        <w:numPr>
          <w:ilvl w:val="0"/>
          <w:numId w:val="2"/>
        </w:numPr>
        <w:spacing w:after="80" w:line="276"/>
      </w:pPr>
      <w:r>
        <w:rPr>
          <w:color w:val="1A2433"/>
          <w:sz w:val="21"/>
          <w:szCs w:val="21"/>
        </w:rPr>
        <w:t xml:space="preserve">SPC control limits with process capability (Cpk) against the automotive 1.33 bar.</w:t>
      </w:r>
    </w:p>
    <w:p>
      <w:pPr>
        <w:pStyle w:val="ListParagraph"/>
        <w:numPr>
          <w:ilvl w:val="0"/>
          <w:numId w:val="2"/>
        </w:numPr>
        <w:spacing w:after="80" w:line="276"/>
      </w:pPr>
      <w:r>
        <w:rPr>
          <w:color w:val="1A2433"/>
          <w:sz w:val="21"/>
          <w:szCs w:val="21"/>
        </w:rPr>
        <w:t xml:space="preserve">Per-batch driver attribution for root-cause analysis.</w:t>
      </w:r>
    </w:p>
    <w:p>
      <w:pPr>
        <w:pStyle w:val="ListParagraph"/>
        <w:numPr>
          <w:ilvl w:val="0"/>
          <w:numId w:val="2"/>
        </w:numPr>
        <w:spacing w:after="80" w:line="276"/>
      </w:pPr>
      <w:r>
        <w:rPr>
          <w:color w:val="1A2433"/>
          <w:sz w:val="21"/>
          <w:szCs w:val="21"/>
        </w:rPr>
        <w:t xml:space="preserve">Cell → pack → vehicle traceability linking a flagged batch to fielded assets.</w:t>
      </w:r>
    </w:p>
    <w:p>
      <w:pPr>
        <w:spacing w:after="80"/>
      </w:pPr>
    </w:p>
    <w:p>
      <w:pPr>
        <w:pStyle w:val="Heading2"/>
        <w:spacing w:after="120" w:before="260"/>
      </w:pPr>
      <w:r>
        <w:rPr>
          <w:b/>
          <w:bCs/>
          <w:color w:val="1F6FEB"/>
          <w:sz w:val="24"/>
          <w:szCs w:val="24"/>
        </w:rPr>
        <w:t xml:space="preserve">5.3  Battery Pack Aadhaar (BPAN)</w:t>
      </w:r>
    </w:p>
    <w:p>
      <w:pPr>
        <w:spacing w:after="120" w:line="276"/>
      </w:pPr>
      <w:r>
        <w:rPr>
          <w:color w:val="1A2433"/>
          <w:sz w:val="21"/>
          <w:szCs w:val="21"/>
        </w:rPr>
        <w:t xml:space="preserve">Implements the identity and data architecture of MoRTH's draft Battery Pack Aadhaar scheme: a 21-character checksummed identity per pack, split into an immutable static schema and a dynamic operational ledger.</w:t>
      </w:r>
    </w:p>
    <w:tbl>
      <w:tblPr>
        <w:tblW w:type="dxa" w:w="9026"/>
        <w:tblBorders>
          <w:top w:val="single" w:color="D3DDEA" w:sz="2"/>
          <w:left w:val="none"/>
          <w:bottom w:val="single" w:color="D3DDEA" w:sz="2"/>
          <w:right w:val="none"/>
          <w:insideH w:val="single" w:color="D3DDEA" w:sz="1"/>
          <w:insideV w:val="none"/>
        </w:tblBorders>
      </w:tblPr>
      <w:tblGrid>
        <w:gridCol w:w="2900"/>
        <w:gridCol w:w="6126"/>
      </w:tblGrid>
      <w:tr>
        <w:trPr>
          <w:tblHeader/>
        </w:trPr>
        <w:tc>
          <w:tcPr>
            <w:tcW w:type="dxa" w:w="2900"/>
            <w:shd w:fill="E8EEF7" w:color="auto" w:val="clear"/>
            <w:tcMar>
              <w:top w:type="dxa" w:w="90"/>
              <w:left w:type="dxa" w:w="130"/>
              <w:bottom w:type="dxa" w:w="90"/>
              <w:right w:type="dxa" w:w="130"/>
            </w:tcMar>
          </w:tcPr>
          <w:p>
            <w:pPr>
              <w:spacing w:after="0" w:line="260"/>
            </w:pPr>
            <w:r>
              <w:rPr>
                <w:b/>
                <w:bCs/>
                <w:color w:val="1A2433"/>
                <w:sz w:val="19"/>
                <w:szCs w:val="19"/>
              </w:rPr>
              <w:t xml:space="preserve">Schema</w:t>
            </w:r>
          </w:p>
        </w:tc>
        <w:tc>
          <w:tcPr>
            <w:tcW w:type="dxa" w:w="6126"/>
            <w:shd w:fill="E8EEF7" w:color="auto" w:val="clear"/>
            <w:tcMar>
              <w:top w:type="dxa" w:w="90"/>
              <w:left w:type="dxa" w:w="130"/>
              <w:bottom w:type="dxa" w:w="90"/>
              <w:right w:type="dxa" w:w="130"/>
            </w:tcMar>
          </w:tcPr>
          <w:p>
            <w:pPr>
              <w:spacing w:after="0" w:line="260"/>
            </w:pPr>
            <w:r>
              <w:rPr>
                <w:b/>
                <w:bCs/>
                <w:color w:val="1A2433"/>
                <w:sz w:val="19"/>
                <w:szCs w:val="19"/>
              </w:rPr>
              <w:t xml:space="preserve">Contents</w:t>
            </w:r>
          </w:p>
        </w:tc>
      </w:tr>
      <w:tr>
        <w:tc>
          <w:tcPr>
            <w:tcW w:type="dxa" w:w="2900"/>
            <w:tcMar>
              <w:top w:type="dxa" w:w="90"/>
              <w:left w:type="dxa" w:w="130"/>
              <w:bottom w:type="dxa" w:w="90"/>
              <w:right w:type="dxa" w:w="130"/>
            </w:tcMar>
          </w:tcPr>
          <w:p>
            <w:pPr>
              <w:spacing w:after="0" w:line="260"/>
            </w:pPr>
            <w:r>
              <w:rPr>
                <w:color w:val="1A2433"/>
                <w:sz w:val="19"/>
                <w:szCs w:val="19"/>
              </w:rPr>
              <w:t xml:space="preserve">BMI — Manufacturer identifier</w:t>
            </w:r>
          </w:p>
        </w:tc>
        <w:tc>
          <w:tcPr>
            <w:tcW w:type="dxa" w:w="6126"/>
            <w:tcMar>
              <w:top w:type="dxa" w:w="90"/>
              <w:left w:type="dxa" w:w="130"/>
              <w:bottom w:type="dxa" w:w="90"/>
              <w:right w:type="dxa" w:w="130"/>
            </w:tcMar>
          </w:tcPr>
          <w:p>
            <w:pPr>
              <w:spacing w:after="0" w:line="260"/>
            </w:pPr>
            <w:r>
              <w:rPr>
                <w:color w:val="1A2433"/>
                <w:sz w:val="19"/>
                <w:szCs w:val="19"/>
              </w:rPr>
              <w:t xml:space="preserve">Country of origin, factory code, manufacture date</w:t>
            </w:r>
          </w:p>
        </w:tc>
      </w:tr>
      <w:tr>
        <w:tc>
          <w:tcPr>
            <w:tcW w:type="dxa" w:w="2900"/>
            <w:shd w:fill="F5F8FC" w:color="auto" w:val="clear"/>
            <w:tcMar>
              <w:top w:type="dxa" w:w="90"/>
              <w:left w:type="dxa" w:w="130"/>
              <w:bottom w:type="dxa" w:w="90"/>
              <w:right w:type="dxa" w:w="130"/>
            </w:tcMar>
          </w:tcPr>
          <w:p>
            <w:pPr>
              <w:spacing w:after="0" w:line="260"/>
            </w:pPr>
            <w:r>
              <w:rPr>
                <w:color w:val="1A2433"/>
                <w:sz w:val="19"/>
                <w:szCs w:val="19"/>
              </w:rPr>
              <w:t xml:space="preserve">BDS — Battery descriptor</w:t>
            </w:r>
          </w:p>
        </w:tc>
        <w:tc>
          <w:tcPr>
            <w:tcW w:type="dxa" w:w="6126"/>
            <w:shd w:fill="F5F8FC" w:color="auto" w:val="clear"/>
            <w:tcMar>
              <w:top w:type="dxa" w:w="90"/>
              <w:left w:type="dxa" w:w="130"/>
              <w:bottom w:type="dxa" w:w="90"/>
              <w:right w:type="dxa" w:w="130"/>
            </w:tcMar>
          </w:tcPr>
          <w:p>
            <w:pPr>
              <w:spacing w:after="0" w:line="260"/>
            </w:pPr>
            <w:r>
              <w:rPr>
                <w:color w:val="1A2433"/>
                <w:sz w:val="19"/>
                <w:szCs w:val="19"/>
              </w:rPr>
              <w:t xml:space="preserve">Chemistry, nominal capacity, nominal voltage, vehicle model</w:t>
            </w:r>
          </w:p>
        </w:tc>
      </w:tr>
      <w:tr>
        <w:tc>
          <w:tcPr>
            <w:tcW w:type="dxa" w:w="2900"/>
            <w:tcMar>
              <w:top w:type="dxa" w:w="90"/>
              <w:left w:type="dxa" w:w="130"/>
              <w:bottom w:type="dxa" w:w="90"/>
              <w:right w:type="dxa" w:w="130"/>
            </w:tcMar>
          </w:tcPr>
          <w:p>
            <w:pPr>
              <w:spacing w:after="0" w:line="260"/>
            </w:pPr>
            <w:r>
              <w:rPr>
                <w:color w:val="1A2433"/>
                <w:sz w:val="19"/>
                <w:szCs w:val="19"/>
              </w:rPr>
              <w:t xml:space="preserve">BMCS — Material composition</w:t>
            </w:r>
          </w:p>
        </w:tc>
        <w:tc>
          <w:tcPr>
            <w:tcW w:type="dxa" w:w="6126"/>
            <w:tcMar>
              <w:top w:type="dxa" w:w="90"/>
              <w:left w:type="dxa" w:w="130"/>
              <w:bottom w:type="dxa" w:w="90"/>
              <w:right w:type="dxa" w:w="130"/>
            </w:tcMar>
          </w:tcPr>
          <w:p>
            <w:pPr>
              <w:spacing w:after="0" w:line="260"/>
            </w:pPr>
            <w:r>
              <w:rPr>
                <w:color w:val="1A2433"/>
                <w:sz w:val="19"/>
                <w:szCs w:val="19"/>
              </w:rPr>
              <w:t xml:space="preserve">Critical mineral percentages; drives supply-chain exposure mapping</w:t>
            </w:r>
          </w:p>
        </w:tc>
      </w:tr>
      <w:tr>
        <w:tc>
          <w:tcPr>
            <w:tcW w:type="dxa" w:w="2900"/>
            <w:shd w:fill="F5F8FC" w:color="auto" w:val="clear"/>
            <w:tcMar>
              <w:top w:type="dxa" w:w="90"/>
              <w:left w:type="dxa" w:w="130"/>
              <w:bottom w:type="dxa" w:w="90"/>
              <w:right w:type="dxa" w:w="130"/>
            </w:tcMar>
          </w:tcPr>
          <w:p>
            <w:pPr>
              <w:spacing w:after="0" w:line="260"/>
            </w:pPr>
            <w:r>
              <w:rPr>
                <w:color w:val="1A2433"/>
                <w:sz w:val="19"/>
                <w:szCs w:val="19"/>
              </w:rPr>
              <w:t xml:space="preserve">BCF — Carbon footprint</w:t>
            </w:r>
          </w:p>
        </w:tc>
        <w:tc>
          <w:tcPr>
            <w:tcW w:type="dxa" w:w="6126"/>
            <w:shd w:fill="F5F8FC" w:color="auto" w:val="clear"/>
            <w:tcMar>
              <w:top w:type="dxa" w:w="90"/>
              <w:left w:type="dxa" w:w="130"/>
              <w:bottom w:type="dxa" w:w="90"/>
              <w:right w:type="dxa" w:w="130"/>
            </w:tcMar>
          </w:tcPr>
          <w:p>
            <w:pPr>
              <w:spacing w:after="0" w:line="260"/>
            </w:pPr>
            <w:r>
              <w:rPr>
                <w:color w:val="1A2433"/>
                <w:sz w:val="19"/>
                <w:szCs w:val="19"/>
              </w:rPr>
              <w:t xml:space="preserve">Embedded manufacturing emissions, cradle-to-gate</w:t>
            </w:r>
          </w:p>
        </w:tc>
      </w:tr>
      <w:tr>
        <w:tc>
          <w:tcPr>
            <w:tcW w:type="dxa" w:w="2900"/>
            <w:tcMar>
              <w:top w:type="dxa" w:w="90"/>
              <w:left w:type="dxa" w:w="130"/>
              <w:bottom w:type="dxa" w:w="90"/>
              <w:right w:type="dxa" w:w="130"/>
            </w:tcMar>
          </w:tcPr>
          <w:p>
            <w:pPr>
              <w:spacing w:after="0" w:line="260"/>
            </w:pPr>
            <w:r>
              <w:rPr>
                <w:color w:val="1A2433"/>
                <w:sz w:val="19"/>
                <w:szCs w:val="19"/>
              </w:rPr>
              <w:t xml:space="preserve">BDD — Dynamic ledger</w:t>
            </w:r>
          </w:p>
        </w:tc>
        <w:tc>
          <w:tcPr>
            <w:tcW w:type="dxa" w:w="6126"/>
            <w:tcMar>
              <w:top w:type="dxa" w:w="90"/>
              <w:left w:type="dxa" w:w="130"/>
              <w:bottom w:type="dxa" w:w="90"/>
              <w:right w:type="dxa" w:w="130"/>
            </w:tcMar>
          </w:tcPr>
          <w:p>
            <w:pPr>
              <w:spacing w:after="0" w:line="260"/>
            </w:pPr>
            <w:r>
              <w:rPr>
                <w:color w:val="1A2433"/>
                <w:sz w:val="19"/>
                <w:szCs w:val="19"/>
              </w:rPr>
              <w:t xml:space="preserve">SoH, cycles, RUL, AIS-156 safety findings, lifecycle status</w:t>
            </w:r>
          </w:p>
        </w:tc>
      </w:tr>
    </w:tbl>
    <w:p>
      <w:pPr>
        <w:spacing w:after="120"/>
      </w:pPr>
    </w:p>
    <w:p>
      <w:pPr>
        <w:spacing w:after="120" w:line="276"/>
      </w:pPr>
      <w:r>
        <w:rPr>
          <w:color w:val="1A2433"/>
          <w:sz w:val="21"/>
          <w:szCs w:val="21"/>
        </w:rPr>
        <w:t xml:space="preserve">The module also performs an AIS-156 Phase 2 safety audit from BMS telemetry and computes second-life routing and residual value for packs past traction duty.</w:t>
      </w:r>
    </w:p>
    <w:p>
      <w:pPr>
        <w:spacing w:after="80"/>
      </w:pPr>
    </w:p>
    <w:p>
      <w:pPr>
        <w:pStyle w:val="Heading2"/>
        <w:spacing w:after="120" w:before="260"/>
      </w:pPr>
      <w:r>
        <w:rPr>
          <w:b/>
          <w:bCs/>
          <w:color w:val="1F6FEB"/>
          <w:sz w:val="24"/>
          <w:szCs w:val="24"/>
        </w:rPr>
        <w:t xml:space="preserve">5.4  Fleet Electrification Readiness</w:t>
      </w:r>
    </w:p>
    <w:p>
      <w:pPr>
        <w:spacing w:after="120" w:line="276"/>
      </w:pPr>
      <w:r>
        <w:rPr>
          <w:color w:val="1A2433"/>
          <w:sz w:val="21"/>
          <w:szCs w:val="21"/>
        </w:rPr>
        <w:t xml:space="preserve">Scores every diesel vehicle on an Electrification Readiness Index weighing route compatibility, depot dwell time, total cost of ownership, infrastructure readiness and operational criticality, then matches each to a viable EV replacement.</w:t>
      </w:r>
    </w:p>
    <w:p>
      <w:pPr>
        <w:spacing w:after="120" w:line="276"/>
      </w:pPr>
      <w:r>
        <w:rPr>
          <w:color w:val="1A2433"/>
          <w:sz w:val="21"/>
          <w:szCs w:val="21"/>
        </w:rPr>
        <w:t xml:space="preserve">Matching enforces both range and payload, and rejects gross over-specification: a candidate more than 2.5× the required payload is not a real recommendation, because putting a four-tonne truck under a one-tonne duty cycle destroys the TCO case. Where no vehicle qualifies, the system reports that honestly rather than proposing an implausible swap.</w:t>
      </w:r>
    </w:p>
    <w:p>
      <w:pPr>
        <w:spacing w:after="80"/>
      </w:pPr>
    </w:p>
    <w:p>
      <w:pPr>
        <w:pStyle w:val="Heading2"/>
        <w:spacing w:after="120" w:before="260"/>
      </w:pPr>
      <w:r>
        <w:rPr>
          <w:b/>
          <w:bCs/>
          <w:color w:val="1F6FEB"/>
          <w:sz w:val="24"/>
          <w:szCs w:val="24"/>
        </w:rPr>
        <w:t xml:space="preserve">5.5  Supply Chain Risk &amp; Traceability</w:t>
      </w:r>
    </w:p>
    <w:p>
      <w:pPr>
        <w:spacing w:after="120" w:line="276"/>
      </w:pPr>
      <w:r>
        <w:rPr>
          <w:color w:val="1A2433"/>
          <w:sz w:val="21"/>
          <w:szCs w:val="21"/>
        </w:rPr>
        <w:t xml:space="preserve">Tracks 15 suppliers across five tiers from mining through refining, component manufacture and cell production to pack assembly, scoring each on geopolitical exposure, quality, concentration, ESG and financial stability.</w:t>
      </w:r>
    </w:p>
    <w:p>
      <w:pPr>
        <w:spacing w:after="80"/>
      </w:pPr>
    </w:p>
    <w:p>
      <w:pPr>
        <w:pStyle w:val="Heading2"/>
        <w:spacing w:after="120" w:before="260"/>
      </w:pPr>
      <w:r>
        <w:rPr>
          <w:b/>
          <w:bCs/>
          <w:color w:val="1F6FEB"/>
          <w:sz w:val="24"/>
          <w:szCs w:val="24"/>
        </w:rPr>
        <w:t xml:space="preserve">5.6  Net Zero &amp; Carbon Intelligence</w:t>
      </w:r>
    </w:p>
    <w:p>
      <w:pPr>
        <w:spacing w:after="120" w:line="276"/>
      </w:pPr>
      <w:r>
        <w:rPr>
          <w:color w:val="1A2433"/>
          <w:sz w:val="21"/>
          <w:szCs w:val="21"/>
        </w:rPr>
        <w:t xml:space="preserve">Computes Scope 1, 2 and 3 emissions for the mixed fleet against a counterfactual all-diesel operation, with per-route carbon intensity and a ranked list of highest-impact electrification actions.</w:t>
      </w:r>
    </w:p>
    <w:p>
      <w:pPr>
        <w:spacing w:after="120" w:line="276"/>
      </w:pPr>
      <w:r>
        <w:rPr>
          <w:color w:val="1A2433"/>
          <w:sz w:val="21"/>
          <w:szCs w:val="21"/>
        </w:rPr>
        <w:t xml:space="preserve">Assumptions are exposed through the API rather than buried in code: grid_factor_kg_per_kwh (CEA 0.71) and renewable_depot_share_pct (30%) are returned in the summary response so a reviewer can inspect and challenge them.</w:t>
      </w:r>
    </w:p>
    <w:p>
      <w:pPr>
        <w:spacing w:after="80"/>
      </w:pPr>
    </w:p>
    <w:p>
      <w:pPr>
        <w:pStyle w:val="Heading2"/>
        <w:spacing w:after="120" w:before="260"/>
      </w:pPr>
      <w:r>
        <w:rPr>
          <w:b/>
          <w:bCs/>
          <w:color w:val="1F6FEB"/>
          <w:sz w:val="24"/>
          <w:szCs w:val="24"/>
        </w:rPr>
        <w:t xml:space="preserve">5.7  Compound Risk Engine</w:t>
      </w:r>
    </w:p>
    <w:p>
      <w:pPr>
        <w:spacing w:after="120" w:line="276"/>
      </w:pPr>
      <w:r>
        <w:rPr>
          <w:color w:val="1A2433"/>
          <w:sz w:val="21"/>
          <w:szCs w:val="21"/>
        </w:rPr>
        <w:t xml:space="preserve">The cross-module layer. Every signal it uses is individually visible in some existing module and individually unalarming; the value is in the correlation. Each finding carries an explicit evidence chain naming the contributing module, so a reviewer can audit why the platform escalated.</w:t>
      </w:r>
    </w:p>
    <w:tbl>
      <w:tblPr>
        <w:tblW w:type="dxa" w:w="9026"/>
        <w:tblBorders>
          <w:top w:val="single" w:color="D3DDEA" w:sz="2"/>
          <w:left w:val="none"/>
          <w:bottom w:val="single" w:color="D3DDEA" w:sz="2"/>
          <w:right w:val="none"/>
          <w:insideH w:val="single" w:color="D3DDEA" w:sz="1"/>
          <w:insideV w:val="none"/>
        </w:tblBorders>
      </w:tblPr>
      <w:tblGrid>
        <w:gridCol w:w="5626"/>
        <w:gridCol w:w="1700"/>
        <w:gridCol w:w="1700"/>
      </w:tblGrid>
      <w:tr>
        <w:trPr>
          <w:tblHeader/>
        </w:trPr>
        <w:tc>
          <w:tcPr>
            <w:tcW w:type="dxa" w:w="5626"/>
            <w:shd w:fill="E8EEF7" w:color="auto" w:val="clear"/>
            <w:tcMar>
              <w:top w:type="dxa" w:w="90"/>
              <w:left w:type="dxa" w:w="130"/>
              <w:bottom w:type="dxa" w:w="90"/>
              <w:right w:type="dxa" w:w="130"/>
            </w:tcMar>
          </w:tcPr>
          <w:p>
            <w:pPr>
              <w:spacing w:after="0" w:line="260"/>
            </w:pPr>
            <w:r>
              <w:rPr>
                <w:b/>
                <w:bCs/>
                <w:color w:val="1A2433"/>
                <w:sz w:val="19"/>
                <w:szCs w:val="19"/>
              </w:rPr>
              <w:t xml:space="preserve">Finding</w:t>
            </w:r>
          </w:p>
        </w:tc>
        <w:tc>
          <w:tcPr>
            <w:tcW w:type="dxa" w:w="1700"/>
            <w:shd w:fill="E8EEF7" w:color="auto" w:val="clear"/>
            <w:tcMar>
              <w:top w:type="dxa" w:w="90"/>
              <w:left w:type="dxa" w:w="130"/>
              <w:bottom w:type="dxa" w:w="90"/>
              <w:right w:type="dxa" w:w="130"/>
            </w:tcMar>
          </w:tcPr>
          <w:p>
            <w:pPr>
              <w:spacing w:after="0" w:line="260"/>
            </w:pPr>
            <w:r>
              <w:rPr>
                <w:b/>
                <w:bCs/>
                <w:color w:val="1A2433"/>
                <w:sz w:val="19"/>
                <w:szCs w:val="19"/>
              </w:rPr>
              <w:t xml:space="preserve">Severity</w:t>
            </w:r>
          </w:p>
        </w:tc>
        <w:tc>
          <w:tcPr>
            <w:tcW w:type="dxa" w:w="1700"/>
            <w:shd w:fill="E8EEF7" w:color="auto" w:val="clear"/>
            <w:tcMar>
              <w:top w:type="dxa" w:w="90"/>
              <w:left w:type="dxa" w:w="130"/>
              <w:bottom w:type="dxa" w:w="90"/>
              <w:right w:type="dxa" w:w="130"/>
            </w:tcMar>
          </w:tcPr>
          <w:p>
            <w:pPr>
              <w:spacing w:after="0" w:line="260"/>
            </w:pPr>
            <w:r>
              <w:rPr>
                <w:b/>
                <w:bCs/>
                <w:color w:val="1A2433"/>
                <w:sz w:val="19"/>
                <w:szCs w:val="19"/>
              </w:rPr>
              <w:t xml:space="preserve">Confidence</w:t>
            </w:r>
          </w:p>
        </w:tc>
      </w:tr>
      <w:tr>
        <w:tc>
          <w:tcPr>
            <w:tcW w:type="dxa" w:w="5626"/>
            <w:tcMar>
              <w:top w:type="dxa" w:w="90"/>
              <w:left w:type="dxa" w:w="130"/>
              <w:bottom w:type="dxa" w:w="90"/>
              <w:right w:type="dxa" w:w="130"/>
            </w:tcMar>
          </w:tcPr>
          <w:p>
            <w:pPr>
              <w:spacing w:after="0" w:line="260"/>
            </w:pPr>
            <w:r>
              <w:rPr>
                <w:color w:val="1A2433"/>
                <w:sz w:val="19"/>
                <w:szCs w:val="19"/>
              </w:rPr>
              <w:t xml:space="preserve">NMC supply disruption collides with pack replacement window</w:t>
            </w:r>
          </w:p>
        </w:tc>
        <w:tc>
          <w:tcPr>
            <w:tcW w:type="dxa" w:w="1700"/>
            <w:tcMar>
              <w:top w:type="dxa" w:w="90"/>
              <w:left w:type="dxa" w:w="130"/>
              <w:bottom w:type="dxa" w:w="90"/>
              <w:right w:type="dxa" w:w="130"/>
            </w:tcMar>
          </w:tcPr>
          <w:p>
            <w:pPr>
              <w:spacing w:after="0" w:line="260"/>
            </w:pPr>
            <w:r>
              <w:rPr>
                <w:color w:val="1A2433"/>
                <w:sz w:val="19"/>
                <w:szCs w:val="19"/>
              </w:rPr>
              <w:t xml:space="preserve">High</w:t>
            </w:r>
          </w:p>
        </w:tc>
        <w:tc>
          <w:tcPr>
            <w:tcW w:type="dxa" w:w="1700"/>
            <w:tcMar>
              <w:top w:type="dxa" w:w="90"/>
              <w:left w:type="dxa" w:w="130"/>
              <w:bottom w:type="dxa" w:w="90"/>
              <w:right w:type="dxa" w:w="130"/>
            </w:tcMar>
          </w:tcPr>
          <w:p>
            <w:pPr>
              <w:spacing w:after="0" w:line="260"/>
            </w:pPr>
            <w:r>
              <w:rPr>
                <w:rFonts w:ascii="Consolas" w:cs="Consolas" w:eastAsia="Consolas" w:hAnsi="Consolas"/>
                <w:color w:val="1A2433"/>
                <w:sz w:val="19"/>
                <w:szCs w:val="19"/>
              </w:rPr>
              <w:t xml:space="preserve">0.86</w:t>
            </w:r>
          </w:p>
        </w:tc>
      </w:tr>
      <w:tr>
        <w:tc>
          <w:tcPr>
            <w:tcW w:type="dxa" w:w="5626"/>
            <w:shd w:fill="F5F8FC" w:color="auto" w:val="clear"/>
            <w:tcMar>
              <w:top w:type="dxa" w:w="90"/>
              <w:left w:type="dxa" w:w="130"/>
              <w:bottom w:type="dxa" w:w="90"/>
              <w:right w:type="dxa" w:w="130"/>
            </w:tcMar>
          </w:tcPr>
          <w:p>
            <w:pPr>
              <w:spacing w:after="0" w:line="260"/>
            </w:pPr>
            <w:r>
              <w:rPr>
                <w:color w:val="1A2433"/>
                <w:sz w:val="19"/>
                <w:szCs w:val="19"/>
              </w:rPr>
              <w:t xml:space="preserve">Fast-charging habit is driving the thermal-event cluster</w:t>
            </w:r>
          </w:p>
        </w:tc>
        <w:tc>
          <w:tcPr>
            <w:tcW w:type="dxa" w:w="1700"/>
            <w:shd w:fill="F5F8FC" w:color="auto" w:val="clear"/>
            <w:tcMar>
              <w:top w:type="dxa" w:w="90"/>
              <w:left w:type="dxa" w:w="130"/>
              <w:bottom w:type="dxa" w:w="90"/>
              <w:right w:type="dxa" w:w="130"/>
            </w:tcMar>
          </w:tcPr>
          <w:p>
            <w:pPr>
              <w:spacing w:after="0" w:line="260"/>
            </w:pPr>
            <w:r>
              <w:rPr>
                <w:color w:val="1A2433"/>
                <w:sz w:val="19"/>
                <w:szCs w:val="19"/>
              </w:rPr>
              <w:t xml:space="preserve">High</w:t>
            </w:r>
          </w:p>
        </w:tc>
        <w:tc>
          <w:tcPr>
            <w:tcW w:type="dxa" w:w="1700"/>
            <w:shd w:fill="F5F8FC" w:color="auto" w:val="clear"/>
            <w:tcMar>
              <w:top w:type="dxa" w:w="90"/>
              <w:left w:type="dxa" w:w="130"/>
              <w:bottom w:type="dxa" w:w="90"/>
              <w:right w:type="dxa" w:w="130"/>
            </w:tcMar>
          </w:tcPr>
          <w:p>
            <w:pPr>
              <w:spacing w:after="0" w:line="260"/>
            </w:pPr>
            <w:r>
              <w:rPr>
                <w:rFonts w:ascii="Consolas" w:cs="Consolas" w:eastAsia="Consolas" w:hAnsi="Consolas"/>
                <w:color w:val="1A2433"/>
                <w:sz w:val="19"/>
                <w:szCs w:val="19"/>
              </w:rPr>
              <w:t xml:space="preserve">0.81</w:t>
            </w:r>
          </w:p>
        </w:tc>
      </w:tr>
      <w:tr>
        <w:tc>
          <w:tcPr>
            <w:tcW w:type="dxa" w:w="5626"/>
            <w:tcMar>
              <w:top w:type="dxa" w:w="90"/>
              <w:left w:type="dxa" w:w="130"/>
              <w:bottom w:type="dxa" w:w="90"/>
              <w:right w:type="dxa" w:w="130"/>
            </w:tcMar>
          </w:tcPr>
          <w:p>
            <w:pPr>
              <w:spacing w:after="0" w:line="260"/>
            </w:pPr>
            <w:r>
              <w:rPr>
                <w:color w:val="1A2433"/>
                <w:sz w:val="19"/>
                <w:szCs w:val="19"/>
              </w:rPr>
              <w:t xml:space="preserve">LFP supply disruption collides with pack replacement window</w:t>
            </w:r>
          </w:p>
        </w:tc>
        <w:tc>
          <w:tcPr>
            <w:tcW w:type="dxa" w:w="1700"/>
            <w:tcMar>
              <w:top w:type="dxa" w:w="90"/>
              <w:left w:type="dxa" w:w="130"/>
              <w:bottom w:type="dxa" w:w="90"/>
              <w:right w:type="dxa" w:w="130"/>
            </w:tcMar>
          </w:tcPr>
          <w:p>
            <w:pPr>
              <w:spacing w:after="0" w:line="260"/>
            </w:pPr>
            <w:r>
              <w:rPr>
                <w:color w:val="1A2433"/>
                <w:sz w:val="19"/>
                <w:szCs w:val="19"/>
              </w:rPr>
              <w:t xml:space="preserve">High</w:t>
            </w:r>
          </w:p>
        </w:tc>
        <w:tc>
          <w:tcPr>
            <w:tcW w:type="dxa" w:w="1700"/>
            <w:tcMar>
              <w:top w:type="dxa" w:w="90"/>
              <w:left w:type="dxa" w:w="130"/>
              <w:bottom w:type="dxa" w:w="90"/>
              <w:right w:type="dxa" w:w="130"/>
            </w:tcMar>
          </w:tcPr>
          <w:p>
            <w:pPr>
              <w:spacing w:after="0" w:line="260"/>
            </w:pPr>
            <w:r>
              <w:rPr>
                <w:rFonts w:ascii="Consolas" w:cs="Consolas" w:eastAsia="Consolas" w:hAnsi="Consolas"/>
                <w:color w:val="1A2433"/>
                <w:sz w:val="19"/>
                <w:szCs w:val="19"/>
              </w:rPr>
              <w:t xml:space="preserve">0.72</w:t>
            </w:r>
          </w:p>
        </w:tc>
      </w:tr>
      <w:tr>
        <w:tc>
          <w:tcPr>
            <w:tcW w:type="dxa" w:w="5626"/>
            <w:shd w:fill="F5F8FC" w:color="auto" w:val="clear"/>
            <w:tcMar>
              <w:top w:type="dxa" w:w="90"/>
              <w:left w:type="dxa" w:w="130"/>
              <w:bottom w:type="dxa" w:w="90"/>
              <w:right w:type="dxa" w:w="130"/>
            </w:tcMar>
          </w:tcPr>
          <w:p>
            <w:pPr>
              <w:spacing w:after="0" w:line="260"/>
            </w:pPr>
            <w:r>
              <w:rPr>
                <w:color w:val="1A2433"/>
                <w:sz w:val="19"/>
                <w:szCs w:val="19"/>
              </w:rPr>
              <w:t xml:space="preserve">Single-geography concentration carries an embedded-carbon penalty</w:t>
            </w:r>
          </w:p>
        </w:tc>
        <w:tc>
          <w:tcPr>
            <w:tcW w:type="dxa" w:w="1700"/>
            <w:shd w:fill="F5F8FC" w:color="auto" w:val="clear"/>
            <w:tcMar>
              <w:top w:type="dxa" w:w="90"/>
              <w:left w:type="dxa" w:w="130"/>
              <w:bottom w:type="dxa" w:w="90"/>
              <w:right w:type="dxa" w:w="130"/>
            </w:tcMar>
          </w:tcPr>
          <w:p>
            <w:pPr>
              <w:spacing w:after="0" w:line="260"/>
            </w:pPr>
            <w:r>
              <w:rPr>
                <w:color w:val="1A2433"/>
                <w:sz w:val="19"/>
                <w:szCs w:val="19"/>
              </w:rPr>
              <w:t xml:space="preserve">Medium</w:t>
            </w:r>
          </w:p>
        </w:tc>
        <w:tc>
          <w:tcPr>
            <w:tcW w:type="dxa" w:w="1700"/>
            <w:shd w:fill="F5F8FC" w:color="auto" w:val="clear"/>
            <w:tcMar>
              <w:top w:type="dxa" w:w="90"/>
              <w:left w:type="dxa" w:w="130"/>
              <w:bottom w:type="dxa" w:w="90"/>
              <w:right w:type="dxa" w:w="130"/>
            </w:tcMar>
          </w:tcPr>
          <w:p>
            <w:pPr>
              <w:spacing w:after="0" w:line="260"/>
            </w:pPr>
            <w:r>
              <w:rPr>
                <w:rFonts w:ascii="Consolas" w:cs="Consolas" w:eastAsia="Consolas" w:hAnsi="Consolas"/>
                <w:color w:val="1A2433"/>
                <w:sz w:val="19"/>
                <w:szCs w:val="19"/>
              </w:rPr>
              <w:t xml:space="preserve">0.74</w:t>
            </w:r>
          </w:p>
        </w:tc>
      </w:tr>
    </w:tbl>
    <w:p>
      <w:r>
        <w:br w:type="page"/>
      </w:r>
    </w:p>
    <w:p>
      <w:pPr>
        <w:pStyle w:val="Heading1"/>
        <w:spacing w:after="160" w:before="360"/>
      </w:pPr>
      <w:r>
        <w:rPr>
          <w:b/>
          <w:bCs/>
          <w:color w:val="1A2433"/>
          <w:sz w:val="30"/>
          <w:szCs w:val="30"/>
        </w:rPr>
        <w:t xml:space="preserve">6. Worked example: the compound signal path</w:t>
      </w:r>
    </w:p>
    <w:p>
      <w:pPr>
        <w:spacing w:after="120" w:line="276"/>
      </w:pPr>
      <w:r>
        <w:rPr>
          <w:color w:val="1A2433"/>
          <w:sz w:val="21"/>
          <w:szCs w:val="21"/>
        </w:rPr>
        <w:t xml:space="preserve">This is the platform's signature capability — four modules producing one escalation that none of them would raise alone.</w:t>
      </w:r>
    </w:p>
    <w:tbl>
      <w:tblPr>
        <w:tblW w:type="dxa" w:w="9026"/>
        <w:tblBorders>
          <w:top w:val="single" w:color="D3DDEA" w:sz="2"/>
          <w:left w:val="none"/>
          <w:bottom w:val="single" w:color="D3DDEA" w:sz="2"/>
          <w:right w:val="none"/>
          <w:insideH w:val="single" w:color="D3DDEA" w:sz="1"/>
          <w:insideV w:val="none"/>
        </w:tblBorders>
      </w:tblPr>
      <w:tblGrid>
        <w:gridCol w:w="700"/>
        <w:gridCol w:w="2500"/>
        <w:gridCol w:w="5826"/>
      </w:tblGrid>
      <w:tr>
        <w:trPr>
          <w:tblHeader/>
        </w:trPr>
        <w:tc>
          <w:tcPr>
            <w:tcW w:type="dxa" w:w="700"/>
            <w:shd w:fill="E8EEF7" w:color="auto" w:val="clear"/>
            <w:tcMar>
              <w:top w:type="dxa" w:w="90"/>
              <w:left w:type="dxa" w:w="130"/>
              <w:bottom w:type="dxa" w:w="90"/>
              <w:right w:type="dxa" w:w="130"/>
            </w:tcMar>
          </w:tcPr>
          <w:p>
            <w:pPr>
              <w:spacing w:after="0" w:line="260"/>
            </w:pPr>
            <w:r>
              <w:rPr>
                <w:b/>
                <w:bCs/>
                <w:color w:val="1A2433"/>
                <w:sz w:val="19"/>
                <w:szCs w:val="19"/>
              </w:rPr>
              <w:t xml:space="preserve">Step</w:t>
            </w:r>
          </w:p>
        </w:tc>
        <w:tc>
          <w:tcPr>
            <w:tcW w:type="dxa" w:w="2500"/>
            <w:shd w:fill="E8EEF7" w:color="auto" w:val="clear"/>
            <w:tcMar>
              <w:top w:type="dxa" w:w="90"/>
              <w:left w:type="dxa" w:w="130"/>
              <w:bottom w:type="dxa" w:w="90"/>
              <w:right w:type="dxa" w:w="130"/>
            </w:tcMar>
          </w:tcPr>
          <w:p>
            <w:pPr>
              <w:spacing w:after="0" w:line="260"/>
            </w:pPr>
            <w:r>
              <w:rPr>
                <w:b/>
                <w:bCs/>
                <w:color w:val="1A2433"/>
                <w:sz w:val="19"/>
                <w:szCs w:val="19"/>
              </w:rPr>
              <w:t xml:space="preserve">Source module</w:t>
            </w:r>
          </w:p>
        </w:tc>
        <w:tc>
          <w:tcPr>
            <w:tcW w:type="dxa" w:w="5826"/>
            <w:shd w:fill="E8EEF7" w:color="auto" w:val="clear"/>
            <w:tcMar>
              <w:top w:type="dxa" w:w="90"/>
              <w:left w:type="dxa" w:w="130"/>
              <w:bottom w:type="dxa" w:w="90"/>
              <w:right w:type="dxa" w:w="130"/>
            </w:tcMar>
          </w:tcPr>
          <w:p>
            <w:pPr>
              <w:spacing w:after="0" w:line="260"/>
            </w:pPr>
            <w:r>
              <w:rPr>
                <w:b/>
                <w:bCs/>
                <w:color w:val="1A2433"/>
                <w:sz w:val="19"/>
                <w:szCs w:val="19"/>
              </w:rPr>
              <w:t xml:space="preserve">Signal</w:t>
            </w:r>
          </w:p>
        </w:tc>
      </w:tr>
      <w:tr>
        <w:tc>
          <w:tcPr>
            <w:tcW w:type="dxa" w:w="700"/>
            <w:tcMar>
              <w:top w:type="dxa" w:w="90"/>
              <w:left w:type="dxa" w:w="130"/>
              <w:bottom w:type="dxa" w:w="90"/>
              <w:right w:type="dxa" w:w="130"/>
            </w:tcMar>
          </w:tcPr>
          <w:p>
            <w:pPr>
              <w:spacing w:after="0" w:line="260"/>
            </w:pPr>
            <w:r>
              <w:rPr>
                <w:rFonts w:ascii="Consolas" w:cs="Consolas" w:eastAsia="Consolas" w:hAnsi="Consolas"/>
                <w:color w:val="1A2433"/>
                <w:sz w:val="19"/>
                <w:szCs w:val="19"/>
              </w:rPr>
              <w:t xml:space="preserve">1</w:t>
            </w:r>
          </w:p>
        </w:tc>
        <w:tc>
          <w:tcPr>
            <w:tcW w:type="dxa" w:w="2500"/>
            <w:tcMar>
              <w:top w:type="dxa" w:w="90"/>
              <w:left w:type="dxa" w:w="130"/>
              <w:bottom w:type="dxa" w:w="90"/>
              <w:right w:type="dxa" w:w="130"/>
            </w:tcMar>
          </w:tcPr>
          <w:p>
            <w:pPr>
              <w:spacing w:after="0" w:line="260"/>
            </w:pPr>
            <w:r>
              <w:rPr>
                <w:rFonts w:ascii="Consolas" w:cs="Consolas" w:eastAsia="Consolas" w:hAnsi="Consolas"/>
                <w:color w:val="1A2433"/>
                <w:sz w:val="19"/>
                <w:szCs w:val="19"/>
              </w:rPr>
              <w:t xml:space="preserve">supply_chain.alerts</w:t>
            </w:r>
          </w:p>
        </w:tc>
        <w:tc>
          <w:tcPr>
            <w:tcW w:type="dxa" w:w="5826"/>
            <w:tcMar>
              <w:top w:type="dxa" w:w="90"/>
              <w:left w:type="dxa" w:w="130"/>
              <w:bottom w:type="dxa" w:w="90"/>
              <w:right w:type="dxa" w:w="130"/>
            </w:tcMar>
          </w:tcPr>
          <w:p>
            <w:pPr>
              <w:spacing w:after="0" w:line="260"/>
            </w:pPr>
            <w:r>
              <w:rPr>
                <w:color w:val="1A2433"/>
                <w:sz w:val="19"/>
                <w:szCs w:val="19"/>
              </w:rPr>
              <w:t xml:space="preserve">DRC cobalt export restriction; spot price up 18% this week</w:t>
            </w:r>
          </w:p>
        </w:tc>
      </w:tr>
      <w:tr>
        <w:tc>
          <w:tcPr>
            <w:tcW w:type="dxa" w:w="700"/>
            <w:shd w:fill="F5F8FC" w:color="auto" w:val="clear"/>
            <w:tcMar>
              <w:top w:type="dxa" w:w="90"/>
              <w:left w:type="dxa" w:w="130"/>
              <w:bottom w:type="dxa" w:w="90"/>
              <w:right w:type="dxa" w:w="130"/>
            </w:tcMar>
          </w:tcPr>
          <w:p>
            <w:pPr>
              <w:spacing w:after="0" w:line="260"/>
            </w:pPr>
            <w:r>
              <w:rPr>
                <w:rFonts w:ascii="Consolas" w:cs="Consolas" w:eastAsia="Consolas" w:hAnsi="Consolas"/>
                <w:color w:val="1A2433"/>
                <w:sz w:val="19"/>
                <w:szCs w:val="19"/>
              </w:rPr>
              <w:t xml:space="preserve">2</w:t>
            </w:r>
          </w:p>
        </w:tc>
        <w:tc>
          <w:tcPr>
            <w:tcW w:type="dxa" w:w="2500"/>
            <w:shd w:fill="F5F8FC" w:color="auto" w:val="clear"/>
            <w:tcMar>
              <w:top w:type="dxa" w:w="90"/>
              <w:left w:type="dxa" w:w="130"/>
              <w:bottom w:type="dxa" w:w="90"/>
              <w:right w:type="dxa" w:w="130"/>
            </w:tcMar>
          </w:tcPr>
          <w:p>
            <w:pPr>
              <w:spacing w:after="0" w:line="260"/>
            </w:pPr>
            <w:r>
              <w:rPr>
                <w:rFonts w:ascii="Consolas" w:cs="Consolas" w:eastAsia="Consolas" w:hAnsi="Consolas"/>
                <w:color w:val="1A2433"/>
                <w:sz w:val="19"/>
                <w:szCs w:val="19"/>
              </w:rPr>
              <w:t xml:space="preserve">supply_chain.suppliers</w:t>
            </w:r>
          </w:p>
        </w:tc>
        <w:tc>
          <w:tcPr>
            <w:tcW w:type="dxa" w:w="5826"/>
            <w:shd w:fill="F5F8FC" w:color="auto" w:val="clear"/>
            <w:tcMar>
              <w:top w:type="dxa" w:w="90"/>
              <w:left w:type="dxa" w:w="130"/>
              <w:bottom w:type="dxa" w:w="90"/>
              <w:right w:type="dxa" w:w="130"/>
            </w:tcMar>
          </w:tcPr>
          <w:p>
            <w:pPr>
              <w:spacing w:after="0" w:line="260"/>
            </w:pPr>
            <w:r>
              <w:rPr>
                <w:color w:val="1A2433"/>
                <w:sz w:val="19"/>
                <w:szCs w:val="19"/>
              </w:rPr>
              <w:t xml:space="preserve">Tenke Fungurume Mining, Tier 4, composite risk 59.1</w:t>
            </w:r>
          </w:p>
        </w:tc>
      </w:tr>
      <w:tr>
        <w:tc>
          <w:tcPr>
            <w:tcW w:type="dxa" w:w="700"/>
            <w:tcMar>
              <w:top w:type="dxa" w:w="90"/>
              <w:left w:type="dxa" w:w="130"/>
              <w:bottom w:type="dxa" w:w="90"/>
              <w:right w:type="dxa" w:w="130"/>
            </w:tcMar>
          </w:tcPr>
          <w:p>
            <w:pPr>
              <w:spacing w:after="0" w:line="260"/>
            </w:pPr>
            <w:r>
              <w:rPr>
                <w:rFonts w:ascii="Consolas" w:cs="Consolas" w:eastAsia="Consolas" w:hAnsi="Consolas"/>
                <w:color w:val="1A2433"/>
                <w:sz w:val="19"/>
                <w:szCs w:val="19"/>
              </w:rPr>
              <w:t xml:space="preserve">3</w:t>
            </w:r>
          </w:p>
        </w:tc>
        <w:tc>
          <w:tcPr>
            <w:tcW w:type="dxa" w:w="2500"/>
            <w:tcMar>
              <w:top w:type="dxa" w:w="90"/>
              <w:left w:type="dxa" w:w="130"/>
              <w:bottom w:type="dxa" w:w="90"/>
              <w:right w:type="dxa" w:w="130"/>
            </w:tcMar>
          </w:tcPr>
          <w:p>
            <w:pPr>
              <w:spacing w:after="0" w:line="260"/>
            </w:pPr>
            <w:r>
              <w:rPr>
                <w:rFonts w:ascii="Consolas" w:cs="Consolas" w:eastAsia="Consolas" w:hAnsi="Consolas"/>
                <w:color w:val="1A2433"/>
                <w:sz w:val="19"/>
                <w:szCs w:val="19"/>
              </w:rPr>
              <w:t xml:space="preserve">bpan.bmcs</w:t>
            </w:r>
          </w:p>
        </w:tc>
        <w:tc>
          <w:tcPr>
            <w:tcW w:type="dxa" w:w="5826"/>
            <w:tcMar>
              <w:top w:type="dxa" w:w="90"/>
              <w:left w:type="dxa" w:w="130"/>
              <w:bottom w:type="dxa" w:w="90"/>
              <w:right w:type="dxa" w:w="130"/>
            </w:tcMar>
          </w:tcPr>
          <w:p>
            <w:pPr>
              <w:spacing w:after="0" w:line="260"/>
            </w:pPr>
            <w:r>
              <w:rPr>
                <w:color w:val="1A2433"/>
                <w:sz w:val="19"/>
                <w:szCs w:val="19"/>
              </w:rPr>
              <w:t xml:space="preserve">Material composition identifies which packs are NMC chemistry</w:t>
            </w:r>
          </w:p>
        </w:tc>
      </w:tr>
      <w:tr>
        <w:tc>
          <w:tcPr>
            <w:tcW w:type="dxa" w:w="700"/>
            <w:shd w:fill="F5F8FC" w:color="auto" w:val="clear"/>
            <w:tcMar>
              <w:top w:type="dxa" w:w="90"/>
              <w:left w:type="dxa" w:w="130"/>
              <w:bottom w:type="dxa" w:w="90"/>
              <w:right w:type="dxa" w:w="130"/>
            </w:tcMar>
          </w:tcPr>
          <w:p>
            <w:pPr>
              <w:spacing w:after="0" w:line="260"/>
            </w:pPr>
            <w:r>
              <w:rPr>
                <w:rFonts w:ascii="Consolas" w:cs="Consolas" w:eastAsia="Consolas" w:hAnsi="Consolas"/>
                <w:color w:val="1A2433"/>
                <w:sz w:val="19"/>
                <w:szCs w:val="19"/>
              </w:rPr>
              <w:t xml:space="preserve">4</w:t>
            </w:r>
          </w:p>
        </w:tc>
        <w:tc>
          <w:tcPr>
            <w:tcW w:type="dxa" w:w="2500"/>
            <w:shd w:fill="F5F8FC" w:color="auto" w:val="clear"/>
            <w:tcMar>
              <w:top w:type="dxa" w:w="90"/>
              <w:left w:type="dxa" w:w="130"/>
              <w:bottom w:type="dxa" w:w="90"/>
              <w:right w:type="dxa" w:w="130"/>
            </w:tcMar>
          </w:tcPr>
          <w:p>
            <w:pPr>
              <w:spacing w:after="0" w:line="260"/>
            </w:pPr>
            <w:r>
              <w:rPr>
                <w:rFonts w:ascii="Consolas" w:cs="Consolas" w:eastAsia="Consolas" w:hAnsi="Consolas"/>
                <w:color w:val="1A2433"/>
                <w:sz w:val="19"/>
                <w:szCs w:val="19"/>
              </w:rPr>
              <w:t xml:space="preserve">battery_apm.rul</w:t>
            </w:r>
          </w:p>
        </w:tc>
        <w:tc>
          <w:tcPr>
            <w:tcW w:type="dxa" w:w="5826"/>
            <w:shd w:fill="F5F8FC" w:color="auto" w:val="clear"/>
            <w:tcMar>
              <w:top w:type="dxa" w:w="90"/>
              <w:left w:type="dxa" w:w="130"/>
              <w:bottom w:type="dxa" w:w="90"/>
              <w:right w:type="dxa" w:w="130"/>
            </w:tcMar>
          </w:tcPr>
          <w:p>
            <w:pPr>
              <w:spacing w:after="0" w:line="260"/>
            </w:pPr>
            <w:r>
              <w:rPr>
                <w:color w:val="1A2433"/>
                <w:sz w:val="19"/>
                <w:szCs w:val="19"/>
              </w:rPr>
              <w:t xml:space="preserve">Earliest exposed pack at 78.4% SoH — 11 months of runway</w:t>
            </w:r>
          </w:p>
        </w:tc>
      </w:tr>
      <w:tr>
        <w:tc>
          <w:tcPr>
            <w:tcW w:type="dxa" w:w="700"/>
            <w:tcMar>
              <w:top w:type="dxa" w:w="90"/>
              <w:left w:type="dxa" w:w="130"/>
              <w:bottom w:type="dxa" w:w="90"/>
              <w:right w:type="dxa" w:w="130"/>
            </w:tcMar>
          </w:tcPr>
          <w:p>
            <w:pPr>
              <w:spacing w:after="0" w:line="260"/>
            </w:pPr>
            <w:r>
              <w:rPr>
                <w:rFonts w:ascii="Consolas" w:cs="Consolas" w:eastAsia="Consolas" w:hAnsi="Consolas"/>
                <w:color w:val="1A2433"/>
                <w:sz w:val="19"/>
                <w:szCs w:val="19"/>
              </w:rPr>
              <w:t xml:space="preserve">5</w:t>
            </w:r>
          </w:p>
        </w:tc>
        <w:tc>
          <w:tcPr>
            <w:tcW w:type="dxa" w:w="2500"/>
            <w:tcMar>
              <w:top w:type="dxa" w:w="90"/>
              <w:left w:type="dxa" w:w="130"/>
              <w:bottom w:type="dxa" w:w="90"/>
              <w:right w:type="dxa" w:w="130"/>
            </w:tcMar>
          </w:tcPr>
          <w:p>
            <w:pPr>
              <w:spacing w:after="0" w:line="260"/>
            </w:pPr>
            <w:r>
              <w:rPr>
                <w:rFonts w:ascii="Consolas" w:cs="Consolas" w:eastAsia="Consolas" w:hAnsi="Consolas"/>
                <w:color w:val="1A2433"/>
                <w:sz w:val="19"/>
                <w:szCs w:val="19"/>
              </w:rPr>
              <w:t xml:space="preserve">procurement</w:t>
            </w:r>
          </w:p>
        </w:tc>
        <w:tc>
          <w:tcPr>
            <w:tcW w:type="dxa" w:w="5826"/>
            <w:tcMar>
              <w:top w:type="dxa" w:w="90"/>
              <w:left w:type="dxa" w:w="130"/>
              <w:bottom w:type="dxa" w:w="90"/>
              <w:right w:type="dxa" w:w="130"/>
            </w:tcMar>
          </w:tcPr>
          <w:p>
            <w:pPr>
              <w:spacing w:after="0" w:line="260"/>
            </w:pPr>
            <w:r>
              <w:rPr>
                <w:color w:val="1A2433"/>
                <w:sz w:val="19"/>
                <w:szCs w:val="19"/>
              </w:rPr>
              <w:t xml:space="preserve">NMC replacement lead time is 18 weeks</w:t>
            </w:r>
          </w:p>
        </w:tc>
      </w:tr>
    </w:tbl>
    <w:p>
      <w:pPr>
        <w:spacing w:after="160"/>
      </w:pPr>
    </w:p>
    <w:tbl>
      <w:tblPr>
        <w:tblW w:type="dxa" w:w="9026"/>
        <w:tblBorders>
          <w:top w:val="single" w:color="D3DDEA" w:sz="2"/>
          <w:left w:val="single" w:color="1F6FEB" w:sz="18"/>
          <w:bottom w:val="single" w:color="D3DDEA" w:sz="2"/>
          <w:right w:val="none"/>
          <w:insideH w:val="none"/>
          <w:insideV w:val="none"/>
        </w:tblBorders>
      </w:tblPr>
      <w:tblGrid>
        <w:gridCol w:w="9026"/>
      </w:tblGrid>
      <w:tr>
        <w:tc>
          <w:tcPr>
            <w:tcW w:type="dxa" w:w="9026"/>
            <w:shd w:fill="F5F8FC" w:color="auto" w:val="clear"/>
            <w:tcMar>
              <w:top w:type="dxa" w:w="160"/>
              <w:left w:type="dxa" w:w="200"/>
              <w:bottom w:type="dxa" w:w="160"/>
              <w:right w:type="dxa" w:w="200"/>
            </w:tcMar>
          </w:tcPr>
          <w:p>
            <w:pPr>
              <w:spacing w:after="80"/>
            </w:pPr>
            <w:r>
              <w:rPr>
                <w:b/>
                <w:bCs/>
                <w:color w:val="1F6FEB"/>
                <w:sz w:val="20"/>
                <w:szCs w:val="20"/>
              </w:rPr>
              <w:t xml:space="preserve">Why no single module raises this</w:t>
            </w:r>
          </w:p>
          <w:p>
            <w:pPr>
              <w:spacing w:after="60" w:line="276"/>
            </w:pPr>
            <w:r>
              <w:rPr>
                <w:color w:val="1A2433"/>
                <w:sz w:val="20"/>
                <w:szCs w:val="20"/>
              </w:rPr>
              <w:t xml:space="preserve">Supply chain sees a critical material alert. Battery APM sees packs ageing normally. Neither connects the disruption to the replacement window — which is still open, but only just.</w:t>
            </w:r>
          </w:p>
          <w:p>
            <w:pPr>
              <w:spacing w:after="60" w:line="276"/>
            </w:pPr>
            <w:r>
              <w:rPr>
                <w:color w:val="1A2433"/>
                <w:sz w:val="20"/>
                <w:szCs w:val="20"/>
              </w:rPr>
              <w:t xml:space="preserve">Recommended actions generated: raise the NMC replacement purchase order now; dual-source by qualifying an India-localised cell supplier to cut lead time; pivot new procurement to LFP, which removes cobalt exposure entirely and shortens lead time to 12 weeks.</w:t>
            </w:r>
          </w:p>
        </w:tc>
      </w:tr>
    </w:tbl>
    <w:p>
      <w:r>
        <w:br w:type="page"/>
      </w:r>
    </w:p>
    <w:p>
      <w:pPr>
        <w:pStyle w:val="Heading1"/>
        <w:spacing w:after="160" w:before="360"/>
      </w:pPr>
      <w:r>
        <w:rPr>
          <w:b/>
          <w:bCs/>
          <w:color w:val="1A2433"/>
          <w:sz w:val="30"/>
          <w:szCs w:val="30"/>
        </w:rPr>
        <w:t xml:space="preserve">7. Data provenance</w:t>
      </w:r>
    </w:p>
    <w:p>
      <w:pPr>
        <w:spacing w:after="120" w:line="276"/>
      </w:pPr>
      <w:r>
        <w:rPr>
          <w:color w:val="1A2433"/>
          <w:sz w:val="21"/>
          <w:szCs w:val="21"/>
        </w:rPr>
        <w:t xml:space="preserve">This section matters more than any individual number, and the application labels provenance on screen wherever a figure appears.</w:t>
      </w:r>
    </w:p>
    <w:p>
      <w:pPr>
        <w:pStyle w:val="Heading2"/>
        <w:spacing w:after="120" w:before="260"/>
      </w:pPr>
      <w:r>
        <w:rPr>
          <w:b/>
          <w:bCs/>
          <w:color w:val="1F6FEB"/>
          <w:sz w:val="24"/>
          <w:szCs w:val="24"/>
        </w:rPr>
        <w:t xml:space="preserve">7.1  Real data — battery degradation</w:t>
      </w:r>
    </w:p>
    <w:p>
      <w:pPr>
        <w:spacing w:after="120" w:line="276"/>
      </w:pPr>
      <w:r>
        <w:rPr>
          <w:color w:val="1A2433"/>
          <w:sz w:val="21"/>
          <w:szCs w:val="21"/>
        </w:rPr>
        <w:t xml:space="preserve">Battery degradation is validated against real measured cells from the NASA Prognostics Center of Excellence Li-ion ageing dataset (CC0, public domain), retrieved via a community mirror because NASA's own portal no longer serves the files. It should be cited as "NASA PCoE dataset (community mirror)", not as a direct NASA feed.</w:t>
      </w:r>
    </w:p>
    <w:tbl>
      <w:tblPr>
        <w:tblW w:type="dxa" w:w="9026"/>
        <w:tblBorders>
          <w:top w:val="single" w:color="D3DDEA" w:sz="2"/>
          <w:left w:val="none"/>
          <w:bottom w:val="single" w:color="D3DDEA" w:sz="2"/>
          <w:right w:val="none"/>
          <w:insideH w:val="single" w:color="D3DDEA" w:sz="1"/>
          <w:insideV w:val="none"/>
        </w:tblBorders>
      </w:tblPr>
      <w:tblGrid>
        <w:gridCol w:w="1300"/>
        <w:gridCol w:w="1200"/>
        <w:gridCol w:w="1900"/>
        <w:gridCol w:w="1900"/>
        <w:gridCol w:w="1400"/>
        <w:gridCol w:w="1326"/>
      </w:tblGrid>
      <w:tr>
        <w:trPr>
          <w:tblHeader/>
        </w:trPr>
        <w:tc>
          <w:tcPr>
            <w:tcW w:type="dxa" w:w="1300"/>
            <w:shd w:fill="E8EEF7" w:color="auto" w:val="clear"/>
            <w:tcMar>
              <w:top w:type="dxa" w:w="90"/>
              <w:left w:type="dxa" w:w="130"/>
              <w:bottom w:type="dxa" w:w="90"/>
              <w:right w:type="dxa" w:w="130"/>
            </w:tcMar>
          </w:tcPr>
          <w:p>
            <w:pPr>
              <w:spacing w:after="0" w:line="260"/>
            </w:pPr>
            <w:r>
              <w:rPr>
                <w:b/>
                <w:bCs/>
                <w:color w:val="1A2433"/>
                <w:sz w:val="19"/>
                <w:szCs w:val="19"/>
              </w:rPr>
              <w:t xml:space="preserve">Cell</w:t>
            </w:r>
          </w:p>
        </w:tc>
        <w:tc>
          <w:tcPr>
            <w:tcW w:type="dxa" w:w="1200"/>
            <w:shd w:fill="E8EEF7" w:color="auto" w:val="clear"/>
            <w:tcMar>
              <w:top w:type="dxa" w:w="90"/>
              <w:left w:type="dxa" w:w="130"/>
              <w:bottom w:type="dxa" w:w="90"/>
              <w:right w:type="dxa" w:w="130"/>
            </w:tcMar>
          </w:tcPr>
          <w:p>
            <w:pPr>
              <w:spacing w:after="0" w:line="260"/>
            </w:pPr>
            <w:r>
              <w:rPr>
                <w:b/>
                <w:bCs/>
                <w:color w:val="1A2433"/>
                <w:sz w:val="19"/>
                <w:szCs w:val="19"/>
              </w:rPr>
              <w:t xml:space="preserve">Cycles</w:t>
            </w:r>
          </w:p>
        </w:tc>
        <w:tc>
          <w:tcPr>
            <w:tcW w:type="dxa" w:w="1900"/>
            <w:shd w:fill="E8EEF7" w:color="auto" w:val="clear"/>
            <w:tcMar>
              <w:top w:type="dxa" w:w="90"/>
              <w:left w:type="dxa" w:w="130"/>
              <w:bottom w:type="dxa" w:w="90"/>
              <w:right w:type="dxa" w:w="130"/>
            </w:tcMar>
          </w:tcPr>
          <w:p>
            <w:pPr>
              <w:spacing w:after="0" w:line="260"/>
            </w:pPr>
            <w:r>
              <w:rPr>
                <w:b/>
                <w:bCs/>
                <w:color w:val="1A2433"/>
                <w:sz w:val="19"/>
                <w:szCs w:val="19"/>
              </w:rPr>
              <w:t xml:space="preserve">Initial capacity</w:t>
            </w:r>
          </w:p>
        </w:tc>
        <w:tc>
          <w:tcPr>
            <w:tcW w:type="dxa" w:w="1900"/>
            <w:shd w:fill="E8EEF7" w:color="auto" w:val="clear"/>
            <w:tcMar>
              <w:top w:type="dxa" w:w="90"/>
              <w:left w:type="dxa" w:w="130"/>
              <w:bottom w:type="dxa" w:w="90"/>
              <w:right w:type="dxa" w:w="130"/>
            </w:tcMar>
          </w:tcPr>
          <w:p>
            <w:pPr>
              <w:spacing w:after="0" w:line="260"/>
            </w:pPr>
            <w:r>
              <w:rPr>
                <w:b/>
                <w:bCs/>
                <w:color w:val="1A2433"/>
                <w:sz w:val="19"/>
                <w:szCs w:val="19"/>
              </w:rPr>
              <w:t xml:space="preserve">Final capacity</w:t>
            </w:r>
          </w:p>
        </w:tc>
        <w:tc>
          <w:tcPr>
            <w:tcW w:type="dxa" w:w="1400"/>
            <w:shd w:fill="E8EEF7" w:color="auto" w:val="clear"/>
            <w:tcMar>
              <w:top w:type="dxa" w:w="90"/>
              <w:left w:type="dxa" w:w="130"/>
              <w:bottom w:type="dxa" w:w="90"/>
              <w:right w:type="dxa" w:w="130"/>
            </w:tcMar>
          </w:tcPr>
          <w:p>
            <w:pPr>
              <w:spacing w:after="0" w:line="260"/>
            </w:pPr>
            <w:r>
              <w:rPr>
                <w:b/>
                <w:bCs/>
                <w:color w:val="1A2433"/>
                <w:sz w:val="19"/>
                <w:szCs w:val="19"/>
              </w:rPr>
              <w:t xml:space="preserve">Total fade</w:t>
            </w:r>
          </w:p>
        </w:tc>
        <w:tc>
          <w:tcPr>
            <w:tcW w:type="dxa" w:w="1326"/>
            <w:shd w:fill="E8EEF7" w:color="auto" w:val="clear"/>
            <w:tcMar>
              <w:top w:type="dxa" w:w="90"/>
              <w:left w:type="dxa" w:w="130"/>
              <w:bottom w:type="dxa" w:w="90"/>
              <w:right w:type="dxa" w:w="130"/>
            </w:tcMar>
          </w:tcPr>
          <w:p>
            <w:pPr>
              <w:spacing w:after="0" w:line="260"/>
            </w:pPr>
            <w:r>
              <w:rPr>
                <w:b/>
                <w:bCs/>
                <w:color w:val="1A2433"/>
                <w:sz w:val="19"/>
                <w:szCs w:val="19"/>
              </w:rPr>
              <w:t xml:space="preserve">Mean temp</w:t>
            </w:r>
          </w:p>
        </w:tc>
      </w:tr>
      <w:tr>
        <w:tc>
          <w:tcPr>
            <w:tcW w:type="dxa" w:w="1300"/>
            <w:tcMar>
              <w:top w:type="dxa" w:w="90"/>
              <w:left w:type="dxa" w:w="130"/>
              <w:bottom w:type="dxa" w:w="90"/>
              <w:right w:type="dxa" w:w="130"/>
            </w:tcMar>
          </w:tcPr>
          <w:p>
            <w:pPr>
              <w:spacing w:after="0" w:line="260"/>
            </w:pPr>
            <w:r>
              <w:rPr>
                <w:color w:val="1A2433"/>
                <w:sz w:val="19"/>
                <w:szCs w:val="19"/>
              </w:rPr>
              <w:t xml:space="preserve">B0005</w:t>
            </w:r>
          </w:p>
        </w:tc>
        <w:tc>
          <w:tcPr>
            <w:tcW w:type="dxa" w:w="1200"/>
            <w:tcMar>
              <w:top w:type="dxa" w:w="90"/>
              <w:left w:type="dxa" w:w="130"/>
              <w:bottom w:type="dxa" w:w="90"/>
              <w:right w:type="dxa" w:w="130"/>
            </w:tcMar>
          </w:tcPr>
          <w:p>
            <w:pPr>
              <w:spacing w:after="0" w:line="260"/>
            </w:pPr>
            <w:r>
              <w:rPr>
                <w:rFonts w:ascii="Consolas" w:cs="Consolas" w:eastAsia="Consolas" w:hAnsi="Consolas"/>
                <w:color w:val="1A2433"/>
                <w:sz w:val="19"/>
                <w:szCs w:val="19"/>
              </w:rPr>
              <w:t xml:space="preserve">168</w:t>
            </w:r>
          </w:p>
        </w:tc>
        <w:tc>
          <w:tcPr>
            <w:tcW w:type="dxa" w:w="1900"/>
            <w:tcMar>
              <w:top w:type="dxa" w:w="90"/>
              <w:left w:type="dxa" w:w="130"/>
              <w:bottom w:type="dxa" w:w="90"/>
              <w:right w:type="dxa" w:w="130"/>
            </w:tcMar>
          </w:tcPr>
          <w:p>
            <w:pPr>
              <w:spacing w:after="0" w:line="260"/>
            </w:pPr>
            <w:r>
              <w:rPr>
                <w:rFonts w:ascii="Consolas" w:cs="Consolas" w:eastAsia="Consolas" w:hAnsi="Consolas"/>
                <w:color w:val="1A2433"/>
                <w:sz w:val="19"/>
                <w:szCs w:val="19"/>
              </w:rPr>
              <w:t xml:space="preserve">1.856 Ah</w:t>
            </w:r>
          </w:p>
        </w:tc>
        <w:tc>
          <w:tcPr>
            <w:tcW w:type="dxa" w:w="1900"/>
            <w:tcMar>
              <w:top w:type="dxa" w:w="90"/>
              <w:left w:type="dxa" w:w="130"/>
              <w:bottom w:type="dxa" w:w="90"/>
              <w:right w:type="dxa" w:w="130"/>
            </w:tcMar>
          </w:tcPr>
          <w:p>
            <w:pPr>
              <w:spacing w:after="0" w:line="260"/>
            </w:pPr>
            <w:r>
              <w:rPr>
                <w:rFonts w:ascii="Consolas" w:cs="Consolas" w:eastAsia="Consolas" w:hAnsi="Consolas"/>
                <w:color w:val="1A2433"/>
                <w:sz w:val="19"/>
                <w:szCs w:val="19"/>
              </w:rPr>
              <w:t xml:space="preserve">1.325 Ah</w:t>
            </w:r>
          </w:p>
        </w:tc>
        <w:tc>
          <w:tcPr>
            <w:tcW w:type="dxa" w:w="1400"/>
            <w:tcMar>
              <w:top w:type="dxa" w:w="90"/>
              <w:left w:type="dxa" w:w="130"/>
              <w:bottom w:type="dxa" w:w="90"/>
              <w:right w:type="dxa" w:w="130"/>
            </w:tcMar>
          </w:tcPr>
          <w:p>
            <w:pPr>
              <w:spacing w:after="0" w:line="260"/>
            </w:pPr>
            <w:r>
              <w:rPr>
                <w:rFonts w:ascii="Consolas" w:cs="Consolas" w:eastAsia="Consolas" w:hAnsi="Consolas"/>
                <w:color w:val="1A2433"/>
                <w:sz w:val="19"/>
                <w:szCs w:val="19"/>
              </w:rPr>
              <w:t xml:space="preserve">28.6%</w:t>
            </w:r>
          </w:p>
        </w:tc>
        <w:tc>
          <w:tcPr>
            <w:tcW w:type="dxa" w:w="1326"/>
            <w:tcMar>
              <w:top w:type="dxa" w:w="90"/>
              <w:left w:type="dxa" w:w="130"/>
              <w:bottom w:type="dxa" w:w="90"/>
              <w:right w:type="dxa" w:w="130"/>
            </w:tcMar>
          </w:tcPr>
          <w:p>
            <w:pPr>
              <w:spacing w:after="0" w:line="260"/>
            </w:pPr>
            <w:r>
              <w:rPr>
                <w:rFonts w:ascii="Consolas" w:cs="Consolas" w:eastAsia="Consolas" w:hAnsi="Consolas"/>
                <w:color w:val="1A2433"/>
                <w:sz w:val="19"/>
                <w:szCs w:val="19"/>
              </w:rPr>
              <w:t xml:space="preserve">39.8 °C</w:t>
            </w:r>
          </w:p>
        </w:tc>
      </w:tr>
      <w:tr>
        <w:tc>
          <w:tcPr>
            <w:tcW w:type="dxa" w:w="1300"/>
            <w:shd w:fill="F5F8FC" w:color="auto" w:val="clear"/>
            <w:tcMar>
              <w:top w:type="dxa" w:w="90"/>
              <w:left w:type="dxa" w:w="130"/>
              <w:bottom w:type="dxa" w:w="90"/>
              <w:right w:type="dxa" w:w="130"/>
            </w:tcMar>
          </w:tcPr>
          <w:p>
            <w:pPr>
              <w:spacing w:after="0" w:line="260"/>
            </w:pPr>
            <w:r>
              <w:rPr>
                <w:color w:val="1A2433"/>
                <w:sz w:val="19"/>
                <w:szCs w:val="19"/>
              </w:rPr>
              <w:t xml:space="preserve">B0006</w:t>
            </w:r>
          </w:p>
        </w:tc>
        <w:tc>
          <w:tcPr>
            <w:tcW w:type="dxa" w:w="1200"/>
            <w:shd w:fill="F5F8FC" w:color="auto" w:val="clear"/>
            <w:tcMar>
              <w:top w:type="dxa" w:w="90"/>
              <w:left w:type="dxa" w:w="130"/>
              <w:bottom w:type="dxa" w:w="90"/>
              <w:right w:type="dxa" w:w="130"/>
            </w:tcMar>
          </w:tcPr>
          <w:p>
            <w:pPr>
              <w:spacing w:after="0" w:line="260"/>
            </w:pPr>
            <w:r>
              <w:rPr>
                <w:rFonts w:ascii="Consolas" w:cs="Consolas" w:eastAsia="Consolas" w:hAnsi="Consolas"/>
                <w:color w:val="1A2433"/>
                <w:sz w:val="19"/>
                <w:szCs w:val="19"/>
              </w:rPr>
              <w:t xml:space="preserve">168</w:t>
            </w:r>
          </w:p>
        </w:tc>
        <w:tc>
          <w:tcPr>
            <w:tcW w:type="dxa" w:w="1900"/>
            <w:shd w:fill="F5F8FC" w:color="auto" w:val="clear"/>
            <w:tcMar>
              <w:top w:type="dxa" w:w="90"/>
              <w:left w:type="dxa" w:w="130"/>
              <w:bottom w:type="dxa" w:w="90"/>
              <w:right w:type="dxa" w:w="130"/>
            </w:tcMar>
          </w:tcPr>
          <w:p>
            <w:pPr>
              <w:spacing w:after="0" w:line="260"/>
            </w:pPr>
            <w:r>
              <w:rPr>
                <w:rFonts w:ascii="Consolas" w:cs="Consolas" w:eastAsia="Consolas" w:hAnsi="Consolas"/>
                <w:color w:val="1A2433"/>
                <w:sz w:val="19"/>
                <w:szCs w:val="19"/>
              </w:rPr>
              <w:t xml:space="preserve">2.035 Ah</w:t>
            </w:r>
          </w:p>
        </w:tc>
        <w:tc>
          <w:tcPr>
            <w:tcW w:type="dxa" w:w="1900"/>
            <w:shd w:fill="F5F8FC" w:color="auto" w:val="clear"/>
            <w:tcMar>
              <w:top w:type="dxa" w:w="90"/>
              <w:left w:type="dxa" w:w="130"/>
              <w:bottom w:type="dxa" w:w="90"/>
              <w:right w:type="dxa" w:w="130"/>
            </w:tcMar>
          </w:tcPr>
          <w:p>
            <w:pPr>
              <w:spacing w:after="0" w:line="260"/>
            </w:pPr>
            <w:r>
              <w:rPr>
                <w:rFonts w:ascii="Consolas" w:cs="Consolas" w:eastAsia="Consolas" w:hAnsi="Consolas"/>
                <w:color w:val="1A2433"/>
                <w:sz w:val="19"/>
                <w:szCs w:val="19"/>
              </w:rPr>
              <w:t xml:space="preserve">1.186 Ah</w:t>
            </w:r>
          </w:p>
        </w:tc>
        <w:tc>
          <w:tcPr>
            <w:tcW w:type="dxa" w:w="1400"/>
            <w:shd w:fill="F5F8FC" w:color="auto" w:val="clear"/>
            <w:tcMar>
              <w:top w:type="dxa" w:w="90"/>
              <w:left w:type="dxa" w:w="130"/>
              <w:bottom w:type="dxa" w:w="90"/>
              <w:right w:type="dxa" w:w="130"/>
            </w:tcMar>
          </w:tcPr>
          <w:p>
            <w:pPr>
              <w:spacing w:after="0" w:line="260"/>
            </w:pPr>
            <w:r>
              <w:rPr>
                <w:rFonts w:ascii="Consolas" w:cs="Consolas" w:eastAsia="Consolas" w:hAnsi="Consolas"/>
                <w:color w:val="1A2433"/>
                <w:sz w:val="19"/>
                <w:szCs w:val="19"/>
              </w:rPr>
              <w:t xml:space="preserve">41.7%</w:t>
            </w:r>
          </w:p>
        </w:tc>
        <w:tc>
          <w:tcPr>
            <w:tcW w:type="dxa" w:w="1326"/>
            <w:shd w:fill="F5F8FC" w:color="auto" w:val="clear"/>
            <w:tcMar>
              <w:top w:type="dxa" w:w="90"/>
              <w:left w:type="dxa" w:w="130"/>
              <w:bottom w:type="dxa" w:w="90"/>
              <w:right w:type="dxa" w:w="130"/>
            </w:tcMar>
          </w:tcPr>
          <w:p>
            <w:pPr>
              <w:spacing w:after="0" w:line="260"/>
            </w:pPr>
            <w:r>
              <w:rPr>
                <w:rFonts w:ascii="Consolas" w:cs="Consolas" w:eastAsia="Consolas" w:hAnsi="Consolas"/>
                <w:color w:val="1A2433"/>
                <w:sz w:val="19"/>
                <w:szCs w:val="19"/>
              </w:rPr>
              <w:t xml:space="preserve">39.9 °C</w:t>
            </w:r>
          </w:p>
        </w:tc>
      </w:tr>
      <w:tr>
        <w:tc>
          <w:tcPr>
            <w:tcW w:type="dxa" w:w="1300"/>
            <w:tcMar>
              <w:top w:type="dxa" w:w="90"/>
              <w:left w:type="dxa" w:w="130"/>
              <w:bottom w:type="dxa" w:w="90"/>
              <w:right w:type="dxa" w:w="130"/>
            </w:tcMar>
          </w:tcPr>
          <w:p>
            <w:pPr>
              <w:spacing w:after="0" w:line="260"/>
            </w:pPr>
            <w:r>
              <w:rPr>
                <w:color w:val="1A2433"/>
                <w:sz w:val="19"/>
                <w:szCs w:val="19"/>
              </w:rPr>
              <w:t xml:space="preserve">B0007</w:t>
            </w:r>
          </w:p>
        </w:tc>
        <w:tc>
          <w:tcPr>
            <w:tcW w:type="dxa" w:w="1200"/>
            <w:tcMar>
              <w:top w:type="dxa" w:w="90"/>
              <w:left w:type="dxa" w:w="130"/>
              <w:bottom w:type="dxa" w:w="90"/>
              <w:right w:type="dxa" w:w="130"/>
            </w:tcMar>
          </w:tcPr>
          <w:p>
            <w:pPr>
              <w:spacing w:after="0" w:line="260"/>
            </w:pPr>
            <w:r>
              <w:rPr>
                <w:rFonts w:ascii="Consolas" w:cs="Consolas" w:eastAsia="Consolas" w:hAnsi="Consolas"/>
                <w:color w:val="1A2433"/>
                <w:sz w:val="19"/>
                <w:szCs w:val="19"/>
              </w:rPr>
              <w:t xml:space="preserve">168</w:t>
            </w:r>
          </w:p>
        </w:tc>
        <w:tc>
          <w:tcPr>
            <w:tcW w:type="dxa" w:w="1900"/>
            <w:tcMar>
              <w:top w:type="dxa" w:w="90"/>
              <w:left w:type="dxa" w:w="130"/>
              <w:bottom w:type="dxa" w:w="90"/>
              <w:right w:type="dxa" w:w="130"/>
            </w:tcMar>
          </w:tcPr>
          <w:p>
            <w:pPr>
              <w:spacing w:after="0" w:line="260"/>
            </w:pPr>
            <w:r>
              <w:rPr>
                <w:rFonts w:ascii="Consolas" w:cs="Consolas" w:eastAsia="Consolas" w:hAnsi="Consolas"/>
                <w:color w:val="1A2433"/>
                <w:sz w:val="19"/>
                <w:szCs w:val="19"/>
              </w:rPr>
              <w:t xml:space="preserve">1.891 Ah</w:t>
            </w:r>
          </w:p>
        </w:tc>
        <w:tc>
          <w:tcPr>
            <w:tcW w:type="dxa" w:w="1900"/>
            <w:tcMar>
              <w:top w:type="dxa" w:w="90"/>
              <w:left w:type="dxa" w:w="130"/>
              <w:bottom w:type="dxa" w:w="90"/>
              <w:right w:type="dxa" w:w="130"/>
            </w:tcMar>
          </w:tcPr>
          <w:p>
            <w:pPr>
              <w:spacing w:after="0" w:line="260"/>
            </w:pPr>
            <w:r>
              <w:rPr>
                <w:rFonts w:ascii="Consolas" w:cs="Consolas" w:eastAsia="Consolas" w:hAnsi="Consolas"/>
                <w:color w:val="1A2433"/>
                <w:sz w:val="19"/>
                <w:szCs w:val="19"/>
              </w:rPr>
              <w:t xml:space="preserve">1.432 Ah</w:t>
            </w:r>
          </w:p>
        </w:tc>
        <w:tc>
          <w:tcPr>
            <w:tcW w:type="dxa" w:w="1400"/>
            <w:tcMar>
              <w:top w:type="dxa" w:w="90"/>
              <w:left w:type="dxa" w:w="130"/>
              <w:bottom w:type="dxa" w:w="90"/>
              <w:right w:type="dxa" w:w="130"/>
            </w:tcMar>
          </w:tcPr>
          <w:p>
            <w:pPr>
              <w:spacing w:after="0" w:line="260"/>
            </w:pPr>
            <w:r>
              <w:rPr>
                <w:rFonts w:ascii="Consolas" w:cs="Consolas" w:eastAsia="Consolas" w:hAnsi="Consolas"/>
                <w:color w:val="1A2433"/>
                <w:sz w:val="19"/>
                <w:szCs w:val="19"/>
              </w:rPr>
              <w:t xml:space="preserve">24.3%</w:t>
            </w:r>
          </w:p>
        </w:tc>
        <w:tc>
          <w:tcPr>
            <w:tcW w:type="dxa" w:w="1326"/>
            <w:tcMar>
              <w:top w:type="dxa" w:w="90"/>
              <w:left w:type="dxa" w:w="130"/>
              <w:bottom w:type="dxa" w:w="90"/>
              <w:right w:type="dxa" w:w="130"/>
            </w:tcMar>
          </w:tcPr>
          <w:p>
            <w:pPr>
              <w:spacing w:after="0" w:line="260"/>
            </w:pPr>
            <w:r>
              <w:rPr>
                <w:rFonts w:ascii="Consolas" w:cs="Consolas" w:eastAsia="Consolas" w:hAnsi="Consolas"/>
                <w:color w:val="1A2433"/>
                <w:sz w:val="19"/>
                <w:szCs w:val="19"/>
              </w:rPr>
              <w:t xml:space="preserve">40.4 °C</w:t>
            </w:r>
          </w:p>
        </w:tc>
      </w:tr>
      <w:tr>
        <w:tc>
          <w:tcPr>
            <w:tcW w:type="dxa" w:w="1300"/>
            <w:shd w:fill="F5F8FC" w:color="auto" w:val="clear"/>
            <w:tcMar>
              <w:top w:type="dxa" w:w="90"/>
              <w:left w:type="dxa" w:w="130"/>
              <w:bottom w:type="dxa" w:w="90"/>
              <w:right w:type="dxa" w:w="130"/>
            </w:tcMar>
          </w:tcPr>
          <w:p>
            <w:pPr>
              <w:spacing w:after="0" w:line="260"/>
            </w:pPr>
            <w:r>
              <w:rPr>
                <w:color w:val="1A2433"/>
                <w:sz w:val="19"/>
                <w:szCs w:val="19"/>
              </w:rPr>
              <w:t xml:space="preserve">B0018</w:t>
            </w:r>
          </w:p>
        </w:tc>
        <w:tc>
          <w:tcPr>
            <w:tcW w:type="dxa" w:w="1200"/>
            <w:shd w:fill="F5F8FC" w:color="auto" w:val="clear"/>
            <w:tcMar>
              <w:top w:type="dxa" w:w="90"/>
              <w:left w:type="dxa" w:w="130"/>
              <w:bottom w:type="dxa" w:w="90"/>
              <w:right w:type="dxa" w:w="130"/>
            </w:tcMar>
          </w:tcPr>
          <w:p>
            <w:pPr>
              <w:spacing w:after="0" w:line="260"/>
            </w:pPr>
            <w:r>
              <w:rPr>
                <w:rFonts w:ascii="Consolas" w:cs="Consolas" w:eastAsia="Consolas" w:hAnsi="Consolas"/>
                <w:color w:val="1A2433"/>
                <w:sz w:val="19"/>
                <w:szCs w:val="19"/>
              </w:rPr>
              <w:t xml:space="preserve">132</w:t>
            </w:r>
          </w:p>
        </w:tc>
        <w:tc>
          <w:tcPr>
            <w:tcW w:type="dxa" w:w="1900"/>
            <w:shd w:fill="F5F8FC" w:color="auto" w:val="clear"/>
            <w:tcMar>
              <w:top w:type="dxa" w:w="90"/>
              <w:left w:type="dxa" w:w="130"/>
              <w:bottom w:type="dxa" w:w="90"/>
              <w:right w:type="dxa" w:w="130"/>
            </w:tcMar>
          </w:tcPr>
          <w:p>
            <w:pPr>
              <w:spacing w:after="0" w:line="260"/>
            </w:pPr>
            <w:r>
              <w:rPr>
                <w:rFonts w:ascii="Consolas" w:cs="Consolas" w:eastAsia="Consolas" w:hAnsi="Consolas"/>
                <w:color w:val="1A2433"/>
                <w:sz w:val="19"/>
                <w:szCs w:val="19"/>
              </w:rPr>
              <w:t xml:space="preserve">1.855 Ah</w:t>
            </w:r>
          </w:p>
        </w:tc>
        <w:tc>
          <w:tcPr>
            <w:tcW w:type="dxa" w:w="1900"/>
            <w:shd w:fill="F5F8FC" w:color="auto" w:val="clear"/>
            <w:tcMar>
              <w:top w:type="dxa" w:w="90"/>
              <w:left w:type="dxa" w:w="130"/>
              <w:bottom w:type="dxa" w:w="90"/>
              <w:right w:type="dxa" w:w="130"/>
            </w:tcMar>
          </w:tcPr>
          <w:p>
            <w:pPr>
              <w:spacing w:after="0" w:line="260"/>
            </w:pPr>
            <w:r>
              <w:rPr>
                <w:rFonts w:ascii="Consolas" w:cs="Consolas" w:eastAsia="Consolas" w:hAnsi="Consolas"/>
                <w:color w:val="1A2433"/>
                <w:sz w:val="19"/>
                <w:szCs w:val="19"/>
              </w:rPr>
              <w:t xml:space="preserve">1.341 Ah</w:t>
            </w:r>
          </w:p>
        </w:tc>
        <w:tc>
          <w:tcPr>
            <w:tcW w:type="dxa" w:w="1400"/>
            <w:shd w:fill="F5F8FC" w:color="auto" w:val="clear"/>
            <w:tcMar>
              <w:top w:type="dxa" w:w="90"/>
              <w:left w:type="dxa" w:w="130"/>
              <w:bottom w:type="dxa" w:w="90"/>
              <w:right w:type="dxa" w:w="130"/>
            </w:tcMar>
          </w:tcPr>
          <w:p>
            <w:pPr>
              <w:spacing w:after="0" w:line="260"/>
            </w:pPr>
            <w:r>
              <w:rPr>
                <w:rFonts w:ascii="Consolas" w:cs="Consolas" w:eastAsia="Consolas" w:hAnsi="Consolas"/>
                <w:color w:val="1A2433"/>
                <w:sz w:val="19"/>
                <w:szCs w:val="19"/>
              </w:rPr>
              <w:t xml:space="preserve">27.7%</w:t>
            </w:r>
          </w:p>
        </w:tc>
        <w:tc>
          <w:tcPr>
            <w:tcW w:type="dxa" w:w="1326"/>
            <w:shd w:fill="F5F8FC" w:color="auto" w:val="clear"/>
            <w:tcMar>
              <w:top w:type="dxa" w:w="90"/>
              <w:left w:type="dxa" w:w="130"/>
              <w:bottom w:type="dxa" w:w="90"/>
              <w:right w:type="dxa" w:w="130"/>
            </w:tcMar>
          </w:tcPr>
          <w:p>
            <w:pPr>
              <w:spacing w:after="0" w:line="260"/>
            </w:pPr>
            <w:r>
              <w:rPr>
                <w:rFonts w:ascii="Consolas" w:cs="Consolas" w:eastAsia="Consolas" w:hAnsi="Consolas"/>
                <w:color w:val="1A2433"/>
                <w:sz w:val="19"/>
                <w:szCs w:val="19"/>
              </w:rPr>
              <w:t xml:space="preserve">37.7 °C</w:t>
            </w:r>
          </w:p>
        </w:tc>
      </w:tr>
    </w:tbl>
    <w:p>
      <w:pPr>
        <w:spacing w:after="120"/>
      </w:pPr>
    </w:p>
    <w:p>
      <w:pPr>
        <w:pStyle w:val="Heading3"/>
        <w:spacing w:after="100" w:before="200"/>
      </w:pPr>
      <w:r>
        <w:rPr>
          <w:b/>
          <w:bCs/>
          <w:color w:val="1A2433"/>
          <w:sz w:val="21"/>
          <w:szCs w:val="21"/>
        </w:rPr>
        <w:t xml:space="preserve">Cells deliberately excluded</w:t>
      </w:r>
    </w:p>
    <w:p>
      <w:pPr>
        <w:spacing w:after="120" w:line="276"/>
      </w:pPr>
      <w:r>
        <w:rPr>
          <w:color w:val="1A2433"/>
          <w:sz w:val="21"/>
          <w:szCs w:val="21"/>
        </w:rPr>
        <w:t xml:space="preserve">The mirror also carries cells B0049–B0056. These were excluded after inspection, for cause:</w:t>
      </w:r>
    </w:p>
    <w:p>
      <w:pPr>
        <w:pStyle w:val="ListParagraph"/>
        <w:numPr>
          <w:ilvl w:val="0"/>
          <w:numId w:val="2"/>
        </w:numPr>
        <w:spacing w:after="80" w:line="276"/>
      </w:pPr>
      <w:r>
        <w:rPr>
          <w:color w:val="1A2433"/>
          <w:sz w:val="21"/>
          <w:szCs w:val="21"/>
        </w:rPr>
        <w:t xml:space="preserve">B0050 terminates at a measured capacity of 0.000 Ah — truncated or corrupt.</w:t>
      </w:r>
    </w:p>
    <w:p>
      <w:pPr>
        <w:pStyle w:val="ListParagraph"/>
        <w:numPr>
          <w:ilvl w:val="0"/>
          <w:numId w:val="2"/>
        </w:numPr>
        <w:spacing w:after="80" w:line="276"/>
      </w:pPr>
      <w:r>
        <w:rPr>
          <w:color w:val="1A2433"/>
          <w:sz w:val="21"/>
          <w:szCs w:val="21"/>
        </w:rPr>
        <w:t xml:space="preserve">B0051, B0054, B0055 and B0056 show capacity increasing across the test (−5% to −44% "fade"). These are low-ambient protocols where measured capacity recovers; they are not monotonic degradation curves and would corrupt the validation.</w:t>
      </w:r>
    </w:p>
    <w:p>
      <w:pPr>
        <w:pStyle w:val="ListParagraph"/>
        <w:numPr>
          <w:ilvl w:val="0"/>
          <w:numId w:val="2"/>
        </w:numPr>
        <w:spacing w:after="80" w:line="276"/>
      </w:pPr>
      <w:r>
        <w:rPr>
          <w:color w:val="1A2433"/>
          <w:sz w:val="21"/>
          <w:szCs w:val="21"/>
        </w:rPr>
        <w:t xml:space="preserve">B0053 shows only 5.5% fade over 55 cycles — too little signal to validate an end-of-life forecast against.</w:t>
      </w:r>
    </w:p>
    <w:p>
      <w:pPr>
        <w:spacing w:after="120"/>
      </w:pPr>
    </w:p>
    <w:tbl>
      <w:tblPr>
        <w:tblW w:type="dxa" w:w="9026"/>
        <w:tblBorders>
          <w:top w:val="single" w:color="D3DDEA" w:sz="2"/>
          <w:left w:val="single" w:color="1F6FEB" w:sz="18"/>
          <w:bottom w:val="single" w:color="D3DDEA" w:sz="2"/>
          <w:right w:val="none"/>
          <w:insideH w:val="none"/>
          <w:insideV w:val="none"/>
        </w:tblBorders>
      </w:tblPr>
      <w:tblGrid>
        <w:gridCol w:w="9026"/>
      </w:tblGrid>
      <w:tr>
        <w:tc>
          <w:tcPr>
            <w:tcW w:type="dxa" w:w="9026"/>
            <w:shd w:fill="F5F8FC" w:color="auto" w:val="clear"/>
            <w:tcMar>
              <w:top w:type="dxa" w:w="160"/>
              <w:left w:type="dxa" w:w="200"/>
              <w:bottom w:type="dxa" w:w="160"/>
              <w:right w:type="dxa" w:w="200"/>
            </w:tcMar>
          </w:tcPr>
          <w:p>
            <w:pPr>
              <w:spacing w:after="80"/>
            </w:pPr>
            <w:r>
              <w:rPr>
                <w:b/>
                <w:bCs/>
                <w:color w:val="1F6FEB"/>
                <w:sz w:val="20"/>
                <w:szCs w:val="20"/>
              </w:rPr>
              <w:t xml:space="preserve">The synthetic-versus-real gap, stated plainly</w:t>
            </w:r>
          </w:p>
          <w:p>
            <w:pPr>
              <w:spacing w:after="60" w:line="276"/>
            </w:pPr>
            <w:r>
              <w:rPr>
                <w:color w:val="1A2433"/>
                <w:sz w:val="20"/>
                <w:szCs w:val="20"/>
              </w:rPr>
              <w:t xml:space="preserve">The same degradation model scores 0.475 %SoH RMSE on our synthetic fleet but 2.281 on real cells. That gap is the point: fitting data generated by a process we wrote ourselves is partly circular, and the flattering number proves little.</w:t>
            </w:r>
          </w:p>
          <w:p>
            <w:pPr>
              <w:spacing w:after="60" w:line="276"/>
            </w:pPr>
            <w:r>
              <w:rPr>
                <w:color w:val="1A2433"/>
                <w:sz w:val="20"/>
                <w:szCs w:val="20"/>
              </w:rPr>
              <w:t xml:space="preserve">The real-cell figure is the honest measure, and it is what the application leads with.</w:t>
            </w:r>
          </w:p>
        </w:tc>
      </w:tr>
    </w:tbl>
    <w:p>
      <w:pPr>
        <w:pStyle w:val="Heading2"/>
        <w:spacing w:after="120" w:before="260"/>
      </w:pPr>
      <w:r>
        <w:rPr>
          <w:b/>
          <w:bCs/>
          <w:color w:val="1F6FEB"/>
          <w:sz w:val="24"/>
          <w:szCs w:val="24"/>
        </w:rPr>
        <w:t xml:space="preserve">7.2  Synthetic data — manufacturing quality</w:t>
      </w:r>
    </w:p>
    <w:p>
      <w:pPr>
        <w:spacing w:after="120" w:line="276"/>
      </w:pPr>
      <w:r>
        <w:rPr>
          <w:color w:val="1A2433"/>
          <w:sz w:val="21"/>
          <w:szCs w:val="21"/>
        </w:rPr>
        <w:t xml:space="preserve">Gigafactories do not publish defect data, and there is no open cell-manufacturing defect corpus that could be vendored the way the NASA data was. Precision and recall for the QMS module are therefore measured on generated batches with a known causal structure, and the Quality page states this on screen.</w:t>
      </w:r>
    </w:p>
    <w:p>
      <w:pPr>
        <w:spacing w:after="120" w:line="276"/>
      </w:pPr>
      <w:r>
        <w:rPr>
          <w:color w:val="1A2433"/>
          <w:sz w:val="21"/>
          <w:szCs w:val="21"/>
        </w:rPr>
        <w:t xml:space="preserve">What transfers to real production data is the pipeline: the feature construction, the SPC baseline it is compared against, the stratified hold-out evaluation, and the safety-weighted operating point.</w:t>
      </w:r>
    </w:p>
    <w:p>
      <w:pPr>
        <w:pStyle w:val="Heading2"/>
        <w:spacing w:after="120" w:before="260"/>
      </w:pPr>
      <w:r>
        <w:rPr>
          <w:b/>
          <w:bCs/>
          <w:color w:val="1F6FEB"/>
          <w:sz w:val="24"/>
          <w:szCs w:val="24"/>
        </w:rPr>
        <w:t xml:space="preserve">7.3  Modelled data — carbon and fleet</w:t>
      </w:r>
    </w:p>
    <w:p>
      <w:pPr>
        <w:spacing w:after="120" w:line="276"/>
      </w:pPr>
      <w:r>
        <w:rPr>
          <w:color w:val="1A2433"/>
          <w:sz w:val="21"/>
          <w:szCs w:val="21"/>
        </w:rPr>
        <w:t xml:space="preserve">Carbon figures are modelled from published emission factors, with assumptions exposed via the API. Fleet telemetry, supplier registry and vehicle records are synthetic but grounded in real Indian market data — actual EV and diesel models, real OEMs, real city grid intensities.</w:t>
      </w:r>
    </w:p>
    <w:p>
      <w:pPr>
        <w:pStyle w:val="Heading2"/>
        <w:spacing w:after="120" w:before="260"/>
      </w:pPr>
      <w:r>
        <w:rPr>
          <w:b/>
          <w:bCs/>
          <w:color w:val="1F6FEB"/>
          <w:sz w:val="24"/>
          <w:szCs w:val="24"/>
        </w:rPr>
        <w:t xml:space="preserve">7.4  Regulatory status</w:t>
      </w:r>
    </w:p>
    <w:p>
      <w:pPr>
        <w:spacing w:after="120" w:line="276"/>
      </w:pPr>
      <w:r>
        <w:rPr>
          <w:color w:val="1A2433"/>
          <w:sz w:val="21"/>
          <w:szCs w:val="21"/>
        </w:rPr>
        <w:t xml:space="preserve">The Battery Pack Aadhaar is a draft MoRTH scheme. The BPAN module is built for compliance-readiness and must not be presented as a live regulatory integration.</w:t>
      </w:r>
    </w:p>
    <w:p>
      <w:r>
        <w:br w:type="page"/>
      </w:r>
    </w:p>
    <w:p>
      <w:pPr>
        <w:pStyle w:val="Heading1"/>
        <w:spacing w:after="160" w:before="360"/>
      </w:pPr>
      <w:r>
        <w:rPr>
          <w:b/>
          <w:bCs/>
          <w:color w:val="1A2433"/>
          <w:sz w:val="30"/>
          <w:szCs w:val="30"/>
        </w:rPr>
        <w:t xml:space="preserve">8. Measured evidence</w:t>
      </w:r>
    </w:p>
    <w:p>
      <w:pPr>
        <w:pStyle w:val="Heading2"/>
        <w:spacing w:after="120" w:before="260"/>
      </w:pPr>
      <w:r>
        <w:rPr>
          <w:b/>
          <w:bCs/>
          <w:color w:val="1F6FEB"/>
          <w:sz w:val="24"/>
          <w:szCs w:val="24"/>
        </w:rPr>
        <w:t xml:space="preserve">8.1  Battery degradation — real cells</w:t>
      </w:r>
    </w:p>
    <w:p>
      <w:pPr>
        <w:spacing w:after="120" w:line="276"/>
      </w:pPr>
      <w:r>
        <w:rPr>
          <w:color w:val="1A2433"/>
          <w:sz w:val="21"/>
          <w:szCs w:val="21"/>
        </w:rPr>
        <w:t xml:space="preserve">Validation is a hold-out on the last 30% of each cell's cycle history, against a persistence baseline (last observed SoH carried forward), which is the standard naive forecaster for monotonic series.</w:t>
      </w:r>
    </w:p>
    <w:tbl>
      <w:tblPr>
        <w:tblW w:type="dxa" w:w="9026"/>
        <w:tblBorders>
          <w:top w:val="single" w:color="D3DDEA" w:sz="2"/>
          <w:left w:val="none"/>
          <w:bottom w:val="single" w:color="D3DDEA" w:sz="2"/>
          <w:right w:val="none"/>
          <w:insideH w:val="single" w:color="D3DDEA" w:sz="1"/>
          <w:insideV w:val="none"/>
        </w:tblBorders>
      </w:tblPr>
      <w:tblGrid>
        <w:gridCol w:w="1400"/>
        <w:gridCol w:w="1800"/>
        <w:gridCol w:w="1900"/>
        <w:gridCol w:w="1800"/>
        <w:gridCol w:w="2126"/>
      </w:tblGrid>
      <w:tr>
        <w:trPr>
          <w:tblHeader/>
        </w:trPr>
        <w:tc>
          <w:tcPr>
            <w:tcW w:type="dxa" w:w="1400"/>
            <w:shd w:fill="E8EEF7" w:color="auto" w:val="clear"/>
            <w:tcMar>
              <w:top w:type="dxa" w:w="90"/>
              <w:left w:type="dxa" w:w="130"/>
              <w:bottom w:type="dxa" w:w="90"/>
              <w:right w:type="dxa" w:w="130"/>
            </w:tcMar>
          </w:tcPr>
          <w:p>
            <w:pPr>
              <w:spacing w:after="0" w:line="260"/>
            </w:pPr>
            <w:r>
              <w:rPr>
                <w:b/>
                <w:bCs/>
                <w:color w:val="1A2433"/>
                <w:sz w:val="19"/>
                <w:szCs w:val="19"/>
              </w:rPr>
              <w:t xml:space="preserve">Cell</w:t>
            </w:r>
          </w:p>
        </w:tc>
        <w:tc>
          <w:tcPr>
            <w:tcW w:type="dxa" w:w="1800"/>
            <w:shd w:fill="E8EEF7" w:color="auto" w:val="clear"/>
            <w:tcMar>
              <w:top w:type="dxa" w:w="90"/>
              <w:left w:type="dxa" w:w="130"/>
              <w:bottom w:type="dxa" w:w="90"/>
              <w:right w:type="dxa" w:w="130"/>
            </w:tcMar>
          </w:tcPr>
          <w:p>
            <w:pPr>
              <w:spacing w:after="0" w:line="260"/>
            </w:pPr>
            <w:r>
              <w:rPr>
                <w:b/>
                <w:bCs/>
                <w:color w:val="1A2433"/>
                <w:sz w:val="19"/>
                <w:szCs w:val="19"/>
              </w:rPr>
              <w:t xml:space="preserve">Model RMSE</w:t>
            </w:r>
          </w:p>
        </w:tc>
        <w:tc>
          <w:tcPr>
            <w:tcW w:type="dxa" w:w="1900"/>
            <w:shd w:fill="E8EEF7" w:color="auto" w:val="clear"/>
            <w:tcMar>
              <w:top w:type="dxa" w:w="90"/>
              <w:left w:type="dxa" w:w="130"/>
              <w:bottom w:type="dxa" w:w="90"/>
              <w:right w:type="dxa" w:w="130"/>
            </w:tcMar>
          </w:tcPr>
          <w:p>
            <w:pPr>
              <w:spacing w:after="0" w:line="260"/>
            </w:pPr>
            <w:r>
              <w:rPr>
                <w:b/>
                <w:bCs/>
                <w:color w:val="1A2433"/>
                <w:sz w:val="19"/>
                <w:szCs w:val="19"/>
              </w:rPr>
              <w:t xml:space="preserve">Baseline RMSE</w:t>
            </w:r>
          </w:p>
        </w:tc>
        <w:tc>
          <w:tcPr>
            <w:tcW w:type="dxa" w:w="1800"/>
            <w:shd w:fill="E8EEF7" w:color="auto" w:val="clear"/>
            <w:tcMar>
              <w:top w:type="dxa" w:w="90"/>
              <w:left w:type="dxa" w:w="130"/>
              <w:bottom w:type="dxa" w:w="90"/>
              <w:right w:type="dxa" w:w="130"/>
            </w:tcMar>
          </w:tcPr>
          <w:p>
            <w:pPr>
              <w:spacing w:after="0" w:line="260"/>
            </w:pPr>
            <w:r>
              <w:rPr>
                <w:b/>
                <w:bCs/>
                <w:color w:val="1A2433"/>
                <w:sz w:val="19"/>
                <w:szCs w:val="19"/>
              </w:rPr>
              <w:t xml:space="preserve">Improvement</w:t>
            </w:r>
          </w:p>
        </w:tc>
        <w:tc>
          <w:tcPr>
            <w:tcW w:type="dxa" w:w="2126"/>
            <w:shd w:fill="E8EEF7" w:color="auto" w:val="clear"/>
            <w:tcMar>
              <w:top w:type="dxa" w:w="90"/>
              <w:left w:type="dxa" w:w="130"/>
              <w:bottom w:type="dxa" w:w="90"/>
              <w:right w:type="dxa" w:w="130"/>
            </w:tcMar>
          </w:tcPr>
          <w:p>
            <w:pPr>
              <w:spacing w:after="0" w:line="260"/>
            </w:pPr>
            <w:r>
              <w:rPr>
                <w:b/>
                <w:bCs/>
                <w:color w:val="1A2433"/>
                <w:sz w:val="19"/>
                <w:szCs w:val="19"/>
              </w:rPr>
              <w:t xml:space="preserve">Weighting selected</w:t>
            </w:r>
          </w:p>
        </w:tc>
      </w:tr>
      <w:tr>
        <w:tc>
          <w:tcPr>
            <w:tcW w:type="dxa" w:w="1400"/>
            <w:tcMar>
              <w:top w:type="dxa" w:w="90"/>
              <w:left w:type="dxa" w:w="130"/>
              <w:bottom w:type="dxa" w:w="90"/>
              <w:right w:type="dxa" w:w="130"/>
            </w:tcMar>
          </w:tcPr>
          <w:p>
            <w:pPr>
              <w:spacing w:after="0" w:line="260"/>
            </w:pPr>
            <w:r>
              <w:rPr>
                <w:color w:val="1A2433"/>
                <w:sz w:val="19"/>
                <w:szCs w:val="19"/>
              </w:rPr>
              <w:t xml:space="preserve">B0005</w:t>
            </w:r>
          </w:p>
        </w:tc>
        <w:tc>
          <w:tcPr>
            <w:tcW w:type="dxa" w:w="1800"/>
            <w:tcMar>
              <w:top w:type="dxa" w:w="90"/>
              <w:left w:type="dxa" w:w="130"/>
              <w:bottom w:type="dxa" w:w="90"/>
              <w:right w:type="dxa" w:w="130"/>
            </w:tcMar>
          </w:tcPr>
          <w:p>
            <w:pPr>
              <w:spacing w:after="0" w:line="260"/>
            </w:pPr>
            <w:r>
              <w:rPr>
                <w:rFonts w:ascii="Consolas" w:cs="Consolas" w:eastAsia="Consolas" w:hAnsi="Consolas"/>
                <w:color w:val="1A2433"/>
                <w:sz w:val="19"/>
                <w:szCs w:val="19"/>
              </w:rPr>
              <w:t xml:space="preserve">2.089</w:t>
            </w:r>
          </w:p>
        </w:tc>
        <w:tc>
          <w:tcPr>
            <w:tcW w:type="dxa" w:w="1900"/>
            <w:tcMar>
              <w:top w:type="dxa" w:w="90"/>
              <w:left w:type="dxa" w:w="130"/>
              <w:bottom w:type="dxa" w:w="90"/>
              <w:right w:type="dxa" w:w="130"/>
            </w:tcMar>
          </w:tcPr>
          <w:p>
            <w:pPr>
              <w:spacing w:after="0" w:line="260"/>
            </w:pPr>
            <w:r>
              <w:rPr>
                <w:rFonts w:ascii="Consolas" w:cs="Consolas" w:eastAsia="Consolas" w:hAnsi="Consolas"/>
                <w:color w:val="1A2433"/>
                <w:sz w:val="19"/>
                <w:szCs w:val="19"/>
              </w:rPr>
              <w:t xml:space="preserve">3.769</w:t>
            </w:r>
          </w:p>
        </w:tc>
        <w:tc>
          <w:tcPr>
            <w:tcW w:type="dxa" w:w="1800"/>
            <w:tcMar>
              <w:top w:type="dxa" w:w="90"/>
              <w:left w:type="dxa" w:w="130"/>
              <w:bottom w:type="dxa" w:w="90"/>
              <w:right w:type="dxa" w:w="130"/>
            </w:tcMar>
          </w:tcPr>
          <w:p>
            <w:pPr>
              <w:spacing w:after="0" w:line="260"/>
            </w:pPr>
            <w:r>
              <w:rPr>
                <w:rFonts w:ascii="Consolas" w:cs="Consolas" w:eastAsia="Consolas" w:hAnsi="Consolas"/>
                <w:color w:val="1A2433"/>
                <w:sz w:val="19"/>
                <w:szCs w:val="19"/>
              </w:rPr>
              <w:t xml:space="preserve">+44.6%</w:t>
            </w:r>
          </w:p>
        </w:tc>
        <w:tc>
          <w:tcPr>
            <w:tcW w:type="dxa" w:w="2126"/>
            <w:tcMar>
              <w:top w:type="dxa" w:w="90"/>
              <w:left w:type="dxa" w:w="130"/>
              <w:bottom w:type="dxa" w:w="90"/>
              <w:right w:type="dxa" w:w="130"/>
            </w:tcMar>
          </w:tcPr>
          <w:p>
            <w:pPr>
              <w:spacing w:after="0" w:line="260"/>
            </w:pPr>
            <w:r>
              <w:rPr>
                <w:color w:val="1A2433"/>
                <w:sz w:val="19"/>
                <w:szCs w:val="19"/>
              </w:rPr>
              <w:t xml:space="preserve">recency 1/2</w:t>
            </w:r>
          </w:p>
        </w:tc>
      </w:tr>
      <w:tr>
        <w:tc>
          <w:tcPr>
            <w:tcW w:type="dxa" w:w="1400"/>
            <w:shd w:fill="F5F8FC" w:color="auto" w:val="clear"/>
            <w:tcMar>
              <w:top w:type="dxa" w:w="90"/>
              <w:left w:type="dxa" w:w="130"/>
              <w:bottom w:type="dxa" w:w="90"/>
              <w:right w:type="dxa" w:w="130"/>
            </w:tcMar>
          </w:tcPr>
          <w:p>
            <w:pPr>
              <w:spacing w:after="0" w:line="260"/>
            </w:pPr>
            <w:r>
              <w:rPr>
                <w:color w:val="1A2433"/>
                <w:sz w:val="19"/>
                <w:szCs w:val="19"/>
              </w:rPr>
              <w:t xml:space="preserve">B0006</w:t>
            </w:r>
          </w:p>
        </w:tc>
        <w:tc>
          <w:tcPr>
            <w:tcW w:type="dxa" w:w="1800"/>
            <w:shd w:fill="F5F8FC" w:color="auto" w:val="clear"/>
            <w:tcMar>
              <w:top w:type="dxa" w:w="90"/>
              <w:left w:type="dxa" w:w="130"/>
              <w:bottom w:type="dxa" w:w="90"/>
              <w:right w:type="dxa" w:w="130"/>
            </w:tcMar>
          </w:tcPr>
          <w:p>
            <w:pPr>
              <w:spacing w:after="0" w:line="260"/>
            </w:pPr>
            <w:r>
              <w:rPr>
                <w:rFonts w:ascii="Consolas" w:cs="Consolas" w:eastAsia="Consolas" w:hAnsi="Consolas"/>
                <w:color w:val="1A2433"/>
                <w:sz w:val="19"/>
                <w:szCs w:val="19"/>
              </w:rPr>
              <w:t xml:space="preserve">1.954</w:t>
            </w:r>
          </w:p>
        </w:tc>
        <w:tc>
          <w:tcPr>
            <w:tcW w:type="dxa" w:w="1900"/>
            <w:shd w:fill="F5F8FC" w:color="auto" w:val="clear"/>
            <w:tcMar>
              <w:top w:type="dxa" w:w="90"/>
              <w:left w:type="dxa" w:w="130"/>
              <w:bottom w:type="dxa" w:w="90"/>
              <w:right w:type="dxa" w:w="130"/>
            </w:tcMar>
          </w:tcPr>
          <w:p>
            <w:pPr>
              <w:spacing w:after="0" w:line="260"/>
            </w:pPr>
            <w:r>
              <w:rPr>
                <w:rFonts w:ascii="Consolas" w:cs="Consolas" w:eastAsia="Consolas" w:hAnsi="Consolas"/>
                <w:color w:val="1A2433"/>
                <w:sz w:val="19"/>
                <w:szCs w:val="19"/>
              </w:rPr>
              <w:t xml:space="preserve">5.502</w:t>
            </w:r>
          </w:p>
        </w:tc>
        <w:tc>
          <w:tcPr>
            <w:tcW w:type="dxa" w:w="1800"/>
            <w:shd w:fill="F5F8FC" w:color="auto" w:val="clear"/>
            <w:tcMar>
              <w:top w:type="dxa" w:w="90"/>
              <w:left w:type="dxa" w:w="130"/>
              <w:bottom w:type="dxa" w:w="90"/>
              <w:right w:type="dxa" w:w="130"/>
            </w:tcMar>
          </w:tcPr>
          <w:p>
            <w:pPr>
              <w:spacing w:after="0" w:line="260"/>
            </w:pPr>
            <w:r>
              <w:rPr>
                <w:rFonts w:ascii="Consolas" w:cs="Consolas" w:eastAsia="Consolas" w:hAnsi="Consolas"/>
                <w:color w:val="1A2433"/>
                <w:sz w:val="19"/>
                <w:szCs w:val="19"/>
              </w:rPr>
              <w:t xml:space="preserve">+64.5%</w:t>
            </w:r>
          </w:p>
        </w:tc>
        <w:tc>
          <w:tcPr>
            <w:tcW w:type="dxa" w:w="2126"/>
            <w:shd w:fill="F5F8FC" w:color="auto" w:val="clear"/>
            <w:tcMar>
              <w:top w:type="dxa" w:w="90"/>
              <w:left w:type="dxa" w:w="130"/>
              <w:bottom w:type="dxa" w:w="90"/>
              <w:right w:type="dxa" w:w="130"/>
            </w:tcMar>
          </w:tcPr>
          <w:p>
            <w:pPr>
              <w:spacing w:after="0" w:line="260"/>
            </w:pPr>
            <w:r>
              <w:rPr>
                <w:color w:val="1A2433"/>
                <w:sz w:val="19"/>
                <w:szCs w:val="19"/>
              </w:rPr>
              <w:t xml:space="preserve">recency 1/5</w:t>
            </w:r>
          </w:p>
        </w:tc>
      </w:tr>
      <w:tr>
        <w:tc>
          <w:tcPr>
            <w:tcW w:type="dxa" w:w="1400"/>
            <w:tcMar>
              <w:top w:type="dxa" w:w="90"/>
              <w:left w:type="dxa" w:w="130"/>
              <w:bottom w:type="dxa" w:w="90"/>
              <w:right w:type="dxa" w:w="130"/>
            </w:tcMar>
          </w:tcPr>
          <w:p>
            <w:pPr>
              <w:spacing w:after="0" w:line="260"/>
            </w:pPr>
            <w:r>
              <w:rPr>
                <w:color w:val="1A2433"/>
                <w:sz w:val="19"/>
                <w:szCs w:val="19"/>
              </w:rPr>
              <w:t xml:space="preserve">B0007</w:t>
            </w:r>
          </w:p>
        </w:tc>
        <w:tc>
          <w:tcPr>
            <w:tcW w:type="dxa" w:w="1800"/>
            <w:tcMar>
              <w:top w:type="dxa" w:w="90"/>
              <w:left w:type="dxa" w:w="130"/>
              <w:bottom w:type="dxa" w:w="90"/>
              <w:right w:type="dxa" w:w="130"/>
            </w:tcMar>
          </w:tcPr>
          <w:p>
            <w:pPr>
              <w:spacing w:after="0" w:line="260"/>
            </w:pPr>
            <w:r>
              <w:rPr>
                <w:rFonts w:ascii="Consolas" w:cs="Consolas" w:eastAsia="Consolas" w:hAnsi="Consolas"/>
                <w:color w:val="1A2433"/>
                <w:sz w:val="19"/>
                <w:szCs w:val="19"/>
              </w:rPr>
              <w:t xml:space="preserve">1.512</w:t>
            </w:r>
          </w:p>
        </w:tc>
        <w:tc>
          <w:tcPr>
            <w:tcW w:type="dxa" w:w="1900"/>
            <w:tcMar>
              <w:top w:type="dxa" w:w="90"/>
              <w:left w:type="dxa" w:w="130"/>
              <w:bottom w:type="dxa" w:w="90"/>
              <w:right w:type="dxa" w:w="130"/>
            </w:tcMar>
          </w:tcPr>
          <w:p>
            <w:pPr>
              <w:spacing w:after="0" w:line="260"/>
            </w:pPr>
            <w:r>
              <w:rPr>
                <w:rFonts w:ascii="Consolas" w:cs="Consolas" w:eastAsia="Consolas" w:hAnsi="Consolas"/>
                <w:color w:val="1A2433"/>
                <w:sz w:val="19"/>
                <w:szCs w:val="19"/>
              </w:rPr>
              <w:t xml:space="preserve">3.210</w:t>
            </w:r>
          </w:p>
        </w:tc>
        <w:tc>
          <w:tcPr>
            <w:tcW w:type="dxa" w:w="1800"/>
            <w:tcMar>
              <w:top w:type="dxa" w:w="90"/>
              <w:left w:type="dxa" w:w="130"/>
              <w:bottom w:type="dxa" w:w="90"/>
              <w:right w:type="dxa" w:w="130"/>
            </w:tcMar>
          </w:tcPr>
          <w:p>
            <w:pPr>
              <w:spacing w:after="0" w:line="260"/>
            </w:pPr>
            <w:r>
              <w:rPr>
                <w:rFonts w:ascii="Consolas" w:cs="Consolas" w:eastAsia="Consolas" w:hAnsi="Consolas"/>
                <w:color w:val="1A2433"/>
                <w:sz w:val="19"/>
                <w:szCs w:val="19"/>
              </w:rPr>
              <w:t xml:space="preserve">+52.9%</w:t>
            </w:r>
          </w:p>
        </w:tc>
        <w:tc>
          <w:tcPr>
            <w:tcW w:type="dxa" w:w="2126"/>
            <w:tcMar>
              <w:top w:type="dxa" w:w="90"/>
              <w:left w:type="dxa" w:w="130"/>
              <w:bottom w:type="dxa" w:w="90"/>
              <w:right w:type="dxa" w:w="130"/>
            </w:tcMar>
          </w:tcPr>
          <w:p>
            <w:pPr>
              <w:spacing w:after="0" w:line="260"/>
            </w:pPr>
            <w:r>
              <w:rPr>
                <w:color w:val="1A2433"/>
                <w:sz w:val="19"/>
                <w:szCs w:val="19"/>
              </w:rPr>
              <w:t xml:space="preserve">unweighted</w:t>
            </w:r>
          </w:p>
        </w:tc>
      </w:tr>
      <w:tr>
        <w:tc>
          <w:tcPr>
            <w:tcW w:type="dxa" w:w="1400"/>
            <w:shd w:fill="F5F8FC" w:color="auto" w:val="clear"/>
            <w:tcMar>
              <w:top w:type="dxa" w:w="90"/>
              <w:left w:type="dxa" w:w="130"/>
              <w:bottom w:type="dxa" w:w="90"/>
              <w:right w:type="dxa" w:w="130"/>
            </w:tcMar>
          </w:tcPr>
          <w:p>
            <w:pPr>
              <w:spacing w:after="0" w:line="260"/>
            </w:pPr>
            <w:r>
              <w:rPr>
                <w:color w:val="1A2433"/>
                <w:sz w:val="19"/>
                <w:szCs w:val="19"/>
              </w:rPr>
              <w:t xml:space="preserve">B0018</w:t>
            </w:r>
          </w:p>
        </w:tc>
        <w:tc>
          <w:tcPr>
            <w:tcW w:type="dxa" w:w="1800"/>
            <w:shd w:fill="F5F8FC" w:color="auto" w:val="clear"/>
            <w:tcMar>
              <w:top w:type="dxa" w:w="90"/>
              <w:left w:type="dxa" w:w="130"/>
              <w:bottom w:type="dxa" w:w="90"/>
              <w:right w:type="dxa" w:w="130"/>
            </w:tcMar>
          </w:tcPr>
          <w:p>
            <w:pPr>
              <w:spacing w:after="0" w:line="260"/>
            </w:pPr>
            <w:r>
              <w:rPr>
                <w:rFonts w:ascii="Consolas" w:cs="Consolas" w:eastAsia="Consolas" w:hAnsi="Consolas"/>
                <w:color w:val="1A2433"/>
                <w:sz w:val="19"/>
                <w:szCs w:val="19"/>
              </w:rPr>
              <w:t xml:space="preserve">3.570</w:t>
            </w:r>
          </w:p>
        </w:tc>
        <w:tc>
          <w:tcPr>
            <w:tcW w:type="dxa" w:w="1900"/>
            <w:shd w:fill="F5F8FC" w:color="auto" w:val="clear"/>
            <w:tcMar>
              <w:top w:type="dxa" w:w="90"/>
              <w:left w:type="dxa" w:w="130"/>
              <w:bottom w:type="dxa" w:w="90"/>
              <w:right w:type="dxa" w:w="130"/>
            </w:tcMar>
          </w:tcPr>
          <w:p>
            <w:pPr>
              <w:spacing w:after="0" w:line="260"/>
            </w:pPr>
            <w:r>
              <w:rPr>
                <w:rFonts w:ascii="Consolas" w:cs="Consolas" w:eastAsia="Consolas" w:hAnsi="Consolas"/>
                <w:color w:val="1A2433"/>
                <w:sz w:val="19"/>
                <w:szCs w:val="19"/>
              </w:rPr>
              <w:t xml:space="preserve">2.391</w:t>
            </w:r>
          </w:p>
        </w:tc>
        <w:tc>
          <w:tcPr>
            <w:tcW w:type="dxa" w:w="1800"/>
            <w:shd w:fill="F5F8FC" w:color="auto" w:val="clear"/>
            <w:tcMar>
              <w:top w:type="dxa" w:w="90"/>
              <w:left w:type="dxa" w:w="130"/>
              <w:bottom w:type="dxa" w:w="90"/>
              <w:right w:type="dxa" w:w="130"/>
            </w:tcMar>
          </w:tcPr>
          <w:p>
            <w:pPr>
              <w:spacing w:after="0" w:line="260"/>
            </w:pPr>
            <w:r>
              <w:rPr>
                <w:rFonts w:ascii="Consolas" w:cs="Consolas" w:eastAsia="Consolas" w:hAnsi="Consolas"/>
                <w:color w:val="1A2433"/>
                <w:sz w:val="19"/>
                <w:szCs w:val="19"/>
              </w:rPr>
              <w:t xml:space="preserve">−49.3%</w:t>
            </w:r>
          </w:p>
        </w:tc>
        <w:tc>
          <w:tcPr>
            <w:tcW w:type="dxa" w:w="2126"/>
            <w:shd w:fill="F5F8FC" w:color="auto" w:val="clear"/>
            <w:tcMar>
              <w:top w:type="dxa" w:w="90"/>
              <w:left w:type="dxa" w:w="130"/>
              <w:bottom w:type="dxa" w:w="90"/>
              <w:right w:type="dxa" w:w="130"/>
            </w:tcMar>
          </w:tcPr>
          <w:p>
            <w:pPr>
              <w:spacing w:after="0" w:line="260"/>
            </w:pPr>
            <w:r>
              <w:rPr>
                <w:color w:val="1A2433"/>
                <w:sz w:val="19"/>
                <w:szCs w:val="19"/>
              </w:rPr>
              <w:t xml:space="preserve">recency 1/5</w:t>
            </w:r>
          </w:p>
        </w:tc>
      </w:tr>
      <w:tr>
        <w:tc>
          <w:tcPr>
            <w:tcW w:type="dxa" w:w="1400"/>
            <w:tcMar>
              <w:top w:type="dxa" w:w="90"/>
              <w:left w:type="dxa" w:w="130"/>
              <w:bottom w:type="dxa" w:w="90"/>
              <w:right w:type="dxa" w:w="130"/>
            </w:tcMar>
          </w:tcPr>
          <w:p>
            <w:pPr>
              <w:spacing w:after="0" w:line="260"/>
            </w:pPr>
            <w:r>
              <w:rPr>
                <w:color w:val="1A2433"/>
                <w:sz w:val="19"/>
                <w:szCs w:val="19"/>
              </w:rPr>
              <w:t xml:space="preserve">Mean</w:t>
            </w:r>
          </w:p>
        </w:tc>
        <w:tc>
          <w:tcPr>
            <w:tcW w:type="dxa" w:w="1800"/>
            <w:tcMar>
              <w:top w:type="dxa" w:w="90"/>
              <w:left w:type="dxa" w:w="130"/>
              <w:bottom w:type="dxa" w:w="90"/>
              <w:right w:type="dxa" w:w="130"/>
            </w:tcMar>
          </w:tcPr>
          <w:p>
            <w:pPr>
              <w:spacing w:after="0" w:line="260"/>
            </w:pPr>
            <w:r>
              <w:rPr>
                <w:rFonts w:ascii="Consolas" w:cs="Consolas" w:eastAsia="Consolas" w:hAnsi="Consolas"/>
                <w:color w:val="1A2433"/>
                <w:sz w:val="19"/>
                <w:szCs w:val="19"/>
              </w:rPr>
              <w:t xml:space="preserve">2.281</w:t>
            </w:r>
          </w:p>
        </w:tc>
        <w:tc>
          <w:tcPr>
            <w:tcW w:type="dxa" w:w="1900"/>
            <w:tcMar>
              <w:top w:type="dxa" w:w="90"/>
              <w:left w:type="dxa" w:w="130"/>
              <w:bottom w:type="dxa" w:w="90"/>
              <w:right w:type="dxa" w:w="130"/>
            </w:tcMar>
          </w:tcPr>
          <w:p>
            <w:pPr>
              <w:spacing w:after="0" w:line="260"/>
            </w:pPr>
            <w:r>
              <w:rPr>
                <w:rFonts w:ascii="Consolas" w:cs="Consolas" w:eastAsia="Consolas" w:hAnsi="Consolas"/>
                <w:color w:val="1A2433"/>
                <w:sz w:val="19"/>
                <w:szCs w:val="19"/>
              </w:rPr>
              <w:t xml:space="preserve">3.718</w:t>
            </w:r>
          </w:p>
        </w:tc>
        <w:tc>
          <w:tcPr>
            <w:tcW w:type="dxa" w:w="1800"/>
            <w:tcMar>
              <w:top w:type="dxa" w:w="90"/>
              <w:left w:type="dxa" w:w="130"/>
              <w:bottom w:type="dxa" w:w="90"/>
              <w:right w:type="dxa" w:w="130"/>
            </w:tcMar>
          </w:tcPr>
          <w:p>
            <w:pPr>
              <w:spacing w:after="0" w:line="260"/>
            </w:pPr>
            <w:r>
              <w:rPr>
                <w:rFonts w:ascii="Consolas" w:cs="Consolas" w:eastAsia="Consolas" w:hAnsi="Consolas"/>
                <w:color w:val="1A2433"/>
                <w:sz w:val="19"/>
                <w:szCs w:val="19"/>
              </w:rPr>
              <w:t xml:space="preserve">+38.6%</w:t>
            </w:r>
          </w:p>
        </w:tc>
        <w:tc>
          <w:tcPr>
            <w:tcW w:type="dxa" w:w="2126"/>
            <w:tcMar>
              <w:top w:type="dxa" w:w="90"/>
              <w:left w:type="dxa" w:w="130"/>
              <w:bottom w:type="dxa" w:w="90"/>
              <w:right w:type="dxa" w:w="130"/>
            </w:tcMar>
          </w:tcPr>
          <w:p>
            <w:pPr>
              <w:spacing w:after="0" w:line="260"/>
            </w:pPr>
            <w:r>
              <w:rPr>
                <w:color w:val="1A2433"/>
                <w:sz w:val="19"/>
                <w:szCs w:val="19"/>
              </w:rPr>
              <w:t xml:space="preserve">3 of 4 beat baseline</w:t>
            </w:r>
          </w:p>
        </w:tc>
      </w:tr>
    </w:tbl>
    <w:p>
      <w:pPr>
        <w:spacing w:after="120"/>
      </w:pPr>
    </w:p>
    <w:p>
      <w:pPr>
        <w:spacing w:after="120" w:line="276"/>
      </w:pPr>
      <w:r>
        <w:rPr>
          <w:color w:val="1A2433"/>
          <w:sz w:val="21"/>
          <w:szCs w:val="21"/>
        </w:rPr>
        <w:t xml:space="preserve">Remaining useful life is forecast from half of each cell's cycle life — not from the 70% training split, where only a handful of cycles of true runway remain and percentage error explodes on a tiny denominator. Mean absolute error is 16 cycles, or 10.6% of total cell life, across the three cells that reach the end-of-life threshold.</w:t>
      </w:r>
    </w:p>
    <w:p>
      <w:pPr>
        <w:spacing w:after="120" w:line="276"/>
      </w:pPr>
      <w:r>
        <w:rPr>
          <w:b/>
          <w:bCs/>
          <w:color w:val="1A2433"/>
          <w:sz w:val="21"/>
          <w:szCs w:val="21"/>
        </w:rPr>
        <w:t xml:space="preserve">B0018 is reported as a miss.</w:t>
      </w:r>
      <w:r>
        <w:rPr>
          <w:color w:val="1A2433"/>
          <w:sz w:val="21"/>
          <w:szCs w:val="21"/>
        </w:rPr>
        <w:t xml:space="preserve"> The model underperforms the baseline on that cell. It is included rather than excluded because selectively reporting only favourable cells would misrepresent the result.</w:t>
      </w:r>
    </w:p>
    <w:p>
      <w:pPr>
        <w:pStyle w:val="Heading2"/>
        <w:spacing w:after="120" w:before="260"/>
      </w:pPr>
      <w:r>
        <w:rPr>
          <w:b/>
          <w:bCs/>
          <w:color w:val="1F6FEB"/>
          <w:sz w:val="24"/>
          <w:szCs w:val="24"/>
        </w:rPr>
        <w:t xml:space="preserve">8.2  Manufacturing defect detection</w:t>
      </w:r>
    </w:p>
    <w:p>
      <w:pPr>
        <w:spacing w:after="120" w:line="276"/>
      </w:pPr>
      <w:r>
        <w:rPr>
          <w:color w:val="1A2433"/>
          <w:sz w:val="21"/>
          <w:szCs w:val="21"/>
        </w:rPr>
        <w:t xml:space="preserve">Stratified 70/30 hold-out on 2,600 statistically stable batches, at a 6.1% defect rate. The classifier is trained only on stable production; the drifting tail is held out of it and handled by the drift monitor instead, because fitting a quality model on out-of-control production is a methodology error.</w:t>
      </w:r>
    </w:p>
    <w:tbl>
      <w:tblPr>
        <w:tblW w:type="dxa" w:w="9026"/>
        <w:tblBorders>
          <w:top w:val="single" w:color="D3DDEA" w:sz="2"/>
          <w:left w:val="none"/>
          <w:bottom w:val="single" w:color="D3DDEA" w:sz="2"/>
          <w:right w:val="none"/>
          <w:insideH w:val="single" w:color="D3DDEA" w:sz="1"/>
          <w:insideV w:val="none"/>
        </w:tblBorders>
      </w:tblPr>
      <w:tblGrid>
        <w:gridCol w:w="2600"/>
        <w:gridCol w:w="1000"/>
        <w:gridCol w:w="900"/>
        <w:gridCol w:w="800"/>
        <w:gridCol w:w="900"/>
        <w:gridCol w:w="1000"/>
        <w:gridCol w:w="900"/>
        <w:gridCol w:w="926"/>
      </w:tblGrid>
      <w:tr>
        <w:trPr>
          <w:tblHeader/>
        </w:trPr>
        <w:tc>
          <w:tcPr>
            <w:tcW w:type="dxa" w:w="2600"/>
            <w:shd w:fill="E8EEF7" w:color="auto" w:val="clear"/>
            <w:tcMar>
              <w:top w:type="dxa" w:w="90"/>
              <w:left w:type="dxa" w:w="130"/>
              <w:bottom w:type="dxa" w:w="90"/>
              <w:right w:type="dxa" w:w="130"/>
            </w:tcMar>
          </w:tcPr>
          <w:p>
            <w:pPr>
              <w:spacing w:after="0" w:line="260"/>
            </w:pPr>
            <w:r>
              <w:rPr>
                <w:b/>
                <w:bCs/>
                <w:color w:val="1A2433"/>
                <w:sz w:val="19"/>
                <w:szCs w:val="19"/>
              </w:rPr>
              <w:t xml:space="preserve">Approach</w:t>
            </w:r>
          </w:p>
        </w:tc>
        <w:tc>
          <w:tcPr>
            <w:tcW w:type="dxa" w:w="1000"/>
            <w:shd w:fill="E8EEF7" w:color="auto" w:val="clear"/>
            <w:tcMar>
              <w:top w:type="dxa" w:w="90"/>
              <w:left w:type="dxa" w:w="130"/>
              <w:bottom w:type="dxa" w:w="90"/>
              <w:right w:type="dxa" w:w="130"/>
            </w:tcMar>
          </w:tcPr>
          <w:p>
            <w:pPr>
              <w:spacing w:after="0" w:line="260"/>
            </w:pPr>
            <w:r>
              <w:rPr>
                <w:b/>
                <w:bCs/>
                <w:color w:val="1A2433"/>
                <w:sz w:val="19"/>
                <w:szCs w:val="19"/>
              </w:rPr>
              <w:t xml:space="preserve">Precision</w:t>
            </w:r>
          </w:p>
        </w:tc>
        <w:tc>
          <w:tcPr>
            <w:tcW w:type="dxa" w:w="900"/>
            <w:shd w:fill="E8EEF7" w:color="auto" w:val="clear"/>
            <w:tcMar>
              <w:top w:type="dxa" w:w="90"/>
              <w:left w:type="dxa" w:w="130"/>
              <w:bottom w:type="dxa" w:w="90"/>
              <w:right w:type="dxa" w:w="130"/>
            </w:tcMar>
          </w:tcPr>
          <w:p>
            <w:pPr>
              <w:spacing w:after="0" w:line="260"/>
            </w:pPr>
            <w:r>
              <w:rPr>
                <w:b/>
                <w:bCs/>
                <w:color w:val="1A2433"/>
                <w:sz w:val="19"/>
                <w:szCs w:val="19"/>
              </w:rPr>
              <w:t xml:space="preserve">Recall</w:t>
            </w:r>
          </w:p>
        </w:tc>
        <w:tc>
          <w:tcPr>
            <w:tcW w:type="dxa" w:w="800"/>
            <w:shd w:fill="E8EEF7" w:color="auto" w:val="clear"/>
            <w:tcMar>
              <w:top w:type="dxa" w:w="90"/>
              <w:left w:type="dxa" w:w="130"/>
              <w:bottom w:type="dxa" w:w="90"/>
              <w:right w:type="dxa" w:w="130"/>
            </w:tcMar>
          </w:tcPr>
          <w:p>
            <w:pPr>
              <w:spacing w:after="0" w:line="260"/>
            </w:pPr>
            <w:r>
              <w:rPr>
                <w:b/>
                <w:bCs/>
                <w:color w:val="1A2433"/>
                <w:sz w:val="19"/>
                <w:szCs w:val="19"/>
              </w:rPr>
              <w:t xml:space="preserve">F1</w:t>
            </w:r>
          </w:p>
        </w:tc>
        <w:tc>
          <w:tcPr>
            <w:tcW w:type="dxa" w:w="900"/>
            <w:shd w:fill="E8EEF7" w:color="auto" w:val="clear"/>
            <w:tcMar>
              <w:top w:type="dxa" w:w="90"/>
              <w:left w:type="dxa" w:w="130"/>
              <w:bottom w:type="dxa" w:w="90"/>
              <w:right w:type="dxa" w:w="130"/>
            </w:tcMar>
          </w:tcPr>
          <w:p>
            <w:pPr>
              <w:spacing w:after="0" w:line="260"/>
            </w:pPr>
            <w:r>
              <w:rPr>
                <w:b/>
                <w:bCs/>
                <w:color w:val="1A2433"/>
                <w:sz w:val="19"/>
                <w:szCs w:val="19"/>
              </w:rPr>
              <w:t xml:space="preserve">AUC</w:t>
            </w:r>
          </w:p>
        </w:tc>
        <w:tc>
          <w:tcPr>
            <w:tcW w:type="dxa" w:w="1000"/>
            <w:shd w:fill="E8EEF7" w:color="auto" w:val="clear"/>
            <w:tcMar>
              <w:top w:type="dxa" w:w="90"/>
              <w:left w:type="dxa" w:w="130"/>
              <w:bottom w:type="dxa" w:w="90"/>
              <w:right w:type="dxa" w:w="130"/>
            </w:tcMar>
          </w:tcPr>
          <w:p>
            <w:pPr>
              <w:spacing w:after="0" w:line="260"/>
            </w:pPr>
            <w:r>
              <w:rPr>
                <w:b/>
                <w:bCs/>
                <w:color w:val="1A2433"/>
                <w:sz w:val="19"/>
                <w:szCs w:val="19"/>
              </w:rPr>
              <w:t xml:space="preserve">Flagged</w:t>
            </w:r>
          </w:p>
        </w:tc>
        <w:tc>
          <w:tcPr>
            <w:tcW w:type="dxa" w:w="900"/>
            <w:shd w:fill="E8EEF7" w:color="auto" w:val="clear"/>
            <w:tcMar>
              <w:top w:type="dxa" w:w="90"/>
              <w:left w:type="dxa" w:w="130"/>
              <w:bottom w:type="dxa" w:w="90"/>
              <w:right w:type="dxa" w:w="130"/>
            </w:tcMar>
          </w:tcPr>
          <w:p>
            <w:pPr>
              <w:spacing w:after="0" w:line="260"/>
            </w:pPr>
            <w:r>
              <w:rPr>
                <w:b/>
                <w:bCs/>
                <w:color w:val="1A2433"/>
                <w:sz w:val="19"/>
                <w:szCs w:val="19"/>
              </w:rPr>
              <w:t xml:space="preserve">Caught</w:t>
            </w:r>
          </w:p>
        </w:tc>
        <w:tc>
          <w:tcPr>
            <w:tcW w:type="dxa" w:w="926"/>
            <w:shd w:fill="E8EEF7" w:color="auto" w:val="clear"/>
            <w:tcMar>
              <w:top w:type="dxa" w:w="90"/>
              <w:left w:type="dxa" w:w="130"/>
              <w:bottom w:type="dxa" w:w="90"/>
              <w:right w:type="dxa" w:w="130"/>
            </w:tcMar>
          </w:tcPr>
          <w:p>
            <w:pPr>
              <w:spacing w:after="0" w:line="260"/>
            </w:pPr>
            <w:r>
              <w:rPr>
                <w:b/>
                <w:bCs/>
                <w:color w:val="1A2433"/>
                <w:sz w:val="19"/>
                <w:szCs w:val="19"/>
              </w:rPr>
              <w:t xml:space="preserve">Missed</w:t>
            </w:r>
          </w:p>
        </w:tc>
      </w:tr>
      <w:tr>
        <w:tc>
          <w:tcPr>
            <w:tcW w:type="dxa" w:w="2600"/>
            <w:tcMar>
              <w:top w:type="dxa" w:w="90"/>
              <w:left w:type="dxa" w:w="130"/>
              <w:bottom w:type="dxa" w:w="90"/>
              <w:right w:type="dxa" w:w="130"/>
            </w:tcMar>
          </w:tcPr>
          <w:p>
            <w:pPr>
              <w:spacing w:after="0" w:line="260"/>
            </w:pPr>
            <w:r>
              <w:rPr>
                <w:color w:val="1A2433"/>
                <w:sz w:val="19"/>
                <w:szCs w:val="19"/>
              </w:rPr>
              <w:t xml:space="preserve">Early warning (process + material)</w:t>
            </w:r>
          </w:p>
        </w:tc>
        <w:tc>
          <w:tcPr>
            <w:tcW w:type="dxa" w:w="1000"/>
            <w:tcMar>
              <w:top w:type="dxa" w:w="90"/>
              <w:left w:type="dxa" w:w="130"/>
              <w:bottom w:type="dxa" w:w="90"/>
              <w:right w:type="dxa" w:w="130"/>
            </w:tcMar>
          </w:tcPr>
          <w:p>
            <w:pPr>
              <w:spacing w:after="0" w:line="260"/>
            </w:pPr>
            <w:r>
              <w:rPr>
                <w:rFonts w:ascii="Consolas" w:cs="Consolas" w:eastAsia="Consolas" w:hAnsi="Consolas"/>
                <w:color w:val="1A2433"/>
                <w:sz w:val="19"/>
                <w:szCs w:val="19"/>
              </w:rPr>
              <w:t xml:space="preserve">0.297</w:t>
            </w:r>
          </w:p>
        </w:tc>
        <w:tc>
          <w:tcPr>
            <w:tcW w:type="dxa" w:w="900"/>
            <w:tcMar>
              <w:top w:type="dxa" w:w="90"/>
              <w:left w:type="dxa" w:w="130"/>
              <w:bottom w:type="dxa" w:w="90"/>
              <w:right w:type="dxa" w:w="130"/>
            </w:tcMar>
          </w:tcPr>
          <w:p>
            <w:pPr>
              <w:spacing w:after="0" w:line="260"/>
            </w:pPr>
            <w:r>
              <w:rPr>
                <w:rFonts w:ascii="Consolas" w:cs="Consolas" w:eastAsia="Consolas" w:hAnsi="Consolas"/>
                <w:color w:val="1A2433"/>
                <w:sz w:val="19"/>
                <w:szCs w:val="19"/>
              </w:rPr>
              <w:t xml:space="preserve">0.854</w:t>
            </w:r>
          </w:p>
        </w:tc>
        <w:tc>
          <w:tcPr>
            <w:tcW w:type="dxa" w:w="800"/>
            <w:tcMar>
              <w:top w:type="dxa" w:w="90"/>
              <w:left w:type="dxa" w:w="130"/>
              <w:bottom w:type="dxa" w:w="90"/>
              <w:right w:type="dxa" w:w="130"/>
            </w:tcMar>
          </w:tcPr>
          <w:p>
            <w:pPr>
              <w:spacing w:after="0" w:line="260"/>
            </w:pPr>
            <w:r>
              <w:rPr>
                <w:rFonts w:ascii="Consolas" w:cs="Consolas" w:eastAsia="Consolas" w:hAnsi="Consolas"/>
                <w:color w:val="1A2433"/>
                <w:sz w:val="19"/>
                <w:szCs w:val="19"/>
              </w:rPr>
              <w:t xml:space="preserve">0.441</w:t>
            </w:r>
          </w:p>
        </w:tc>
        <w:tc>
          <w:tcPr>
            <w:tcW w:type="dxa" w:w="900"/>
            <w:tcMar>
              <w:top w:type="dxa" w:w="90"/>
              <w:left w:type="dxa" w:w="130"/>
              <w:bottom w:type="dxa" w:w="90"/>
              <w:right w:type="dxa" w:w="130"/>
            </w:tcMar>
          </w:tcPr>
          <w:p>
            <w:pPr>
              <w:spacing w:after="0" w:line="260"/>
            </w:pPr>
            <w:r>
              <w:rPr>
                <w:rFonts w:ascii="Consolas" w:cs="Consolas" w:eastAsia="Consolas" w:hAnsi="Consolas"/>
                <w:color w:val="1A2433"/>
                <w:sz w:val="19"/>
                <w:szCs w:val="19"/>
              </w:rPr>
              <w:t xml:space="preserve">0.903</w:t>
            </w:r>
          </w:p>
        </w:tc>
        <w:tc>
          <w:tcPr>
            <w:tcW w:type="dxa" w:w="1000"/>
            <w:tcMar>
              <w:top w:type="dxa" w:w="90"/>
              <w:left w:type="dxa" w:w="130"/>
              <w:bottom w:type="dxa" w:w="90"/>
              <w:right w:type="dxa" w:w="130"/>
            </w:tcMar>
          </w:tcPr>
          <w:p>
            <w:pPr>
              <w:spacing w:after="0" w:line="260"/>
            </w:pPr>
            <w:r>
              <w:rPr>
                <w:rFonts w:ascii="Consolas" w:cs="Consolas" w:eastAsia="Consolas" w:hAnsi="Consolas"/>
                <w:color w:val="1A2433"/>
                <w:sz w:val="19"/>
                <w:szCs w:val="19"/>
              </w:rPr>
              <w:t xml:space="preserve">17.7%</w:t>
            </w:r>
          </w:p>
        </w:tc>
        <w:tc>
          <w:tcPr>
            <w:tcW w:type="dxa" w:w="900"/>
            <w:tcMar>
              <w:top w:type="dxa" w:w="90"/>
              <w:left w:type="dxa" w:w="130"/>
              <w:bottom w:type="dxa" w:w="90"/>
              <w:right w:type="dxa" w:w="130"/>
            </w:tcMar>
          </w:tcPr>
          <w:p>
            <w:pPr>
              <w:spacing w:after="0" w:line="260"/>
            </w:pPr>
            <w:r>
              <w:rPr>
                <w:rFonts w:ascii="Consolas" w:cs="Consolas" w:eastAsia="Consolas" w:hAnsi="Consolas"/>
                <w:color w:val="1A2433"/>
                <w:sz w:val="19"/>
                <w:szCs w:val="19"/>
              </w:rPr>
              <w:t xml:space="preserve">41</w:t>
            </w:r>
          </w:p>
        </w:tc>
        <w:tc>
          <w:tcPr>
            <w:tcW w:type="dxa" w:w="926"/>
            <w:tcMar>
              <w:top w:type="dxa" w:w="90"/>
              <w:left w:type="dxa" w:w="130"/>
              <w:bottom w:type="dxa" w:w="90"/>
              <w:right w:type="dxa" w:w="130"/>
            </w:tcMar>
          </w:tcPr>
          <w:p>
            <w:pPr>
              <w:spacing w:after="0" w:line="260"/>
            </w:pPr>
            <w:r>
              <w:rPr>
                <w:rFonts w:ascii="Consolas" w:cs="Consolas" w:eastAsia="Consolas" w:hAnsi="Consolas"/>
                <w:color w:val="1A2433"/>
                <w:sz w:val="19"/>
                <w:szCs w:val="19"/>
              </w:rPr>
              <w:t xml:space="preserve">7</w:t>
            </w:r>
          </w:p>
        </w:tc>
      </w:tr>
      <w:tr>
        <w:tc>
          <w:tcPr>
            <w:tcW w:type="dxa" w:w="2600"/>
            <w:shd w:fill="F5F8FC" w:color="auto" w:val="clear"/>
            <w:tcMar>
              <w:top w:type="dxa" w:w="90"/>
              <w:left w:type="dxa" w:w="130"/>
              <w:bottom w:type="dxa" w:w="90"/>
              <w:right w:type="dxa" w:w="130"/>
            </w:tcMar>
          </w:tcPr>
          <w:p>
            <w:pPr>
              <w:spacing w:after="0" w:line="260"/>
            </w:pPr>
            <w:r>
              <w:rPr>
                <w:color w:val="1A2433"/>
                <w:sz w:val="19"/>
                <w:szCs w:val="19"/>
              </w:rPr>
              <w:t xml:space="preserve">Full (adds in-line inspection)</w:t>
            </w:r>
          </w:p>
        </w:tc>
        <w:tc>
          <w:tcPr>
            <w:tcW w:type="dxa" w:w="1000"/>
            <w:shd w:fill="F5F8FC" w:color="auto" w:val="clear"/>
            <w:tcMar>
              <w:top w:type="dxa" w:w="90"/>
              <w:left w:type="dxa" w:w="130"/>
              <w:bottom w:type="dxa" w:w="90"/>
              <w:right w:type="dxa" w:w="130"/>
            </w:tcMar>
          </w:tcPr>
          <w:p>
            <w:pPr>
              <w:spacing w:after="0" w:line="260"/>
            </w:pPr>
            <w:r>
              <w:rPr>
                <w:rFonts w:ascii="Consolas" w:cs="Consolas" w:eastAsia="Consolas" w:hAnsi="Consolas"/>
                <w:color w:val="1A2433"/>
                <w:sz w:val="19"/>
                <w:szCs w:val="19"/>
              </w:rPr>
              <w:t xml:space="preserve">0.297</w:t>
            </w:r>
          </w:p>
        </w:tc>
        <w:tc>
          <w:tcPr>
            <w:tcW w:type="dxa" w:w="900"/>
            <w:shd w:fill="F5F8FC" w:color="auto" w:val="clear"/>
            <w:tcMar>
              <w:top w:type="dxa" w:w="90"/>
              <w:left w:type="dxa" w:w="130"/>
              <w:bottom w:type="dxa" w:w="90"/>
              <w:right w:type="dxa" w:w="130"/>
            </w:tcMar>
          </w:tcPr>
          <w:p>
            <w:pPr>
              <w:spacing w:after="0" w:line="260"/>
            </w:pPr>
            <w:r>
              <w:rPr>
                <w:rFonts w:ascii="Consolas" w:cs="Consolas" w:eastAsia="Consolas" w:hAnsi="Consolas"/>
                <w:color w:val="1A2433"/>
                <w:sz w:val="19"/>
                <w:szCs w:val="19"/>
              </w:rPr>
              <w:t xml:space="preserve">0.854</w:t>
            </w:r>
          </w:p>
        </w:tc>
        <w:tc>
          <w:tcPr>
            <w:tcW w:type="dxa" w:w="800"/>
            <w:shd w:fill="F5F8FC" w:color="auto" w:val="clear"/>
            <w:tcMar>
              <w:top w:type="dxa" w:w="90"/>
              <w:left w:type="dxa" w:w="130"/>
              <w:bottom w:type="dxa" w:w="90"/>
              <w:right w:type="dxa" w:w="130"/>
            </w:tcMar>
          </w:tcPr>
          <w:p>
            <w:pPr>
              <w:spacing w:after="0" w:line="260"/>
            </w:pPr>
            <w:r>
              <w:rPr>
                <w:rFonts w:ascii="Consolas" w:cs="Consolas" w:eastAsia="Consolas" w:hAnsi="Consolas"/>
                <w:color w:val="1A2433"/>
                <w:sz w:val="19"/>
                <w:szCs w:val="19"/>
              </w:rPr>
              <w:t xml:space="preserve">0.441</w:t>
            </w:r>
          </w:p>
        </w:tc>
        <w:tc>
          <w:tcPr>
            <w:tcW w:type="dxa" w:w="900"/>
            <w:shd w:fill="F5F8FC" w:color="auto" w:val="clear"/>
            <w:tcMar>
              <w:top w:type="dxa" w:w="90"/>
              <w:left w:type="dxa" w:w="130"/>
              <w:bottom w:type="dxa" w:w="90"/>
              <w:right w:type="dxa" w:w="130"/>
            </w:tcMar>
          </w:tcPr>
          <w:p>
            <w:pPr>
              <w:spacing w:after="0" w:line="260"/>
            </w:pPr>
            <w:r>
              <w:rPr>
                <w:rFonts w:ascii="Consolas" w:cs="Consolas" w:eastAsia="Consolas" w:hAnsi="Consolas"/>
                <w:color w:val="1A2433"/>
                <w:sz w:val="19"/>
                <w:szCs w:val="19"/>
              </w:rPr>
              <w:t xml:space="preserve">0.901</w:t>
            </w:r>
          </w:p>
        </w:tc>
        <w:tc>
          <w:tcPr>
            <w:tcW w:type="dxa" w:w="1000"/>
            <w:shd w:fill="F5F8FC" w:color="auto" w:val="clear"/>
            <w:tcMar>
              <w:top w:type="dxa" w:w="90"/>
              <w:left w:type="dxa" w:w="130"/>
              <w:bottom w:type="dxa" w:w="90"/>
              <w:right w:type="dxa" w:w="130"/>
            </w:tcMar>
          </w:tcPr>
          <w:p>
            <w:pPr>
              <w:spacing w:after="0" w:line="260"/>
            </w:pPr>
            <w:r>
              <w:rPr>
                <w:rFonts w:ascii="Consolas" w:cs="Consolas" w:eastAsia="Consolas" w:hAnsi="Consolas"/>
                <w:color w:val="1A2433"/>
                <w:sz w:val="19"/>
                <w:szCs w:val="19"/>
              </w:rPr>
              <w:t xml:space="preserve">17.7%</w:t>
            </w:r>
          </w:p>
        </w:tc>
        <w:tc>
          <w:tcPr>
            <w:tcW w:type="dxa" w:w="900"/>
            <w:shd w:fill="F5F8FC" w:color="auto" w:val="clear"/>
            <w:tcMar>
              <w:top w:type="dxa" w:w="90"/>
              <w:left w:type="dxa" w:w="130"/>
              <w:bottom w:type="dxa" w:w="90"/>
              <w:right w:type="dxa" w:w="130"/>
            </w:tcMar>
          </w:tcPr>
          <w:p>
            <w:pPr>
              <w:spacing w:after="0" w:line="260"/>
            </w:pPr>
            <w:r>
              <w:rPr>
                <w:rFonts w:ascii="Consolas" w:cs="Consolas" w:eastAsia="Consolas" w:hAnsi="Consolas"/>
                <w:color w:val="1A2433"/>
                <w:sz w:val="19"/>
                <w:szCs w:val="19"/>
              </w:rPr>
              <w:t xml:space="preserve">41</w:t>
            </w:r>
          </w:p>
        </w:tc>
        <w:tc>
          <w:tcPr>
            <w:tcW w:type="dxa" w:w="926"/>
            <w:shd w:fill="F5F8FC" w:color="auto" w:val="clear"/>
            <w:tcMar>
              <w:top w:type="dxa" w:w="90"/>
              <w:left w:type="dxa" w:w="130"/>
              <w:bottom w:type="dxa" w:w="90"/>
              <w:right w:type="dxa" w:w="130"/>
            </w:tcMar>
          </w:tcPr>
          <w:p>
            <w:pPr>
              <w:spacing w:after="0" w:line="260"/>
            </w:pPr>
            <w:r>
              <w:rPr>
                <w:rFonts w:ascii="Consolas" w:cs="Consolas" w:eastAsia="Consolas" w:hAnsi="Consolas"/>
                <w:color w:val="1A2433"/>
                <w:sz w:val="19"/>
                <w:szCs w:val="19"/>
              </w:rPr>
              <w:t xml:space="preserve">7</w:t>
            </w:r>
          </w:p>
        </w:tc>
      </w:tr>
      <w:tr>
        <w:tc>
          <w:tcPr>
            <w:tcW w:type="dxa" w:w="2600"/>
            <w:tcMar>
              <w:top w:type="dxa" w:w="90"/>
              <w:left w:type="dxa" w:w="130"/>
              <w:bottom w:type="dxa" w:w="90"/>
              <w:right w:type="dxa" w:w="130"/>
            </w:tcMar>
          </w:tcPr>
          <w:p>
            <w:pPr>
              <w:spacing w:after="0" w:line="260"/>
            </w:pPr>
            <w:r>
              <w:rPr>
                <w:color w:val="1A2433"/>
                <w:sz w:val="19"/>
                <w:szCs w:val="19"/>
              </w:rPr>
              <w:t xml:space="preserve">SPC baseline (3σ, single parameter)</w:t>
            </w:r>
          </w:p>
        </w:tc>
        <w:tc>
          <w:tcPr>
            <w:tcW w:type="dxa" w:w="1000"/>
            <w:tcMar>
              <w:top w:type="dxa" w:w="90"/>
              <w:left w:type="dxa" w:w="130"/>
              <w:bottom w:type="dxa" w:w="90"/>
              <w:right w:type="dxa" w:w="130"/>
            </w:tcMar>
          </w:tcPr>
          <w:p>
            <w:pPr>
              <w:spacing w:after="0" w:line="260"/>
            </w:pPr>
            <w:r>
              <w:rPr>
                <w:rFonts w:ascii="Consolas" w:cs="Consolas" w:eastAsia="Consolas" w:hAnsi="Consolas"/>
                <w:color w:val="1A2433"/>
                <w:sz w:val="19"/>
                <w:szCs w:val="19"/>
              </w:rPr>
              <w:t xml:space="preserve">0.275</w:t>
            </w:r>
          </w:p>
        </w:tc>
        <w:tc>
          <w:tcPr>
            <w:tcW w:type="dxa" w:w="900"/>
            <w:tcMar>
              <w:top w:type="dxa" w:w="90"/>
              <w:left w:type="dxa" w:w="130"/>
              <w:bottom w:type="dxa" w:w="90"/>
              <w:right w:type="dxa" w:w="130"/>
            </w:tcMar>
          </w:tcPr>
          <w:p>
            <w:pPr>
              <w:spacing w:after="0" w:line="260"/>
            </w:pPr>
            <w:r>
              <w:rPr>
                <w:rFonts w:ascii="Consolas" w:cs="Consolas" w:eastAsia="Consolas" w:hAnsi="Consolas"/>
                <w:color w:val="1A2433"/>
                <w:sz w:val="19"/>
                <w:szCs w:val="19"/>
              </w:rPr>
              <w:t xml:space="preserve">0.521</w:t>
            </w:r>
          </w:p>
        </w:tc>
        <w:tc>
          <w:tcPr>
            <w:tcW w:type="dxa" w:w="800"/>
            <w:tcMar>
              <w:top w:type="dxa" w:w="90"/>
              <w:left w:type="dxa" w:w="130"/>
              <w:bottom w:type="dxa" w:w="90"/>
              <w:right w:type="dxa" w:w="130"/>
            </w:tcMar>
          </w:tcPr>
          <w:p>
            <w:pPr>
              <w:spacing w:after="0" w:line="260"/>
            </w:pPr>
            <w:r>
              <w:rPr>
                <w:rFonts w:ascii="Consolas" w:cs="Consolas" w:eastAsia="Consolas" w:hAnsi="Consolas"/>
                <w:color w:val="1A2433"/>
                <w:sz w:val="19"/>
                <w:szCs w:val="19"/>
              </w:rPr>
              <w:t xml:space="preserve">0.360</w:t>
            </w:r>
          </w:p>
        </w:tc>
        <w:tc>
          <w:tcPr>
            <w:tcW w:type="dxa" w:w="900"/>
            <w:tcMar>
              <w:top w:type="dxa" w:w="90"/>
              <w:left w:type="dxa" w:w="130"/>
              <w:bottom w:type="dxa" w:w="90"/>
              <w:right w:type="dxa" w:w="130"/>
            </w:tcMar>
          </w:tcPr>
          <w:p>
            <w:pPr>
              <w:spacing w:after="0" w:line="260"/>
            </w:pPr>
            <w:r>
              <w:rPr>
                <w:rFonts w:ascii="Consolas" w:cs="Consolas" w:eastAsia="Consolas" w:hAnsi="Consolas"/>
                <w:color w:val="1A2433"/>
                <w:sz w:val="19"/>
                <w:szCs w:val="19"/>
              </w:rPr>
              <w:t xml:space="preserve">—</w:t>
            </w:r>
          </w:p>
        </w:tc>
        <w:tc>
          <w:tcPr>
            <w:tcW w:type="dxa" w:w="1000"/>
            <w:tcMar>
              <w:top w:type="dxa" w:w="90"/>
              <w:left w:type="dxa" w:w="130"/>
              <w:bottom w:type="dxa" w:w="90"/>
              <w:right w:type="dxa" w:w="130"/>
            </w:tcMar>
          </w:tcPr>
          <w:p>
            <w:pPr>
              <w:spacing w:after="0" w:line="260"/>
            </w:pPr>
            <w:r>
              <w:rPr>
                <w:rFonts w:ascii="Consolas" w:cs="Consolas" w:eastAsia="Consolas" w:hAnsi="Consolas"/>
                <w:color w:val="1A2433"/>
                <w:sz w:val="19"/>
                <w:szCs w:val="19"/>
              </w:rPr>
              <w:t xml:space="preserve">11.7%</w:t>
            </w:r>
          </w:p>
        </w:tc>
        <w:tc>
          <w:tcPr>
            <w:tcW w:type="dxa" w:w="900"/>
            <w:tcMar>
              <w:top w:type="dxa" w:w="90"/>
              <w:left w:type="dxa" w:w="130"/>
              <w:bottom w:type="dxa" w:w="90"/>
              <w:right w:type="dxa" w:w="130"/>
            </w:tcMar>
          </w:tcPr>
          <w:p>
            <w:pPr>
              <w:spacing w:after="0" w:line="260"/>
            </w:pPr>
            <w:r>
              <w:rPr>
                <w:rFonts w:ascii="Consolas" w:cs="Consolas" w:eastAsia="Consolas" w:hAnsi="Consolas"/>
                <w:color w:val="1A2433"/>
                <w:sz w:val="19"/>
                <w:szCs w:val="19"/>
              </w:rPr>
              <w:t xml:space="preserve">25</w:t>
            </w:r>
          </w:p>
        </w:tc>
        <w:tc>
          <w:tcPr>
            <w:tcW w:type="dxa" w:w="926"/>
            <w:tcMar>
              <w:top w:type="dxa" w:w="90"/>
              <w:left w:type="dxa" w:w="130"/>
              <w:bottom w:type="dxa" w:w="90"/>
              <w:right w:type="dxa" w:w="130"/>
            </w:tcMar>
          </w:tcPr>
          <w:p>
            <w:pPr>
              <w:spacing w:after="0" w:line="260"/>
            </w:pPr>
            <w:r>
              <w:rPr>
                <w:rFonts w:ascii="Consolas" w:cs="Consolas" w:eastAsia="Consolas" w:hAnsi="Consolas"/>
                <w:color w:val="1A2433"/>
                <w:sz w:val="19"/>
                <w:szCs w:val="19"/>
              </w:rPr>
              <w:t xml:space="preserve">23</w:t>
            </w:r>
          </w:p>
        </w:tc>
      </w:tr>
    </w:tbl>
    <w:p>
      <w:pPr>
        <w:spacing w:after="120"/>
      </w:pPr>
    </w:p>
    <w:p>
      <w:pPr>
        <w:pStyle w:val="Heading3"/>
        <w:spacing w:after="100" w:before="200"/>
      </w:pPr>
      <w:r>
        <w:rPr>
          <w:b/>
          <w:bCs/>
          <w:color w:val="1A2433"/>
          <w:sz w:val="21"/>
          <w:szCs w:val="21"/>
        </w:rPr>
        <w:t xml:space="preserve">Reading these numbers</w:t>
      </w:r>
    </w:p>
    <w:p>
      <w:pPr>
        <w:spacing w:after="120" w:line="276"/>
      </w:pPr>
      <w:r>
        <w:rPr>
          <w:color w:val="1A2433"/>
          <w:sz w:val="21"/>
          <w:szCs w:val="21"/>
        </w:rPr>
        <w:t xml:space="preserve">Precision of 0.297 is low in isolation, and deliberately so. Defects are rare at 6.1%, and the operating point targets recall because a missed escape reaching pack assembly costs far more than re-inspecting a good batch. The correct framing is screening: re-inspect 17.7% of production and catch 85% of escapes, against SPC catching 52% for 11.7%.</w:t>
      </w:r>
    </w:p>
    <w:p>
      <w:pPr>
        <w:spacing w:after="120" w:line="276"/>
      </w:pPr>
      <w:r>
        <w:rPr>
          <w:color w:val="1A2433"/>
          <w:sz w:val="21"/>
          <w:szCs w:val="21"/>
        </w:rPr>
        <w:t xml:space="preserve">The full model, which adds in-line inspection, performs identically to the early-warning model at this operating point and marginally worse on AUC. The inspection signals are themselves consequences of the same process excursions, so they carry almost no independent information — which strengthens rather than weakens the case for acting on process data, because process data arrives first.</w:t>
      </w:r>
    </w:p>
    <w:p>
      <w:pPr>
        <w:pStyle w:val="Heading2"/>
        <w:spacing w:after="120" w:before="260"/>
      </w:pPr>
      <w:r>
        <w:rPr>
          <w:b/>
          <w:bCs/>
          <w:color w:val="1F6FEB"/>
          <w:sz w:val="24"/>
          <w:szCs w:val="24"/>
        </w:rPr>
        <w:t xml:space="preserve">8.3  Process drift</w:t>
      </w:r>
    </w:p>
    <w:p>
      <w:pPr>
        <w:spacing w:after="120" w:line="276"/>
      </w:pPr>
      <w:r>
        <w:rPr>
          <w:color w:val="1A2433"/>
          <w:sz w:val="21"/>
          <w:szCs w:val="21"/>
        </w:rPr>
        <w:t xml:space="preserve">Coating thickness has moved 2.31 µm from baseline over the last 120 batches — a 4.9σ shift — while remaining inside the engineering specification, so no reject has been raised and conventional SPC is silent. This is the case drift detection exists to catch.</w:t>
      </w:r>
    </w:p>
    <w:p>
      <w:pPr>
        <w:pStyle w:val="Heading2"/>
        <w:spacing w:after="120" w:before="260"/>
      </w:pPr>
      <w:r>
        <w:rPr>
          <w:b/>
          <w:bCs/>
          <w:color w:val="1F6FEB"/>
          <w:sz w:val="24"/>
          <w:szCs w:val="24"/>
        </w:rPr>
        <w:t xml:space="preserve">8.4  Fleet and carbon position</w:t>
      </w:r>
    </w:p>
    <w:tbl>
      <w:tblPr>
        <w:tblW w:type="dxa" w:w="9026"/>
        <w:tblBorders>
          <w:top w:val="single" w:color="D3DDEA" w:sz="2"/>
          <w:left w:val="none"/>
          <w:bottom w:val="single" w:color="D3DDEA" w:sz="2"/>
          <w:right w:val="none"/>
          <w:insideH w:val="single" w:color="D3DDEA" w:sz="1"/>
          <w:insideV w:val="none"/>
        </w:tblBorders>
      </w:tblPr>
      <w:tblGrid>
        <w:gridCol w:w="3600"/>
        <w:gridCol w:w="5426"/>
      </w:tblGrid>
      <w:tr>
        <w:trPr>
          <w:tblHeader/>
        </w:trPr>
        <w:tc>
          <w:tcPr>
            <w:tcW w:type="dxa" w:w="3600"/>
            <w:shd w:fill="E8EEF7" w:color="auto" w:val="clear"/>
            <w:tcMar>
              <w:top w:type="dxa" w:w="90"/>
              <w:left w:type="dxa" w:w="130"/>
              <w:bottom w:type="dxa" w:w="90"/>
              <w:right w:type="dxa" w:w="130"/>
            </w:tcMar>
          </w:tcPr>
          <w:p>
            <w:pPr>
              <w:spacing w:after="0" w:line="260"/>
            </w:pPr>
            <w:r>
              <w:rPr>
                <w:b/>
                <w:bCs/>
                <w:color w:val="1A2433"/>
                <w:sz w:val="19"/>
                <w:szCs w:val="19"/>
              </w:rPr>
              <w:t xml:space="preserve">Metric</w:t>
            </w:r>
          </w:p>
        </w:tc>
        <w:tc>
          <w:tcPr>
            <w:tcW w:type="dxa" w:w="5426"/>
            <w:shd w:fill="E8EEF7" w:color="auto" w:val="clear"/>
            <w:tcMar>
              <w:top w:type="dxa" w:w="90"/>
              <w:left w:type="dxa" w:w="130"/>
              <w:bottom w:type="dxa" w:w="90"/>
              <w:right w:type="dxa" w:w="130"/>
            </w:tcMar>
          </w:tcPr>
          <w:p>
            <w:pPr>
              <w:spacing w:after="0" w:line="260"/>
            </w:pPr>
            <w:r>
              <w:rPr>
                <w:b/>
                <w:bCs/>
                <w:color w:val="1A2433"/>
                <w:sz w:val="19"/>
                <w:szCs w:val="19"/>
              </w:rPr>
              <w:t xml:space="preserve">Value</w:t>
            </w:r>
          </w:p>
        </w:tc>
      </w:tr>
      <w:tr>
        <w:tc>
          <w:tcPr>
            <w:tcW w:type="dxa" w:w="3600"/>
            <w:tcMar>
              <w:top w:type="dxa" w:w="90"/>
              <w:left w:type="dxa" w:w="130"/>
              <w:bottom w:type="dxa" w:w="90"/>
              <w:right w:type="dxa" w:w="130"/>
            </w:tcMar>
          </w:tcPr>
          <w:p>
            <w:pPr>
              <w:spacing w:after="0" w:line="260"/>
            </w:pPr>
            <w:r>
              <w:rPr>
                <w:color w:val="1A2433"/>
                <w:sz w:val="19"/>
                <w:szCs w:val="19"/>
              </w:rPr>
              <w:t xml:space="preserve">Fleet composition</w:t>
            </w:r>
          </w:p>
        </w:tc>
        <w:tc>
          <w:tcPr>
            <w:tcW w:type="dxa" w:w="5426"/>
            <w:tcMar>
              <w:top w:type="dxa" w:w="90"/>
              <w:left w:type="dxa" w:w="130"/>
              <w:bottom w:type="dxa" w:w="90"/>
              <w:right w:type="dxa" w:w="130"/>
            </w:tcMar>
          </w:tcPr>
          <w:p>
            <w:pPr>
              <w:spacing w:after="0" w:line="260"/>
            </w:pPr>
            <w:r>
              <w:rPr>
                <w:color w:val="1A2433"/>
                <w:sz w:val="19"/>
                <w:szCs w:val="19"/>
              </w:rPr>
              <w:t xml:space="preserve">50 vehicles — 20 EV, 30 diesel, 40% electrified</w:t>
            </w:r>
          </w:p>
        </w:tc>
      </w:tr>
      <w:tr>
        <w:tc>
          <w:tcPr>
            <w:tcW w:type="dxa" w:w="3600"/>
            <w:shd w:fill="F5F8FC" w:color="auto" w:val="clear"/>
            <w:tcMar>
              <w:top w:type="dxa" w:w="90"/>
              <w:left w:type="dxa" w:w="130"/>
              <w:bottom w:type="dxa" w:w="90"/>
              <w:right w:type="dxa" w:w="130"/>
            </w:tcMar>
          </w:tcPr>
          <w:p>
            <w:pPr>
              <w:spacing w:after="0" w:line="260"/>
            </w:pPr>
            <w:r>
              <w:rPr>
                <w:color w:val="1A2433"/>
                <w:sz w:val="19"/>
                <w:szCs w:val="19"/>
              </w:rPr>
              <w:t xml:space="preserve">Average fleet state of health</w:t>
            </w:r>
          </w:p>
        </w:tc>
        <w:tc>
          <w:tcPr>
            <w:tcW w:type="dxa" w:w="5426"/>
            <w:shd w:fill="F5F8FC" w:color="auto" w:val="clear"/>
            <w:tcMar>
              <w:top w:type="dxa" w:w="90"/>
              <w:left w:type="dxa" w:w="130"/>
              <w:bottom w:type="dxa" w:w="90"/>
              <w:right w:type="dxa" w:w="130"/>
            </w:tcMar>
          </w:tcPr>
          <w:p>
            <w:pPr>
              <w:spacing w:after="0" w:line="260"/>
            </w:pPr>
            <w:r>
              <w:rPr>
                <w:color w:val="1A2433"/>
                <w:sz w:val="19"/>
                <w:szCs w:val="19"/>
              </w:rPr>
              <w:t xml:space="preserve">88.5% (1 critical, 4 warning)</w:t>
            </w:r>
          </w:p>
        </w:tc>
      </w:tr>
      <w:tr>
        <w:tc>
          <w:tcPr>
            <w:tcW w:type="dxa" w:w="3600"/>
            <w:tcMar>
              <w:top w:type="dxa" w:w="90"/>
              <w:left w:type="dxa" w:w="130"/>
              <w:bottom w:type="dxa" w:w="90"/>
              <w:right w:type="dxa" w:w="130"/>
            </w:tcMar>
          </w:tcPr>
          <w:p>
            <w:pPr>
              <w:spacing w:after="0" w:line="260"/>
            </w:pPr>
            <w:r>
              <w:rPr>
                <w:color w:val="1A2433"/>
                <w:sz w:val="19"/>
                <w:szCs w:val="19"/>
              </w:rPr>
              <w:t xml:space="preserve">Diesel vehicles ready to electrify now</w:t>
            </w:r>
          </w:p>
        </w:tc>
        <w:tc>
          <w:tcPr>
            <w:tcW w:type="dxa" w:w="5426"/>
            <w:tcMar>
              <w:top w:type="dxa" w:w="90"/>
              <w:left w:type="dxa" w:w="130"/>
              <w:bottom w:type="dxa" w:w="90"/>
              <w:right w:type="dxa" w:w="130"/>
            </w:tcMar>
          </w:tcPr>
          <w:p>
            <w:pPr>
              <w:spacing w:after="0" w:line="260"/>
            </w:pPr>
            <w:r>
              <w:rPr>
                <w:color w:val="1A2433"/>
                <w:sz w:val="19"/>
                <w:szCs w:val="19"/>
              </w:rPr>
              <w:t xml:space="preserve">2 of 30 (ERI ≥ 80)</w:t>
            </w:r>
          </w:p>
        </w:tc>
      </w:tr>
      <w:tr>
        <w:tc>
          <w:tcPr>
            <w:tcW w:type="dxa" w:w="3600"/>
            <w:shd w:fill="F5F8FC" w:color="auto" w:val="clear"/>
            <w:tcMar>
              <w:top w:type="dxa" w:w="90"/>
              <w:left w:type="dxa" w:w="130"/>
              <w:bottom w:type="dxa" w:w="90"/>
              <w:right w:type="dxa" w:w="130"/>
            </w:tcMar>
          </w:tcPr>
          <w:p>
            <w:pPr>
              <w:spacing w:after="0" w:line="260"/>
            </w:pPr>
            <w:r>
              <w:rPr>
                <w:color w:val="1A2433"/>
                <w:sz w:val="19"/>
                <w:szCs w:val="19"/>
              </w:rPr>
              <w:t xml:space="preserve">Diesel vehicles with no viable EV</w:t>
            </w:r>
          </w:p>
        </w:tc>
        <w:tc>
          <w:tcPr>
            <w:tcW w:type="dxa" w:w="5426"/>
            <w:shd w:fill="F5F8FC" w:color="auto" w:val="clear"/>
            <w:tcMar>
              <w:top w:type="dxa" w:w="90"/>
              <w:left w:type="dxa" w:w="130"/>
              <w:bottom w:type="dxa" w:w="90"/>
              <w:right w:type="dxa" w:w="130"/>
            </w:tcMar>
          </w:tcPr>
          <w:p>
            <w:pPr>
              <w:spacing w:after="0" w:line="260"/>
            </w:pPr>
            <w:r>
              <w:rPr>
                <w:color w:val="1A2433"/>
                <w:sz w:val="19"/>
                <w:szCs w:val="19"/>
              </w:rPr>
              <w:t xml:space="preserve">21 of 30</w:t>
            </w:r>
          </w:p>
        </w:tc>
      </w:tr>
      <w:tr>
        <w:tc>
          <w:tcPr>
            <w:tcW w:type="dxa" w:w="3600"/>
            <w:tcMar>
              <w:top w:type="dxa" w:w="90"/>
              <w:left w:type="dxa" w:w="130"/>
              <w:bottom w:type="dxa" w:w="90"/>
              <w:right w:type="dxa" w:w="130"/>
            </w:tcMar>
          </w:tcPr>
          <w:p>
            <w:pPr>
              <w:spacing w:after="0" w:line="260"/>
            </w:pPr>
            <w:r>
              <w:rPr>
                <w:color w:val="1A2433"/>
                <w:sz w:val="19"/>
                <w:szCs w:val="19"/>
              </w:rPr>
              <w:t xml:space="preserve">Annual emissions</w:t>
            </w:r>
          </w:p>
        </w:tc>
        <w:tc>
          <w:tcPr>
            <w:tcW w:type="dxa" w:w="5426"/>
            <w:tcMar>
              <w:top w:type="dxa" w:w="90"/>
              <w:left w:type="dxa" w:w="130"/>
              <w:bottom w:type="dxa" w:w="90"/>
              <w:right w:type="dxa" w:w="130"/>
            </w:tcMar>
          </w:tcPr>
          <w:p>
            <w:pPr>
              <w:spacing w:after="0" w:line="260"/>
            </w:pPr>
            <w:r>
              <w:rPr>
                <w:color w:val="1A2433"/>
                <w:sz w:val="19"/>
                <w:szCs w:val="19"/>
              </w:rPr>
              <w:t xml:space="preserve">667.2 t CO₂e (Scope 1 58.5%, Scope 2 23.5%, Scope 3 18.0%)</w:t>
            </w:r>
          </w:p>
        </w:tc>
      </w:tr>
      <w:tr>
        <w:tc>
          <w:tcPr>
            <w:tcW w:type="dxa" w:w="3600"/>
            <w:shd w:fill="F5F8FC" w:color="auto" w:val="clear"/>
            <w:tcMar>
              <w:top w:type="dxa" w:w="90"/>
              <w:left w:type="dxa" w:w="130"/>
              <w:bottom w:type="dxa" w:w="90"/>
              <w:right w:type="dxa" w:w="130"/>
            </w:tcMar>
          </w:tcPr>
          <w:p>
            <w:pPr>
              <w:spacing w:after="0" w:line="260"/>
            </w:pPr>
            <w:r>
              <w:rPr>
                <w:color w:val="1A2433"/>
                <w:sz w:val="19"/>
                <w:szCs w:val="19"/>
              </w:rPr>
              <w:t xml:space="preserve">Carbon saved vs all-diesel</w:t>
            </w:r>
          </w:p>
        </w:tc>
        <w:tc>
          <w:tcPr>
            <w:tcW w:type="dxa" w:w="5426"/>
            <w:shd w:fill="F5F8FC" w:color="auto" w:val="clear"/>
            <w:tcMar>
              <w:top w:type="dxa" w:w="90"/>
              <w:left w:type="dxa" w:w="130"/>
              <w:bottom w:type="dxa" w:w="90"/>
              <w:right w:type="dxa" w:w="130"/>
            </w:tcMar>
          </w:tcPr>
          <w:p>
            <w:pPr>
              <w:spacing w:after="0" w:line="260"/>
            </w:pPr>
            <w:r>
              <w:rPr>
                <w:color w:val="1A2433"/>
                <w:sz w:val="19"/>
                <w:szCs w:val="19"/>
              </w:rPr>
              <w:t xml:space="preserve">64.6 t/yr (8.8%)</w:t>
            </w:r>
          </w:p>
        </w:tc>
      </w:tr>
      <w:tr>
        <w:tc>
          <w:tcPr>
            <w:tcW w:type="dxa" w:w="3600"/>
            <w:tcMar>
              <w:top w:type="dxa" w:w="90"/>
              <w:left w:type="dxa" w:w="130"/>
              <w:bottom w:type="dxa" w:w="90"/>
              <w:right w:type="dxa" w:w="130"/>
            </w:tcMar>
          </w:tcPr>
          <w:p>
            <w:pPr>
              <w:spacing w:after="0" w:line="260"/>
            </w:pPr>
            <w:r>
              <w:rPr>
                <w:color w:val="1A2433"/>
                <w:sz w:val="19"/>
                <w:szCs w:val="19"/>
              </w:rPr>
              <w:t xml:space="preserve">Packs traced with battery passport</w:t>
            </w:r>
          </w:p>
        </w:tc>
        <w:tc>
          <w:tcPr>
            <w:tcW w:type="dxa" w:w="5426"/>
            <w:tcMar>
              <w:top w:type="dxa" w:w="90"/>
              <w:left w:type="dxa" w:w="130"/>
              <w:bottom w:type="dxa" w:w="90"/>
              <w:right w:type="dxa" w:w="130"/>
            </w:tcMar>
          </w:tcPr>
          <w:p>
            <w:pPr>
              <w:spacing w:after="0" w:line="260"/>
            </w:pPr>
            <w:r>
              <w:rPr>
                <w:color w:val="1A2433"/>
                <w:sz w:val="19"/>
                <w:szCs w:val="19"/>
              </w:rPr>
              <w:t xml:space="preserve">20 of 20 (100% coverage)</w:t>
            </w:r>
          </w:p>
        </w:tc>
      </w:tr>
      <w:tr>
        <w:tc>
          <w:tcPr>
            <w:tcW w:type="dxa" w:w="3600"/>
            <w:shd w:fill="F5F8FC" w:color="auto" w:val="clear"/>
            <w:tcMar>
              <w:top w:type="dxa" w:w="90"/>
              <w:left w:type="dxa" w:w="130"/>
              <w:bottom w:type="dxa" w:w="90"/>
              <w:right w:type="dxa" w:w="130"/>
            </w:tcMar>
          </w:tcPr>
          <w:p>
            <w:pPr>
              <w:spacing w:after="0" w:line="260"/>
            </w:pPr>
            <w:r>
              <w:rPr>
                <w:color w:val="1A2433"/>
                <w:sz w:val="19"/>
                <w:szCs w:val="19"/>
              </w:rPr>
              <w:t xml:space="preserve">Packs flagged under AIS-156</w:t>
            </w:r>
          </w:p>
        </w:tc>
        <w:tc>
          <w:tcPr>
            <w:tcW w:type="dxa" w:w="5426"/>
            <w:shd w:fill="F5F8FC" w:color="auto" w:val="clear"/>
            <w:tcMar>
              <w:top w:type="dxa" w:w="90"/>
              <w:left w:type="dxa" w:w="130"/>
              <w:bottom w:type="dxa" w:w="90"/>
              <w:right w:type="dxa" w:w="130"/>
            </w:tcMar>
          </w:tcPr>
          <w:p>
            <w:pPr>
              <w:spacing w:after="0" w:line="260"/>
            </w:pPr>
            <w:r>
              <w:rPr>
                <w:color w:val="1A2433"/>
                <w:sz w:val="19"/>
                <w:szCs w:val="19"/>
              </w:rPr>
              <w:t xml:space="preserve">5 of 20</w:t>
            </w:r>
          </w:p>
        </w:tc>
      </w:tr>
      <w:tr>
        <w:tc>
          <w:tcPr>
            <w:tcW w:type="dxa" w:w="3600"/>
            <w:tcMar>
              <w:top w:type="dxa" w:w="90"/>
              <w:left w:type="dxa" w:w="130"/>
              <w:bottom w:type="dxa" w:w="90"/>
              <w:right w:type="dxa" w:w="130"/>
            </w:tcMar>
          </w:tcPr>
          <w:p>
            <w:pPr>
              <w:spacing w:after="0" w:line="260"/>
            </w:pPr>
            <w:r>
              <w:rPr>
                <w:color w:val="1A2433"/>
                <w:sz w:val="19"/>
                <w:szCs w:val="19"/>
              </w:rPr>
              <w:t xml:space="preserve">Second-life candidates</w:t>
            </w:r>
          </w:p>
        </w:tc>
        <w:tc>
          <w:tcPr>
            <w:tcW w:type="dxa" w:w="5426"/>
            <w:tcMar>
              <w:top w:type="dxa" w:w="90"/>
              <w:left w:type="dxa" w:w="130"/>
              <w:bottom w:type="dxa" w:w="90"/>
              <w:right w:type="dxa" w:w="130"/>
            </w:tcMar>
          </w:tcPr>
          <w:p>
            <w:pPr>
              <w:spacing w:after="0" w:line="260"/>
            </w:pPr>
            <w:r>
              <w:rPr>
                <w:color w:val="1A2433"/>
                <w:sz w:val="19"/>
                <w:szCs w:val="19"/>
              </w:rPr>
              <w:t xml:space="preserve">3 packs, 235.2 kWh, ₹9.41 lakh residual value</w:t>
            </w:r>
          </w:p>
        </w:tc>
      </w:tr>
      <w:tr>
        <w:tc>
          <w:tcPr>
            <w:tcW w:type="dxa" w:w="3600"/>
            <w:shd w:fill="F5F8FC" w:color="auto" w:val="clear"/>
            <w:tcMar>
              <w:top w:type="dxa" w:w="90"/>
              <w:left w:type="dxa" w:w="130"/>
              <w:bottom w:type="dxa" w:w="90"/>
              <w:right w:type="dxa" w:w="130"/>
            </w:tcMar>
          </w:tcPr>
          <w:p>
            <w:pPr>
              <w:spacing w:after="0" w:line="260"/>
            </w:pPr>
            <w:r>
              <w:rPr>
                <w:color w:val="1A2433"/>
                <w:sz w:val="19"/>
                <w:szCs w:val="19"/>
              </w:rPr>
              <w:t xml:space="preserve">Suppliers tracked</w:t>
            </w:r>
          </w:p>
        </w:tc>
        <w:tc>
          <w:tcPr>
            <w:tcW w:type="dxa" w:w="5426"/>
            <w:shd w:fill="F5F8FC" w:color="auto" w:val="clear"/>
            <w:tcMar>
              <w:top w:type="dxa" w:w="90"/>
              <w:left w:type="dxa" w:w="130"/>
              <w:bottom w:type="dxa" w:w="90"/>
              <w:right w:type="dxa" w:w="130"/>
            </w:tcMar>
          </w:tcPr>
          <w:p>
            <w:pPr>
              <w:spacing w:after="0" w:line="260"/>
            </w:pPr>
            <w:r>
              <w:rPr>
                <w:color w:val="1A2433"/>
                <w:sz w:val="19"/>
                <w:szCs w:val="19"/>
              </w:rPr>
              <w:t xml:space="preserve">15 across 5 tiers; 1 critical, 7 high risk</w:t>
            </w:r>
          </w:p>
        </w:tc>
      </w:tr>
    </w:tbl>
    <w:p>
      <w:r>
        <w:br w:type="page"/>
      </w:r>
    </w:p>
    <w:p>
      <w:pPr>
        <w:pStyle w:val="Heading1"/>
        <w:spacing w:after="160" w:before="360"/>
      </w:pPr>
      <w:r>
        <w:rPr>
          <w:b/>
          <w:bCs/>
          <w:color w:val="1A2433"/>
          <w:sz w:val="30"/>
          <w:szCs w:val="30"/>
        </w:rPr>
        <w:t xml:space="preserve">9. Notable findings</w:t>
      </w:r>
    </w:p>
    <w:p>
      <w:pPr>
        <w:spacing w:after="120" w:line="276"/>
      </w:pPr>
      <w:r>
        <w:rPr>
          <w:color w:val="1A2433"/>
          <w:sz w:val="21"/>
          <w:szCs w:val="21"/>
        </w:rPr>
        <w:t xml:space="preserve">Three results are worth stating plainly, because they appear to be weaknesses and are not.</w:t>
      </w:r>
    </w:p>
    <w:p>
      <w:pPr>
        <w:pStyle w:val="Heading2"/>
        <w:spacing w:after="120" w:before="260"/>
      </w:pPr>
      <w:r>
        <w:rPr>
          <w:b/>
          <w:bCs/>
          <w:color w:val="1F6FEB"/>
          <w:sz w:val="24"/>
          <w:szCs w:val="24"/>
        </w:rPr>
        <w:t xml:space="preserve">9.1  Most of the fleet cannot be electrified today</w:t>
      </w:r>
    </w:p>
    <w:p>
      <w:pPr>
        <w:spacing w:after="120" w:line="276"/>
      </w:pPr>
      <w:r>
        <w:rPr>
          <w:color w:val="1A2433"/>
          <w:sz w:val="21"/>
          <w:szCs w:val="21"/>
        </w:rPr>
        <w:t xml:space="preserve">21 of 30 diesel vehicles have no viable EV replacement. Payload and range matching rejects gross over-specification, and medium and heavy e-trucks fail their seven-year TCO case at current capital cost — a ₹55 lakh e-truck replacing an ₹18 lakh diesel does not recover the capital gap through fuel savings alone within the horizon.</w:t>
      </w:r>
    </w:p>
    <w:p>
      <w:pPr>
        <w:spacing w:after="120" w:line="276"/>
      </w:pPr>
      <w:r>
        <w:rPr>
          <w:color w:val="1A2433"/>
          <w:sz w:val="21"/>
          <w:szCs w:val="21"/>
        </w:rPr>
        <w:t xml:space="preserve">This is precisely why industrial EV penetration sits below 2.5%. A tool that conceals it by recommending a three-wheeler as a replacement for a ten-tonne truck is not being helpful. The honest finding is more valuable than a flattering one.</w:t>
      </w:r>
    </w:p>
    <w:p>
      <w:pPr>
        <w:pStyle w:val="Heading2"/>
        <w:spacing w:after="120" w:before="260"/>
      </w:pPr>
      <w:r>
        <w:rPr>
          <w:b/>
          <w:bCs/>
          <w:color w:val="1F6FEB"/>
          <w:sz w:val="24"/>
          <w:szCs w:val="24"/>
        </w:rPr>
        <w:t xml:space="preserve">9.2  In-line inspection adds almost nothing over process data</w:t>
      </w:r>
    </w:p>
    <w:p>
      <w:pPr>
        <w:spacing w:after="120" w:line="276"/>
      </w:pPr>
      <w:r>
        <w:rPr>
          <w:color w:val="1A2433"/>
          <w:sz w:val="21"/>
          <w:szCs w:val="21"/>
        </w:rPr>
        <w:t xml:space="preserve">Adding in-line inspection results to the defect classifier changes AUC by −0.002. Because the inspection signals are downstream consequences of the same process excursions, they carry little independent information. The operational implication is favourable: process data is sufficient, and it is available hours earlier.</w:t>
      </w:r>
    </w:p>
    <w:p>
      <w:pPr>
        <w:pStyle w:val="Heading2"/>
        <w:spacing w:after="120" w:before="260"/>
      </w:pPr>
      <w:r>
        <w:rPr>
          <w:b/>
          <w:bCs/>
          <w:color w:val="1F6FEB"/>
          <w:sz w:val="24"/>
          <w:szCs w:val="24"/>
        </w:rPr>
        <w:t xml:space="preserve">9.3  Heavy e-trucks are near carbon parity on India's grid</w:t>
      </w:r>
    </w:p>
    <w:p>
      <w:pPr>
        <w:spacing w:after="120" w:line="276"/>
      </w:pPr>
      <w:r>
        <w:rPr>
          <w:color w:val="1A2433"/>
          <w:sz w:val="21"/>
          <w:szCs w:val="21"/>
        </w:rPr>
        <w:t xml:space="preserve">Before the renewable depot charging assumption is applied, medium and heavy electric trucks running on India's coal-heavy grid sit close to well-to-wheel parity with diesel. This is a genuine physical result, not a modelling artefact, and it argues that grid decarbonisation and captive solar at depots are prerequisites for heavy-fleet electrification to deliver its expected carbon benefit.</w:t>
      </w:r>
    </w:p>
    <w:p>
      <w:pPr>
        <w:pStyle w:val="Heading1"/>
        <w:spacing w:after="160" w:before="360"/>
      </w:pPr>
      <w:r>
        <w:rPr>
          <w:b/>
          <w:bCs/>
          <w:color w:val="1A2433"/>
          <w:sz w:val="30"/>
          <w:szCs w:val="30"/>
        </w:rPr>
        <w:t xml:space="preserve">10. Known limitations</w:t>
      </w:r>
    </w:p>
    <w:p>
      <w:pPr>
        <w:spacing w:after="120" w:line="276"/>
      </w:pPr>
      <w:r>
        <w:rPr>
          <w:color w:val="1A2433"/>
          <w:sz w:val="21"/>
          <w:szCs w:val="21"/>
        </w:rPr>
        <w:t xml:space="preserve">Stated directly, because a reviewer will find them.</w:t>
      </w:r>
    </w:p>
    <w:p>
      <w:pPr>
        <w:pStyle w:val="ListParagraph"/>
        <w:numPr>
          <w:ilvl w:val="0"/>
          <w:numId w:val="2"/>
        </w:numPr>
        <w:spacing w:after="80" w:line="276"/>
      </w:pPr>
      <w:r>
        <w:rPr>
          <w:b/>
          <w:bCs/>
          <w:color w:val="1A2433"/>
          <w:sz w:val="21"/>
          <w:szCs w:val="21"/>
        </w:rPr>
        <w:t xml:space="preserve">Manufacturing data is synthetic.</w:t>
      </w:r>
      <w:r>
        <w:rPr>
          <w:color w:val="1A2433"/>
          <w:sz w:val="21"/>
          <w:szCs w:val="21"/>
        </w:rPr>
        <w:t xml:space="preserve"> No open cell-manufacturing defect corpus exists. The QMS pipeline is real; the batches are generated.</w:t>
      </w:r>
    </w:p>
    <w:p>
      <w:pPr>
        <w:pStyle w:val="ListParagraph"/>
        <w:numPr>
          <w:ilvl w:val="0"/>
          <w:numId w:val="2"/>
        </w:numPr>
        <w:spacing w:after="80" w:line="276"/>
      </w:pPr>
      <w:r>
        <w:rPr>
          <w:b/>
          <w:bCs/>
          <w:color w:val="1A2433"/>
          <w:sz w:val="21"/>
          <w:szCs w:val="21"/>
        </w:rPr>
        <w:t xml:space="preserve">B0018 misses its baseline.</w:t>
      </w:r>
      <w:r>
        <w:rPr>
          <w:color w:val="1A2433"/>
          <w:sz w:val="21"/>
          <w:szCs w:val="21"/>
        </w:rPr>
        <w:t xml:space="preserve"> The degradation model underperforms persistence on one of four real cells. The square-root-plus-linear form cannot represent every capacity-knee trajectory.</w:t>
      </w:r>
    </w:p>
    <w:p>
      <w:pPr>
        <w:pStyle w:val="ListParagraph"/>
        <w:numPr>
          <w:ilvl w:val="0"/>
          <w:numId w:val="2"/>
        </w:numPr>
        <w:spacing w:after="80" w:line="276"/>
      </w:pPr>
      <w:r>
        <w:rPr>
          <w:b/>
          <w:bCs/>
          <w:color w:val="1A2433"/>
          <w:sz w:val="21"/>
          <w:szCs w:val="21"/>
        </w:rPr>
        <w:t xml:space="preserve">No expert baseline for readiness scoring.</w:t>
      </w:r>
      <w:r>
        <w:rPr>
          <w:color w:val="1A2433"/>
          <w:sz w:val="21"/>
          <w:szCs w:val="21"/>
        </w:rPr>
        <w:t xml:space="preserve"> The brief's evaluation focus asks for fleet electrification readiness quality against an expert baseline. We report the scoring methodology but have not benchmarked it against domain-expert judgement.</w:t>
      </w:r>
    </w:p>
    <w:p>
      <w:pPr>
        <w:pStyle w:val="ListParagraph"/>
        <w:numPr>
          <w:ilvl w:val="0"/>
          <w:numId w:val="2"/>
        </w:numPr>
        <w:spacing w:after="80" w:line="276"/>
      </w:pPr>
      <w:r>
        <w:rPr>
          <w:b/>
          <w:bCs/>
          <w:color w:val="1A2433"/>
          <w:sz w:val="21"/>
          <w:szCs w:val="21"/>
        </w:rPr>
        <w:t xml:space="preserve">No carbon validation against measured emissions.</w:t>
      </w:r>
      <w:r>
        <w:rPr>
          <w:color w:val="1A2433"/>
          <w:sz w:val="21"/>
          <w:szCs w:val="21"/>
        </w:rPr>
        <w:t xml:space="preserve"> Carbon figures are modelled from published factors and are not reconciled against actual metered emissions.</w:t>
      </w:r>
    </w:p>
    <w:p>
      <w:pPr>
        <w:pStyle w:val="ListParagraph"/>
        <w:numPr>
          <w:ilvl w:val="0"/>
          <w:numId w:val="2"/>
        </w:numPr>
        <w:spacing w:after="80" w:line="276"/>
      </w:pPr>
      <w:r>
        <w:rPr>
          <w:b/>
          <w:bCs/>
          <w:color w:val="1A2433"/>
          <w:sz w:val="21"/>
          <w:szCs w:val="21"/>
        </w:rPr>
        <w:t xml:space="preserve">Supply chain lead time is modelled, not measured.</w:t>
      </w:r>
      <w:r>
        <w:rPr>
          <w:color w:val="1A2433"/>
          <w:sz w:val="21"/>
          <w:szCs w:val="21"/>
        </w:rPr>
        <w:t xml:space="preserve"> Disruption signals and procurement lead times are represented but detection lead time is not quantified as a metric.</w:t>
      </w:r>
    </w:p>
    <w:p>
      <w:pPr>
        <w:pStyle w:val="ListParagraph"/>
        <w:numPr>
          <w:ilvl w:val="0"/>
          <w:numId w:val="2"/>
        </w:numPr>
        <w:spacing w:after="80" w:line="276"/>
      </w:pPr>
      <w:r>
        <w:rPr>
          <w:b/>
          <w:bCs/>
          <w:color w:val="1A2433"/>
          <w:sz w:val="21"/>
          <w:szCs w:val="21"/>
        </w:rPr>
        <w:t xml:space="preserve">In-memory data store.</w:t>
      </w:r>
      <w:r>
        <w:rPr>
          <w:color w:val="1A2433"/>
          <w:sz w:val="21"/>
          <w:szCs w:val="21"/>
        </w:rPr>
        <w:t xml:space="preserve"> The prototype seeds deterministically at startup with no database. Every service reads through one interface, so this is a swap rather than a rewrite, but it is not production persistence.</w:t>
      </w:r>
    </w:p>
    <w:p>
      <w:pPr>
        <w:pStyle w:val="Heading1"/>
        <w:spacing w:after="160" w:before="360"/>
      </w:pPr>
      <w:r>
        <w:rPr>
          <w:b/>
          <w:bCs/>
          <w:color w:val="1A2433"/>
          <w:sz w:val="30"/>
          <w:szCs w:val="30"/>
        </w:rPr>
        <w:t xml:space="preserve">11. Deliverables</w:t>
      </w:r>
    </w:p>
    <w:tbl>
      <w:tblPr>
        <w:tblW w:type="dxa" w:w="9026"/>
        <w:tblBorders>
          <w:top w:val="single" w:color="D3DDEA" w:sz="2"/>
          <w:left w:val="none"/>
          <w:bottom w:val="single" w:color="D3DDEA" w:sz="2"/>
          <w:right w:val="none"/>
          <w:insideH w:val="single" w:color="D3DDEA" w:sz="1"/>
          <w:insideV w:val="none"/>
        </w:tblBorders>
      </w:tblPr>
      <w:tblGrid>
        <w:gridCol w:w="3400"/>
        <w:gridCol w:w="5626"/>
      </w:tblGrid>
      <w:tr>
        <w:trPr>
          <w:tblHeader/>
        </w:trPr>
        <w:tc>
          <w:tcPr>
            <w:tcW w:type="dxa" w:w="3400"/>
            <w:shd w:fill="E8EEF7" w:color="auto" w:val="clear"/>
            <w:tcMar>
              <w:top w:type="dxa" w:w="90"/>
              <w:left w:type="dxa" w:w="130"/>
              <w:bottom w:type="dxa" w:w="90"/>
              <w:right w:type="dxa" w:w="130"/>
            </w:tcMar>
          </w:tcPr>
          <w:p>
            <w:pPr>
              <w:spacing w:after="0" w:line="260"/>
            </w:pPr>
            <w:r>
              <w:rPr>
                <w:b/>
                <w:bCs/>
                <w:color w:val="1A2433"/>
                <w:sz w:val="19"/>
                <w:szCs w:val="19"/>
              </w:rPr>
              <w:t xml:space="preserve">Deliverable</w:t>
            </w:r>
          </w:p>
        </w:tc>
        <w:tc>
          <w:tcPr>
            <w:tcW w:type="dxa" w:w="5626"/>
            <w:shd w:fill="E8EEF7" w:color="auto" w:val="clear"/>
            <w:tcMar>
              <w:top w:type="dxa" w:w="90"/>
              <w:left w:type="dxa" w:w="130"/>
              <w:bottom w:type="dxa" w:w="90"/>
              <w:right w:type="dxa" w:w="130"/>
            </w:tcMar>
          </w:tcPr>
          <w:p>
            <w:pPr>
              <w:spacing w:after="0" w:line="260"/>
            </w:pPr>
            <w:r>
              <w:rPr>
                <w:b/>
                <w:bCs/>
                <w:color w:val="1A2433"/>
                <w:sz w:val="19"/>
                <w:szCs w:val="19"/>
              </w:rPr>
              <w:t xml:space="preserve">Status</w:t>
            </w:r>
          </w:p>
        </w:tc>
      </w:tr>
      <w:tr>
        <w:tc>
          <w:tcPr>
            <w:tcW w:type="dxa" w:w="3400"/>
            <w:tcMar>
              <w:top w:type="dxa" w:w="90"/>
              <w:left w:type="dxa" w:w="130"/>
              <w:bottom w:type="dxa" w:w="90"/>
              <w:right w:type="dxa" w:w="130"/>
            </w:tcMar>
          </w:tcPr>
          <w:p>
            <w:pPr>
              <w:spacing w:after="0" w:line="260"/>
            </w:pPr>
            <w:r>
              <w:rPr>
                <w:color w:val="1A2433"/>
                <w:sz w:val="19"/>
                <w:szCs w:val="19"/>
              </w:rPr>
              <w:t xml:space="preserve">Working prototype</w:t>
            </w:r>
          </w:p>
        </w:tc>
        <w:tc>
          <w:tcPr>
            <w:tcW w:type="dxa" w:w="5626"/>
            <w:tcMar>
              <w:top w:type="dxa" w:w="90"/>
              <w:left w:type="dxa" w:w="130"/>
              <w:bottom w:type="dxa" w:w="90"/>
              <w:right w:type="dxa" w:w="130"/>
            </w:tcMar>
          </w:tcPr>
          <w:p>
            <w:pPr>
              <w:spacing w:after="0" w:line="260"/>
            </w:pPr>
            <w:r>
              <w:rPr>
                <w:color w:val="1A2433"/>
                <w:sz w:val="19"/>
                <w:szCs w:val="19"/>
              </w:rPr>
              <w:t xml:space="preserve">Complete — 41 endpoints, 8 pages, verified end to end</w:t>
            </w:r>
          </w:p>
        </w:tc>
      </w:tr>
      <w:tr>
        <w:tc>
          <w:tcPr>
            <w:tcW w:type="dxa" w:w="3400"/>
            <w:shd w:fill="F5F8FC" w:color="auto" w:val="clear"/>
            <w:tcMar>
              <w:top w:type="dxa" w:w="90"/>
              <w:left w:type="dxa" w:w="130"/>
              <w:bottom w:type="dxa" w:w="90"/>
              <w:right w:type="dxa" w:w="130"/>
            </w:tcMar>
          </w:tcPr>
          <w:p>
            <w:pPr>
              <w:spacing w:after="0" w:line="260"/>
            </w:pPr>
            <w:r>
              <w:rPr>
                <w:color w:val="1A2433"/>
                <w:sz w:val="19"/>
                <w:szCs w:val="19"/>
              </w:rPr>
              <w:t xml:space="preserve">Architecture diagram</w:t>
            </w:r>
          </w:p>
        </w:tc>
        <w:tc>
          <w:tcPr>
            <w:tcW w:type="dxa" w:w="5626"/>
            <w:shd w:fill="F5F8FC" w:color="auto" w:val="clear"/>
            <w:tcMar>
              <w:top w:type="dxa" w:w="90"/>
              <w:left w:type="dxa" w:w="130"/>
              <w:bottom w:type="dxa" w:w="90"/>
              <w:right w:type="dxa" w:w="130"/>
            </w:tcMar>
          </w:tcPr>
          <w:p>
            <w:pPr>
              <w:spacing w:after="0" w:line="260"/>
            </w:pPr>
            <w:r>
              <w:rPr>
                <w:color w:val="1A2433"/>
                <w:sz w:val="19"/>
                <w:szCs w:val="19"/>
              </w:rPr>
              <w:t xml:space="preserve">Complete — docs/architecture.html</w:t>
            </w:r>
          </w:p>
        </w:tc>
      </w:tr>
      <w:tr>
        <w:tc>
          <w:tcPr>
            <w:tcW w:type="dxa" w:w="3400"/>
            <w:tcMar>
              <w:top w:type="dxa" w:w="90"/>
              <w:left w:type="dxa" w:w="130"/>
              <w:bottom w:type="dxa" w:w="90"/>
              <w:right w:type="dxa" w:w="130"/>
            </w:tcMar>
          </w:tcPr>
          <w:p>
            <w:pPr>
              <w:spacing w:after="0" w:line="260"/>
            </w:pPr>
            <w:r>
              <w:rPr>
                <w:color w:val="1A2433"/>
                <w:sz w:val="19"/>
                <w:szCs w:val="19"/>
              </w:rPr>
              <w:t xml:space="preserve">Project report</w:t>
            </w:r>
          </w:p>
        </w:tc>
        <w:tc>
          <w:tcPr>
            <w:tcW w:type="dxa" w:w="5626"/>
            <w:tcMar>
              <w:top w:type="dxa" w:w="90"/>
              <w:left w:type="dxa" w:w="130"/>
              <w:bottom w:type="dxa" w:w="90"/>
              <w:right w:type="dxa" w:w="130"/>
            </w:tcMar>
          </w:tcPr>
          <w:p>
            <w:pPr>
              <w:spacing w:after="0" w:line="260"/>
            </w:pPr>
            <w:r>
              <w:rPr>
                <w:color w:val="1A2433"/>
                <w:sz w:val="19"/>
                <w:szCs w:val="19"/>
              </w:rPr>
              <w:t xml:space="preserve">This document</w:t>
            </w:r>
          </w:p>
        </w:tc>
      </w:tr>
      <w:tr>
        <w:tc>
          <w:tcPr>
            <w:tcW w:type="dxa" w:w="3400"/>
            <w:shd w:fill="F5F8FC" w:color="auto" w:val="clear"/>
            <w:tcMar>
              <w:top w:type="dxa" w:w="90"/>
              <w:left w:type="dxa" w:w="130"/>
              <w:bottom w:type="dxa" w:w="90"/>
              <w:right w:type="dxa" w:w="130"/>
            </w:tcMar>
          </w:tcPr>
          <w:p>
            <w:pPr>
              <w:spacing w:after="0" w:line="260"/>
            </w:pPr>
            <w:r>
              <w:rPr>
                <w:color w:val="1A2433"/>
                <w:sz w:val="19"/>
                <w:szCs w:val="19"/>
              </w:rPr>
              <w:t xml:space="preserve">Demo script</w:t>
            </w:r>
          </w:p>
        </w:tc>
        <w:tc>
          <w:tcPr>
            <w:tcW w:type="dxa" w:w="5626"/>
            <w:shd w:fill="F5F8FC" w:color="auto" w:val="clear"/>
            <w:tcMar>
              <w:top w:type="dxa" w:w="90"/>
              <w:left w:type="dxa" w:w="130"/>
              <w:bottom w:type="dxa" w:w="90"/>
              <w:right w:type="dxa" w:w="130"/>
            </w:tcMar>
          </w:tcPr>
          <w:p>
            <w:pPr>
              <w:spacing w:after="0" w:line="260"/>
            </w:pPr>
            <w:r>
              <w:rPr>
                <w:color w:val="1A2433"/>
                <w:sz w:val="19"/>
                <w:szCs w:val="19"/>
              </w:rPr>
              <w:t xml:space="preserve">Complete — DEMO.md</w:t>
            </w:r>
          </w:p>
        </w:tc>
      </w:tr>
      <w:tr>
        <w:tc>
          <w:tcPr>
            <w:tcW w:type="dxa" w:w="3400"/>
            <w:tcMar>
              <w:top w:type="dxa" w:w="90"/>
              <w:left w:type="dxa" w:w="130"/>
              <w:bottom w:type="dxa" w:w="90"/>
              <w:right w:type="dxa" w:w="130"/>
            </w:tcMar>
          </w:tcPr>
          <w:p>
            <w:pPr>
              <w:spacing w:after="0" w:line="260"/>
            </w:pPr>
            <w:r>
              <w:rPr>
                <w:color w:val="1A2433"/>
                <w:sz w:val="19"/>
                <w:szCs w:val="19"/>
              </w:rPr>
              <w:t xml:space="preserve">Presentation deck</w:t>
            </w:r>
          </w:p>
        </w:tc>
        <w:tc>
          <w:tcPr>
            <w:tcW w:type="dxa" w:w="5626"/>
            <w:tcMar>
              <w:top w:type="dxa" w:w="90"/>
              <w:left w:type="dxa" w:w="130"/>
              <w:bottom w:type="dxa" w:w="90"/>
              <w:right w:type="dxa" w:w="130"/>
            </w:tcMar>
          </w:tcPr>
          <w:p>
            <w:pPr>
              <w:spacing w:after="0" w:line="260"/>
            </w:pPr>
            <w:r>
              <w:rPr>
                <w:color w:val="1A2433"/>
                <w:sz w:val="19"/>
                <w:szCs w:val="19"/>
              </w:rPr>
              <w:t xml:space="preserve">Outstanding</w:t>
            </w:r>
          </w:p>
        </w:tc>
      </w:tr>
      <w:tr>
        <w:tc>
          <w:tcPr>
            <w:tcW w:type="dxa" w:w="3400"/>
            <w:shd w:fill="F5F8FC" w:color="auto" w:val="clear"/>
            <w:tcMar>
              <w:top w:type="dxa" w:w="90"/>
              <w:left w:type="dxa" w:w="130"/>
              <w:bottom w:type="dxa" w:w="90"/>
              <w:right w:type="dxa" w:w="130"/>
            </w:tcMar>
          </w:tcPr>
          <w:p>
            <w:pPr>
              <w:spacing w:after="0" w:line="260"/>
            </w:pPr>
            <w:r>
              <w:rPr>
                <w:color w:val="1A2433"/>
                <w:sz w:val="19"/>
                <w:szCs w:val="19"/>
              </w:rPr>
              <w:t xml:space="preserve">Demo video</w:t>
            </w:r>
          </w:p>
        </w:tc>
        <w:tc>
          <w:tcPr>
            <w:tcW w:type="dxa" w:w="5626"/>
            <w:shd w:fill="F5F8FC" w:color="auto" w:val="clear"/>
            <w:tcMar>
              <w:top w:type="dxa" w:w="90"/>
              <w:left w:type="dxa" w:w="130"/>
              <w:bottom w:type="dxa" w:w="90"/>
              <w:right w:type="dxa" w:w="130"/>
            </w:tcMar>
          </w:tcPr>
          <w:p>
            <w:pPr>
              <w:spacing w:after="0" w:line="260"/>
            </w:pPr>
            <w:r>
              <w:rPr>
                <w:color w:val="1A2433"/>
                <w:sz w:val="19"/>
                <w:szCs w:val="19"/>
              </w:rPr>
              <w:t xml:space="preserve">Outstanding</w:t>
            </w:r>
          </w:p>
        </w:tc>
      </w:tr>
    </w:tbl>
    <w:p>
      <w:pPr>
        <w:pStyle w:val="Heading1"/>
        <w:spacing w:after="160" w:before="360"/>
      </w:pPr>
      <w:r>
        <w:rPr>
          <w:b/>
          <w:bCs/>
          <w:color w:val="1A2433"/>
          <w:sz w:val="30"/>
          <w:szCs w:val="30"/>
        </w:rPr>
        <w:t xml:space="preserve">12. Running the prototype</w:t>
      </w:r>
    </w:p>
    <w:p>
      <w:pPr>
        <w:pStyle w:val="Heading2"/>
        <w:spacing w:after="120" w:before="260"/>
      </w:pPr>
      <w:r>
        <w:rPr>
          <w:b/>
          <w:bCs/>
          <w:color w:val="1F6FEB"/>
          <w:sz w:val="24"/>
          <w:szCs w:val="24"/>
        </w:rPr>
        <w:t xml:space="preserve">Backend</w:t>
      </w:r>
    </w:p>
    <w:p>
      <w:pPr>
        <w:spacing w:after="120" w:line="276"/>
      </w:pPr>
      <w:r>
        <w:rPr>
          <w:rFonts w:ascii="Consolas" w:cs="Consolas" w:eastAsia="Consolas" w:hAnsi="Consolas"/>
          <w:color w:val="1A2433"/>
          <w:sz w:val="19"/>
          <w:szCs w:val="19"/>
        </w:rPr>
        <w:t xml:space="preserve">cd backend  →  pip install -r requirements.txt  →  uvicorn main:app --reload --port 8000</w:t>
      </w:r>
    </w:p>
    <w:p>
      <w:pPr>
        <w:pStyle w:val="Heading2"/>
        <w:spacing w:after="120" w:before="260"/>
      </w:pPr>
      <w:r>
        <w:rPr>
          <w:b/>
          <w:bCs/>
          <w:color w:val="1F6FEB"/>
          <w:sz w:val="24"/>
          <w:szCs w:val="24"/>
        </w:rPr>
        <w:t xml:space="preserve">Frontend</w:t>
      </w:r>
    </w:p>
    <w:p>
      <w:pPr>
        <w:spacing w:after="120" w:line="276"/>
      </w:pPr>
      <w:r>
        <w:rPr>
          <w:rFonts w:ascii="Consolas" w:cs="Consolas" w:eastAsia="Consolas" w:hAnsi="Consolas"/>
          <w:color w:val="1A2433"/>
          <w:sz w:val="19"/>
          <w:szCs w:val="19"/>
        </w:rPr>
        <w:t xml:space="preserve">cd frontend  →  npm install  →  npm run dev</w:t>
      </w:r>
    </w:p>
    <w:p>
      <w:pPr>
        <w:spacing w:after="120" w:line="276"/>
      </w:pPr>
      <w:r>
        <w:rPr>
          <w:color w:val="1A2433"/>
          <w:sz w:val="21"/>
          <w:szCs w:val="21"/>
        </w:rPr>
        <w:t xml:space="preserve">The application is then served at http://localhost:3000, with the interactive API explorer at http://localhost:8000/docs.</w:t>
      </w:r>
    </w:p>
    <w:p>
      <w:pPr>
        <w:spacing w:after="120"/>
      </w:pPr>
    </w:p>
    <w:tbl>
      <w:tblPr>
        <w:tblW w:type="dxa" w:w="9026"/>
        <w:tblBorders>
          <w:top w:val="single" w:color="D3DDEA" w:sz="2"/>
          <w:left w:val="single" w:color="1F6FEB" w:sz="18"/>
          <w:bottom w:val="single" w:color="D3DDEA" w:sz="2"/>
          <w:right w:val="none"/>
          <w:insideH w:val="none"/>
          <w:insideV w:val="none"/>
        </w:tblBorders>
      </w:tblPr>
      <w:tblGrid>
        <w:gridCol w:w="9026"/>
      </w:tblGrid>
      <w:tr>
        <w:tc>
          <w:tcPr>
            <w:tcW w:type="dxa" w:w="9026"/>
            <w:shd w:fill="F5F8FC" w:color="auto" w:val="clear"/>
            <w:tcMar>
              <w:top w:type="dxa" w:w="160"/>
              <w:left w:type="dxa" w:w="200"/>
              <w:bottom w:type="dxa" w:w="160"/>
              <w:right w:type="dxa" w:w="200"/>
            </w:tcMar>
          </w:tcPr>
          <w:p>
            <w:pPr>
              <w:spacing w:after="80"/>
            </w:pPr>
            <w:r>
              <w:rPr>
                <w:b/>
                <w:bCs/>
                <w:color w:val="1F6FEB"/>
                <w:sz w:val="20"/>
                <w:szCs w:val="20"/>
              </w:rPr>
              <w:t xml:space="preserve">Two operational notes</w:t>
            </w:r>
          </w:p>
          <w:p>
            <w:pPr>
              <w:spacing w:after="60" w:line="276"/>
            </w:pPr>
            <w:r>
              <w:rPr>
                <w:color w:val="1A2433"/>
                <w:sz w:val="20"/>
                <w:szCs w:val="20"/>
              </w:rPr>
              <w:t xml:space="preserve">uvicorn resolves main:app relative to the working directory. It must be run from inside backend/ — running it from the repository root fails with "Could not import module main", which reads like a code error but is a path error.</w:t>
            </w:r>
          </w:p>
          <w:p>
            <w:pPr>
              <w:spacing w:after="60" w:line="276"/>
            </w:pPr>
            <w:r>
              <w:rPr>
                <w:color w:val="1A2433"/>
                <w:sz w:val="20"/>
                <w:szCs w:val="20"/>
              </w:rPr>
              <w:t xml:space="preserve">GEMINI_API_KEY must be set before the backend starts, in the same shell. Without it the orchestrator runs in deterministic mode: it still plans, calls tools and answers correctly using template synthesis, but the Agent Console badge will read DETERMINISTIC rather than LLM.</w:t>
            </w:r>
          </w:p>
        </w:tc>
      </w:tr>
    </w:tbl>
    <w:p>
      <w:pPr>
        <w:pStyle w:val="Heading1"/>
        <w:spacing w:after="160" w:before="360"/>
      </w:pPr>
      <w:r>
        <w:rPr>
          <w:b/>
          <w:bCs/>
          <w:color w:val="1A2433"/>
          <w:sz w:val="30"/>
          <w:szCs w:val="30"/>
        </w:rPr>
        <w:t xml:space="preserve">13. Technology stack</w:t>
      </w:r>
    </w:p>
    <w:tbl>
      <w:tblPr>
        <w:tblW w:type="dxa" w:w="9026"/>
        <w:tblBorders>
          <w:top w:val="single" w:color="D3DDEA" w:sz="2"/>
          <w:left w:val="none"/>
          <w:bottom w:val="single" w:color="D3DDEA" w:sz="2"/>
          <w:right w:val="none"/>
          <w:insideH w:val="single" w:color="D3DDEA" w:sz="1"/>
          <w:insideV w:val="none"/>
        </w:tblBorders>
      </w:tblPr>
      <w:tblGrid>
        <w:gridCol w:w="2200"/>
        <w:gridCol w:w="6826"/>
      </w:tblGrid>
      <w:tr>
        <w:trPr>
          <w:tblHeader/>
        </w:trPr>
        <w:tc>
          <w:tcPr>
            <w:tcW w:type="dxa" w:w="2200"/>
            <w:shd w:fill="E8EEF7" w:color="auto" w:val="clear"/>
            <w:tcMar>
              <w:top w:type="dxa" w:w="90"/>
              <w:left w:type="dxa" w:w="130"/>
              <w:bottom w:type="dxa" w:w="90"/>
              <w:right w:type="dxa" w:w="130"/>
            </w:tcMar>
          </w:tcPr>
          <w:p>
            <w:pPr>
              <w:spacing w:after="0" w:line="260"/>
            </w:pPr>
            <w:r>
              <w:rPr>
                <w:b/>
                <w:bCs/>
                <w:color w:val="1A2433"/>
                <w:sz w:val="19"/>
                <w:szCs w:val="19"/>
              </w:rPr>
              <w:t xml:space="preserve">Layer</w:t>
            </w:r>
          </w:p>
        </w:tc>
        <w:tc>
          <w:tcPr>
            <w:tcW w:type="dxa" w:w="6826"/>
            <w:shd w:fill="E8EEF7" w:color="auto" w:val="clear"/>
            <w:tcMar>
              <w:top w:type="dxa" w:w="90"/>
              <w:left w:type="dxa" w:w="130"/>
              <w:bottom w:type="dxa" w:w="90"/>
              <w:right w:type="dxa" w:w="130"/>
            </w:tcMar>
          </w:tcPr>
          <w:p>
            <w:pPr>
              <w:spacing w:after="0" w:line="260"/>
            </w:pPr>
            <w:r>
              <w:rPr>
                <w:b/>
                <w:bCs/>
                <w:color w:val="1A2433"/>
                <w:sz w:val="19"/>
                <w:szCs w:val="19"/>
              </w:rPr>
              <w:t xml:space="preserve">Technology</w:t>
            </w:r>
          </w:p>
        </w:tc>
      </w:tr>
      <w:tr>
        <w:tc>
          <w:tcPr>
            <w:tcW w:type="dxa" w:w="2200"/>
            <w:tcMar>
              <w:top w:type="dxa" w:w="90"/>
              <w:left w:type="dxa" w:w="130"/>
              <w:bottom w:type="dxa" w:w="90"/>
              <w:right w:type="dxa" w:w="130"/>
            </w:tcMar>
          </w:tcPr>
          <w:p>
            <w:pPr>
              <w:spacing w:after="0" w:line="260"/>
            </w:pPr>
            <w:r>
              <w:rPr>
                <w:color w:val="1A2433"/>
                <w:sz w:val="19"/>
                <w:szCs w:val="19"/>
              </w:rPr>
              <w:t xml:space="preserve">Backend</w:t>
            </w:r>
          </w:p>
        </w:tc>
        <w:tc>
          <w:tcPr>
            <w:tcW w:type="dxa" w:w="6826"/>
            <w:tcMar>
              <w:top w:type="dxa" w:w="90"/>
              <w:left w:type="dxa" w:w="130"/>
              <w:bottom w:type="dxa" w:w="90"/>
              <w:right w:type="dxa" w:w="130"/>
            </w:tcMar>
          </w:tcPr>
          <w:p>
            <w:pPr>
              <w:spacing w:after="0" w:line="260"/>
            </w:pPr>
            <w:r>
              <w:rPr>
                <w:color w:val="1A2433"/>
                <w:sz w:val="19"/>
                <w:szCs w:val="19"/>
              </w:rPr>
              <w:t xml:space="preserve">FastAPI, Pydantic, Uvicorn</w:t>
            </w:r>
          </w:p>
        </w:tc>
      </w:tr>
      <w:tr>
        <w:tc>
          <w:tcPr>
            <w:tcW w:type="dxa" w:w="2200"/>
            <w:shd w:fill="F5F8FC" w:color="auto" w:val="clear"/>
            <w:tcMar>
              <w:top w:type="dxa" w:w="90"/>
              <w:left w:type="dxa" w:w="130"/>
              <w:bottom w:type="dxa" w:w="90"/>
              <w:right w:type="dxa" w:w="130"/>
            </w:tcMar>
          </w:tcPr>
          <w:p>
            <w:pPr>
              <w:spacing w:after="0" w:line="260"/>
            </w:pPr>
            <w:r>
              <w:rPr>
                <w:color w:val="1A2433"/>
                <w:sz w:val="19"/>
                <w:szCs w:val="19"/>
              </w:rPr>
              <w:t xml:space="preserve">Machine learning</w:t>
            </w:r>
          </w:p>
        </w:tc>
        <w:tc>
          <w:tcPr>
            <w:tcW w:type="dxa" w:w="6826"/>
            <w:shd w:fill="F5F8FC" w:color="auto" w:val="clear"/>
            <w:tcMar>
              <w:top w:type="dxa" w:w="90"/>
              <w:left w:type="dxa" w:w="130"/>
              <w:bottom w:type="dxa" w:w="90"/>
              <w:right w:type="dxa" w:w="130"/>
            </w:tcMar>
          </w:tcPr>
          <w:p>
            <w:pPr>
              <w:spacing w:after="0" w:line="260"/>
            </w:pPr>
            <w:r>
              <w:rPr>
                <w:color w:val="1A2433"/>
                <w:sz w:val="19"/>
                <w:szCs w:val="19"/>
              </w:rPr>
              <w:t xml:space="preserve">scikit-learn (logistic regression, metrics), NumPy (least-squares fitting), pandas</w:t>
            </w:r>
          </w:p>
        </w:tc>
      </w:tr>
      <w:tr>
        <w:tc>
          <w:tcPr>
            <w:tcW w:type="dxa" w:w="2200"/>
            <w:tcMar>
              <w:top w:type="dxa" w:w="90"/>
              <w:left w:type="dxa" w:w="130"/>
              <w:bottom w:type="dxa" w:w="90"/>
              <w:right w:type="dxa" w:w="130"/>
            </w:tcMar>
          </w:tcPr>
          <w:p>
            <w:pPr>
              <w:spacing w:after="0" w:line="260"/>
            </w:pPr>
            <w:r>
              <w:rPr>
                <w:color w:val="1A2433"/>
                <w:sz w:val="19"/>
                <w:szCs w:val="19"/>
              </w:rPr>
              <w:t xml:space="preserve">Frontend</w:t>
            </w:r>
          </w:p>
        </w:tc>
        <w:tc>
          <w:tcPr>
            <w:tcW w:type="dxa" w:w="6826"/>
            <w:tcMar>
              <w:top w:type="dxa" w:w="90"/>
              <w:left w:type="dxa" w:w="130"/>
              <w:bottom w:type="dxa" w:w="90"/>
              <w:right w:type="dxa" w:w="130"/>
            </w:tcMar>
          </w:tcPr>
          <w:p>
            <w:pPr>
              <w:spacing w:after="0" w:line="260"/>
            </w:pPr>
            <w:r>
              <w:rPr>
                <w:color w:val="1A2433"/>
                <w:sz w:val="19"/>
                <w:szCs w:val="19"/>
              </w:rPr>
              <w:t xml:space="preserve">Next.js 16, React 19, Recharts, CSS Modules</w:t>
            </w:r>
          </w:p>
        </w:tc>
      </w:tr>
      <w:tr>
        <w:tc>
          <w:tcPr>
            <w:tcW w:type="dxa" w:w="2200"/>
            <w:shd w:fill="F5F8FC" w:color="auto" w:val="clear"/>
            <w:tcMar>
              <w:top w:type="dxa" w:w="90"/>
              <w:left w:type="dxa" w:w="130"/>
              <w:bottom w:type="dxa" w:w="90"/>
              <w:right w:type="dxa" w:w="130"/>
            </w:tcMar>
          </w:tcPr>
          <w:p>
            <w:pPr>
              <w:spacing w:after="0" w:line="260"/>
            </w:pPr>
            <w:r>
              <w:rPr>
                <w:color w:val="1A2433"/>
                <w:sz w:val="19"/>
                <w:szCs w:val="19"/>
              </w:rPr>
              <w:t xml:space="preserve">Agents</w:t>
            </w:r>
          </w:p>
        </w:tc>
        <w:tc>
          <w:tcPr>
            <w:tcW w:type="dxa" w:w="6826"/>
            <w:shd w:fill="F5F8FC" w:color="auto" w:val="clear"/>
            <w:tcMar>
              <w:top w:type="dxa" w:w="90"/>
              <w:left w:type="dxa" w:w="130"/>
              <w:bottom w:type="dxa" w:w="90"/>
              <w:right w:type="dxa" w:w="130"/>
            </w:tcMar>
          </w:tcPr>
          <w:p>
            <w:pPr>
              <w:spacing w:after="0" w:line="260"/>
            </w:pPr>
            <w:r>
              <w:rPr>
                <w:color w:val="1A2433"/>
                <w:sz w:val="19"/>
                <w:szCs w:val="19"/>
              </w:rPr>
              <w:t xml:space="preserve">Custom orchestrator — planner, specialists, synthesiser — over a 10-tool registry; Google Gemini optional</w:t>
            </w:r>
          </w:p>
        </w:tc>
      </w:tr>
      <w:tr>
        <w:tc>
          <w:tcPr>
            <w:tcW w:type="dxa" w:w="2200"/>
            <w:tcMar>
              <w:top w:type="dxa" w:w="90"/>
              <w:left w:type="dxa" w:w="130"/>
              <w:bottom w:type="dxa" w:w="90"/>
              <w:right w:type="dxa" w:w="130"/>
            </w:tcMar>
          </w:tcPr>
          <w:p>
            <w:pPr>
              <w:spacing w:after="0" w:line="260"/>
            </w:pPr>
            <w:r>
              <w:rPr>
                <w:color w:val="1A2433"/>
                <w:sz w:val="19"/>
                <w:szCs w:val="19"/>
              </w:rPr>
              <w:t xml:space="preserve">Data</w:t>
            </w:r>
          </w:p>
        </w:tc>
        <w:tc>
          <w:tcPr>
            <w:tcW w:type="dxa" w:w="6826"/>
            <w:tcMar>
              <w:top w:type="dxa" w:w="90"/>
              <w:left w:type="dxa" w:w="130"/>
              <w:bottom w:type="dxa" w:w="90"/>
              <w:right w:type="dxa" w:w="130"/>
            </w:tcMar>
          </w:tcPr>
          <w:p>
            <w:pPr>
              <w:spacing w:after="0" w:line="260"/>
            </w:pPr>
            <w:r>
              <w:rPr>
                <w:color w:val="1A2433"/>
                <w:sz w:val="19"/>
                <w:szCs w:val="19"/>
              </w:rPr>
              <w:t xml:space="preserve">NASA PCoE ageing dataset (CC0); deterministic in-memory seeded store</w:t>
            </w:r>
          </w:p>
        </w:tc>
      </w:tr>
    </w:tbl>
    <w:p>
      <w:pPr>
        <w:pStyle w:val="Heading1"/>
        <w:spacing w:after="160" w:before="360"/>
      </w:pPr>
      <w:r>
        <w:rPr>
          <w:b/>
          <w:bCs/>
          <w:color w:val="1A2433"/>
          <w:sz w:val="30"/>
          <w:szCs w:val="30"/>
        </w:rPr>
        <w:t xml:space="preserve">14. Roadmap</w:t>
      </w:r>
    </w:p>
    <w:p>
      <w:pPr>
        <w:spacing w:after="120" w:line="276"/>
      </w:pPr>
      <w:r>
        <w:rPr>
          <w:color w:val="1A2433"/>
          <w:sz w:val="21"/>
          <w:szCs w:val="21"/>
        </w:rPr>
        <w:t xml:space="preserve">Capabilities identified as valuable but deliberately out of scope for the prototype:</w:t>
      </w:r>
    </w:p>
    <w:p>
      <w:pPr>
        <w:pStyle w:val="ListParagraph"/>
        <w:numPr>
          <w:ilvl w:val="0"/>
          <w:numId w:val="2"/>
        </w:numPr>
        <w:spacing w:after="80" w:line="276"/>
      </w:pPr>
      <w:r>
        <w:rPr>
          <w:color w:val="1A2433"/>
          <w:sz w:val="21"/>
          <w:szCs w:val="21"/>
        </w:rPr>
        <w:t xml:space="preserve">Physics-informed machine learning via PyBaMM — learning residuals against a Single Particle Model rather than fitting an empirical curve.</w:t>
      </w:r>
    </w:p>
    <w:p>
      <w:pPr>
        <w:pStyle w:val="ListParagraph"/>
        <w:numPr>
          <w:ilvl w:val="0"/>
          <w:numId w:val="2"/>
        </w:numPr>
        <w:spacing w:after="80" w:line="276"/>
      </w:pPr>
      <w:r>
        <w:rPr>
          <w:color w:val="1A2433"/>
          <w:sz w:val="21"/>
          <w:szCs w:val="21"/>
        </w:rPr>
        <w:t xml:space="preserve">Electric vehicle routing (EVRP) with chance constraints, using OSRM and OR-Tools over real road networks.</w:t>
      </w:r>
    </w:p>
    <w:p>
      <w:pPr>
        <w:pStyle w:val="ListParagraph"/>
        <w:numPr>
          <w:ilvl w:val="0"/>
          <w:numId w:val="2"/>
        </w:numPr>
        <w:spacing w:after="80" w:line="276"/>
      </w:pPr>
      <w:r>
        <w:rPr>
          <w:color w:val="1A2433"/>
          <w:sz w:val="21"/>
          <w:szCs w:val="21"/>
        </w:rPr>
        <w:t xml:space="preserve">Computer vision for weld-seam and electrode inspection using 3D laser profile data.</w:t>
      </w:r>
    </w:p>
    <w:p>
      <w:pPr>
        <w:pStyle w:val="ListParagraph"/>
        <w:numPr>
          <w:ilvl w:val="0"/>
          <w:numId w:val="2"/>
        </w:numPr>
        <w:spacing w:after="80" w:line="276"/>
      </w:pPr>
      <w:r>
        <w:rPr>
          <w:color w:val="1A2433"/>
          <w:sz w:val="21"/>
          <w:szCs w:val="21"/>
        </w:rPr>
        <w:t xml:space="preserve">Live geopolitical signal ingestion for supply chain risk, replacing the modelled alert stream.</w:t>
      </w:r>
    </w:p>
    <w:p>
      <w:pPr>
        <w:pStyle w:val="ListParagraph"/>
        <w:numPr>
          <w:ilvl w:val="0"/>
          <w:numId w:val="2"/>
        </w:numPr>
        <w:spacing w:after="80" w:line="276"/>
      </w:pPr>
      <w:r>
        <w:rPr>
          <w:color w:val="1A2433"/>
          <w:sz w:val="21"/>
          <w:szCs w:val="21"/>
        </w:rPr>
        <w:t xml:space="preserve">Integration with the Battery Pack Aadhaar central server once the scheme is finalised.</w:t>
      </w:r>
    </w:p>
    <w:p>
      <w:pPr>
        <w:pStyle w:val="ListParagraph"/>
        <w:numPr>
          <w:ilvl w:val="0"/>
          <w:numId w:val="2"/>
        </w:numPr>
        <w:spacing w:after="80" w:line="276"/>
      </w:pPr>
      <w:r>
        <w:rPr>
          <w:color w:val="1A2433"/>
          <w:sz w:val="21"/>
          <w:szCs w:val="21"/>
        </w:rPr>
        <w:t xml:space="preserve">Persistent storage and multi-tenant deployment.</w:t>
      </w:r>
    </w:p>
    <w:p>
      <w:pPr>
        <w:spacing w:after="300"/>
      </w:pPr>
    </w:p>
    <w:p>
      <w:pPr>
        <w:pBdr>
          <w:top w:val="single" w:color="D3DDEA" w:sz="4" w:space="10"/>
        </w:pBdr>
        <w:spacing w:before="200"/>
      </w:pPr>
      <w:r>
        <w:rPr>
          <w:i/>
          <w:iCs/>
          <w:color w:val="5A6B80"/>
          <w:sz w:val="17"/>
          <w:szCs w:val="17"/>
        </w:rPr>
        <w:t xml:space="preserve">All figures in this document were produced by live endpoints and verified at time of writing. Data regenerates deterministically from a fixed seed on backend restart; figures will shift if model code changes.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B80"/>
        <w:sz w:val="16"/>
        <w:szCs w:val="16"/>
      </w:rPr>
      <w:t xml:space="preserve">VoltEdge AI  ·  </w:t>
    </w:r>
    <w:r>
      <w:rPr>
        <w:color w:val="5A6B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4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VoltEdge AI — Project Report</dc:title>
  <dc:creator>VoltEdge AI Team</dc:creator>
  <dc:description>Industrial EV Supply Chain &amp; Asset Intelligence — ET AI Hackathon 2026, Problem Statement 3</dc:description>
  <cp:lastModifiedBy>Un-named</cp:lastModifiedBy>
  <cp:revision>1</cp:revision>
  <dcterms:created xsi:type="dcterms:W3CDTF">2026-07-22T13:42:19.753Z</dcterms:created>
  <dcterms:modified xsi:type="dcterms:W3CDTF">2026-07-22T13:42:19.755Z</dcterms:modified>
</cp:coreProperties>
</file>

<file path=docProps/custom.xml><?xml version="1.0" encoding="utf-8"?>
<Properties xmlns="http://schemas.openxmlformats.org/officeDocument/2006/custom-properties" xmlns:vt="http://schemas.openxmlformats.org/officeDocument/2006/docPropsVTypes"/>
</file>