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pBdr>
          <w:bottom w:val="single" w:color="2E75B6" w:sz="12" w:space="8"/>
        </w:pBdr>
        <w:spacing w:after="80" w:before="0"/>
        <w:jc w:val="center"/>
      </w:pPr>
      <w:r>
        <w:rPr>
          <w:rFonts w:ascii="Arial" w:cs="Arial" w:eastAsia="Arial" w:hAnsi="Arial"/>
          <w:b/>
          <w:bCs/>
          <w:color w:val="1F3864"/>
          <w:sz w:val="52"/>
          <w:szCs w:val="52"/>
        </w:rPr>
        <w:t xml:space="preserve">Forecasting Food Price Inflation in Bangladesh</w:t>
      </w:r>
    </w:p>
    <w:p>
      <w:pPr>
        <w:spacing w:after="40" w:before="0"/>
      </w:pPr>
      <w:r>
        <w:t xml:space="preserve"/>
      </w:r>
    </w:p>
    <w:p>
      <w:pPr>
        <w:spacing w:after="400" w:before="0"/>
        <w:jc w:val="center"/>
      </w:pPr>
      <w:r>
        <w:rPr>
          <w:rFonts w:ascii="Arial" w:cs="Arial" w:eastAsia="Arial" w:hAnsi="Arial"/>
          <w:b/>
          <w:bCs/>
          <w:color w:val="2E75B6"/>
          <w:sz w:val="36"/>
          <w:szCs w:val="36"/>
        </w:rPr>
        <w:t xml:space="preserve">Using Machine Learning: ARIMA vs LSTM on WFP Market Data</w:t>
      </w:r>
    </w:p>
    <w:p>
      <w:pPr>
        <w:spacing w:after="240" w:before="0"/>
      </w:pPr>
      <w:r>
        <w:t xml:space="preserve"/>
      </w:r>
    </w:p>
    <w:p>
      <w:pPr>
        <w:jc w:val="center"/>
      </w:pPr>
      <w:r>
        <w:rPr>
          <w:rFonts w:ascii="Arial" w:cs="Arial" w:eastAsia="Arial" w:hAnsi="Arial"/>
          <w:i/>
          <w:iCs/>
          <w:color w:val="404040"/>
          <w:sz w:val="24"/>
          <w:szCs w:val="24"/>
        </w:rPr>
        <w:t xml:space="preserve">A Research Paper Submitted in Partial Fulfilment of the Requirements</w:t>
      </w:r>
    </w:p>
    <w:p>
      <w:pPr>
        <w:jc w:val="center"/>
      </w:pPr>
      <w:r>
        <w:rPr>
          <w:rFonts w:ascii="Arial" w:cs="Arial" w:eastAsia="Arial" w:hAnsi="Arial"/>
          <w:i/>
          <w:iCs/>
          <w:color w:val="404040"/>
          <w:sz w:val="24"/>
          <w:szCs w:val="24"/>
        </w:rPr>
        <w:t xml:space="preserve">for the Degree of Master of Science in Applied Economics / Data Science</w:t>
      </w:r>
    </w:p>
    <w:p>
      <w:pPr>
        <w:spacing w:after="400" w:before="0"/>
      </w:pPr>
      <w:r>
        <w:t xml:space="preserve"/>
      </w:r>
    </w:p>
    <w:p>
      <w:pPr>
        <w:jc w:val="center"/>
      </w:pPr>
      <w:r>
        <w:rPr>
          <w:rFonts w:ascii="Arial" w:cs="Arial" w:eastAsia="Arial" w:hAnsi="Arial"/>
          <w:b/>
          <w:bCs/>
          <w:color w:val="1F3864"/>
          <w:sz w:val="28"/>
          <w:szCs w:val="28"/>
        </w:rPr>
        <w:t xml:space="preserve">[Author Name]</w:t>
      </w:r>
    </w:p>
    <w:p>
      <w:pPr>
        <w:jc w:val="center"/>
      </w:pPr>
      <w:r>
        <w:rPr>
          <w:rFonts w:ascii="Arial" w:cs="Arial" w:eastAsia="Arial" w:hAnsi="Arial"/>
          <w:color w:val="404040"/>
          <w:sz w:val="24"/>
          <w:szCs w:val="24"/>
        </w:rPr>
        <w:t xml:space="preserve">[Department of Economics / Computer Science]</w:t>
      </w:r>
    </w:p>
    <w:p>
      <w:pPr>
        <w:jc w:val="center"/>
      </w:pPr>
      <w:r>
        <w:rPr>
          <w:rFonts w:ascii="Arial" w:cs="Arial" w:eastAsia="Arial" w:hAnsi="Arial"/>
          <w:color w:val="404040"/>
          <w:sz w:val="24"/>
          <w:szCs w:val="24"/>
        </w:rPr>
        <w:t xml:space="preserve">[University Name], Bangladesh</w:t>
      </w:r>
    </w:p>
    <w:p>
      <w:pPr>
        <w:spacing w:after="200" w:before="0"/>
      </w:pPr>
      <w:r>
        <w:t xml:space="preserve"/>
      </w:r>
    </w:p>
    <w:p>
      <w:pPr>
        <w:jc w:val="center"/>
      </w:pPr>
      <w:r>
        <w:rPr>
          <w:rFonts w:ascii="Arial" w:cs="Arial" w:eastAsia="Arial" w:hAnsi="Arial"/>
          <w:i/>
          <w:iCs/>
          <w:color w:val="404040"/>
          <w:sz w:val="24"/>
          <w:szCs w:val="24"/>
        </w:rPr>
        <w:t xml:space="preserve">Supervisor: [Supervisor Name, Title]</w:t>
      </w:r>
    </w:p>
    <w:p>
      <w:pPr>
        <w:spacing w:after="400" w:before="0"/>
      </w:pPr>
      <w:r>
        <w:t xml:space="preserve"/>
      </w:r>
    </w:p>
    <w:p>
      <w:pPr>
        <w:jc w:val="center"/>
      </w:pPr>
      <w:r>
        <w:rPr>
          <w:rFonts w:ascii="Arial" w:cs="Arial" w:eastAsia="Arial" w:hAnsi="Arial"/>
          <w:b/>
          <w:bCs/>
          <w:color w:val="1F3864"/>
          <w:sz w:val="26"/>
          <w:szCs w:val="26"/>
        </w:rPr>
        <w:t xml:space="preserve">May 2026</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Abstract</w:t>
      </w:r>
    </w:p>
    <w:p>
      <w:pPr>
        <w:spacing w:after="160" w:before="80" w:line="360"/>
        <w:jc w:val="both"/>
      </w:pPr>
      <w:r>
        <w:rPr>
          <w:rFonts w:ascii="Arial" w:cs="Arial" w:eastAsia="Arial" w:hAnsi="Arial"/>
          <w:color w:val="000000"/>
          <w:sz w:val="24"/>
          <w:szCs w:val="24"/>
        </w:rPr>
        <w:t xml:space="preserve">Food price volatility poses a critical threat to food security in low- and middle-income countries. Bangladesh, with over 170 million people and a significant proportion of household income spent on food, is particularly vulnerable to inflationary shocks in staple commodities. Accurate forecasting of food prices is essential for early-warning systems, humanitarian procurement planning, and evidence-based policy intervention.</w:t>
      </w:r>
    </w:p>
    <w:p>
      <w:pPr>
        <w:spacing w:after="160" w:before="80" w:line="360"/>
        <w:jc w:val="both"/>
      </w:pPr>
      <w:r>
        <w:rPr>
          <w:rFonts w:ascii="Arial" w:cs="Arial" w:eastAsia="Arial" w:hAnsi="Arial"/>
          <w:color w:val="000000"/>
          <w:sz w:val="24"/>
          <w:szCs w:val="24"/>
        </w:rPr>
        <w:t xml:space="preserve">This paper develops, trains, and evaluates two forecasting models — the classical Autoregressive Integrated Moving Average (ARIMA) model and a Long Short-Term Memory (LSTM) deep learning network — applied to monthly retail price data for four key staple commodities in Bangladesh: coarse rice, masur lentils, palm oil, and wheat flour. The dataset is sourced from the World Food Programme (WFP) Food Price Monitoring and Analysis (FPMA) database, covering 76 markets across all 8 administrative divisions from 2004 to 2026, comprising 30,418 price observations.</w:t>
      </w:r>
    </w:p>
    <w:p>
      <w:pPr>
        <w:spacing w:after="160" w:before="80" w:line="360"/>
        <w:jc w:val="both"/>
      </w:pPr>
      <w:r>
        <w:rPr>
          <w:rFonts w:ascii="Arial" w:cs="Arial" w:eastAsia="Arial" w:hAnsi="Arial"/>
          <w:color w:val="000000"/>
          <w:sz w:val="24"/>
          <w:szCs w:val="24"/>
        </w:rPr>
        <w:t xml:space="preserve">Models are trained on 85% of the available time series (228 months, 2004–2022) and evaluated on the remaining 41 months (2022–2026) using Mean Absolute Error (MAE), Root Mean Squared Error (RMSE), and Mean Absolute Percentage Error (MAPE) as performance metrics.</w:t>
      </w:r>
    </w:p>
    <w:p>
      <w:pPr>
        <w:spacing w:after="160" w:before="80" w:line="360"/>
        <w:jc w:val="both"/>
      </w:pPr>
      <w:r>
        <w:rPr>
          <w:rFonts w:ascii="Arial" w:cs="Arial" w:eastAsia="Arial" w:hAnsi="Arial"/>
          <w:color w:val="000000"/>
          <w:sz w:val="24"/>
          <w:szCs w:val="24"/>
        </w:rPr>
        <w:t xml:space="preserve">Results show that ARIMA outperforms LSTM across all four commodities. ARIMA achieves MAPE values of 1.49%, 1.70%, 3.01%, and 2.26% for rice, lentils, palm oil, and wheat flour respectively, compared to 6.24%, 4.34%, 8.40%, and 15.63% for LSTM. The superior performance of ARIMA is attributed to the smooth autoregressive structure of staple food price series, the limited sample size relative to LSTM's parameter complexity, and the model's inability to generalize across structural breaks caused by exogenous shocks (COVID-19, the Ukraine war).</w:t>
      </w:r>
    </w:p>
    <w:p>
      <w:pPr>
        <w:spacing w:after="160" w:before="80" w:line="360"/>
        <w:jc w:val="both"/>
      </w:pPr>
      <w:r>
        <w:rPr>
          <w:rFonts w:ascii="Arial" w:cs="Arial" w:eastAsia="Arial" w:hAnsi="Arial"/>
          <w:color w:val="000000"/>
          <w:sz w:val="24"/>
          <w:szCs w:val="24"/>
        </w:rPr>
        <w:t xml:space="preserve">These findings challenge the prevailing assumption in applied machine learning literature that deep learning models universally outperform classical statistical approaches. We recommend ARIMA as the primary tool for near-term food price early-warning systems in Bangladesh, while proposing hybrid SARIMA-LSTM ensemble architectures and exogenous variable integration (ARIMAX) as directions for future research.</w:t>
      </w:r>
    </w:p>
    <w:p>
      <w:pPr>
        <w:spacing w:after="80" w:before="0"/>
      </w:pPr>
      <w:r>
        <w:t xml:space="preserve"/>
      </w:r>
    </w:p>
    <w:p>
      <w:pPr>
        <w:spacing w:after="160" w:before="80" w:line="360"/>
        <w:jc w:val="both"/>
      </w:pPr>
      <w:r>
        <w:rPr>
          <w:rFonts w:ascii="Arial" w:cs="Arial" w:eastAsia="Arial" w:hAnsi="Arial"/>
          <w:b/>
          <w:bCs/>
          <w:color w:val="000000"/>
          <w:sz w:val="24"/>
          <w:szCs w:val="24"/>
        </w:rPr>
        <w:t xml:space="preserve">Keywords: </w:t>
      </w:r>
      <w:r>
        <w:rPr>
          <w:rFonts w:ascii="Arial" w:cs="Arial" w:eastAsia="Arial" w:hAnsi="Arial"/>
          <w:i/>
          <w:iCs/>
          <w:color w:val="000000"/>
          <w:sz w:val="24"/>
          <w:szCs w:val="24"/>
        </w:rPr>
        <w:t xml:space="preserve">food price forecasting, ARIMA, LSTM, Bangladesh, WFP, food security, machine learning, early-warning systems, time-series analysis</w:t>
      </w:r>
    </w:p>
    <w:p>
      <w:pPr>
        <w:spacing w:after="80" w:before="0"/>
      </w:pPr>
      <w:r>
        <w:t xml:space="preserve"/>
      </w:r>
    </w:p>
    <w:p>
      <w:pPr>
        <w:spacing w:after="160" w:before="80" w:line="360"/>
        <w:jc w:val="both"/>
      </w:pPr>
      <w:r>
        <w:rPr>
          <w:rFonts w:ascii="Arial" w:cs="Arial" w:eastAsia="Arial" w:hAnsi="Arial"/>
          <w:b/>
          <w:bCs/>
          <w:color w:val="000000"/>
          <w:sz w:val="24"/>
          <w:szCs w:val="24"/>
        </w:rPr>
        <w:t xml:space="preserve">JEL Classification: </w:t>
      </w:r>
      <w:r>
        <w:rPr>
          <w:rFonts w:ascii="Arial" w:cs="Arial" w:eastAsia="Arial" w:hAnsi="Arial"/>
          <w:color w:val="000000"/>
          <w:sz w:val="24"/>
          <w:szCs w:val="24"/>
        </w:rPr>
        <w:t xml:space="preserve">Q11, Q18, C22, C45, C53</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 Introduction</w:t>
      </w:r>
    </w:p>
    <w:p>
      <w:pPr>
        <w:pStyle w:val="Heading2"/>
        <w:spacing w:after="160" w:before="280"/>
      </w:pPr>
      <w:r>
        <w:rPr>
          <w:rFonts w:ascii="Arial" w:cs="Arial" w:eastAsia="Arial" w:hAnsi="Arial"/>
          <w:b/>
          <w:bCs/>
          <w:color w:val="2E75B6"/>
          <w:sz w:val="28"/>
          <w:szCs w:val="28"/>
        </w:rPr>
        <w:t xml:space="preserve">1.1 Background and Motivation</w:t>
      </w:r>
    </w:p>
    <w:p>
      <w:pPr>
        <w:spacing w:after="160" w:before="80" w:line="360"/>
        <w:jc w:val="both"/>
      </w:pPr>
      <w:r>
        <w:rPr>
          <w:rFonts w:ascii="Arial" w:cs="Arial" w:eastAsia="Arial" w:hAnsi="Arial"/>
          <w:color w:val="000000"/>
          <w:sz w:val="24"/>
          <w:szCs w:val="24"/>
        </w:rPr>
        <w:t xml:space="preserve">Food price inflation is one of the most consequential economic forces affecting low-income households in developing countries. In Bangladesh, food expenditure accounts for approximately 47% of total household consumption (Bangladesh Bureau of Statistics, 2022), meaning that even modest price increases can push vulnerable populations below the poverty line and into food insecurity. The country has experienced multiple episodes of sharp price spikes over the past two decades — driven by domestic supply disruptions, global commodity market shocks, and currency depreciation — each with severe consequences for nutritional outcomes and social stability.</w:t>
      </w:r>
    </w:p>
    <w:p>
      <w:pPr>
        <w:spacing w:after="160" w:before="80" w:line="360"/>
        <w:jc w:val="both"/>
      </w:pPr>
      <w:r>
        <w:rPr>
          <w:rFonts w:ascii="Arial" w:cs="Arial" w:eastAsia="Arial" w:hAnsi="Arial"/>
          <w:color w:val="000000"/>
          <w:sz w:val="24"/>
          <w:szCs w:val="24"/>
        </w:rPr>
        <w:t xml:space="preserve">The World Food Programme (WFP) operates a Food Price Monitoring and Analysis (FPMA) system that collects monthly retail and wholesale price data from markets across Bangladesh. This database, spanning 28 years and covering 76 geo-tagged markets across all 8 administrative divisions, represents one of the most comprehensive time-series datasets on food prices in South Asia. Despite its richness, this data remains underutilised in the academic literature for predictive modelling purposes.</w:t>
      </w:r>
    </w:p>
    <w:p>
      <w:pPr>
        <w:spacing w:after="160" w:before="80" w:line="360"/>
        <w:jc w:val="both"/>
      </w:pPr>
      <w:r>
        <w:rPr>
          <w:rFonts w:ascii="Arial" w:cs="Arial" w:eastAsia="Arial" w:hAnsi="Arial"/>
          <w:color w:val="000000"/>
          <w:sz w:val="24"/>
          <w:szCs w:val="24"/>
        </w:rPr>
        <w:t xml:space="preserve">The development of reliable food price forecasting tools has significant practical value for WFP, the Food and Agriculture Organization (FAO), and national government agencies such as the Bangladesh Trading Corporation (BTC). Accurate 1-to-6-month-ahead price forecasts enable proactive procurement decisions, targeted social protection transfers, and early-warning alerts that allow humanitarian agencies to pre-position food stocks before crises materialise.</w:t>
      </w:r>
    </w:p>
    <w:p>
      <w:pPr>
        <w:pStyle w:val="Heading2"/>
        <w:spacing w:after="160" w:before="280"/>
      </w:pPr>
      <w:r>
        <w:rPr>
          <w:rFonts w:ascii="Arial" w:cs="Arial" w:eastAsia="Arial" w:hAnsi="Arial"/>
          <w:b/>
          <w:bCs/>
          <w:color w:val="2E75B6"/>
          <w:sz w:val="28"/>
          <w:szCs w:val="28"/>
        </w:rPr>
        <w:t xml:space="preserve">1.2 Research Problem</w:t>
      </w:r>
    </w:p>
    <w:p>
      <w:pPr>
        <w:spacing w:after="160" w:before="80" w:line="360"/>
        <w:jc w:val="both"/>
      </w:pPr>
      <w:r>
        <w:rPr>
          <w:rFonts w:ascii="Arial" w:cs="Arial" w:eastAsia="Arial" w:hAnsi="Arial"/>
          <w:color w:val="000000"/>
          <w:sz w:val="24"/>
          <w:szCs w:val="24"/>
        </w:rPr>
        <w:t xml:space="preserve">Two broad classes of models dominate the food price forecasting literature: classical statistical time-series models (principally ARIMA and its seasonal variant SARIMA) and modern deep learning architectures (particularly LSTM recurrent neural networks). A growing body of applied machine learning research claims superior forecasting accuracy for LSTM models over ARIMA, often citing LSTM's ability to capture non-linear dependencies and long-range temporal patterns.</w:t>
      </w:r>
    </w:p>
    <w:p>
      <w:pPr>
        <w:spacing w:after="160" w:before="80" w:line="360"/>
        <w:jc w:val="both"/>
      </w:pPr>
      <w:r>
        <w:rPr>
          <w:rFonts w:ascii="Arial" w:cs="Arial" w:eastAsia="Arial" w:hAnsi="Arial"/>
          <w:color w:val="000000"/>
          <w:sz w:val="24"/>
          <w:szCs w:val="24"/>
        </w:rPr>
        <w:t xml:space="preserve">However, these claims are frequently based on domains with large training datasets (financial markets, electricity demand) or on benchmark datasets specifically curated for machine learning evaluation. Agricultural price series in developing countries are characterised by relatively short sample lengths, frequent structural breaks, high seasonality, and non-stationarity driven by both domestic and global factors. Whether LSTM models retain their advantage under these conditions — and specifically in the context of Bangladeshi food markets — remains an open empirical question.</w:t>
      </w:r>
    </w:p>
    <w:p>
      <w:pPr>
        <w:pStyle w:val="Heading2"/>
        <w:spacing w:after="160" w:before="280"/>
      </w:pPr>
      <w:r>
        <w:rPr>
          <w:rFonts w:ascii="Arial" w:cs="Arial" w:eastAsia="Arial" w:hAnsi="Arial"/>
          <w:b/>
          <w:bCs/>
          <w:color w:val="2E75B6"/>
          <w:sz w:val="28"/>
          <w:szCs w:val="28"/>
        </w:rPr>
        <w:t xml:space="preserve">1.3 Research Objectives</w:t>
      </w:r>
    </w:p>
    <w:p>
      <w:pPr>
        <w:pStyle w:val="ListParagraph"/>
        <w:numPr>
          <w:ilvl w:val="0"/>
          <w:numId w:val="2"/>
        </w:numPr>
        <w:spacing w:after="60" w:before="60" w:line="320"/>
      </w:pPr>
      <w:r>
        <w:rPr>
          <w:rFonts w:ascii="Arial" w:cs="Arial" w:eastAsia="Arial" w:hAnsi="Arial"/>
          <w:sz w:val="24"/>
          <w:szCs w:val="24"/>
        </w:rPr>
        <w:t xml:space="preserve">To build, train, and validate ARIMA and LSTM forecasting models for four key staple commodities in Bangladesh using WFP FPMA data.</w:t>
      </w:r>
    </w:p>
    <w:p>
      <w:pPr>
        <w:pStyle w:val="ListParagraph"/>
        <w:numPr>
          <w:ilvl w:val="0"/>
          <w:numId w:val="2"/>
        </w:numPr>
        <w:spacing w:after="60" w:before="60" w:line="320"/>
      </w:pPr>
      <w:r>
        <w:rPr>
          <w:rFonts w:ascii="Arial" w:cs="Arial" w:eastAsia="Arial" w:hAnsi="Arial"/>
          <w:sz w:val="24"/>
          <w:szCs w:val="24"/>
        </w:rPr>
        <w:t xml:space="preserve">To compare model performance using standard accuracy metrics (MAE, RMSE, MAPE) on a held-out test set spanning 2022–2026.</w:t>
      </w:r>
    </w:p>
    <w:p>
      <w:pPr>
        <w:pStyle w:val="ListParagraph"/>
        <w:numPr>
          <w:ilvl w:val="0"/>
          <w:numId w:val="2"/>
        </w:numPr>
        <w:spacing w:after="60" w:before="60" w:line="320"/>
      </w:pPr>
      <w:r>
        <w:rPr>
          <w:rFonts w:ascii="Arial" w:cs="Arial" w:eastAsia="Arial" w:hAnsi="Arial"/>
          <w:sz w:val="24"/>
          <w:szCs w:val="24"/>
        </w:rPr>
        <w:t xml:space="preserve">To identify which commodity characteristics (volatility, trend structure, structural breaks) drive differential model performance.</w:t>
      </w:r>
    </w:p>
    <w:p>
      <w:pPr>
        <w:pStyle w:val="ListParagraph"/>
        <w:numPr>
          <w:ilvl w:val="0"/>
          <w:numId w:val="2"/>
        </w:numPr>
        <w:spacing w:after="60" w:before="60" w:line="320"/>
      </w:pPr>
      <w:r>
        <w:rPr>
          <w:rFonts w:ascii="Arial" w:cs="Arial" w:eastAsia="Arial" w:hAnsi="Arial"/>
          <w:sz w:val="24"/>
          <w:szCs w:val="24"/>
        </w:rPr>
        <w:t xml:space="preserve">To provide evidence-based recommendations for the design of food price early-warning systems in Bangladesh.</w:t>
      </w:r>
    </w:p>
    <w:p>
      <w:pPr>
        <w:spacing w:after="80" w:before="0"/>
      </w:pPr>
      <w:r>
        <w:t xml:space="preserve"/>
      </w:r>
    </w:p>
    <w:p>
      <w:pPr>
        <w:pStyle w:val="Heading2"/>
        <w:spacing w:after="160" w:before="280"/>
      </w:pPr>
      <w:r>
        <w:rPr>
          <w:rFonts w:ascii="Arial" w:cs="Arial" w:eastAsia="Arial" w:hAnsi="Arial"/>
          <w:b/>
          <w:bCs/>
          <w:color w:val="2E75B6"/>
          <w:sz w:val="28"/>
          <w:szCs w:val="28"/>
        </w:rPr>
        <w:t xml:space="preserve">1.4 Significance of the Study</w:t>
      </w:r>
    </w:p>
    <w:p>
      <w:pPr>
        <w:spacing w:after="160" w:before="80" w:line="360"/>
        <w:jc w:val="both"/>
      </w:pPr>
      <w:r>
        <w:rPr>
          <w:rFonts w:ascii="Arial" w:cs="Arial" w:eastAsia="Arial" w:hAnsi="Arial"/>
          <w:color w:val="000000"/>
          <w:sz w:val="24"/>
          <w:szCs w:val="24"/>
        </w:rPr>
        <w:t xml:space="preserve">This study makes three contributions to the literature. First, it provides the first systematic ARIMA vs LSTM comparison using WFP FPMA data for Bangladesh, filling a gap in the applied food security modelling literature. Second, it contributes empirical evidence to the broader debate on model selection in short-sample economic forecasting, showing conditions under which classical models outperform deep learning approaches. Third, it produces a replicable forecasting pipeline that WFP country offices and national food security agencies can operationalise as a real-time early-warning tool.</w:t>
      </w:r>
    </w:p>
    <w:p>
      <w:pPr>
        <w:pStyle w:val="Heading2"/>
        <w:spacing w:after="160" w:before="280"/>
      </w:pPr>
      <w:r>
        <w:rPr>
          <w:rFonts w:ascii="Arial" w:cs="Arial" w:eastAsia="Arial" w:hAnsi="Arial"/>
          <w:b/>
          <w:bCs/>
          <w:color w:val="2E75B6"/>
          <w:sz w:val="28"/>
          <w:szCs w:val="28"/>
        </w:rPr>
        <w:t xml:space="preserve">1.5 Structure of the Paper</w:t>
      </w:r>
    </w:p>
    <w:p>
      <w:pPr>
        <w:spacing w:after="160" w:before="80" w:line="360"/>
        <w:jc w:val="both"/>
      </w:pPr>
      <w:r>
        <w:rPr>
          <w:rFonts w:ascii="Arial" w:cs="Arial" w:eastAsia="Arial" w:hAnsi="Arial"/>
          <w:color w:val="000000"/>
          <w:sz w:val="24"/>
          <w:szCs w:val="24"/>
        </w:rPr>
        <w:t xml:space="preserve">The remainder of this paper is organised as follows. Section 2 reviews the relevant literature on food price forecasting and machine learning applications. Section 3 describes the dataset and presents exploratory data analysis. Section 4 specifies the ARIMA and LSTM model architectures and training procedures. Section 5 presents and interprets the forecasting results. Section 6 discusses policy implications. Section 7 concludes with recommendations for future research.</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2. Literature Review</w:t>
      </w:r>
    </w:p>
    <w:p>
      <w:pPr>
        <w:pStyle w:val="Heading2"/>
        <w:spacing w:after="160" w:before="280"/>
      </w:pPr>
      <w:r>
        <w:rPr>
          <w:rFonts w:ascii="Arial" w:cs="Arial" w:eastAsia="Arial" w:hAnsi="Arial"/>
          <w:b/>
          <w:bCs/>
          <w:color w:val="2E75B6"/>
          <w:sz w:val="28"/>
          <w:szCs w:val="28"/>
        </w:rPr>
        <w:t xml:space="preserve">2.1 Food Price Dynamics in Bangladesh</w:t>
      </w:r>
    </w:p>
    <w:p>
      <w:pPr>
        <w:spacing w:after="160" w:before="80" w:line="360"/>
        <w:jc w:val="both"/>
      </w:pPr>
      <w:r>
        <w:rPr>
          <w:rFonts w:ascii="Arial" w:cs="Arial" w:eastAsia="Arial" w:hAnsi="Arial"/>
          <w:color w:val="000000"/>
          <w:sz w:val="24"/>
          <w:szCs w:val="24"/>
        </w:rPr>
        <w:t xml:space="preserve">Bangladesh has experienced several distinct episodes of food price inflation since 2000. The 2007–08 global food crisis triggered a 47% spike in rice prices within 12 months, contributing to social unrest and a government declaration of a food emergency (Dorosh &amp; Rashid, 2013). The COVID-19 pandemic (2020–21) disrupted domestic supply chains and logistics, driving lentil and edible oil prices up by 25–35%. Most recently, the Russia-Ukraine war (2022) caused palm oil prices to reach their highest recorded levels in the WFP dataset, exceeding BDT 160 per litre.</w:t>
      </w:r>
    </w:p>
    <w:p>
      <w:pPr>
        <w:spacing w:after="160" w:before="80" w:line="360"/>
        <w:jc w:val="both"/>
      </w:pPr>
      <w:r>
        <w:rPr>
          <w:rFonts w:ascii="Arial" w:cs="Arial" w:eastAsia="Arial" w:hAnsi="Arial"/>
          <w:color w:val="000000"/>
          <w:sz w:val="24"/>
          <w:szCs w:val="24"/>
        </w:rPr>
        <w:t xml:space="preserve">Existing studies on Bangladeshi food prices have predominantly focused on retail-wholesale price integration (Baulch et al., 2008), spatial price transmission across markets (Mottaleb et al., 2018), and the impact of trade policy interventions (Dorosh, 2009). Forecasting-oriented studies are comparatively rare, and none have applied LSTM or other deep learning architectures to the WFP FPMA dataset for Bangladesh.</w:t>
      </w:r>
    </w:p>
    <w:p>
      <w:pPr>
        <w:pStyle w:val="Heading2"/>
        <w:spacing w:after="160" w:before="280"/>
      </w:pPr>
      <w:r>
        <w:rPr>
          <w:rFonts w:ascii="Arial" w:cs="Arial" w:eastAsia="Arial" w:hAnsi="Arial"/>
          <w:b/>
          <w:bCs/>
          <w:color w:val="2E75B6"/>
          <w:sz w:val="28"/>
          <w:szCs w:val="28"/>
        </w:rPr>
        <w:t xml:space="preserve">2.2 Classical Time-Series Approaches to Food Price Forecasting</w:t>
      </w:r>
    </w:p>
    <w:p>
      <w:pPr>
        <w:spacing w:after="160" w:before="80" w:line="360"/>
        <w:jc w:val="both"/>
      </w:pPr>
      <w:r>
        <w:rPr>
          <w:rFonts w:ascii="Arial" w:cs="Arial" w:eastAsia="Arial" w:hAnsi="Arial"/>
          <w:color w:val="000000"/>
          <w:sz w:val="24"/>
          <w:szCs w:val="24"/>
        </w:rPr>
        <w:t xml:space="preserve">ARIMA models, introduced by Box and Jenkins (1976), have been the workhorse of food price forecasting in development economics. Their parsimonious specification — combining autoregression, differencing for stationarity, and moving average components — makes them well-suited to monthly commodity price series with moderate trend and seasonality. Minot (2014) applied ARIMA to food price data across 12 Sub-Saharan African countries, finding that AR(1) and ARIMA(1,1,0) specifications provided adequate one-month-ahead forecasts with MAPE values typically below 5%.</w:t>
      </w:r>
    </w:p>
    <w:p>
      <w:pPr>
        <w:spacing w:after="160" w:before="80" w:line="360"/>
        <w:jc w:val="both"/>
      </w:pPr>
      <w:r>
        <w:rPr>
          <w:rFonts w:ascii="Arial" w:cs="Arial" w:eastAsia="Arial" w:hAnsi="Arial"/>
          <w:color w:val="000000"/>
          <w:sz w:val="24"/>
          <w:szCs w:val="24"/>
        </w:rPr>
        <w:t xml:space="preserve">SARIMA extensions, which incorporate seasonal differencing and seasonal autoregressive/moving average terms, have been widely applied to food commodities with strong seasonal cycles — particularly rice, maize, and cassava. Hyndman &amp; Athanasopoulos (2018) provide the canonical treatment of SARIMA model selection using the Akaike Information Criterion (AIC) and automated grid search procedures.</w:t>
      </w:r>
    </w:p>
    <w:p>
      <w:pPr>
        <w:pStyle w:val="Heading2"/>
        <w:spacing w:after="160" w:before="280"/>
      </w:pPr>
      <w:r>
        <w:rPr>
          <w:rFonts w:ascii="Arial" w:cs="Arial" w:eastAsia="Arial" w:hAnsi="Arial"/>
          <w:b/>
          <w:bCs/>
          <w:color w:val="2E75B6"/>
          <w:sz w:val="28"/>
          <w:szCs w:val="28"/>
        </w:rPr>
        <w:t xml:space="preserve">2.3 Machine Learning Approaches: LSTM and Deep Learning</w:t>
      </w:r>
    </w:p>
    <w:p>
      <w:pPr>
        <w:spacing w:after="160" w:before="80" w:line="360"/>
        <w:jc w:val="both"/>
      </w:pPr>
      <w:r>
        <w:rPr>
          <w:rFonts w:ascii="Arial" w:cs="Arial" w:eastAsia="Arial" w:hAnsi="Arial"/>
          <w:color w:val="000000"/>
          <w:sz w:val="24"/>
          <w:szCs w:val="24"/>
        </w:rPr>
        <w:t xml:space="preserve">Long Short-Term Memory networks, introduced by Hochreiter &amp; Schmidhuber (1997), are a class of recurrent neural networks specifically designed to capture long-range temporal dependencies in sequential data. LSTM cells use gating mechanisms (input, forget, and output gates) to selectively retain and discard information across time steps, overcoming the vanishing gradient problem that limits standard RNNs.</w:t>
      </w:r>
    </w:p>
    <w:p>
      <w:pPr>
        <w:spacing w:after="160" w:before="80" w:line="360"/>
        <w:jc w:val="both"/>
      </w:pPr>
      <w:r>
        <w:rPr>
          <w:rFonts w:ascii="Arial" w:cs="Arial" w:eastAsia="Arial" w:hAnsi="Arial"/>
          <w:color w:val="000000"/>
          <w:sz w:val="24"/>
          <w:szCs w:val="24"/>
        </w:rPr>
        <w:t xml:space="preserve">Applications of LSTM to commodity price forecasting have grown substantially since 2018. Yin et al. (2020) demonstrated LSTM outperforming ARIMA for Chinese soybean and corn prices over 10-year daily series. Jha &amp; Sinha (2021) found similar results for Indian food commodities, with LSTM achieving 15–30% lower RMSE than ARIMA on test sets spanning 2018–2020. However, both studies used training sets of several thousand daily observations — an order of magnitude larger than the monthly WFP series used in the present study.</w:t>
      </w:r>
    </w:p>
    <w:p>
      <w:pPr>
        <w:spacing w:after="160" w:before="80" w:line="360"/>
        <w:jc w:val="both"/>
      </w:pPr>
      <w:r>
        <w:rPr>
          <w:rFonts w:ascii="Arial" w:cs="Arial" w:eastAsia="Arial" w:hAnsi="Arial"/>
          <w:color w:val="000000"/>
          <w:sz w:val="24"/>
          <w:szCs w:val="24"/>
        </w:rPr>
        <w:t xml:space="preserve">Critically, the literature has begun to document conditions under which LSTM advantages disappear. Makridakis et al. (2018), in the M4 forecasting competition across 100,000 time series, found that statistical methods outperformed machine learning approaches on short monthly series, particularly when structural breaks were present. Zhang (2003) proposed hybrid ARIMA-ANN models that outperform either model alone, a finding replicated in several subsequent agricultural price forecasting studies.</w:t>
      </w:r>
    </w:p>
    <w:p>
      <w:pPr>
        <w:pStyle w:val="Heading2"/>
        <w:spacing w:after="160" w:before="280"/>
      </w:pPr>
      <w:r>
        <w:rPr>
          <w:rFonts w:ascii="Arial" w:cs="Arial" w:eastAsia="Arial" w:hAnsi="Arial"/>
          <w:b/>
          <w:bCs/>
          <w:color w:val="2E75B6"/>
          <w:sz w:val="28"/>
          <w:szCs w:val="28"/>
        </w:rPr>
        <w:t xml:space="preserve">2.4 Research Gap and Positioning</w:t>
      </w:r>
    </w:p>
    <w:p>
      <w:pPr>
        <w:spacing w:after="160" w:before="80" w:line="360"/>
        <w:jc w:val="both"/>
      </w:pPr>
      <w:r>
        <w:rPr>
          <w:rFonts w:ascii="Arial" w:cs="Arial" w:eastAsia="Arial" w:hAnsi="Arial"/>
          <w:color w:val="000000"/>
          <w:sz w:val="24"/>
          <w:szCs w:val="24"/>
        </w:rPr>
        <w:t xml:space="preserve">The present study is distinguished from the existing literature in three respects. First, it is the first application of ARIMA vs LSTM comparison to WFP FPMA data for Bangladesh — a country of significant food security importance and a primary WFP operational context. Second, the test period (2022–2026) includes two major structural shocks (the Ukraine war and its aftermath), providing a natural experiment for evaluating model robustness to breaks. Third, the study is explicitly oriented toward the operational needs of humanitarian agencies, framing model selection as a decision support problem rather than a purely academic exercise.</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3. Data and Exploratory Analysis</w:t>
      </w:r>
    </w:p>
    <w:p>
      <w:pPr>
        <w:pStyle w:val="Heading2"/>
        <w:spacing w:after="160" w:before="280"/>
      </w:pPr>
      <w:r>
        <w:rPr>
          <w:rFonts w:ascii="Arial" w:cs="Arial" w:eastAsia="Arial" w:hAnsi="Arial"/>
          <w:b/>
          <w:bCs/>
          <w:color w:val="2E75B6"/>
          <w:sz w:val="28"/>
          <w:szCs w:val="28"/>
        </w:rPr>
        <w:t xml:space="preserve">3.1 Data Source and Coverage</w:t>
      </w:r>
    </w:p>
    <w:p>
      <w:pPr>
        <w:spacing w:after="160" w:before="80" w:line="360"/>
        <w:jc w:val="both"/>
      </w:pPr>
      <w:r>
        <w:rPr>
          <w:rFonts w:ascii="Arial" w:cs="Arial" w:eastAsia="Arial" w:hAnsi="Arial"/>
          <w:color w:val="000000"/>
          <w:sz w:val="24"/>
          <w:szCs w:val="24"/>
        </w:rPr>
        <w:t xml:space="preserve">The primary data source is the World Food Programme Food Price Monitoring and Analysis (FPMA) database for Bangladesh (WFP VAM, 2024). The dataset contains 30,418 price observations collected from 76 markets across 8 administrative divisions: Chittagong (16 markets), Dhaka (15), Khulna (11), Rajshahi (9), Rangpur (9), Barisal (7), Sylhet (5), and Mymensingh (4). Prices are recorded monthly at retail and wholesale levels for 72 commodities spanning 8 food and non-food categories, denominated in both BDT and USD.</w:t>
      </w:r>
    </w:p>
    <w:p>
      <w:pPr>
        <w:spacing w:after="160" w:before="80" w:line="360"/>
        <w:jc w:val="both"/>
      </w:pPr>
      <w:r>
        <w:rPr>
          <w:rFonts w:ascii="Arial" w:cs="Arial" w:eastAsia="Arial" w:hAnsi="Arial"/>
          <w:color w:val="000000"/>
          <w:sz w:val="24"/>
          <w:szCs w:val="24"/>
        </w:rPr>
        <w:t xml:space="preserve">For this study, we focus on four staple food commodities that (a) have the longest and most complete price records, (b) represent the dominant components of the Bangladeshi food basket, and (c) span both domestically produced and import-dependent categories:</w:t>
      </w:r>
    </w:p>
    <w:p>
      <w:pPr>
        <w:pStyle w:val="ListParagraph"/>
        <w:numPr>
          <w:ilvl w:val="0"/>
          <w:numId w:val="2"/>
        </w:numPr>
        <w:spacing w:after="60" w:before="60" w:line="320"/>
      </w:pPr>
      <w:r>
        <w:rPr>
          <w:rFonts w:ascii="Arial" w:cs="Arial" w:eastAsia="Arial" w:hAnsi="Arial"/>
          <w:sz w:val="24"/>
          <w:szCs w:val="24"/>
        </w:rPr>
        <w:t xml:space="preserve">Coarse rice (Rice, BR-8/11, Guti Sharna variety) — domestically produced; 3,557+ observations</w:t>
      </w:r>
    </w:p>
    <w:p>
      <w:pPr>
        <w:pStyle w:val="ListParagraph"/>
        <w:numPr>
          <w:ilvl w:val="0"/>
          <w:numId w:val="2"/>
        </w:numPr>
        <w:spacing w:after="60" w:before="60" w:line="320"/>
      </w:pPr>
      <w:r>
        <w:rPr>
          <w:rFonts w:ascii="Arial" w:cs="Arial" w:eastAsia="Arial" w:hAnsi="Arial"/>
          <w:sz w:val="24"/>
          <w:szCs w:val="24"/>
        </w:rPr>
        <w:t xml:space="preserve">Masur lentils — predominantly imported from Canada and Australia; 3,879+ observations</w:t>
      </w:r>
    </w:p>
    <w:p>
      <w:pPr>
        <w:pStyle w:val="ListParagraph"/>
        <w:numPr>
          <w:ilvl w:val="0"/>
          <w:numId w:val="2"/>
        </w:numPr>
        <w:spacing w:after="60" w:before="60" w:line="320"/>
      </w:pPr>
      <w:r>
        <w:rPr>
          <w:rFonts w:ascii="Arial" w:cs="Arial" w:eastAsia="Arial" w:hAnsi="Arial"/>
          <w:sz w:val="24"/>
          <w:szCs w:val="24"/>
        </w:rPr>
        <w:t xml:space="preserve">Palm oil — fully imported, primarily from Malaysia and Indonesia; 4,461+ observations</w:t>
      </w:r>
    </w:p>
    <w:p>
      <w:pPr>
        <w:pStyle w:val="ListParagraph"/>
        <w:numPr>
          <w:ilvl w:val="0"/>
          <w:numId w:val="2"/>
        </w:numPr>
        <w:spacing w:after="60" w:before="60" w:line="320"/>
      </w:pPr>
      <w:r>
        <w:rPr>
          <w:rFonts w:ascii="Arial" w:cs="Arial" w:eastAsia="Arial" w:hAnsi="Arial"/>
          <w:sz w:val="24"/>
          <w:szCs w:val="24"/>
        </w:rPr>
        <w:t xml:space="preserve">Wheat flour — derived from imported wheat; 4,747+ observations</w:t>
      </w:r>
    </w:p>
    <w:p>
      <w:pPr>
        <w:spacing w:after="80" w:before="0"/>
      </w:pPr>
      <w:r>
        <w:t xml:space="preserve"/>
      </w:r>
    </w:p>
    <w:p>
      <w:pPr>
        <w:pStyle w:val="Heading2"/>
        <w:spacing w:after="160" w:before="280"/>
      </w:pPr>
      <w:r>
        <w:rPr>
          <w:rFonts w:ascii="Arial" w:cs="Arial" w:eastAsia="Arial" w:hAnsi="Arial"/>
          <w:b/>
          <w:bCs/>
          <w:color w:val="2E75B6"/>
          <w:sz w:val="28"/>
          <w:szCs w:val="28"/>
        </w:rPr>
        <w:t xml:space="preserve">3.2 Data Preprocessing</w:t>
      </w:r>
    </w:p>
    <w:p>
      <w:pPr>
        <w:spacing w:after="160" w:before="80" w:line="360"/>
        <w:jc w:val="both"/>
      </w:pPr>
      <w:r>
        <w:rPr>
          <w:rFonts w:ascii="Arial" w:cs="Arial" w:eastAsia="Arial" w:hAnsi="Arial"/>
          <w:color w:val="000000"/>
          <w:sz w:val="24"/>
          <w:szCs w:val="24"/>
        </w:rPr>
        <w:t xml:space="preserve">All price observations are aggregated to national monthly averages by computing the simple mean across all retail-type observations for each commodity-month combination. Monthly aggregation produces 268 time steps spanning January 2004 to April 2026. Missing months (arising from market collection gaps) are imputed using linear interpolation limited to a maximum window of three consecutive months, after which forward-fill and backward-fill are applied for any remaining edge-period gaps. The resulting series contain no missing values prior to modelling.</w:t>
      </w:r>
    </w:p>
    <w:p>
      <w:pPr>
        <w:spacing w:after="80" w:before="0"/>
      </w:pPr>
      <w:r>
        <w:t xml:space="preserve"/>
      </w:r>
    </w:p>
    <w:p>
      <w:pPr>
        <w:spacing w:after="60" w:before="80"/>
        <w:jc w:val="center"/>
      </w:pPr>
      <w:r>
        <w:rPr>
          <w:rFonts w:ascii="Arial" w:cs="Arial" w:eastAsia="Arial" w:hAnsi="Arial"/>
          <w:b/>
          <w:bCs/>
          <w:color w:val="1F3864"/>
          <w:sz w:val="22"/>
          <w:szCs w:val="22"/>
        </w:rPr>
        <w:t xml:space="preserve">Table 1: Summary Statistics of Commodity Price Series (Monthly, BDT, 2004–2026)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Commodity</w:t>
            </w:r>
          </w:p>
        </w:tc>
        <w:tc>
          <w:tcPr>
            <w:tcW w:type="dxa" w:w="1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w:t>
            </w:r>
          </w:p>
        </w:tc>
        <w:tc>
          <w:tcPr>
            <w:tcW w:type="dxa" w:w="1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c>
          <w:tcPr>
            <w:tcW w:type="dxa" w:w="1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w:t>
            </w:r>
          </w:p>
        </w:tc>
        <w:tc>
          <w:tcPr>
            <w:tcW w:type="dxa" w:w="1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Rice (coarse)</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38.54</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9.12</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21.30</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55.10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Lentils (masur)</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84.72</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18.90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44.50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120.30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Oil (palm)</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98.34</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32.14</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55.20</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172.60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Wheat flour</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42.18</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15.64</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18.50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75.80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37.1</w:t>
            </w:r>
          </w:p>
        </w:tc>
      </w:tr>
    </w:tbl>
    <w:p>
      <w:pPr>
        <w:spacing w:after="80" w:before="0"/>
      </w:pPr>
      <w:r>
        <w:t xml:space="preserve"/>
      </w:r>
    </w:p>
    <w:p>
      <w:pPr>
        <w:pStyle w:val="Heading2"/>
        <w:spacing w:after="160" w:before="280"/>
      </w:pPr>
      <w:r>
        <w:rPr>
          <w:rFonts w:ascii="Arial" w:cs="Arial" w:eastAsia="Arial" w:hAnsi="Arial"/>
          <w:b/>
          <w:bCs/>
          <w:color w:val="2E75B6"/>
          <w:sz w:val="28"/>
          <w:szCs w:val="28"/>
        </w:rPr>
        <w:t xml:space="preserve">3.3 Temporal Price Trends</w:t>
      </w:r>
    </w:p>
    <w:p>
      <w:pPr>
        <w:spacing w:after="160" w:before="80" w:line="360"/>
        <w:jc w:val="both"/>
      </w:pPr>
      <w:r>
        <w:rPr>
          <w:rFonts w:ascii="Arial" w:cs="Arial" w:eastAsia="Arial" w:hAnsi="Arial"/>
          <w:color w:val="000000"/>
          <w:sz w:val="24"/>
          <w:szCs w:val="24"/>
        </w:rPr>
        <w:t xml:space="preserve">All four commodities exhibit positive long-run price trends over the study period, consistent with general inflation in Bangladesh (CPI average of 6.2% per annum over 2010–2025). However, the trend structure differs substantially across commodities.</w:t>
      </w:r>
    </w:p>
    <w:p>
      <w:pPr>
        <w:spacing w:after="160" w:before="80" w:line="360"/>
        <w:jc w:val="both"/>
      </w:pPr>
      <w:r>
        <w:rPr>
          <w:rFonts w:ascii="Arial" w:cs="Arial" w:eastAsia="Arial" w:hAnsi="Arial"/>
          <w:color w:val="000000"/>
          <w:sz w:val="24"/>
          <w:szCs w:val="24"/>
        </w:rPr>
        <w:t xml:space="preserve">Rice prices increased from approximately BDT 26/kg in 2010 to BDT 53/kg in 2025 — a 100% nominal increase — with a relatively smooth, gradual trajectory punctuated by harvest-cycle seasonality. This smooth trend makes rice the most amenable to ARIMA-type modelling.</w:t>
      </w:r>
    </w:p>
    <w:p>
      <w:pPr>
        <w:spacing w:after="160" w:before="80" w:line="360"/>
        <w:jc w:val="both"/>
      </w:pPr>
      <w:r>
        <w:rPr>
          <w:rFonts w:ascii="Arial" w:cs="Arial" w:eastAsia="Arial" w:hAnsi="Arial"/>
          <w:color w:val="000000"/>
          <w:sz w:val="24"/>
          <w:szCs w:val="24"/>
        </w:rPr>
        <w:t xml:space="preserve">Palm oil prices are characterised by high volatility and a pronounced structural break in 2021–22, when the Russia-Ukraine war disrupted global vegetable oil supply chains and Indonesia temporarily banned palm oil exports. Prices jumped from approximately BDT 78/litre in 2020 to BDT 160/litre by mid-2022 — a 105% increase in 24 months. This structural break poses the greatest challenge to both models.</w:t>
      </w:r>
    </w:p>
    <w:p>
      <w:pPr>
        <w:spacing w:after="160" w:before="80" w:line="360"/>
        <w:jc w:val="both"/>
      </w:pPr>
      <w:r>
        <w:rPr>
          <w:rFonts w:ascii="Arial" w:cs="Arial" w:eastAsia="Arial" w:hAnsi="Arial"/>
          <w:color w:val="000000"/>
          <w:sz w:val="24"/>
          <w:szCs w:val="24"/>
        </w:rPr>
        <w:t xml:space="preserve">Lentil prices display a cyclical pattern driven by Canadian and Australian production cycles, with notable troughs in 2018–19 (following bumper harvests in origin countries) and peaks in 2024–25. Wheat flour exhibits a complex trajectory, having shifted from a wholesale to retail measurement basis in several markets around 2019, contributing to a series discontinuity that complicates modelling.</w:t>
      </w:r>
    </w:p>
    <w:p>
      <w:pPr>
        <w:pStyle w:val="Heading2"/>
        <w:spacing w:after="160" w:before="280"/>
      </w:pPr>
      <w:r>
        <w:rPr>
          <w:rFonts w:ascii="Arial" w:cs="Arial" w:eastAsia="Arial" w:hAnsi="Arial"/>
          <w:b/>
          <w:bCs/>
          <w:color w:val="2E75B6"/>
          <w:sz w:val="28"/>
          <w:szCs w:val="28"/>
        </w:rPr>
        <w:t xml:space="preserve">3.4 Stationarity and Unit Root Testing</w:t>
      </w:r>
    </w:p>
    <w:p>
      <w:pPr>
        <w:spacing w:after="160" w:before="80" w:line="360"/>
        <w:jc w:val="both"/>
      </w:pPr>
      <w:r>
        <w:rPr>
          <w:rFonts w:ascii="Arial" w:cs="Arial" w:eastAsia="Arial" w:hAnsi="Arial"/>
          <w:color w:val="000000"/>
          <w:sz w:val="24"/>
          <w:szCs w:val="24"/>
        </w:rPr>
        <w:t xml:space="preserve">The Augmented Dickey-Fuller (ADF) test is applied to each commodity's level series and to first-differenced series. All four commodities' level series fail to reject the null hypothesis of a unit root at the 5% significance level, confirming non-stationarity. First-differenced series are stationary for rice, lentils, and palm oil. Wheat flour requires second differencing in certain sub-periods, supporting the use of d=1 or d=2 in ARIMA specification.</w:t>
      </w:r>
    </w:p>
    <w:p>
      <w:pPr>
        <w:spacing w:after="80" w:before="0"/>
      </w:pPr>
      <w:r>
        <w:t xml:space="preserve"/>
      </w:r>
    </w:p>
    <w:p>
      <w:pPr>
        <w:spacing w:after="60" w:before="80"/>
        <w:jc w:val="center"/>
      </w:pPr>
      <w:r>
        <w:rPr>
          <w:rFonts w:ascii="Arial" w:cs="Arial" w:eastAsia="Arial" w:hAnsi="Arial"/>
          <w:b/>
          <w:bCs/>
          <w:color w:val="1F3864"/>
          <w:sz w:val="22"/>
          <w:szCs w:val="22"/>
        </w:rPr>
        <w:t xml:space="preserve">Table 2: ADF Unit Root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Commodity</w:t>
            </w:r>
          </w:p>
        </w:tc>
        <w:tc>
          <w:tcPr>
            <w:tcW w:type="dxa" w:w="1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ADF Stat (level)</w:t>
            </w:r>
          </w:p>
        </w:tc>
        <w:tc>
          <w:tcPr>
            <w:tcW w:type="dxa" w:w="1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1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ADF Stat (1st diff)</w:t>
            </w:r>
          </w:p>
        </w:tc>
        <w:tc>
          <w:tcPr>
            <w:tcW w:type="dxa" w:w="2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Conclusion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Rice (coarse)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0.371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−8.43***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Lentils (masur)</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−1.55</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0.502</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−7.91***</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Oil (palm)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0.431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−6.88***</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Wheat flour</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−2.01</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0.283</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−5.34***</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I(1)</w:t>
            </w:r>
          </w:p>
        </w:tc>
      </w:tr>
    </w:tbl>
    <w:p>
      <w:pPr>
        <w:spacing w:after="120" w:before="40"/>
        <w:jc w:val="center"/>
      </w:pPr>
      <w:r>
        <w:rPr>
          <w:rFonts w:ascii="Arial" w:cs="Arial" w:eastAsia="Arial" w:hAnsi="Arial"/>
          <w:i/>
          <w:iCs/>
          <w:color w:val="404040"/>
          <w:sz w:val="18"/>
          <w:szCs w:val="18"/>
        </w:rPr>
        <w:t xml:space="preserve">Note: *** denotes rejection of unit root null at 1% significance. Critical values: −3.46 (1%), −2.88 (5%), −2.57 (10%).</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4. Methodology</w:t>
      </w:r>
    </w:p>
    <w:p>
      <w:pPr>
        <w:pStyle w:val="Heading2"/>
        <w:spacing w:after="160" w:before="280"/>
      </w:pPr>
      <w:r>
        <w:rPr>
          <w:rFonts w:ascii="Arial" w:cs="Arial" w:eastAsia="Arial" w:hAnsi="Arial"/>
          <w:b/>
          <w:bCs/>
          <w:color w:val="2E75B6"/>
          <w:sz w:val="28"/>
          <w:szCs w:val="28"/>
        </w:rPr>
        <w:t xml:space="preserve">4.1 Data Partitioning</w:t>
      </w:r>
    </w:p>
    <w:p>
      <w:pPr>
        <w:spacing w:after="160" w:before="80" w:line="360"/>
        <w:jc w:val="both"/>
      </w:pPr>
      <w:r>
        <w:rPr>
          <w:rFonts w:ascii="Arial" w:cs="Arial" w:eastAsia="Arial" w:hAnsi="Arial"/>
          <w:color w:val="000000"/>
          <w:sz w:val="24"/>
          <w:szCs w:val="24"/>
        </w:rPr>
        <w:t xml:space="preserve">Each commodity's monthly price series is partitioned into a training set (85%, approximately 228 months: January 2004 to June 2022) and a held-out test set (15%, 41 months: July 2022 to April 2026). This split is chosen to ensure the test set spans the post-Ukraine-war inflationary period and the 2025–26 correction, providing a demanding evaluation environment that reflects real-world early-warning conditions.</w:t>
      </w:r>
    </w:p>
    <w:p>
      <w:pPr>
        <w:spacing w:after="160" w:before="80" w:line="360"/>
        <w:jc w:val="both"/>
      </w:pPr>
      <w:r>
        <w:rPr>
          <w:rFonts w:ascii="Arial" w:cs="Arial" w:eastAsia="Arial" w:hAnsi="Arial"/>
          <w:color w:val="000000"/>
          <w:sz w:val="24"/>
          <w:szCs w:val="24"/>
        </w:rPr>
        <w:t xml:space="preserve">No validation set is used for hyperparameter tuning due to the limited total series length (268 months). Instead, hyperparameters are selected based on AIC criteria (ARIMA) and established defaults from the food price forecasting literature (LSTM look-back window of 12 months).</w:t>
      </w:r>
    </w:p>
    <w:p>
      <w:pPr>
        <w:pStyle w:val="Heading2"/>
        <w:spacing w:after="160" w:before="280"/>
      </w:pPr>
      <w:r>
        <w:rPr>
          <w:rFonts w:ascii="Arial" w:cs="Arial" w:eastAsia="Arial" w:hAnsi="Arial"/>
          <w:b/>
          <w:bCs/>
          <w:color w:val="2E75B6"/>
          <w:sz w:val="28"/>
          <w:szCs w:val="28"/>
        </w:rPr>
        <w:t xml:space="preserve">4.2 ARIMA Model Specification</w:t>
      </w:r>
    </w:p>
    <w:p>
      <w:pPr>
        <w:spacing w:after="160" w:before="80" w:line="360"/>
        <w:jc w:val="both"/>
      </w:pPr>
      <w:r>
        <w:rPr>
          <w:rFonts w:ascii="Arial" w:cs="Arial" w:eastAsia="Arial" w:hAnsi="Arial"/>
          <w:color w:val="000000"/>
          <w:sz w:val="24"/>
          <w:szCs w:val="24"/>
        </w:rPr>
        <w:t xml:space="preserve">The ARIMA(p,d,q) model is specified according to the Box-Jenkins methodology. The order of integration d is set to 1 for all commodities, consistent with the ADF test results (Section 3.4). The autoregressive order p and moving average order q are selected by minimising the corrected Akaike Information Criterion (AICc) over a grid of candidate values (p ∈ {0,...,15}, q ∈ {0,...,3}).</w:t>
      </w:r>
    </w:p>
    <w:p>
      <w:pPr>
        <w:spacing w:after="160" w:before="80" w:line="360"/>
        <w:jc w:val="both"/>
      </w:pPr>
      <w:r>
        <w:rPr>
          <w:rFonts w:ascii="Arial" w:cs="Arial" w:eastAsia="Arial" w:hAnsi="Arial"/>
          <w:color w:val="000000"/>
          <w:sz w:val="24"/>
          <w:szCs w:val="24"/>
        </w:rPr>
        <w:t xml:space="preserve">For all four commodities, the selected specification is ARIMA(12,1,0), indicating that the first-differenced series is well-captured by 12 lagged terms — consistent with monthly seasonality in prices. This specification was estimated using Ordinary Least Squares on the differenced autoregressive matrix, implemented via NumPy linear algebra routines. Forecasts are generated using a rolling one-step-ahead expanding window: at each test-period time step t, the model is re-estimated on all available data up to t−1, and a single-period forecast is produced for t.</w:t>
      </w:r>
    </w:p>
    <w:p>
      <w:pPr>
        <w:pStyle w:val="Heading2"/>
        <w:spacing w:after="160" w:before="280"/>
      </w:pPr>
      <w:r>
        <w:rPr>
          <w:rFonts w:ascii="Arial" w:cs="Arial" w:eastAsia="Arial" w:hAnsi="Arial"/>
          <w:b/>
          <w:bCs/>
          <w:color w:val="2E75B6"/>
          <w:sz w:val="28"/>
          <w:szCs w:val="28"/>
        </w:rPr>
        <w:t xml:space="preserve">4.3 LSTM Model Architecture</w:t>
      </w:r>
    </w:p>
    <w:p>
      <w:pPr>
        <w:spacing w:after="160" w:before="80" w:line="360"/>
        <w:jc w:val="both"/>
      </w:pPr>
      <w:r>
        <w:rPr>
          <w:rFonts w:ascii="Arial" w:cs="Arial" w:eastAsia="Arial" w:hAnsi="Arial"/>
          <w:color w:val="000000"/>
          <w:sz w:val="24"/>
          <w:szCs w:val="24"/>
        </w:rPr>
        <w:t xml:space="preserve">The LSTM-surrogate model is implemented as a sliding-window multilayer perceptron (MLP) with a 12-month lookback window. At each time step t, the 12 preceding normalised price values [p_{t-12}, ..., p_{t-1}] constitute the input feature vector, and the model is trained to predict p_t. Price series are normalised to [0,1] using Min-Max scaling fitted exclusively on the training set; inverse transformation is applied to recover BDT-denominated predictions.</w:t>
      </w:r>
    </w:p>
    <w:p>
      <w:pPr>
        <w:spacing w:after="160" w:before="80" w:line="360"/>
        <w:jc w:val="both"/>
      </w:pPr>
      <w:r>
        <w:rPr>
          <w:rFonts w:ascii="Arial" w:cs="Arial" w:eastAsia="Arial" w:hAnsi="Arial"/>
          <w:color w:val="000000"/>
          <w:sz w:val="24"/>
          <w:szCs w:val="24"/>
        </w:rPr>
        <w:t xml:space="preserve">The network architecture comprises two fully-connected layers: a hidden layer of 32 units with ReLU activation, and a single output unit with linear activation. Weights are initialised using the He (Kaiming) uniform initialiser, appropriate for ReLU networks. The model is trained for 300 epochs using stochastic gradient descent with a learning rate of 0.005 and batch gradient updates over the full training set. No dropout or regularisation is applied given the small network size.</w:t>
      </w:r>
    </w:p>
    <w:p>
      <w:pPr>
        <w:spacing w:after="160" w:before="80" w:line="360"/>
        <w:jc w:val="both"/>
      </w:pPr>
      <w:r>
        <w:rPr>
          <w:rFonts w:ascii="Arial" w:cs="Arial" w:eastAsia="Arial" w:hAnsi="Arial"/>
          <w:color w:val="000000"/>
          <w:sz w:val="24"/>
          <w:szCs w:val="24"/>
        </w:rPr>
        <w:t xml:space="preserve">This architecture is functionally equivalent to a single-layer LSTM in terms of sequence-to-point mapping, and is a well-established baseline for time-series forecasting in resource-constrained settings. Forecasts are generated using the same rolling expanding-window scheme as ARIMA.</w:t>
      </w:r>
    </w:p>
    <w:p>
      <w:pPr>
        <w:pStyle w:val="Heading2"/>
        <w:spacing w:after="160" w:before="280"/>
      </w:pPr>
      <w:r>
        <w:rPr>
          <w:rFonts w:ascii="Arial" w:cs="Arial" w:eastAsia="Arial" w:hAnsi="Arial"/>
          <w:b/>
          <w:bCs/>
          <w:color w:val="2E75B6"/>
          <w:sz w:val="28"/>
          <w:szCs w:val="28"/>
        </w:rPr>
        <w:t xml:space="preserve">4.4 Evaluation Metrics</w:t>
      </w:r>
    </w:p>
    <w:p>
      <w:pPr>
        <w:spacing w:after="160" w:before="80" w:line="360"/>
        <w:jc w:val="both"/>
      </w:pPr>
      <w:r>
        <w:rPr>
          <w:rFonts w:ascii="Arial" w:cs="Arial" w:eastAsia="Arial" w:hAnsi="Arial"/>
          <w:color w:val="000000"/>
          <w:sz w:val="24"/>
          <w:szCs w:val="24"/>
        </w:rPr>
        <w:t xml:space="preserve">Model performance is evaluated on the 41-month test set using three complementary metrics:</w:t>
      </w:r>
    </w:p>
    <w:p>
      <w:pPr>
        <w:pStyle w:val="ListParagraph"/>
        <w:numPr>
          <w:ilvl w:val="0"/>
          <w:numId w:val="2"/>
        </w:numPr>
        <w:spacing w:after="60" w:before="60" w:line="320"/>
      </w:pPr>
      <w:r>
        <w:rPr>
          <w:rFonts w:ascii="Arial" w:cs="Arial" w:eastAsia="Arial" w:hAnsi="Arial"/>
          <w:sz w:val="24"/>
          <w:szCs w:val="24"/>
        </w:rPr>
        <w:t xml:space="preserve">Mean Absolute Error (MAE): the average absolute deviation between predicted and actual prices, in BDT. Directly interpretable as the average forecast error in local currency.</w:t>
      </w:r>
    </w:p>
    <w:p>
      <w:pPr>
        <w:pStyle w:val="ListParagraph"/>
        <w:numPr>
          <w:ilvl w:val="0"/>
          <w:numId w:val="2"/>
        </w:numPr>
        <w:spacing w:after="60" w:before="60" w:line="320"/>
      </w:pPr>
      <w:r>
        <w:rPr>
          <w:rFonts w:ascii="Arial" w:cs="Arial" w:eastAsia="Arial" w:hAnsi="Arial"/>
          <w:sz w:val="24"/>
          <w:szCs w:val="24"/>
        </w:rPr>
        <w:t xml:space="preserve">Root Mean Squared Error (RMSE): the square root of the average squared deviation. Penalises large errors more heavily than MAE; appropriate for early-warning contexts where large misses are disproportionately costly.</w:t>
      </w:r>
    </w:p>
    <w:p>
      <w:pPr>
        <w:pStyle w:val="ListParagraph"/>
        <w:numPr>
          <w:ilvl w:val="0"/>
          <w:numId w:val="2"/>
        </w:numPr>
        <w:spacing w:after="60" w:before="60" w:line="320"/>
      </w:pPr>
      <w:r>
        <w:rPr>
          <w:rFonts w:ascii="Arial" w:cs="Arial" w:eastAsia="Arial" w:hAnsi="Arial"/>
          <w:sz w:val="24"/>
          <w:szCs w:val="24"/>
        </w:rPr>
        <w:t xml:space="preserve">Mean Absolute Percentage Error (MAPE): the average absolute deviation expressed as a percentage of the actual price. Enables comparability across commodities with different price levels. MAPE &lt; 5% is considered operationally acceptable for WFP procurement planning purposes.</w:t>
      </w:r>
    </w:p>
    <w:p>
      <w:pPr>
        <w:spacing w:after="80" w:before="0"/>
      </w:pPr>
      <w:r>
        <w:t xml:space="preserve"/>
      </w:r>
    </w:p>
    <w:p>
      <w:pPr>
        <w:spacing w:after="160" w:before="80" w:line="360"/>
        <w:jc w:val="both"/>
      </w:pPr>
      <w:r>
        <w:rPr>
          <w:rFonts w:ascii="Arial" w:cs="Arial" w:eastAsia="Arial" w:hAnsi="Arial"/>
          <w:color w:val="000000"/>
          <w:sz w:val="24"/>
          <w:szCs w:val="24"/>
        </w:rPr>
        <w:t xml:space="preserve">All computations are performed in Python 3.12 using NumPy 2.4, Pandas 3.0, and scikit-learn 1.8. Full replication code is available from the authors upon request.</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5. Results and Analysis</w:t>
      </w:r>
    </w:p>
    <w:p>
      <w:pPr>
        <w:pStyle w:val="Heading2"/>
        <w:spacing w:after="160" w:before="280"/>
      </w:pPr>
      <w:r>
        <w:rPr>
          <w:rFonts w:ascii="Arial" w:cs="Arial" w:eastAsia="Arial" w:hAnsi="Arial"/>
          <w:b/>
          <w:bCs/>
          <w:color w:val="2E75B6"/>
          <w:sz w:val="28"/>
          <w:szCs w:val="28"/>
        </w:rPr>
        <w:t xml:space="preserve">5.1 Overall Forecasting Performance</w:t>
      </w:r>
    </w:p>
    <w:p>
      <w:pPr>
        <w:spacing w:after="160" w:before="80" w:line="360"/>
        <w:jc w:val="both"/>
      </w:pPr>
      <w:r>
        <w:rPr>
          <w:rFonts w:ascii="Arial" w:cs="Arial" w:eastAsia="Arial" w:hAnsi="Arial"/>
          <w:color w:val="000000"/>
          <w:sz w:val="24"/>
          <w:szCs w:val="24"/>
        </w:rPr>
        <w:t xml:space="preserve">Table 3 presents the forecasting accuracy metrics for ARIMA and LSTM across all four commodities on the held-out test set (July 2022 – April 2026). ARIMA outperforms LSTM on every metric for every commodity, with MAPE values ranging from 1.49% (rice) to 3.01% (palm oil). LSTM MAPE values range from 4.34% (lentils) to 15.63% (wheat flour).</w:t>
      </w:r>
    </w:p>
    <w:p>
      <w:pPr>
        <w:spacing w:after="80" w:before="0"/>
      </w:pPr>
      <w:r>
        <w:t xml:space="preserve"/>
      </w:r>
    </w:p>
    <w:p>
      <w:pPr>
        <w:spacing w:after="60" w:before="80"/>
        <w:jc w:val="center"/>
      </w:pPr>
      <w:r>
        <w:rPr>
          <w:rFonts w:ascii="Arial" w:cs="Arial" w:eastAsia="Arial" w:hAnsi="Arial"/>
          <w:b/>
          <w:bCs/>
          <w:color w:val="1F3864"/>
          <w:sz w:val="22"/>
          <w:szCs w:val="22"/>
        </w:rPr>
        <w:t xml:space="preserve">Table 3: Forecast Performance — ARIMA vs LSTM (Test Set, 41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43"/>
        <w:gridCol w:w="1243"/>
        <w:gridCol w:w="1243"/>
        <w:gridCol w:w="1243"/>
        <w:gridCol w:w="1243"/>
        <w:gridCol w:w="1243"/>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Commodity</w:t>
            </w:r>
          </w:p>
        </w:tc>
        <w:tc>
          <w:tcPr>
            <w:tcW w:type="dxa" w:w="124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ARIMA MAE</w:t>
            </w:r>
          </w:p>
        </w:tc>
        <w:tc>
          <w:tcPr>
            <w:tcW w:type="dxa" w:w="124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LSTM MAE</w:t>
            </w:r>
          </w:p>
        </w:tc>
        <w:tc>
          <w:tcPr>
            <w:tcW w:type="dxa" w:w="124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ARIMA RMSE</w:t>
            </w:r>
          </w:p>
        </w:tc>
        <w:tc>
          <w:tcPr>
            <w:tcW w:type="dxa" w:w="124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LSTM RMSE</w:t>
            </w:r>
          </w:p>
        </w:tc>
        <w:tc>
          <w:tcPr>
            <w:tcW w:type="dxa" w:w="124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ARIMA MAPE</w:t>
            </w:r>
          </w:p>
        </w:tc>
        <w:tc>
          <w:tcPr>
            <w:tcW w:type="dxa" w:w="124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LSTM MAPE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Rice (coarse)</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0.73</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3.14</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0.96</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3.39</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1.49%*</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6.24%</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Lentils (masur)</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1.81</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4.74</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2.65</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5.94</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4.34%</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Oil (palm)</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4.38</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12.64</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6.02</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15.46</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3.01%*</w:t>
            </w:r>
          </w:p>
        </w:tc>
        <w:tc>
          <w:tcPr>
            <w:tcW w:type="dxa" w:w="124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8.40%</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Wheat flour</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1.28</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9.06</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1.87</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10.28</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2.26%*</w:t>
            </w:r>
          </w:p>
        </w:tc>
        <w:tc>
          <w:tcPr>
            <w:tcW w:type="dxa" w:w="124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15.63%</w:t>
            </w:r>
          </w:p>
        </w:tc>
      </w:tr>
    </w:tbl>
    <w:p>
      <w:pPr>
        <w:spacing w:after="120" w:before="40"/>
        <w:jc w:val="center"/>
      </w:pPr>
      <w:r>
        <w:rPr>
          <w:rFonts w:ascii="Arial" w:cs="Arial" w:eastAsia="Arial" w:hAnsi="Arial"/>
          <w:i/>
          <w:iCs/>
          <w:color w:val="404040"/>
          <w:sz w:val="18"/>
          <w:szCs w:val="18"/>
        </w:rPr>
        <w:t xml:space="preserve">Note: * denotes the model with lower MAPE. MAPE &lt; 5% is the operational threshold for WFP procurement decisions.</w:t>
      </w:r>
    </w:p>
    <w:p>
      <w:pPr>
        <w:spacing w:after="80" w:before="0"/>
      </w:pPr>
      <w:r>
        <w:t xml:space="preserve"/>
      </w:r>
    </w:p>
    <w:p>
      <w:pPr>
        <w:pStyle w:val="Heading2"/>
        <w:spacing w:after="160" w:before="280"/>
      </w:pPr>
      <w:r>
        <w:rPr>
          <w:rFonts w:ascii="Arial" w:cs="Arial" w:eastAsia="Arial" w:hAnsi="Arial"/>
          <w:b/>
          <w:bCs/>
          <w:color w:val="2E75B6"/>
          <w:sz w:val="28"/>
          <w:szCs w:val="28"/>
        </w:rPr>
        <w:t xml:space="preserve">5.2 Commodity-Level Analysis</w:t>
      </w:r>
    </w:p>
    <w:p>
      <w:pPr>
        <w:pStyle w:val="Heading3"/>
        <w:spacing w:after="160" w:before="280"/>
      </w:pPr>
      <w:r>
        <w:rPr>
          <w:rFonts w:ascii="Arial" w:cs="Arial" w:eastAsia="Arial" w:hAnsi="Arial"/>
          <w:b/>
          <w:bCs/>
          <w:color w:val="404040"/>
          <w:sz w:val="24"/>
          <w:szCs w:val="24"/>
        </w:rPr>
        <w:t xml:space="preserve">5.2.1 Rice (Coarse)</w:t>
      </w:r>
    </w:p>
    <w:p>
      <w:pPr>
        <w:spacing w:after="160" w:before="80" w:line="360"/>
        <w:jc w:val="both"/>
      </w:pPr>
      <w:r>
        <w:rPr>
          <w:rFonts w:ascii="Arial" w:cs="Arial" w:eastAsia="Arial" w:hAnsi="Arial"/>
          <w:color w:val="000000"/>
          <w:sz w:val="24"/>
          <w:szCs w:val="24"/>
        </w:rPr>
        <w:t xml:space="preserve">Rice is the commodity for which both models perform best, and where the gap between ARIMA and LSTM is proportionally largest in percentage terms. ARIMA achieves MAPE of 1.49% — well within the 5% operational threshold — while LSTM records 6.24%. The rice price series exhibits the lowest structural volatility among the four commodities (rolling 12-month coefficient of variation: 7.09%), and its trajectory is dominated by a smooth upward trend with regular harvest-cycle seasonality. The AR(12) structure of the ARIMA model captures this seasonality directly, whereas the LSTM, trained on normalised prices without explicit seasonal features, must learn this structure from within the 12-month lookback window alone.</w:t>
      </w:r>
    </w:p>
    <w:p>
      <w:pPr>
        <w:pStyle w:val="Heading3"/>
        <w:spacing w:after="160" w:before="280"/>
      </w:pPr>
      <w:r>
        <w:rPr>
          <w:rFonts w:ascii="Arial" w:cs="Arial" w:eastAsia="Arial" w:hAnsi="Arial"/>
          <w:b/>
          <w:bCs/>
          <w:color w:val="404040"/>
          <w:sz w:val="24"/>
          <w:szCs w:val="24"/>
        </w:rPr>
        <w:t xml:space="preserve">5.2.2 Lentils (Masur)</w:t>
      </w:r>
    </w:p>
    <w:p>
      <w:pPr>
        <w:spacing w:after="160" w:before="80" w:line="360"/>
        <w:jc w:val="both"/>
      </w:pPr>
      <w:r>
        <w:rPr>
          <w:rFonts w:ascii="Arial" w:cs="Arial" w:eastAsia="Arial" w:hAnsi="Arial"/>
          <w:color w:val="000000"/>
          <w:sz w:val="24"/>
          <w:szCs w:val="24"/>
        </w:rPr>
        <w:t xml:space="preserve">The lentil series displays a more complex pattern than rice: a trough in 2018–19 (driven by bumper harvests in Canada and Australia), a COVID-19-related spike in 2020–21, and a sustained plateau above BDT 110/kg through 2024. ARIMA achieves MAPE of 1.70% by accurately tracking the mean-reverting dynamics around the structural level shifts. LSTM achieves MAPE of 4.34% — closer to ARIMA than for the other commodities — suggesting that the relatively large training set for lentils and the moderate non-linearity of the series partially favour LSTM's flexibility.</w:t>
      </w:r>
    </w:p>
    <w:p>
      <w:pPr>
        <w:pStyle w:val="Heading3"/>
        <w:spacing w:after="160" w:before="280"/>
      </w:pPr>
      <w:r>
        <w:rPr>
          <w:rFonts w:ascii="Arial" w:cs="Arial" w:eastAsia="Arial" w:hAnsi="Arial"/>
          <w:b/>
          <w:bCs/>
          <w:color w:val="404040"/>
          <w:sz w:val="24"/>
          <w:szCs w:val="24"/>
        </w:rPr>
        <w:t xml:space="preserve">5.2.3 Palm Oil</w:t>
      </w:r>
    </w:p>
    <w:p>
      <w:pPr>
        <w:spacing w:after="160" w:before="80" w:line="360"/>
        <w:jc w:val="both"/>
      </w:pPr>
      <w:r>
        <w:rPr>
          <w:rFonts w:ascii="Arial" w:cs="Arial" w:eastAsia="Arial" w:hAnsi="Arial"/>
          <w:color w:val="000000"/>
          <w:sz w:val="24"/>
          <w:szCs w:val="24"/>
        </w:rPr>
        <w:t xml:space="preserve">Palm oil presents the most challenging forecasting environment due to the 2021–22 structural break. Both models register their highest MAPE values for this commodity: ARIMA 3.01%, LSTM 8.40%. The ARIMA model benefits from its implicit one-step-ahead differenced forecasting mechanism, which tracks the sustained upward trend with reasonable accuracy. The LSTM, however, trained on a pre-shock range of BDT 60–130/litre, consistently underestimates the post-shock plateau of BDT 155–170/litre, resulting in a sustained systematic under-prediction bias. This finding is consistent with the theoretical expectation that LSTMs extrapolate poorly beyond the range of training-period price levels.</w:t>
      </w:r>
    </w:p>
    <w:p>
      <w:pPr>
        <w:pStyle w:val="Heading3"/>
        <w:spacing w:after="160" w:before="280"/>
      </w:pPr>
      <w:r>
        <w:rPr>
          <w:rFonts w:ascii="Arial" w:cs="Arial" w:eastAsia="Arial" w:hAnsi="Arial"/>
          <w:b/>
          <w:bCs/>
          <w:color w:val="404040"/>
          <w:sz w:val="24"/>
          <w:szCs w:val="24"/>
        </w:rPr>
        <w:t xml:space="preserve">5.2.4 Wheat Flour</w:t>
      </w:r>
    </w:p>
    <w:p>
      <w:pPr>
        <w:spacing w:after="160" w:before="80" w:line="360"/>
        <w:jc w:val="both"/>
      </w:pPr>
      <w:r>
        <w:rPr>
          <w:rFonts w:ascii="Arial" w:cs="Arial" w:eastAsia="Arial" w:hAnsi="Arial"/>
          <w:color w:val="000000"/>
          <w:sz w:val="24"/>
          <w:szCs w:val="24"/>
        </w:rPr>
        <w:t xml:space="preserve">Wheat flour records the largest LSTM MAPE (15.63%), making it the commodity where the ARIMA advantage is most dramatic. This result is driven by a combination of factors: a series discontinuity around 2019–20 (arising from a change in measurement basis in several major markets), the Ukraine war-driven price spike in 2022–23, and a subsequent correction in 2024–25. ARIMA's MAPE of 2.26% is achieved by focusing on short-run differenced dynamics and effectively ignoring the long-run level, while LSTM's poor performance reflects its failure to reconcile the pre- and post-discontinuity price levels within its sliding window.</w:t>
      </w:r>
    </w:p>
    <w:p>
      <w:pPr>
        <w:pStyle w:val="Heading2"/>
        <w:spacing w:after="160" w:before="280"/>
      </w:pPr>
      <w:r>
        <w:rPr>
          <w:rFonts w:ascii="Arial" w:cs="Arial" w:eastAsia="Arial" w:hAnsi="Arial"/>
          <w:b/>
          <w:bCs/>
          <w:color w:val="2E75B6"/>
          <w:sz w:val="28"/>
          <w:szCs w:val="28"/>
        </w:rPr>
        <w:t xml:space="preserve">5.3 Rice Year-on-Year Inflation Analysis</w:t>
      </w:r>
    </w:p>
    <w:p>
      <w:pPr>
        <w:spacing w:after="160" w:before="80" w:line="360"/>
        <w:jc w:val="both"/>
      </w:pPr>
      <w:r>
        <w:rPr>
          <w:rFonts w:ascii="Arial" w:cs="Arial" w:eastAsia="Arial" w:hAnsi="Arial"/>
          <w:color w:val="000000"/>
          <w:sz w:val="24"/>
          <w:szCs w:val="24"/>
        </w:rPr>
        <w:t xml:space="preserve">The year-on-year (YoY) rice price inflation rate, computed as the 12-month percentage change in monthly average prices, provides a practically important early-warning indicator. Rice YoY inflation peaked at 15.89% in October 2024, declined through 2025, and turned negative from November 2025 onward, reaching −6.07% by April 2026. This deflation trajectory — the first sustained negative YoY rate since 2013 — likely reflects a combination of improved domestic harvest outcomes, government intervention through the Open Market Sales (OMS) programme, and global rice price moderation following the India export ban reversal.</w:t>
      </w:r>
    </w:p>
    <w:p>
      <w:pPr>
        <w:spacing w:after="160" w:before="80" w:line="360"/>
        <w:jc w:val="both"/>
      </w:pPr>
      <w:r>
        <w:rPr>
          <w:rFonts w:ascii="Arial" w:cs="Arial" w:eastAsia="Arial" w:hAnsi="Arial"/>
          <w:color w:val="000000"/>
          <w:sz w:val="24"/>
          <w:szCs w:val="24"/>
        </w:rPr>
        <w:t xml:space="preserve">ARIMA detected the inflection point (transition from positive to negative YoY inflation) two months earlier than LSTM in rolling out-of-sample tests, demonstrating its superior utility as an early-warning instrument for procurement and policy decisions.</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6. Discussion</w:t>
      </w:r>
    </w:p>
    <w:p>
      <w:pPr>
        <w:pStyle w:val="Heading2"/>
        <w:spacing w:after="160" w:before="280"/>
      </w:pPr>
      <w:r>
        <w:rPr>
          <w:rFonts w:ascii="Arial" w:cs="Arial" w:eastAsia="Arial" w:hAnsi="Arial"/>
          <w:b/>
          <w:bCs/>
          <w:color w:val="2E75B6"/>
          <w:sz w:val="28"/>
          <w:szCs w:val="28"/>
        </w:rPr>
        <w:t xml:space="preserve">6.1 Why ARIMA Outperforms LSTM on This Dataset</w:t>
      </w:r>
    </w:p>
    <w:p>
      <w:pPr>
        <w:spacing w:after="160" w:before="80" w:line="360"/>
        <w:jc w:val="both"/>
      </w:pPr>
      <w:r>
        <w:rPr>
          <w:rFonts w:ascii="Arial" w:cs="Arial" w:eastAsia="Arial" w:hAnsi="Arial"/>
          <w:color w:val="000000"/>
          <w:sz w:val="24"/>
          <w:szCs w:val="24"/>
        </w:rPr>
        <w:t xml:space="preserve">The consistent superiority of ARIMA across all commodities and metrics challenges the prevailing narrative in the applied machine learning literature and warrants careful interpretation. Three mechanisms are proposed.</w:t>
      </w:r>
    </w:p>
    <w:p>
      <w:pPr>
        <w:spacing w:after="160" w:before="80" w:line="360"/>
        <w:jc w:val="both"/>
      </w:pPr>
      <w:r>
        <w:rPr>
          <w:rFonts w:ascii="Arial" w:cs="Arial" w:eastAsia="Arial" w:hAnsi="Arial"/>
          <w:color w:val="000000"/>
          <w:sz w:val="24"/>
          <w:szCs w:val="24"/>
        </w:rPr>
        <w:t xml:space="preserve">First, sample size relative to model complexity. The LSTM surrogate model contains approximately 1,120 trainable parameters (32×12 input weights + 32 bias terms + 32 output weights + 1 bias). With only 228 training observations, the effective parameter-to-observation ratio is approximately 1:5 — far below the 1:10 rule of thumb recommended for neural network generalisation. ARIMA's 12 autoregressive coefficients represent a substantially more parsimonious parameterisation, reducing the risk of overfitting to idiosyncratic training-period patterns.</w:t>
      </w:r>
    </w:p>
    <w:p>
      <w:pPr>
        <w:spacing w:after="160" w:before="80" w:line="360"/>
        <w:jc w:val="both"/>
      </w:pPr>
      <w:r>
        <w:rPr>
          <w:rFonts w:ascii="Arial" w:cs="Arial" w:eastAsia="Arial" w:hAnsi="Arial"/>
          <w:color w:val="000000"/>
          <w:sz w:val="24"/>
          <w:szCs w:val="24"/>
        </w:rPr>
        <w:t xml:space="preserve">Second, the stationarity assumption. All four price series are integrated of order one, I(1). ARIMA's explicit differencing step removes the stochastic trend and forces the model to learn stationary autoregressive dynamics. LSTM operates on normalised levels and must implicitly learn the integration order from the data — a harder learning task that introduces additional variance in finite samples.</w:t>
      </w:r>
    </w:p>
    <w:p>
      <w:pPr>
        <w:spacing w:after="160" w:before="80" w:line="360"/>
        <w:jc w:val="both"/>
      </w:pPr>
      <w:r>
        <w:rPr>
          <w:rFonts w:ascii="Arial" w:cs="Arial" w:eastAsia="Arial" w:hAnsi="Arial"/>
          <w:color w:val="000000"/>
          <w:sz w:val="24"/>
          <w:szCs w:val="24"/>
        </w:rPr>
        <w:t xml:space="preserve">Third, structural breaks. The 2021–22 commodity price shock constitutes a structural break that was not observable in the training data. Under such conditions, both models will produce biased forecasts, but ARIMA's one-step-ahead expanding window allows it to update its mean-level estimate more quickly as new post-break observations enter the training set. LSTM's forward pass is determined by a fixed, pre-trained weight matrix that cannot adapt without retraining.</w:t>
      </w:r>
    </w:p>
    <w:p>
      <w:pPr>
        <w:pStyle w:val="Heading2"/>
        <w:spacing w:after="160" w:before="280"/>
      </w:pPr>
      <w:r>
        <w:rPr>
          <w:rFonts w:ascii="Arial" w:cs="Arial" w:eastAsia="Arial" w:hAnsi="Arial"/>
          <w:b/>
          <w:bCs/>
          <w:color w:val="2E75B6"/>
          <w:sz w:val="28"/>
          <w:szCs w:val="28"/>
        </w:rPr>
        <w:t xml:space="preserve">6.2 Policy and Operational Implications</w:t>
      </w:r>
    </w:p>
    <w:p>
      <w:pPr>
        <w:spacing w:after="160" w:before="80" w:line="360"/>
        <w:jc w:val="both"/>
      </w:pPr>
      <w:r>
        <w:rPr>
          <w:rFonts w:ascii="Arial" w:cs="Arial" w:eastAsia="Arial" w:hAnsi="Arial"/>
          <w:color w:val="000000"/>
          <w:sz w:val="24"/>
          <w:szCs w:val="24"/>
        </w:rPr>
        <w:t xml:space="preserve">The finding that ARIMA achieves MAPE &lt; 3% for all four commodities on the 2022–2026 test period — which includes two major structural shocks — has immediate practical implications for WFP and the Bangladesh government's food security monitoring apparatus.</w:t>
      </w:r>
    </w:p>
    <w:p>
      <w:pPr>
        <w:spacing w:after="160" w:before="80" w:line="360"/>
        <w:jc w:val="both"/>
      </w:pPr>
      <w:r>
        <w:rPr>
          <w:rFonts w:ascii="Arial" w:cs="Arial" w:eastAsia="Arial" w:hAnsi="Arial"/>
          <w:color w:val="000000"/>
          <w:sz w:val="24"/>
          <w:szCs w:val="24"/>
        </w:rPr>
        <w:t xml:space="preserve">For WFP procurement planning, a 12-month rolling ARIMA forecast updated monthly could provide advance warning of price spikes with sufficient lead time for strategic procurement decisions. Based on the test-period results, such a system would carry an expected forecast error of less than 3% for rice and lentils — within the operational tolerance bands used by WFP's Supply Chain Division for pre-positioning decisions.</w:t>
      </w:r>
    </w:p>
    <w:p>
      <w:pPr>
        <w:spacing w:after="160" w:before="80" w:line="360"/>
        <w:jc w:val="both"/>
      </w:pPr>
      <w:r>
        <w:rPr>
          <w:rFonts w:ascii="Arial" w:cs="Arial" w:eastAsia="Arial" w:hAnsi="Arial"/>
          <w:color w:val="000000"/>
          <w:sz w:val="24"/>
          <w:szCs w:val="24"/>
        </w:rPr>
        <w:t xml:space="preserve">For the Bangladesh Trading Corporation (BTC), which manages government food reserves and Open Market Sales operations, an ARIMA-based monitoring dashboard would enable data-driven decisions about when to release buffer stocks in advance of anticipated price peaks. The rice YoY inflation reversal detected in late 2025 — two months earlier by ARIMA than by LSTM — illustrates the practical value of this capability.</w:t>
      </w:r>
    </w:p>
    <w:p>
      <w:pPr>
        <w:spacing w:after="160" w:before="80" w:line="360"/>
        <w:jc w:val="both"/>
      </w:pPr>
      <w:r>
        <w:rPr>
          <w:rFonts w:ascii="Arial" w:cs="Arial" w:eastAsia="Arial" w:hAnsi="Arial"/>
          <w:color w:val="000000"/>
          <w:sz w:val="24"/>
          <w:szCs w:val="24"/>
        </w:rPr>
        <w:t xml:space="preserve">For social protection programmes (e.g., Vulnerable Group Development food transfers), price forecasts can be used to index transfer values dynamically, ensuring that benefit levels maintain real purchasing power during inflationary periods without requiring costly discretionary policy adjustments.</w:t>
      </w:r>
    </w:p>
    <w:p>
      <w:pPr>
        <w:pStyle w:val="Heading2"/>
        <w:spacing w:after="160" w:before="280"/>
      </w:pPr>
      <w:r>
        <w:rPr>
          <w:rFonts w:ascii="Arial" w:cs="Arial" w:eastAsia="Arial" w:hAnsi="Arial"/>
          <w:b/>
          <w:bCs/>
          <w:color w:val="2E75B6"/>
          <w:sz w:val="28"/>
          <w:szCs w:val="28"/>
        </w:rPr>
        <w:t xml:space="preserve">6.3 Limitations</w:t>
      </w:r>
    </w:p>
    <w:p>
      <w:pPr>
        <w:spacing w:after="160" w:before="80" w:line="360"/>
        <w:jc w:val="both"/>
      </w:pPr>
      <w:r>
        <w:rPr>
          <w:rFonts w:ascii="Arial" w:cs="Arial" w:eastAsia="Arial" w:hAnsi="Arial"/>
          <w:color w:val="000000"/>
          <w:sz w:val="24"/>
          <w:szCs w:val="24"/>
        </w:rPr>
        <w:t xml:space="preserve">This study is subject to several limitations that qualify the generalisability of findings. First, the LSTM implementation uses a feedforward MLP surrogate rather than a full recurrent LSTM with gated memory cells. While this architecture is well-established for time-series benchmarking, a production LSTM with attention mechanisms, dropout regularisation, and larger hidden dimensions might exhibit different performance characteristics — particularly on longer or denser datasets.</w:t>
      </w:r>
    </w:p>
    <w:p>
      <w:pPr>
        <w:spacing w:after="160" w:before="80" w:line="360"/>
        <w:jc w:val="both"/>
      </w:pPr>
      <w:r>
        <w:rPr>
          <w:rFonts w:ascii="Arial" w:cs="Arial" w:eastAsia="Arial" w:hAnsi="Arial"/>
          <w:color w:val="000000"/>
          <w:sz w:val="24"/>
          <w:szCs w:val="24"/>
        </w:rPr>
        <w:t xml:space="preserve">Second, neither model incorporates exogenous predictors (international commodity prices, exchange rates, rainfall, import volumes) that are known to drive Bangladeshi food price movements. ARIMAX and LSTM-with-covariates specifications are expected to improve forecast accuracy for import-dependent commodities (palm oil, lentils) where global market variables dominate domestic price formation.</w:t>
      </w:r>
    </w:p>
    <w:p>
      <w:pPr>
        <w:spacing w:after="160" w:before="80" w:line="360"/>
        <w:jc w:val="both"/>
      </w:pPr>
      <w:r>
        <w:rPr>
          <w:rFonts w:ascii="Arial" w:cs="Arial" w:eastAsia="Arial" w:hAnsi="Arial"/>
          <w:color w:val="000000"/>
          <w:sz w:val="24"/>
          <w:szCs w:val="24"/>
        </w:rPr>
        <w:t xml:space="preserve">Third, the study evaluates only national-average price series. Division-level or market-level forecasting, while potentially more actionable for local interventions, would require panel or hierarchical modelling approaches not addressed here.</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7. Conclusion</w:t>
      </w:r>
    </w:p>
    <w:p>
      <w:pPr>
        <w:spacing w:after="160" w:before="80" w:line="360"/>
        <w:jc w:val="both"/>
      </w:pPr>
      <w:r>
        <w:rPr>
          <w:rFonts w:ascii="Arial" w:cs="Arial" w:eastAsia="Arial" w:hAnsi="Arial"/>
          <w:color w:val="000000"/>
          <w:sz w:val="24"/>
          <w:szCs w:val="24"/>
        </w:rPr>
        <w:t xml:space="preserve">This paper evaluated ARIMA and LSTM models for monthly food price forecasting in Bangladesh using WFP FPMA data covering 76 markets, 4 key staple commodities, and 22 years of price history. The results demonstrate that ARIMA(12,1,0) consistently outperforms the LSTM surrogate across all commodities on the 2022–2026 test period, achieving MAPE values of 1.49–3.01% versus 4.34–15.63% for LSTM.</w:t>
      </w:r>
    </w:p>
    <w:p>
      <w:pPr>
        <w:spacing w:after="160" w:before="80" w:line="360"/>
        <w:jc w:val="both"/>
      </w:pPr>
      <w:r>
        <w:rPr>
          <w:rFonts w:ascii="Arial" w:cs="Arial" w:eastAsia="Arial" w:hAnsi="Arial"/>
          <w:color w:val="000000"/>
          <w:sz w:val="24"/>
          <w:szCs w:val="24"/>
        </w:rPr>
        <w:t xml:space="preserve">These findings contribute to the growing evidence that, for short-sample monthly economic time series with structural breaks and moderate non-linearity, classical statistical models retain a systematic advantage over deep learning approaches. The result is not a rejection of machine learning for food security applications, but a demonstration that model selection must be grounded in the specific properties of the target series rather than a general presumption of deep learning superiority.</w:t>
      </w:r>
    </w:p>
    <w:p>
      <w:pPr>
        <w:spacing w:after="160" w:before="80" w:line="360"/>
        <w:jc w:val="both"/>
      </w:pPr>
      <w:r>
        <w:rPr>
          <w:rFonts w:ascii="Arial" w:cs="Arial" w:eastAsia="Arial" w:hAnsi="Arial"/>
          <w:color w:val="000000"/>
          <w:sz w:val="24"/>
          <w:szCs w:val="24"/>
        </w:rPr>
        <w:t xml:space="preserve">The practical implication is clear: WFP country offices, national food security agencies, and humanitarian actors operating in Bangladesh should adopt ARIMA-based forecasting as the primary component of food price early-warning systems. Such a system, updated monthly with the latest WFP FPMA data, would provide operationally accurate 1-to-3-month-ahead price signals at negligible computational cost.</w:t>
      </w:r>
    </w:p>
    <w:p>
      <w:pPr>
        <w:pStyle w:val="Heading2"/>
        <w:spacing w:after="160" w:before="280"/>
      </w:pPr>
      <w:r>
        <w:rPr>
          <w:rFonts w:ascii="Arial" w:cs="Arial" w:eastAsia="Arial" w:hAnsi="Arial"/>
          <w:b/>
          <w:bCs/>
          <w:color w:val="2E75B6"/>
          <w:sz w:val="28"/>
          <w:szCs w:val="28"/>
        </w:rPr>
        <w:t xml:space="preserve">7.1 Directions for Future Research</w:t>
      </w:r>
    </w:p>
    <w:p>
      <w:pPr>
        <w:pStyle w:val="ListParagraph"/>
        <w:numPr>
          <w:ilvl w:val="0"/>
          <w:numId w:val="3"/>
        </w:numPr>
        <w:spacing w:after="60" w:before="60" w:line="320"/>
      </w:pPr>
      <w:r>
        <w:rPr>
          <w:rFonts w:ascii="Arial" w:cs="Arial" w:eastAsia="Arial" w:hAnsi="Arial"/>
          <w:sz w:val="24"/>
          <w:szCs w:val="24"/>
        </w:rPr>
        <w:t xml:space="preserve">Hybrid SARIMA-LSTM ensemble: Combining the strengths of ARIMA's parsimonious trend-and-seasonality modelling with LSTM's non-linear feature extraction through a weighted ensemble or stacking approach may outperform either model individually, as demonstrated by Zhang (2003) in adjacent domains.</w:t>
      </w:r>
    </w:p>
    <w:p>
      <w:pPr>
        <w:pStyle w:val="ListParagraph"/>
        <w:numPr>
          <w:ilvl w:val="0"/>
          <w:numId w:val="3"/>
        </w:numPr>
        <w:spacing w:after="60" w:before="60" w:line="320"/>
      </w:pPr>
      <w:r>
        <w:rPr>
          <w:rFonts w:ascii="Arial" w:cs="Arial" w:eastAsia="Arial" w:hAnsi="Arial"/>
          <w:sz w:val="24"/>
          <w:szCs w:val="24"/>
        </w:rPr>
        <w:t xml:space="preserve">ARIMAX and LSTM-with-covariates: Incorporating exogenous regressors — particularly FAO global price indices, USD/BDT exchange rates, and Indian Ocean Dipole indices (a proxy for monsoon rainfall) — is expected to substantially improve forecast accuracy for import-dependent commodities.</w:t>
      </w:r>
    </w:p>
    <w:p>
      <w:pPr>
        <w:pStyle w:val="ListParagraph"/>
        <w:numPr>
          <w:ilvl w:val="0"/>
          <w:numId w:val="3"/>
        </w:numPr>
        <w:spacing w:after="60" w:before="60" w:line="320"/>
      </w:pPr>
      <w:r>
        <w:rPr>
          <w:rFonts w:ascii="Arial" w:cs="Arial" w:eastAsia="Arial" w:hAnsi="Arial"/>
          <w:sz w:val="24"/>
          <w:szCs w:val="24"/>
        </w:rPr>
        <w:t xml:space="preserve">Division-level hierarchical forecasting: A hierarchical time-series model (e.g., MinT reconciliation; Wickramasuriya et al., 2019) that simultaneously forecasts at the national and divisional levels would enable spatially targeted early-warning alerts — critical for reaching the most food-insecure districts in Rangpur and Sylhet.</w:t>
      </w:r>
    </w:p>
    <w:p>
      <w:pPr>
        <w:pStyle w:val="ListParagraph"/>
        <w:numPr>
          <w:ilvl w:val="0"/>
          <w:numId w:val="3"/>
        </w:numPr>
        <w:spacing w:after="60" w:before="60" w:line="320"/>
      </w:pPr>
      <w:r>
        <w:rPr>
          <w:rFonts w:ascii="Arial" w:cs="Arial" w:eastAsia="Arial" w:hAnsi="Arial"/>
          <w:sz w:val="24"/>
          <w:szCs w:val="24"/>
        </w:rPr>
        <w:t xml:space="preserve">Transformer-based sequence models: Attention-based architectures (Informer, Temporal Fusion Transformer) have shown promise on longer economic time series and could be evaluated once WFP FPMA extends to 30+ years of continuous data.</w:t>
      </w:r>
    </w:p>
    <w:p>
      <w:pPr>
        <w:pStyle w:val="ListParagraph"/>
        <w:numPr>
          <w:ilvl w:val="0"/>
          <w:numId w:val="3"/>
        </w:numPr>
        <w:spacing w:after="60" w:before="60" w:line="320"/>
      </w:pPr>
      <w:r>
        <w:rPr>
          <w:rFonts w:ascii="Arial" w:cs="Arial" w:eastAsia="Arial" w:hAnsi="Arial"/>
          <w:sz w:val="24"/>
          <w:szCs w:val="24"/>
        </w:rPr>
        <w:t xml:space="preserve">Real-time dashboard deployment: Converting the ARIMA pipeline into a production-ready REST API and dashboard — updated automatically upon each monthly WFP data release — would operationalise this research as a live policy tool.</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References</w:t>
      </w:r>
    </w:p>
    <w:p>
      <w:pPr>
        <w:spacing w:after="160" w:before="80" w:line="360"/>
        <w:jc w:val="both"/>
      </w:pPr>
      <w:r>
        <w:rPr>
          <w:rFonts w:ascii="Arial" w:cs="Arial" w:eastAsia="Arial" w:hAnsi="Arial"/>
          <w:color w:val="000000"/>
          <w:sz w:val="24"/>
          <w:szCs w:val="24"/>
        </w:rPr>
        <w:t xml:space="preserve">Bangladesh Bureau of Statistics. (2022). Household Income and Expenditure Survey 2022. Government of Bangladesh.</w:t>
      </w:r>
    </w:p>
    <w:p>
      <w:pPr>
        <w:spacing w:after="160" w:before="80" w:line="360"/>
        <w:jc w:val="both"/>
      </w:pPr>
      <w:r>
        <w:rPr>
          <w:rFonts w:ascii="Arial" w:cs="Arial" w:eastAsia="Arial" w:hAnsi="Arial"/>
          <w:color w:val="000000"/>
          <w:sz w:val="24"/>
          <w:szCs w:val="24"/>
        </w:rPr>
        <w:t xml:space="preserve">Baulch, B., Hansen, H., Trung, L. D., &amp; Tam, T. N. P. (2008). The spatial integration of paddy markets in Vietnam. Journal of Agricultural Economics, 59(2), 271–295.</w:t>
      </w:r>
    </w:p>
    <w:p>
      <w:pPr>
        <w:spacing w:after="160" w:before="80" w:line="360"/>
        <w:jc w:val="both"/>
      </w:pPr>
      <w:r>
        <w:rPr>
          <w:rFonts w:ascii="Arial" w:cs="Arial" w:eastAsia="Arial" w:hAnsi="Arial"/>
          <w:color w:val="000000"/>
          <w:sz w:val="24"/>
          <w:szCs w:val="24"/>
        </w:rPr>
        <w:t xml:space="preserve">Box, G. E. P., &amp; Jenkins, G. M. (1976). Time series analysis: Forecasting and control. Holden-Day.</w:t>
      </w:r>
    </w:p>
    <w:p>
      <w:pPr>
        <w:spacing w:after="160" w:before="80" w:line="360"/>
        <w:jc w:val="both"/>
      </w:pPr>
      <w:r>
        <w:rPr>
          <w:rFonts w:ascii="Arial" w:cs="Arial" w:eastAsia="Arial" w:hAnsi="Arial"/>
          <w:color w:val="000000"/>
          <w:sz w:val="24"/>
          <w:szCs w:val="24"/>
        </w:rPr>
        <w:t xml:space="preserve">Dorosh, P. (2009). Price stabilization, international trade and national cereal stocks: world price shocks and policy response in South Asia. Food Security, 1(2), 137–149.</w:t>
      </w:r>
    </w:p>
    <w:p>
      <w:pPr>
        <w:spacing w:after="160" w:before="80" w:line="360"/>
        <w:jc w:val="both"/>
      </w:pPr>
      <w:r>
        <w:rPr>
          <w:rFonts w:ascii="Arial" w:cs="Arial" w:eastAsia="Arial" w:hAnsi="Arial"/>
          <w:color w:val="000000"/>
          <w:sz w:val="24"/>
          <w:szCs w:val="24"/>
        </w:rPr>
        <w:t xml:space="preserve">Dorosh, P., &amp; Rashid, S. (2013). Bangladesh food prices, rice supply chain and aggregate food security. In P. Dorosh &amp; S. Rashid (Eds.), Food and agriculture in Bangladesh. University Press Limited.</w:t>
      </w:r>
    </w:p>
    <w:p>
      <w:pPr>
        <w:spacing w:after="160" w:before="80" w:line="360"/>
        <w:jc w:val="both"/>
      </w:pPr>
      <w:r>
        <w:rPr>
          <w:rFonts w:ascii="Arial" w:cs="Arial" w:eastAsia="Arial" w:hAnsi="Arial"/>
          <w:color w:val="000000"/>
          <w:sz w:val="24"/>
          <w:szCs w:val="24"/>
        </w:rPr>
        <w:t xml:space="preserve">Hochreiter, S., &amp; Schmidhuber, J. (1997). Long short-term memory. Neural Computation, 9(8), 1735–1780.</w:t>
      </w:r>
    </w:p>
    <w:p>
      <w:pPr>
        <w:spacing w:after="160" w:before="80" w:line="360"/>
        <w:jc w:val="both"/>
      </w:pPr>
      <w:r>
        <w:rPr>
          <w:rFonts w:ascii="Arial" w:cs="Arial" w:eastAsia="Arial" w:hAnsi="Arial"/>
          <w:color w:val="000000"/>
          <w:sz w:val="24"/>
          <w:szCs w:val="24"/>
        </w:rPr>
        <w:t xml:space="preserve">Hyndman, R. J., &amp; Athanasopoulos, G. (2018). Forecasting: Principles and practice (2nd ed.). OTexts. https://otexts.com/fpp2/</w:t>
      </w:r>
    </w:p>
    <w:p>
      <w:pPr>
        <w:spacing w:after="160" w:before="80" w:line="360"/>
        <w:jc w:val="both"/>
      </w:pPr>
      <w:r>
        <w:rPr>
          <w:rFonts w:ascii="Arial" w:cs="Arial" w:eastAsia="Arial" w:hAnsi="Arial"/>
          <w:color w:val="000000"/>
          <w:sz w:val="24"/>
          <w:szCs w:val="24"/>
        </w:rPr>
        <w:t xml:space="preserve">Jha, G. K., &amp; Sinha, K. (2021). Agricultural price forecasting using neural network model: An innovative information delivery system. Agricultural Economics Research Review, 26(2), 229–239.</w:t>
      </w:r>
    </w:p>
    <w:p>
      <w:pPr>
        <w:spacing w:after="160" w:before="80" w:line="360"/>
        <w:jc w:val="both"/>
      </w:pPr>
      <w:r>
        <w:rPr>
          <w:rFonts w:ascii="Arial" w:cs="Arial" w:eastAsia="Arial" w:hAnsi="Arial"/>
          <w:color w:val="000000"/>
          <w:sz w:val="24"/>
          <w:szCs w:val="24"/>
        </w:rPr>
        <w:t xml:space="preserve">Makridakis, S., Spiliotis, E., &amp; Assimakopoulos, V. (2018). Statistical and machine learning forecasting methods: Concerns and ways forward. PLOS ONE, 13(3), e0194889.</w:t>
      </w:r>
    </w:p>
    <w:p>
      <w:pPr>
        <w:spacing w:after="160" w:before="80" w:line="360"/>
        <w:jc w:val="both"/>
      </w:pPr>
      <w:r>
        <w:rPr>
          <w:rFonts w:ascii="Arial" w:cs="Arial" w:eastAsia="Arial" w:hAnsi="Arial"/>
          <w:color w:val="000000"/>
          <w:sz w:val="24"/>
          <w:szCs w:val="24"/>
        </w:rPr>
        <w:t xml:space="preserve">Minot, N. (2014). Food price volatility in sub-Saharan Africa: Has it really increased? Food Policy, 45, 45–56.</w:t>
      </w:r>
    </w:p>
    <w:p>
      <w:pPr>
        <w:spacing w:after="160" w:before="80" w:line="360"/>
        <w:jc w:val="both"/>
      </w:pPr>
      <w:r>
        <w:rPr>
          <w:rFonts w:ascii="Arial" w:cs="Arial" w:eastAsia="Arial" w:hAnsi="Arial"/>
          <w:color w:val="000000"/>
          <w:sz w:val="24"/>
          <w:szCs w:val="24"/>
        </w:rPr>
        <w:t xml:space="preserve">Mottaleb, K. A., Rahut, D. B., Kruseman, G., &amp; Erenstein, O. (2018). Changing food consumption of households in developing countries: A Bangladesh case. Journal of International Food &amp; Agribusiness Marketing, 30(2), 156–174.</w:t>
      </w:r>
    </w:p>
    <w:p>
      <w:pPr>
        <w:spacing w:after="160" w:before="80" w:line="360"/>
        <w:jc w:val="both"/>
      </w:pPr>
      <w:r>
        <w:rPr>
          <w:rFonts w:ascii="Arial" w:cs="Arial" w:eastAsia="Arial" w:hAnsi="Arial"/>
          <w:color w:val="000000"/>
          <w:sz w:val="24"/>
          <w:szCs w:val="24"/>
        </w:rPr>
        <w:t xml:space="preserve">Wickramasuriya, S. L., Athanasopoulos, G., &amp; Hyndman, R. J. (2019). Optimal forecast reconciliation using unbiased mapping to coherent forecasts. Journal of the American Statistical Association, 114(526), 804–819.</w:t>
      </w:r>
    </w:p>
    <w:p>
      <w:pPr>
        <w:spacing w:after="160" w:before="80" w:line="360"/>
        <w:jc w:val="both"/>
      </w:pPr>
      <w:r>
        <w:rPr>
          <w:rFonts w:ascii="Arial" w:cs="Arial" w:eastAsia="Arial" w:hAnsi="Arial"/>
          <w:color w:val="000000"/>
          <w:sz w:val="24"/>
          <w:szCs w:val="24"/>
        </w:rPr>
        <w:t xml:space="preserve">World Food Programme. (2024). Food Price Monitoring and Analysis (FPMA) Tool — Bangladesh. VAM Food Security Analysis. https://dataviz.vam.wfp.org/</w:t>
      </w:r>
    </w:p>
    <w:p>
      <w:pPr>
        <w:spacing w:after="160" w:before="80" w:line="360"/>
        <w:jc w:val="both"/>
      </w:pPr>
      <w:r>
        <w:rPr>
          <w:rFonts w:ascii="Arial" w:cs="Arial" w:eastAsia="Arial" w:hAnsi="Arial"/>
          <w:color w:val="000000"/>
          <w:sz w:val="24"/>
          <w:szCs w:val="24"/>
        </w:rPr>
        <w:t xml:space="preserve">Yin, H., Jin, D., Gu, Y. H., Park, C. J., Han, S. K., &amp; Yoo, S. J. (2020). SARIMA-based forecasting model and its application to domestic agricultural product price. Transactions on Asian and Low-Resource Language Information Processing, 20(1), 1–18.</w:t>
      </w:r>
    </w:p>
    <w:p>
      <w:pPr>
        <w:spacing w:after="160" w:before="80" w:line="360"/>
        <w:jc w:val="both"/>
      </w:pPr>
      <w:r>
        <w:rPr>
          <w:rFonts w:ascii="Arial" w:cs="Arial" w:eastAsia="Arial" w:hAnsi="Arial"/>
          <w:color w:val="000000"/>
          <w:sz w:val="24"/>
          <w:szCs w:val="24"/>
        </w:rPr>
        <w:t xml:space="preserve">Zhang, G. P. (2003). Time series forecasting using a hybrid ARIMA and neural network model. Neurocomputing, 50, 159–175.</w:t>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Appendix A: Model Hyperparameter Settings</w:t>
      </w:r>
    </w:p>
    <w:p>
      <w:pPr>
        <w:spacing w:after="40" w:before="0"/>
      </w:pPr>
      <w:r>
        <w:t xml:space="preserve"/>
      </w:r>
    </w:p>
    <w:p>
      <w:pPr>
        <w:spacing w:after="60" w:before="60"/>
        <w:jc w:val="center"/>
      </w:pPr>
      <w:r>
        <w:rPr>
          <w:rFonts w:ascii="Arial" w:cs="Arial" w:eastAsia="Arial" w:hAnsi="Arial"/>
          <w:b/>
          <w:bCs/>
          <w:color w:val="1F3864"/>
          <w:sz w:val="22"/>
          <w:szCs w:val="22"/>
        </w:rPr>
        <w:t xml:space="preserve">Table A1: ARIMA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Autoregressive order (p)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Monthly seasonality in prices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Integration order (d)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ADF test: all series I(1)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Moving average order (q)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AICc minimisation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Forecast scheme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Expanding window, 1-step-ahead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Simulates real-time updating</w:t>
            </w:r>
          </w:p>
        </w:tc>
      </w:tr>
    </w:tbl>
    <w:p>
      <w:pPr>
        <w:spacing w:after="160" w:before="0"/>
      </w:pPr>
      <w:r>
        <w:t xml:space="preserve"/>
      </w:r>
    </w:p>
    <w:p>
      <w:pPr>
        <w:spacing w:after="60" w:before="60"/>
        <w:jc w:val="center"/>
      </w:pPr>
      <w:r>
        <w:rPr>
          <w:rFonts w:ascii="Arial" w:cs="Arial" w:eastAsia="Arial" w:hAnsi="Arial"/>
          <w:b/>
          <w:bCs/>
          <w:color w:val="1F3864"/>
          <w:sz w:val="22"/>
          <w:szCs w:val="22"/>
        </w:rPr>
        <w:t xml:space="preserve">Table A2: LSTM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Look-back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Captures full seasonal cycle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Hidden layer units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Literature default for economic series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Activation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ReLU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Avoids vanishing gradient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Optimiser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SGD, lr = 0.005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Stable convergence for small batches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epochs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Empirically sufficient for convergence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Normalisation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Min-Max [0,1]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Training set fitted; test transformed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Forecast scheme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Expanding window, 1-step-ahead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Identical to ARIMA for fair comparison</w:t>
            </w:r>
          </w:p>
        </w:tc>
      </w:tr>
    </w:tbl>
    <w:p>
      <w:pPr>
        <w:spacing w:after="160" w:before="0"/>
      </w:pPr>
      <w:r>
        <w:t xml:space="preserve"/>
      </w:r>
    </w:p>
    <w:p>
      <w:pPr>
        <w:pStyle w:val="Heading1"/>
        <w:pBdr>
          <w:bottom w:val="single" w:color="2E75B6" w:sz="6" w:space="4"/>
        </w:pBdr>
        <w:spacing w:after="160" w:before="400"/>
      </w:pPr>
      <w:r>
        <w:rPr>
          <w:rFonts w:ascii="Arial" w:cs="Arial" w:eastAsia="Arial" w:hAnsi="Arial"/>
          <w:b/>
          <w:bCs/>
          <w:color w:val="1F3864"/>
          <w:sz w:val="36"/>
          <w:szCs w:val="36"/>
        </w:rPr>
        <w:t xml:space="preserve">Appendix B: Data Quality and Market Coverage</w:t>
      </w:r>
    </w:p>
    <w:p>
      <w:pPr>
        <w:spacing w:after="160" w:before="80" w:line="360"/>
        <w:jc w:val="both"/>
      </w:pPr>
      <w:r>
        <w:rPr>
          <w:rFonts w:ascii="Arial" w:cs="Arial" w:eastAsia="Arial" w:hAnsi="Arial"/>
          <w:color w:val="000000"/>
          <w:sz w:val="24"/>
          <w:szCs w:val="24"/>
        </w:rPr>
        <w:t xml:space="preserve">The WFP FPMA Bangladesh dataset contains no structural missing values in the national monthly aggregates after preprocessing. Market-level completeness varies by division and commodity. The Mymensingh division (4 markets) exhibits the lowest reporting frequency; its data are excluded from national averages in months where fewer than 2 markets report. Complete market-level missing data maps are available from the authors.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4" w:space="4"/>
      </w:pBdr>
      <w:tabs>
        <w:tab w:val="right" w:pos="9360"/>
      </w:tabs>
      <w:spacing w:before="80"/>
    </w:pPr>
    <w:r>
      <w:rPr>
        <w:rFonts w:ascii="Arial" w:cs="Arial" w:eastAsia="Arial" w:hAnsi="Arial"/>
        <w:color w:val="404040"/>
        <w:sz w:val="18"/>
        <w:szCs w:val="18"/>
      </w:rPr>
      <w:t xml:space="preserve">WFP Food Price Forecasting Study — Bangladesh </w:t>
    </w:r>
    <w:r>
      <w:rPr>
        <w:rFonts w:ascii="Arial" w:cs="Arial" w:eastAsia="Arial" w:hAnsi="Arial"/>
        <w:color w:val="40404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i/>
        <w:iCs/>
        <w:color w:val="404040"/>
        <w:sz w:val="18"/>
        <w:szCs w:val="18"/>
      </w:rPr>
      <w:t xml:space="preserve">Forecasting Food Price Inflation in Bangladesh: ARIMA vs LSTM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2026-05-24T11:48:23.837Z</dcterms:created>
  <dcterms:modified xsi:type="dcterms:W3CDTF">2026-05-24T11:48:23.837Z</dcterms:modified>
</cp:coreProperties>
</file>

<file path=docProps/custom.xml><?xml version="1.0" encoding="utf-8"?>
<Properties xmlns="http://schemas.openxmlformats.org/officeDocument/2006/custom-properties" xmlns:vt="http://schemas.openxmlformats.org/officeDocument/2006/docPropsVTypes"/>
</file>