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D63F" w14:textId="1C0CADB4" w:rsidR="005D0FB4" w:rsidRDefault="00000000">
      <w:pPr>
        <w:spacing w:after="40"/>
      </w:pPr>
      <w:r>
        <w:rPr>
          <w:b/>
          <w:color w:val="1A365D"/>
          <w:sz w:val="48"/>
        </w:rPr>
        <w:t>AI Agent Red Team Simulator</w:t>
      </w:r>
    </w:p>
    <w:p w14:paraId="66080CD8" w14:textId="77777777" w:rsidR="005D0FB4" w:rsidRDefault="00000000">
      <w:pPr>
        <w:pBdr>
          <w:bottom w:val="single" w:sz="18" w:space="4" w:color="1A365D"/>
        </w:pBdr>
        <w:spacing w:after="240"/>
      </w:pPr>
      <w:r>
        <w:rPr>
          <w:i/>
          <w:color w:val="4A5568"/>
          <w:sz w:val="24"/>
        </w:rPr>
        <w:t>Authorized, local-first security testing for AI agents - from prompt behavior to tools, services, and auditable evidence.</w:t>
      </w:r>
    </w:p>
    <w:tbl>
      <w:tblPr>
        <w:tblW w:w="0" w:type="auto"/>
        <w:jc w:val="center"/>
        <w:tblLayout w:type="fixed"/>
        <w:tblLook w:val="04A0" w:firstRow="1" w:lastRow="0" w:firstColumn="1" w:lastColumn="0" w:noHBand="0" w:noVBand="1"/>
      </w:tblPr>
      <w:tblGrid>
        <w:gridCol w:w="2160"/>
        <w:gridCol w:w="2160"/>
        <w:gridCol w:w="2880"/>
        <w:gridCol w:w="2736"/>
      </w:tblGrid>
      <w:tr w:rsidR="005D0FB4" w14:paraId="6F99010D" w14:textId="77777777">
        <w:trPr>
          <w:jc w:val="center"/>
        </w:trPr>
        <w:tc>
          <w:tcPr>
            <w:tcW w:w="2160" w:type="dxa"/>
            <w:shd w:val="clear" w:color="auto" w:fill="F7FAFC"/>
            <w:tcMar>
              <w:top w:w="100" w:type="dxa"/>
              <w:left w:w="100" w:type="dxa"/>
              <w:bottom w:w="100" w:type="dxa"/>
              <w:right w:w="100" w:type="dxa"/>
            </w:tcMar>
            <w:vAlign w:val="center"/>
          </w:tcPr>
          <w:p w14:paraId="5DE1B221" w14:textId="77777777" w:rsidR="005D0FB4" w:rsidRDefault="00000000">
            <w:pPr>
              <w:spacing w:after="0"/>
              <w:jc w:val="left"/>
            </w:pPr>
            <w:r>
              <w:rPr>
                <w:b/>
                <w:color w:val="4A5568"/>
                <w:sz w:val="20"/>
              </w:rPr>
              <w:t xml:space="preserve">Status: </w:t>
            </w:r>
            <w:r>
              <w:rPr>
                <w:color w:val="4A5568"/>
                <w:sz w:val="20"/>
              </w:rPr>
              <w:t>Active</w:t>
            </w:r>
          </w:p>
        </w:tc>
        <w:tc>
          <w:tcPr>
            <w:tcW w:w="2160" w:type="dxa"/>
            <w:shd w:val="clear" w:color="auto" w:fill="F7FAFC"/>
            <w:tcMar>
              <w:top w:w="100" w:type="dxa"/>
              <w:left w:w="100" w:type="dxa"/>
              <w:bottom w:w="100" w:type="dxa"/>
              <w:right w:w="100" w:type="dxa"/>
            </w:tcMar>
            <w:vAlign w:val="center"/>
          </w:tcPr>
          <w:p w14:paraId="367B78E6" w14:textId="77777777" w:rsidR="005D0FB4" w:rsidRDefault="00000000">
            <w:pPr>
              <w:spacing w:after="0"/>
              <w:jc w:val="left"/>
            </w:pPr>
            <w:r>
              <w:rPr>
                <w:b/>
                <w:color w:val="4A5568"/>
                <w:sz w:val="20"/>
              </w:rPr>
              <w:t xml:space="preserve">Date: </w:t>
            </w:r>
            <w:r>
              <w:rPr>
                <w:color w:val="4A5568"/>
                <w:sz w:val="20"/>
              </w:rPr>
              <w:t>July 2026</w:t>
            </w:r>
          </w:p>
        </w:tc>
        <w:tc>
          <w:tcPr>
            <w:tcW w:w="2880" w:type="dxa"/>
            <w:shd w:val="clear" w:color="auto" w:fill="F7FAFC"/>
            <w:tcMar>
              <w:top w:w="100" w:type="dxa"/>
              <w:left w:w="100" w:type="dxa"/>
              <w:bottom w:w="100" w:type="dxa"/>
              <w:right w:w="100" w:type="dxa"/>
            </w:tcMar>
            <w:vAlign w:val="center"/>
          </w:tcPr>
          <w:p w14:paraId="39D9F263" w14:textId="77777777" w:rsidR="005D0FB4" w:rsidRDefault="00000000">
            <w:pPr>
              <w:spacing w:after="0"/>
              <w:jc w:val="left"/>
            </w:pPr>
            <w:r>
              <w:rPr>
                <w:b/>
                <w:color w:val="4A5568"/>
                <w:sz w:val="20"/>
              </w:rPr>
              <w:t xml:space="preserve">Project Lead: </w:t>
            </w:r>
            <w:r>
              <w:rPr>
                <w:color w:val="4A5568"/>
                <w:sz w:val="20"/>
              </w:rPr>
              <w:t>Vishal</w:t>
            </w:r>
          </w:p>
        </w:tc>
        <w:tc>
          <w:tcPr>
            <w:tcW w:w="2736" w:type="dxa"/>
            <w:shd w:val="clear" w:color="auto" w:fill="F7FAFC"/>
            <w:tcMar>
              <w:top w:w="100" w:type="dxa"/>
              <w:left w:w="100" w:type="dxa"/>
              <w:bottom w:w="100" w:type="dxa"/>
              <w:right w:w="100" w:type="dxa"/>
            </w:tcMar>
            <w:vAlign w:val="center"/>
          </w:tcPr>
          <w:p w14:paraId="793489D7" w14:textId="77777777" w:rsidR="005D0FB4" w:rsidRDefault="00000000">
            <w:pPr>
              <w:spacing w:after="0"/>
              <w:jc w:val="left"/>
            </w:pPr>
            <w:r>
              <w:rPr>
                <w:b/>
                <w:color w:val="4A5568"/>
                <w:sz w:val="20"/>
              </w:rPr>
              <w:t xml:space="preserve">Quick Links: </w:t>
            </w:r>
            <w:r>
              <w:rPr>
                <w:color w:val="4A5568"/>
                <w:sz w:val="20"/>
              </w:rPr>
              <w:t>GitHub Repo</w:t>
            </w:r>
          </w:p>
        </w:tc>
      </w:tr>
    </w:tbl>
    <w:p w14:paraId="5BCA4AFA" w14:textId="77777777" w:rsidR="005D0FB4" w:rsidRDefault="005D0FB4">
      <w:pPr>
        <w:spacing w:after="240"/>
      </w:pPr>
    </w:p>
    <w:p w14:paraId="7AAB5160" w14:textId="77777777" w:rsidR="005D0FB4" w:rsidRDefault="00000000">
      <w:pPr>
        <w:keepNext/>
        <w:pBdr>
          <w:bottom w:val="single" w:sz="6" w:space="4" w:color="CBD5E0"/>
        </w:pBdr>
        <w:spacing w:before="320" w:after="120"/>
      </w:pPr>
      <w:r>
        <w:rPr>
          <w:b/>
          <w:color w:val="1A365D"/>
          <w:sz w:val="28"/>
        </w:rPr>
        <w:t>1. The Big Picture</w:t>
      </w:r>
    </w:p>
    <w:p w14:paraId="195DDA0C" w14:textId="77777777" w:rsidR="005D0FB4" w:rsidRDefault="00000000">
      <w:pPr>
        <w:keepNext/>
        <w:spacing w:before="80" w:after="40"/>
      </w:pPr>
      <w:r>
        <w:rPr>
          <w:b/>
          <w:color w:val="4A5568"/>
        </w:rPr>
        <w:t>The Problem</w:t>
      </w:r>
    </w:p>
    <w:p w14:paraId="4082AFBD" w14:textId="77777777" w:rsidR="005D0FB4" w:rsidRDefault="00000000">
      <w:pPr>
        <w:spacing w:after="160"/>
      </w:pPr>
      <w:r>
        <w:rPr>
          <w:color w:val="4A5568"/>
          <w:sz w:val="21"/>
        </w:rPr>
        <w:t>AI agents combine probabilistic model behavior with prompts, tools, credentials, APIs, memory, and deployment infrastructure. Traditional scanners rarely test whether manipulated instructions can expose sensitive context, bypass policy, or trigger unsafe capabilities.</w:t>
      </w:r>
    </w:p>
    <w:p w14:paraId="709CB408" w14:textId="77777777" w:rsidR="005D0FB4" w:rsidRDefault="00000000">
      <w:pPr>
        <w:keepNext/>
        <w:spacing w:before="80" w:after="40"/>
      </w:pPr>
      <w:r>
        <w:rPr>
          <w:b/>
          <w:color w:val="4A5568"/>
        </w:rPr>
        <w:t>The Solution</w:t>
      </w:r>
    </w:p>
    <w:p w14:paraId="46B396F5" w14:textId="77777777" w:rsidR="005D0FB4" w:rsidRDefault="00000000">
      <w:pPr>
        <w:spacing w:after="240"/>
      </w:pPr>
      <w:r>
        <w:rPr>
          <w:color w:val="4A5568"/>
          <w:sz w:val="21"/>
        </w:rPr>
        <w:t>The simulator provides one assessment fabric for explicit Python targets, live HTTP agents, authorized hosted endpoints, and isolated Kali workflows. Curated and adaptive probes feed a common evaluator that records severity, evidence, redacted responses, timelines, and remediation-oriented reports.</w:t>
      </w:r>
    </w:p>
    <w:tbl>
      <w:tblPr>
        <w:tblW w:w="0" w:type="auto"/>
        <w:jc w:val="center"/>
        <w:tblLook w:val="04A0" w:firstRow="1" w:lastRow="0" w:firstColumn="1" w:lastColumn="0" w:noHBand="0" w:noVBand="1"/>
      </w:tblPr>
      <w:tblGrid>
        <w:gridCol w:w="9936"/>
      </w:tblGrid>
      <w:tr w:rsidR="005D0FB4" w14:paraId="5CBFE9F2" w14:textId="77777777">
        <w:trPr>
          <w:jc w:val="center"/>
        </w:trPr>
        <w:tc>
          <w:tcPr>
            <w:tcW w:w="9936" w:type="dxa"/>
            <w:tcBorders>
              <w:left w:val="single" w:sz="24" w:space="0" w:color="1A365D"/>
            </w:tcBorders>
            <w:shd w:val="clear" w:color="auto" w:fill="EDF2F7"/>
            <w:tcMar>
              <w:top w:w="140" w:type="dxa"/>
              <w:left w:w="200" w:type="dxa"/>
              <w:bottom w:w="140" w:type="dxa"/>
              <w:right w:w="200" w:type="dxa"/>
            </w:tcMar>
            <w:vAlign w:val="center"/>
          </w:tcPr>
          <w:p w14:paraId="72B31F2D" w14:textId="77777777" w:rsidR="005D0FB4" w:rsidRDefault="00000000">
            <w:pPr>
              <w:spacing w:after="0"/>
              <w:jc w:val="left"/>
            </w:pPr>
            <w:r>
              <w:rPr>
                <w:b/>
                <w:color w:val="1A365D"/>
                <w:sz w:val="21"/>
              </w:rPr>
              <w:t xml:space="preserve">Key Impact Metric: </w:t>
            </w:r>
            <w:r>
              <w:rPr>
                <w:i/>
                <w:color w:val="4A5568"/>
                <w:sz w:val="21"/>
              </w:rPr>
              <w:t>47 automated tests passed, six explicitly enrolled agents discovered, and a deterministic smoke assessment completed with 6 PASS / 0 FAIL / 0 ERROR.</w:t>
            </w:r>
          </w:p>
        </w:tc>
      </w:tr>
    </w:tbl>
    <w:p w14:paraId="497ED8A2" w14:textId="77777777" w:rsidR="005D0FB4" w:rsidRDefault="00000000">
      <w:pPr>
        <w:keepNext/>
        <w:pBdr>
          <w:bottom w:val="single" w:sz="6" w:space="4" w:color="CBD5E0"/>
        </w:pBdr>
        <w:spacing w:before="320" w:after="120"/>
      </w:pPr>
      <w:r>
        <w:rPr>
          <w:b/>
          <w:color w:val="1A365D"/>
          <w:sz w:val="28"/>
        </w:rPr>
        <w:t>2. Core Features &amp; Capabilities</w:t>
      </w:r>
    </w:p>
    <w:p w14:paraId="22499206" w14:textId="77777777" w:rsidR="005D0FB4" w:rsidRDefault="00000000">
      <w:pPr>
        <w:pStyle w:val="ListBullet"/>
        <w:spacing w:before="40" w:after="80"/>
      </w:pPr>
      <w:r>
        <w:rPr>
          <w:b/>
          <w:color w:val="4A5568"/>
          <w:sz w:val="20"/>
        </w:rPr>
        <w:t xml:space="preserve">Multi-path assessment: </w:t>
      </w:r>
      <w:r>
        <w:rPr>
          <w:color w:val="4A5568"/>
          <w:sz w:val="20"/>
        </w:rPr>
        <w:t>Curated payloads, local adaptive probes, live HTTP discovery, and bounded Kali testing cover both model and application behavior.</w:t>
      </w:r>
    </w:p>
    <w:p w14:paraId="7B73BB7B" w14:textId="77777777" w:rsidR="005D0FB4" w:rsidRDefault="00000000">
      <w:pPr>
        <w:pStyle w:val="ListBullet"/>
        <w:spacing w:before="40" w:after="80"/>
      </w:pPr>
      <w:r>
        <w:rPr>
          <w:b/>
          <w:color w:val="4A5568"/>
          <w:sz w:val="20"/>
        </w:rPr>
        <w:t xml:space="preserve">Fail-closed evaluation: </w:t>
      </w:r>
      <w:r>
        <w:rPr>
          <w:color w:val="4A5568"/>
          <w:sz w:val="20"/>
        </w:rPr>
        <w:t>PASS, FAIL, ERROR, and UNPARSED outcomes include severity, detector evidence, secret redaction, and automation-friendly exit behavior.</w:t>
      </w:r>
    </w:p>
    <w:p w14:paraId="21EC4C94" w14:textId="77777777" w:rsidR="005D0FB4" w:rsidRDefault="00000000">
      <w:pPr>
        <w:pStyle w:val="ListBullet"/>
        <w:spacing w:before="40" w:after="80"/>
      </w:pPr>
      <w:r>
        <w:rPr>
          <w:b/>
          <w:color w:val="4A5568"/>
          <w:sz w:val="20"/>
        </w:rPr>
        <w:t xml:space="preserve">Enterprise evidence: </w:t>
      </w:r>
      <w:r>
        <w:rPr>
          <w:color w:val="4A5568"/>
          <w:sz w:val="20"/>
        </w:rPr>
        <w:t>JSON, Markdown, timelines, JSONL events, and remediation guidance support release gates, triage, regression, and audit review.</w:t>
      </w:r>
    </w:p>
    <w:p w14:paraId="01429D04" w14:textId="77777777" w:rsidR="005D0FB4" w:rsidRDefault="00000000">
      <w:pPr>
        <w:keepNext/>
        <w:pBdr>
          <w:bottom w:val="single" w:sz="6" w:space="4" w:color="CBD5E0"/>
        </w:pBdr>
        <w:spacing w:before="320" w:after="120"/>
      </w:pPr>
      <w:r>
        <w:rPr>
          <w:b/>
          <w:color w:val="1A365D"/>
          <w:sz w:val="28"/>
        </w:rPr>
        <w:t>3. Technical Implementation</w:t>
      </w:r>
    </w:p>
    <w:tbl>
      <w:tblPr>
        <w:tblW w:w="0" w:type="auto"/>
        <w:jc w:val="center"/>
        <w:tblLayout w:type="fixed"/>
        <w:tblLook w:val="04A0" w:firstRow="1" w:lastRow="0" w:firstColumn="1" w:lastColumn="0" w:noHBand="0" w:noVBand="1"/>
      </w:tblPr>
      <w:tblGrid>
        <w:gridCol w:w="2160"/>
        <w:gridCol w:w="3168"/>
        <w:gridCol w:w="4608"/>
      </w:tblGrid>
      <w:tr w:rsidR="005D0FB4" w14:paraId="7AE2C0B8" w14:textId="77777777">
        <w:trPr>
          <w:cantSplit/>
          <w:tblHeader/>
          <w:jc w:val="center"/>
        </w:trPr>
        <w:tc>
          <w:tcPr>
            <w:tcW w:w="2160" w:type="dxa"/>
            <w:shd w:val="clear" w:color="auto" w:fill="1A365D"/>
            <w:tcMar>
              <w:top w:w="120" w:type="dxa"/>
              <w:left w:w="120" w:type="dxa"/>
              <w:bottom w:w="120" w:type="dxa"/>
              <w:right w:w="120" w:type="dxa"/>
            </w:tcMar>
          </w:tcPr>
          <w:p w14:paraId="738E4E5C" w14:textId="77777777" w:rsidR="005D0FB4" w:rsidRDefault="00000000">
            <w:pPr>
              <w:spacing w:after="0"/>
            </w:pPr>
            <w:r>
              <w:rPr>
                <w:b/>
                <w:color w:val="FFFFFF"/>
                <w:sz w:val="20"/>
              </w:rPr>
              <w:t>Layer</w:t>
            </w:r>
          </w:p>
        </w:tc>
        <w:tc>
          <w:tcPr>
            <w:tcW w:w="3168" w:type="dxa"/>
            <w:shd w:val="clear" w:color="auto" w:fill="1A365D"/>
            <w:tcMar>
              <w:top w:w="120" w:type="dxa"/>
              <w:left w:w="120" w:type="dxa"/>
              <w:bottom w:w="120" w:type="dxa"/>
              <w:right w:w="120" w:type="dxa"/>
            </w:tcMar>
          </w:tcPr>
          <w:p w14:paraId="35610A32" w14:textId="77777777" w:rsidR="005D0FB4" w:rsidRDefault="00000000">
            <w:pPr>
              <w:spacing w:after="0"/>
            </w:pPr>
            <w:r>
              <w:rPr>
                <w:b/>
                <w:color w:val="FFFFFF"/>
                <w:sz w:val="20"/>
              </w:rPr>
              <w:t>Technology Selection</w:t>
            </w:r>
          </w:p>
        </w:tc>
        <w:tc>
          <w:tcPr>
            <w:tcW w:w="4608" w:type="dxa"/>
            <w:shd w:val="clear" w:color="auto" w:fill="1A365D"/>
            <w:tcMar>
              <w:top w:w="120" w:type="dxa"/>
              <w:left w:w="120" w:type="dxa"/>
              <w:bottom w:w="120" w:type="dxa"/>
              <w:right w:w="120" w:type="dxa"/>
            </w:tcMar>
          </w:tcPr>
          <w:p w14:paraId="66D0FF65" w14:textId="77777777" w:rsidR="005D0FB4" w:rsidRDefault="00000000">
            <w:pPr>
              <w:spacing w:after="0"/>
            </w:pPr>
            <w:r>
              <w:rPr>
                <w:b/>
                <w:color w:val="FFFFFF"/>
                <w:sz w:val="20"/>
              </w:rPr>
              <w:t>Strategic Rationale</w:t>
            </w:r>
          </w:p>
        </w:tc>
      </w:tr>
      <w:tr w:rsidR="005D0FB4" w14:paraId="7D235F15"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68085CC9" w14:textId="77777777" w:rsidR="005D0FB4" w:rsidRDefault="00000000">
            <w:pPr>
              <w:spacing w:after="0"/>
              <w:jc w:val="left"/>
            </w:pPr>
            <w:r>
              <w:rPr>
                <w:b/>
                <w:color w:val="1A365D"/>
                <w:sz w:val="19"/>
              </w:rPr>
              <w:t>Orchestration</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23DC744C" w14:textId="77777777" w:rsidR="005D0FB4" w:rsidRDefault="00000000">
            <w:pPr>
              <w:spacing w:after="0"/>
              <w:jc w:val="left"/>
            </w:pPr>
            <w:r>
              <w:rPr>
                <w:color w:val="4A5568"/>
                <w:sz w:val="19"/>
              </w:rPr>
              <w:t>Python CLI, natural-language assistant</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5B6642F4" w14:textId="77777777" w:rsidR="005D0FB4" w:rsidRDefault="00000000">
            <w:pPr>
              <w:spacing w:after="0"/>
              <w:jc w:val="left"/>
            </w:pPr>
            <w:r>
              <w:rPr>
                <w:color w:val="4A5568"/>
                <w:sz w:val="19"/>
              </w:rPr>
              <w:t>Interprets intent, scopes tests, discovers targets, and records observable assessment phases.</w:t>
            </w:r>
          </w:p>
        </w:tc>
      </w:tr>
      <w:tr w:rsidR="005D0FB4" w14:paraId="5BD71554"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51039DAB" w14:textId="77777777" w:rsidR="005D0FB4" w:rsidRDefault="00000000">
            <w:pPr>
              <w:spacing w:after="0"/>
              <w:jc w:val="left"/>
            </w:pPr>
            <w:r>
              <w:rPr>
                <w:b/>
                <w:color w:val="1A365D"/>
                <w:sz w:val="19"/>
              </w:rPr>
              <w:t>AI Runtime</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12C47879" w14:textId="77777777" w:rsidR="005D0FB4" w:rsidRDefault="00000000">
            <w:pPr>
              <w:spacing w:after="0"/>
              <w:jc w:val="left"/>
            </w:pPr>
            <w:r>
              <w:rPr>
                <w:color w:val="4A5568"/>
                <w:sz w:val="19"/>
              </w:rPr>
              <w:t>Ollama, LangGraph, local agents</w:t>
            </w:r>
          </w:p>
        </w:tc>
        <w:tc>
          <w:tcPr>
            <w:tcW w:w="4608"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164E7B26" w14:textId="77777777" w:rsidR="005D0FB4" w:rsidRDefault="00000000">
            <w:pPr>
              <w:spacing w:after="0"/>
              <w:jc w:val="left"/>
            </w:pPr>
            <w:r>
              <w:rPr>
                <w:color w:val="4A5568"/>
                <w:sz w:val="19"/>
              </w:rPr>
              <w:t>Keeps adaptive generation local while supporting tool-using weather and travel target services.</w:t>
            </w:r>
          </w:p>
        </w:tc>
      </w:tr>
      <w:tr w:rsidR="005D0FB4" w14:paraId="6DE09CA4"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655A1E04" w14:textId="77777777" w:rsidR="005D0FB4" w:rsidRDefault="00000000">
            <w:pPr>
              <w:spacing w:after="0"/>
              <w:jc w:val="left"/>
            </w:pPr>
            <w:r>
              <w:rPr>
                <w:b/>
                <w:color w:val="1A365D"/>
                <w:sz w:val="19"/>
              </w:rPr>
              <w:t>Security Lab</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4D3E6BE0" w14:textId="77777777" w:rsidR="005D0FB4" w:rsidRDefault="00000000">
            <w:pPr>
              <w:spacing w:after="0"/>
              <w:jc w:val="left"/>
            </w:pPr>
            <w:r>
              <w:rPr>
                <w:color w:val="4A5568"/>
                <w:sz w:val="19"/>
              </w:rPr>
              <w:t>Kali, SSH tunnels, HTTP probes</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6EBD43D8" w14:textId="77777777" w:rsidR="005D0FB4" w:rsidRDefault="00000000">
            <w:pPr>
              <w:spacing w:after="0"/>
              <w:jc w:val="left"/>
            </w:pPr>
            <w:r>
              <w:rPr>
                <w:color w:val="4A5568"/>
                <w:sz w:val="19"/>
              </w:rPr>
              <w:t>Runs bounded recon and agent-aware tests without exposing loopback services to the LAN.</w:t>
            </w:r>
          </w:p>
        </w:tc>
      </w:tr>
      <w:tr w:rsidR="005D0FB4" w14:paraId="351A90F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5CE6446D" w14:textId="77777777" w:rsidR="005D0FB4" w:rsidRDefault="00000000">
            <w:pPr>
              <w:spacing w:after="0"/>
              <w:jc w:val="left"/>
            </w:pPr>
            <w:r>
              <w:rPr>
                <w:b/>
                <w:color w:val="1A365D"/>
                <w:sz w:val="19"/>
              </w:rPr>
              <w:t>Evidence</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08DBE563" w14:textId="77777777" w:rsidR="005D0FB4" w:rsidRDefault="00000000">
            <w:pPr>
              <w:spacing w:after="0"/>
              <w:jc w:val="left"/>
            </w:pPr>
            <w:r>
              <w:rPr>
                <w:color w:val="4A5568"/>
                <w:sz w:val="19"/>
              </w:rPr>
              <w:t>JSON, Markdown, JSONL</w:t>
            </w:r>
          </w:p>
        </w:tc>
        <w:tc>
          <w:tcPr>
            <w:tcW w:w="4608" w:type="dxa"/>
            <w:tcBorders>
              <w:top w:val="single" w:sz="4" w:space="0" w:color="E2E8F0"/>
              <w:left w:val="single" w:sz="4" w:space="0" w:color="E2E8F0"/>
              <w:bottom w:val="single" w:sz="4" w:space="0" w:color="E2E8F0"/>
              <w:right w:val="single" w:sz="4" w:space="0" w:color="E2E8F0"/>
            </w:tcBorders>
            <w:shd w:val="clear" w:color="auto" w:fill="F7FAFC"/>
            <w:tcMar>
              <w:top w:w="100" w:type="dxa"/>
              <w:left w:w="120" w:type="dxa"/>
              <w:bottom w:w="100" w:type="dxa"/>
              <w:right w:w="120" w:type="dxa"/>
            </w:tcMar>
            <w:vAlign w:val="center"/>
          </w:tcPr>
          <w:p w14:paraId="76FBCDFE" w14:textId="77777777" w:rsidR="005D0FB4" w:rsidRDefault="00000000">
            <w:pPr>
              <w:spacing w:after="0"/>
              <w:jc w:val="left"/>
            </w:pPr>
            <w:r>
              <w:rPr>
                <w:color w:val="4A5568"/>
                <w:sz w:val="19"/>
              </w:rPr>
              <w:t>Normalizes findings, redacts configured secrets, and produces reviewable reports and event traces.</w:t>
            </w:r>
          </w:p>
        </w:tc>
      </w:tr>
    </w:tbl>
    <w:p w14:paraId="57385222" w14:textId="77777777" w:rsidR="005D0FB4" w:rsidRDefault="00000000">
      <w:pPr>
        <w:keepNext/>
        <w:pBdr>
          <w:bottom w:val="single" w:sz="6" w:space="4" w:color="CBD5E0"/>
        </w:pBdr>
        <w:spacing w:before="320" w:after="120"/>
      </w:pPr>
      <w:r>
        <w:rPr>
          <w:b/>
          <w:color w:val="1A365D"/>
          <w:sz w:val="28"/>
        </w:rPr>
        <w:t>4. Key Results &amp; Visual Assets</w:t>
      </w:r>
    </w:p>
    <w:p w14:paraId="26B3CC9A" w14:textId="77777777" w:rsidR="005D0FB4" w:rsidRDefault="00000000">
      <w:pPr>
        <w:keepNext/>
        <w:spacing w:before="80" w:after="40"/>
      </w:pPr>
      <w:r>
        <w:rPr>
          <w:b/>
          <w:color w:val="4A5568"/>
        </w:rPr>
        <w:t>Measurable Metrics</w:t>
      </w:r>
    </w:p>
    <w:p w14:paraId="5ABCF926" w14:textId="77777777" w:rsidR="005D0FB4" w:rsidRDefault="00000000">
      <w:pPr>
        <w:pStyle w:val="ListBullet"/>
        <w:spacing w:before="40" w:after="80"/>
      </w:pPr>
      <w:r>
        <w:rPr>
          <w:b/>
          <w:color w:val="4A5568"/>
          <w:sz w:val="20"/>
        </w:rPr>
        <w:t xml:space="preserve">Validation: </w:t>
      </w:r>
      <w:r>
        <w:rPr>
          <w:color w:val="4A5568"/>
          <w:sz w:val="20"/>
        </w:rPr>
        <w:t>47 of 47 unit tests passed and the reviewed core modules compiled cleanly.</w:t>
      </w:r>
    </w:p>
    <w:p w14:paraId="1EAF1267" w14:textId="77777777" w:rsidR="005D0FB4" w:rsidRDefault="00000000">
      <w:pPr>
        <w:pStyle w:val="ListBullet"/>
        <w:spacing w:before="40" w:after="80"/>
      </w:pPr>
      <w:r>
        <w:rPr>
          <w:b/>
          <w:color w:val="4A5568"/>
          <w:sz w:val="20"/>
        </w:rPr>
        <w:t xml:space="preserve">Coverage: </w:t>
      </w:r>
      <w:r>
        <w:rPr>
          <w:color w:val="4A5568"/>
          <w:sz w:val="20"/>
        </w:rPr>
        <w:t>Six explicit targets were discovered; the prompt-disclosure smoke scan returned 6 PASS, 0 FAIL, 0 ERROR.</w:t>
      </w:r>
    </w:p>
    <w:p w14:paraId="3D61CCF7" w14:textId="77777777" w:rsidR="005D0FB4" w:rsidRDefault="00000000">
      <w:pPr>
        <w:keepNext/>
        <w:spacing w:before="120" w:after="80"/>
      </w:pPr>
      <w:r>
        <w:rPr>
          <w:b/>
          <w:color w:val="4A5568"/>
          <w:sz w:val="22"/>
        </w:rPr>
        <w:t>Assessment Architecture</w:t>
      </w:r>
    </w:p>
    <w:tbl>
      <w:tblPr>
        <w:tblW w:w="0" w:type="auto"/>
        <w:jc w:val="center"/>
        <w:tblLook w:val="04A0" w:firstRow="1" w:lastRow="0" w:firstColumn="1" w:lastColumn="0" w:noHBand="0" w:noVBand="1"/>
      </w:tblPr>
      <w:tblGrid>
        <w:gridCol w:w="9936"/>
      </w:tblGrid>
      <w:tr w:rsidR="005D0FB4" w14:paraId="79BE66E0" w14:textId="77777777">
        <w:trPr>
          <w:jc w:val="center"/>
        </w:trPr>
        <w:tc>
          <w:tcPr>
            <w:tcW w:w="9936" w:type="dxa"/>
            <w:tcBorders>
              <w:top w:val="dashed" w:sz="8" w:space="0" w:color="A0AEC0"/>
              <w:left w:val="dashed" w:sz="8" w:space="0" w:color="A0AEC0"/>
              <w:bottom w:val="dashed" w:sz="8" w:space="0" w:color="A0AEC0"/>
              <w:right w:val="dashed" w:sz="8" w:space="0" w:color="A0AEC0"/>
            </w:tcBorders>
            <w:shd w:val="clear" w:color="auto" w:fill="EDF2F7"/>
            <w:tcMar>
              <w:top w:w="160" w:type="dxa"/>
              <w:left w:w="200" w:type="dxa"/>
              <w:bottom w:w="160" w:type="dxa"/>
              <w:right w:w="200" w:type="dxa"/>
              <w:start w:w="160" w:type="dxa"/>
              <w:end w:w="160" w:type="dxa"/>
            </w:tcMar>
            <w:vAlign w:val="center"/>
          </w:tcPr>
          <w:p w14:paraId="6C00E782" w14:textId="77777777" w:rsidR="005D0FB4" w:rsidRDefault="00000000">
            <w:pPr>
              <w:spacing w:after="0"/>
              <w:jc w:val="left"/>
            </w:pPr>
            <w:r>
              <w:rPr>
                <w:sz w:val="2"/>
              </w:rPr>
            </w:r>
          </w:p>
          <w:tbl>
            <w:tblPr>
              <w:tblW w:type="dxa" w:w="8640"/>
              <w:jc w:val="center"/>
              <w:tblLayout w:type="fixed"/>
              <w:tblLook w:firstColumn="1" w:firstRow="1" w:lastColumn="0" w:lastRow="0" w:noHBand="0" w:noVBand="1" w:val="04A0"/>
            </w:tblPr>
            <w:tblGrid>
              <w:gridCol w:w="1987"/>
              <w:gridCol w:w="1987"/>
              <w:gridCol w:w="1987"/>
              <w:gridCol w:w="1987"/>
              <w:gridCol w:w="1987"/>
            </w:tblGrid>
            <w:tr>
              <w:tc>
                <w:tcPr>
                  <w:tcW w:type="dxa" w:w="1714"/>
                  <w:vAlign w:val="center"/>
                  <w:shd w:fill="1A365D" w:val="clear"/>
                  <w:tcMar>
                    <w:top w:w="120" w:type="dxa"/>
                    <w:start w:w="70" w:type="dxa"/>
                    <w:bottom w:w="120" w:type="dxa"/>
                    <w:end w:w="70" w:type="dxa"/>
                  </w:tcMar>
                  <w:tcBorders>
                    <w:top w:val="single" w:sz="8" w:color="FFFFFF"/>
                    <w:bottom w:val="single" w:sz="8" w:color="FFFFFF"/>
                    <w:start w:val="single" w:sz="8" w:color="FFFFFF"/>
                    <w:end w:val="single" w:sz="8" w:color="FFFFFF"/>
                  </w:tcBorders>
                </w:tcPr>
                <w:p>
                  <w:pPr>
                    <w:spacing w:before="0" w:after="0"/>
                    <w:jc w:val="center"/>
                  </w:pPr>
                  <w:r>
                    <w:rPr>
                      <w:b/>
                      <w:color w:val="FFFFFF"/>
                      <w:sz w:val="14"/>
                    </w:rPr>
                    <w:t>OPERATE</w:t>
                  </w:r>
                  <w:r>
                    <w:rPr>
                      <w:color w:val="FFFFFF"/>
                      <w:sz w:val="13"/>
                    </w:rPr>
                    <w:br/>
                    <w:t>CLI + chat</w:t>
                  </w:r>
                </w:p>
              </w:tc>
              <w:tc>
                <w:tcPr>
                  <w:tcW w:type="dxa" w:w="1714"/>
                  <w:vAlign w:val="center"/>
                  <w:shd w:fill="4F81BD" w:val="clear"/>
                  <w:tcMar>
                    <w:top w:w="120" w:type="dxa"/>
                    <w:start w:w="70" w:type="dxa"/>
                    <w:bottom w:w="120" w:type="dxa"/>
                    <w:end w:w="70" w:type="dxa"/>
                  </w:tcMar>
                  <w:tcBorders>
                    <w:top w:val="single" w:sz="8" w:color="FFFFFF"/>
                    <w:bottom w:val="single" w:sz="8" w:color="FFFFFF"/>
                    <w:start w:val="single" w:sz="8" w:color="FFFFFF"/>
                    <w:end w:val="single" w:sz="8" w:color="FFFFFF"/>
                  </w:tcBorders>
                </w:tcPr>
                <w:p>
                  <w:pPr>
                    <w:spacing w:before="0" w:after="0"/>
                    <w:jc w:val="center"/>
                  </w:pPr>
                  <w:r>
                    <w:rPr>
                      <w:b/>
                      <w:color w:val="FFFFFF"/>
                      <w:sz w:val="14"/>
                    </w:rPr>
                    <w:t>ORCHESTRATE</w:t>
                  </w:r>
                  <w:r>
                    <w:rPr>
                      <w:color w:val="FFFFFF"/>
                      <w:sz w:val="13"/>
                    </w:rPr>
                    <w:br/>
                    <w:t>scope + monitor</w:t>
                  </w:r>
                </w:p>
              </w:tc>
              <w:tc>
                <w:tcPr>
                  <w:tcW w:type="dxa" w:w="1714"/>
                  <w:vAlign w:val="center"/>
                  <w:shd w:fill="1A365D" w:val="clear"/>
                  <w:tcMar>
                    <w:top w:w="120" w:type="dxa"/>
                    <w:start w:w="70" w:type="dxa"/>
                    <w:bottom w:w="120" w:type="dxa"/>
                    <w:end w:w="70" w:type="dxa"/>
                  </w:tcMar>
                  <w:tcBorders>
                    <w:top w:val="single" w:sz="8" w:color="FFFFFF"/>
                    <w:bottom w:val="single" w:sz="8" w:color="FFFFFF"/>
                    <w:start w:val="single" w:sz="8" w:color="FFFFFF"/>
                    <w:end w:val="single" w:sz="8" w:color="FFFFFF"/>
                  </w:tcBorders>
                </w:tcPr>
                <w:p>
                  <w:pPr>
                    <w:spacing w:before="0" w:after="0"/>
                    <w:jc w:val="center"/>
                  </w:pPr>
                  <w:r>
                    <w:rPr>
                      <w:b/>
                      <w:color w:val="FFFFFF"/>
                      <w:sz w:val="14"/>
                    </w:rPr>
                    <w:t>ASSESS</w:t>
                  </w:r>
                  <w:r>
                    <w:rPr>
                      <w:color w:val="FFFFFF"/>
                      <w:sz w:val="13"/>
                    </w:rPr>
                    <w:br/>
                    <w:t>static + adaptive</w:t>
                  </w:r>
                </w:p>
              </w:tc>
              <w:tc>
                <w:tcPr>
                  <w:tcW w:type="dxa" w:w="1714"/>
                  <w:vAlign w:val="center"/>
                  <w:shd w:fill="4F81BD" w:val="clear"/>
                  <w:tcMar>
                    <w:top w:w="120" w:type="dxa"/>
                    <w:start w:w="70" w:type="dxa"/>
                    <w:bottom w:w="120" w:type="dxa"/>
                    <w:end w:w="70" w:type="dxa"/>
                  </w:tcMar>
                  <w:tcBorders>
                    <w:top w:val="single" w:sz="8" w:color="FFFFFF"/>
                    <w:bottom w:val="single" w:sz="8" w:color="FFFFFF"/>
                    <w:start w:val="single" w:sz="8" w:color="FFFFFF"/>
                    <w:end w:val="single" w:sz="8" w:color="FFFFFF"/>
                  </w:tcBorders>
                </w:tcPr>
                <w:p>
                  <w:pPr>
                    <w:spacing w:before="0" w:after="0"/>
                    <w:jc w:val="center"/>
                  </w:pPr>
                  <w:r>
                    <w:rPr>
                      <w:b/>
                      <w:color w:val="FFFFFF"/>
                      <w:sz w:val="14"/>
                    </w:rPr>
                    <w:t>EVALUATE</w:t>
                  </w:r>
                  <w:r>
                    <w:rPr>
                      <w:color w:val="FFFFFF"/>
                      <w:sz w:val="13"/>
                    </w:rPr>
                    <w:br/>
                    <w:t>detectors + severity</w:t>
                  </w:r>
                </w:p>
              </w:tc>
              <w:tc>
                <w:tcPr>
                  <w:tcW w:type="dxa" w:w="1714"/>
                  <w:vAlign w:val="center"/>
                  <w:shd w:fill="1A365D" w:val="clear"/>
                  <w:tcMar>
                    <w:top w:w="120" w:type="dxa"/>
                    <w:start w:w="70" w:type="dxa"/>
                    <w:bottom w:w="120" w:type="dxa"/>
                    <w:end w:w="70" w:type="dxa"/>
                  </w:tcMar>
                  <w:tcBorders>
                    <w:top w:val="single" w:sz="8" w:color="FFFFFF"/>
                    <w:bottom w:val="single" w:sz="8" w:color="FFFFFF"/>
                    <w:start w:val="single" w:sz="8" w:color="FFFFFF"/>
                    <w:end w:val="single" w:sz="8" w:color="FFFFFF"/>
                  </w:tcBorders>
                </w:tcPr>
                <w:p>
                  <w:pPr>
                    <w:spacing w:before="0" w:after="0"/>
                    <w:jc w:val="center"/>
                  </w:pPr>
                  <w:r>
                    <w:rPr>
                      <w:b/>
                      <w:color w:val="FFFFFF"/>
                      <w:sz w:val="14"/>
                    </w:rPr>
                    <w:t>REPORT</w:t>
                  </w:r>
                  <w:r>
                    <w:rPr>
                      <w:color w:val="FFFFFF"/>
                      <w:sz w:val="13"/>
                    </w:rPr>
                    <w:br/>
                    <w:t>JSON + timeline</w:t>
                  </w:r>
                </w:p>
              </w:tc>
            </w:tr>
          </w:tbl>
          <w:p/>
        </w:tc>
      </w:tr>
    </w:tbl>
    <w:p w14:paraId="187D9AEF" w14:textId="77777777" w:rsidR="005D0FB4" w:rsidRDefault="00000000">
      <w:pPr>
        <w:spacing w:before="80" w:after="240"/>
        <w:jc w:val="center"/>
      </w:pPr>
      <w:r>
        <w:rPr>
          <w:i/>
          <w:color w:val="4A5568"/>
          <w:sz w:val="18"/>
        </w:rPr>
        <w:t>Figure 1: Authorized assessment flow from operator intent to auditable evidence.</w:t>
      </w:r>
    </w:p>
    <w:sectPr w:rsidR="005D0FB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085287">
    <w:abstractNumId w:val="8"/>
  </w:num>
  <w:num w:numId="2" w16cid:durableId="433479475">
    <w:abstractNumId w:val="6"/>
  </w:num>
  <w:num w:numId="3" w16cid:durableId="206913546">
    <w:abstractNumId w:val="5"/>
  </w:num>
  <w:num w:numId="4" w16cid:durableId="1066755587">
    <w:abstractNumId w:val="4"/>
  </w:num>
  <w:num w:numId="5" w16cid:durableId="1930500021">
    <w:abstractNumId w:val="7"/>
  </w:num>
  <w:num w:numId="6" w16cid:durableId="1475759349">
    <w:abstractNumId w:val="3"/>
  </w:num>
  <w:num w:numId="7" w16cid:durableId="1489714582">
    <w:abstractNumId w:val="2"/>
  </w:num>
  <w:num w:numId="8" w16cid:durableId="981345175">
    <w:abstractNumId w:val="1"/>
  </w:num>
  <w:num w:numId="9" w16cid:durableId="87046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AA0"/>
    <w:rsid w:val="0015074B"/>
    <w:rsid w:val="0029639D"/>
    <w:rsid w:val="00326F90"/>
    <w:rsid w:val="005D0FB4"/>
    <w:rsid w:val="006049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5CF77"/>
  <w14:defaultImageDpi w14:val="300"/>
  <w15:docId w15:val="{2C2D0770-BF9F-4B77-959B-9743C040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Red Team Simulator - Project Showcase</dc:title>
  <dc:subject>Enterprise AI agent security validation platform</dc:subject>
  <dc:creator>Vishal</dc:creator>
  <cp:keywords>AI security, red team, AI agents, Kali Linux, Ollama, LangGraph</cp:keywords>
  <dc:description>generated by python-docx</dc:description>
  <cp:lastModifiedBy>Vasanthakumar Chakkaravarthi</cp:lastModifiedBy>
  <cp:revision>2</cp:revision>
  <dcterms:created xsi:type="dcterms:W3CDTF">2013-12-23T23:15:00Z</dcterms:created>
  <dcterms:modified xsi:type="dcterms:W3CDTF">2026-07-13T16:34:00Z</dcterms:modified>
  <cp:category/>
</cp:coreProperties>
</file>