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D86C" w14:textId="77777777" w:rsidR="000F1D1F" w:rsidRDefault="000F1D1F" w:rsidP="00F33BDB">
      <w:pPr>
        <w:tabs>
          <w:tab w:val="left" w:pos="2269"/>
          <w:tab w:val="center" w:pos="4680"/>
        </w:tabs>
        <w:spacing w:before="2400"/>
        <w:jc w:val="center"/>
        <w:rPr>
          <w:b/>
          <w:sz w:val="36"/>
          <w:szCs w:val="36"/>
        </w:rPr>
      </w:pPr>
      <w:r w:rsidRPr="00475536">
        <w:rPr>
          <w:b/>
          <w:sz w:val="36"/>
        </w:rPr>
        <w:t>ERCOT</w:t>
      </w:r>
      <w:r>
        <w:rPr>
          <w:b/>
          <w:sz w:val="36"/>
          <w:szCs w:val="36"/>
        </w:rPr>
        <w:t xml:space="preserve"> Nodal Protocols</w:t>
      </w:r>
    </w:p>
    <w:p w14:paraId="7E8BA93B" w14:textId="77777777" w:rsidR="000F1D1F" w:rsidRDefault="000F1D1F" w:rsidP="000F1D1F">
      <w:pPr>
        <w:jc w:val="center"/>
        <w:rPr>
          <w:b/>
          <w:sz w:val="36"/>
          <w:szCs w:val="36"/>
        </w:rPr>
      </w:pPr>
    </w:p>
    <w:p w14:paraId="4EE84254" w14:textId="77777777" w:rsidR="000F1D1F" w:rsidRDefault="000F1D1F" w:rsidP="00475536">
      <w:pPr>
        <w:spacing w:after="240"/>
        <w:jc w:val="center"/>
        <w:rPr>
          <w:b/>
          <w:sz w:val="36"/>
          <w:szCs w:val="36"/>
        </w:rPr>
      </w:pPr>
      <w:r>
        <w:rPr>
          <w:b/>
          <w:sz w:val="36"/>
          <w:szCs w:val="36"/>
        </w:rPr>
        <w:t xml:space="preserve">Section 4: </w:t>
      </w:r>
      <w:r w:rsidR="0066513F">
        <w:rPr>
          <w:b/>
          <w:sz w:val="36"/>
          <w:szCs w:val="36"/>
        </w:rPr>
        <w:t xml:space="preserve"> </w:t>
      </w:r>
      <w:r>
        <w:rPr>
          <w:b/>
          <w:sz w:val="36"/>
          <w:szCs w:val="36"/>
        </w:rPr>
        <w:t>Day-Ahead Operations</w:t>
      </w:r>
    </w:p>
    <w:p w14:paraId="3F458122" w14:textId="77777777" w:rsidR="000F1D1F" w:rsidRDefault="000F1D1F" w:rsidP="00475536">
      <w:pPr>
        <w:jc w:val="center"/>
        <w:rPr>
          <w:b/>
        </w:rPr>
      </w:pPr>
    </w:p>
    <w:p w14:paraId="6877CF6A" w14:textId="4D22A71B" w:rsidR="000F1D1F" w:rsidRDefault="00A61EA0" w:rsidP="00475536">
      <w:pPr>
        <w:spacing w:before="360"/>
        <w:jc w:val="center"/>
        <w:rPr>
          <w:b/>
        </w:rPr>
      </w:pPr>
      <w:r>
        <w:rPr>
          <w:b/>
        </w:rPr>
        <w:t>Ma</w:t>
      </w:r>
      <w:r w:rsidR="006D5105">
        <w:rPr>
          <w:b/>
        </w:rPr>
        <w:t>y</w:t>
      </w:r>
      <w:r w:rsidR="002D3E38">
        <w:rPr>
          <w:b/>
        </w:rPr>
        <w:t xml:space="preserve"> 1</w:t>
      </w:r>
      <w:r w:rsidR="00DA6BBF">
        <w:rPr>
          <w:b/>
        </w:rPr>
        <w:t>, 20</w:t>
      </w:r>
      <w:r w:rsidR="00D41C77">
        <w:rPr>
          <w:b/>
        </w:rPr>
        <w:t>2</w:t>
      </w:r>
      <w:r>
        <w:rPr>
          <w:b/>
        </w:rPr>
        <w:t>4</w:t>
      </w:r>
    </w:p>
    <w:p w14:paraId="575CFC15" w14:textId="77777777" w:rsidR="000F1D1F" w:rsidRDefault="000F1D1F" w:rsidP="00475536">
      <w:pPr>
        <w:spacing w:before="360"/>
        <w:jc w:val="center"/>
        <w:rPr>
          <w:b/>
        </w:rPr>
      </w:pPr>
    </w:p>
    <w:p w14:paraId="253FA505" w14:textId="77777777" w:rsidR="000F1D1F" w:rsidRDefault="000F1D1F" w:rsidP="000F1D1F">
      <w:pPr>
        <w:pStyle w:val="BodyText"/>
        <w:spacing w:after="0"/>
        <w:jc w:val="center"/>
        <w:rPr>
          <w:b/>
        </w:rPr>
      </w:pPr>
    </w:p>
    <w:p w14:paraId="15AA802B" w14:textId="77777777" w:rsidR="000F1D1F" w:rsidRDefault="000F1D1F" w:rsidP="00475536">
      <w:pPr>
        <w:pBdr>
          <w:top w:val="single" w:sz="4" w:space="1" w:color="auto"/>
        </w:pBdr>
        <w:rPr>
          <w:b/>
          <w:sz w:val="20"/>
        </w:rPr>
      </w:pPr>
    </w:p>
    <w:p w14:paraId="4903B2CF" w14:textId="77777777" w:rsidR="000F1D1F" w:rsidRDefault="000F1D1F" w:rsidP="000F1D1F">
      <w:pPr>
        <w:pStyle w:val="BodyText"/>
      </w:pPr>
    </w:p>
    <w:p w14:paraId="2DEF8A17" w14:textId="77777777" w:rsidR="00FF2129" w:rsidRDefault="00FF2129">
      <w:pPr>
        <w:pStyle w:val="BodyText"/>
        <w:sectPr w:rsidR="00FF2129" w:rsidSect="00C4728E">
          <w:headerReference w:type="default" r:id="rId8"/>
          <w:footerReference w:type="default" r:id="rId9"/>
          <w:pgSz w:w="12240" w:h="15840" w:code="1"/>
          <w:pgMar w:top="1440" w:right="1440" w:bottom="1440" w:left="1440" w:header="720" w:footer="720" w:gutter="0"/>
          <w:pgNumType w:start="1" w:chapStyle="1"/>
          <w:cols w:space="720"/>
        </w:sectPr>
      </w:pPr>
    </w:p>
    <w:p w14:paraId="47D6E077" w14:textId="78D82953" w:rsidR="00A82EF4" w:rsidRDefault="00C32A61">
      <w:pPr>
        <w:pStyle w:val="TOC1"/>
        <w:rPr>
          <w:rFonts w:asciiTheme="minorHAnsi" w:eastAsiaTheme="minorEastAsia" w:hAnsiTheme="minorHAnsi" w:cstheme="minorBidi"/>
          <w:b w:val="0"/>
          <w:bCs w:val="0"/>
          <w:sz w:val="22"/>
          <w:szCs w:val="22"/>
        </w:rPr>
      </w:pPr>
      <w:r>
        <w:lastRenderedPageBreak/>
        <w:fldChar w:fldCharType="begin"/>
      </w:r>
      <w:r w:rsidR="00482EF3">
        <w:instrText xml:space="preserve"> TOC \o "1-5" \h \z \u </w:instrText>
      </w:r>
      <w:r>
        <w:fldChar w:fldCharType="separate"/>
      </w:r>
      <w:hyperlink w:anchor="_Toc135990597" w:history="1">
        <w:r w:rsidR="00A82EF4" w:rsidRPr="0004230A">
          <w:rPr>
            <w:rStyle w:val="Hyperlink"/>
          </w:rPr>
          <w:t>4</w:t>
        </w:r>
        <w:r w:rsidR="00A82EF4">
          <w:rPr>
            <w:rFonts w:asciiTheme="minorHAnsi" w:eastAsiaTheme="minorEastAsia" w:hAnsiTheme="minorHAnsi" w:cstheme="minorBidi"/>
            <w:b w:val="0"/>
            <w:bCs w:val="0"/>
            <w:sz w:val="22"/>
            <w:szCs w:val="22"/>
          </w:rPr>
          <w:tab/>
        </w:r>
        <w:r w:rsidR="00A82EF4" w:rsidRPr="0004230A">
          <w:rPr>
            <w:rStyle w:val="Hyperlink"/>
          </w:rPr>
          <w:t>Day-Ahead Operations</w:t>
        </w:r>
        <w:r w:rsidR="00A82EF4">
          <w:rPr>
            <w:webHidden/>
          </w:rPr>
          <w:tab/>
        </w:r>
        <w:r w:rsidR="00A82EF4">
          <w:rPr>
            <w:webHidden/>
          </w:rPr>
          <w:fldChar w:fldCharType="begin"/>
        </w:r>
        <w:r w:rsidR="00A82EF4">
          <w:rPr>
            <w:webHidden/>
          </w:rPr>
          <w:instrText xml:space="preserve"> PAGEREF _Toc135990597 \h </w:instrText>
        </w:r>
        <w:r w:rsidR="00A82EF4">
          <w:rPr>
            <w:webHidden/>
          </w:rPr>
        </w:r>
        <w:r w:rsidR="00A82EF4">
          <w:rPr>
            <w:webHidden/>
          </w:rPr>
          <w:fldChar w:fldCharType="separate"/>
        </w:r>
        <w:r w:rsidR="005506CA">
          <w:rPr>
            <w:webHidden/>
          </w:rPr>
          <w:t>4-1</w:t>
        </w:r>
        <w:r w:rsidR="00A82EF4">
          <w:rPr>
            <w:webHidden/>
          </w:rPr>
          <w:fldChar w:fldCharType="end"/>
        </w:r>
      </w:hyperlink>
    </w:p>
    <w:p w14:paraId="196E03AF" w14:textId="33D1C647" w:rsidR="00A82EF4" w:rsidRPr="005506CA" w:rsidRDefault="005506CA">
      <w:pPr>
        <w:pStyle w:val="TOC2"/>
        <w:rPr>
          <w:rFonts w:eastAsiaTheme="minorEastAsia"/>
          <w:noProof/>
        </w:rPr>
      </w:pPr>
      <w:hyperlink w:anchor="_Toc135990598" w:history="1">
        <w:r w:rsidR="00A82EF4" w:rsidRPr="005506CA">
          <w:rPr>
            <w:rStyle w:val="Hyperlink"/>
            <w:noProof/>
            <w:u w:val="none"/>
          </w:rPr>
          <w:t>4.1</w:t>
        </w:r>
        <w:r w:rsidR="00A82EF4" w:rsidRPr="005506CA">
          <w:rPr>
            <w:rFonts w:eastAsiaTheme="minorEastAsia"/>
            <w:noProof/>
          </w:rPr>
          <w:tab/>
        </w:r>
        <w:r w:rsidR="00A82EF4" w:rsidRPr="005506CA">
          <w:rPr>
            <w:rStyle w:val="Hyperlink"/>
            <w:noProof/>
            <w:u w:val="none"/>
          </w:rPr>
          <w:t>Introduction</w:t>
        </w:r>
        <w:r w:rsidR="00A82EF4" w:rsidRPr="005506CA">
          <w:rPr>
            <w:noProof/>
            <w:webHidden/>
          </w:rPr>
          <w:tab/>
        </w:r>
        <w:r w:rsidR="00A82EF4" w:rsidRPr="005506CA">
          <w:rPr>
            <w:noProof/>
            <w:webHidden/>
          </w:rPr>
          <w:fldChar w:fldCharType="begin"/>
        </w:r>
        <w:r w:rsidR="00A82EF4" w:rsidRPr="005506CA">
          <w:rPr>
            <w:noProof/>
            <w:webHidden/>
          </w:rPr>
          <w:instrText xml:space="preserve"> PAGEREF _Toc135990598 \h </w:instrText>
        </w:r>
        <w:r w:rsidR="00A82EF4" w:rsidRPr="005506CA">
          <w:rPr>
            <w:noProof/>
            <w:webHidden/>
          </w:rPr>
        </w:r>
        <w:r w:rsidR="00A82EF4" w:rsidRPr="005506CA">
          <w:rPr>
            <w:noProof/>
            <w:webHidden/>
          </w:rPr>
          <w:fldChar w:fldCharType="separate"/>
        </w:r>
        <w:r w:rsidRPr="005506CA">
          <w:rPr>
            <w:noProof/>
            <w:webHidden/>
          </w:rPr>
          <w:t>4-1</w:t>
        </w:r>
        <w:r w:rsidR="00A82EF4" w:rsidRPr="005506CA">
          <w:rPr>
            <w:noProof/>
            <w:webHidden/>
          </w:rPr>
          <w:fldChar w:fldCharType="end"/>
        </w:r>
      </w:hyperlink>
    </w:p>
    <w:p w14:paraId="2C900ADF" w14:textId="30E0FBA5" w:rsidR="00A82EF4" w:rsidRPr="005506CA" w:rsidRDefault="005506CA">
      <w:pPr>
        <w:pStyle w:val="TOC3"/>
        <w:rPr>
          <w:rFonts w:eastAsiaTheme="minorEastAsia"/>
          <w:i w:val="0"/>
          <w:iCs w:val="0"/>
          <w:noProof/>
        </w:rPr>
      </w:pPr>
      <w:hyperlink w:anchor="_Toc135990599" w:history="1">
        <w:r w:rsidR="00A82EF4" w:rsidRPr="005506CA">
          <w:rPr>
            <w:rStyle w:val="Hyperlink"/>
            <w:i w:val="0"/>
            <w:iCs w:val="0"/>
            <w:noProof/>
            <w:u w:val="none"/>
          </w:rPr>
          <w:t>4.1.1</w:t>
        </w:r>
        <w:r w:rsidR="00A82EF4" w:rsidRPr="005506CA">
          <w:rPr>
            <w:rFonts w:eastAsiaTheme="minorEastAsia"/>
            <w:i w:val="0"/>
            <w:iCs w:val="0"/>
            <w:noProof/>
          </w:rPr>
          <w:tab/>
        </w:r>
        <w:r w:rsidR="00A82EF4" w:rsidRPr="005506CA">
          <w:rPr>
            <w:rStyle w:val="Hyperlink"/>
            <w:i w:val="0"/>
            <w:iCs w:val="0"/>
            <w:noProof/>
            <w:u w:val="none"/>
          </w:rPr>
          <w:t>Day-Ahead Timeline Summary</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_Toc135990599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w:t>
        </w:r>
        <w:r w:rsidR="00A82EF4" w:rsidRPr="005506CA">
          <w:rPr>
            <w:i w:val="0"/>
            <w:iCs w:val="0"/>
            <w:noProof/>
            <w:webHidden/>
          </w:rPr>
          <w:fldChar w:fldCharType="end"/>
        </w:r>
      </w:hyperlink>
    </w:p>
    <w:p w14:paraId="2CFDCCA1" w14:textId="05B2E6AC" w:rsidR="00A82EF4" w:rsidRPr="005506CA" w:rsidRDefault="005506CA">
      <w:pPr>
        <w:pStyle w:val="TOC3"/>
        <w:rPr>
          <w:rFonts w:eastAsiaTheme="minorEastAsia"/>
          <w:i w:val="0"/>
          <w:iCs w:val="0"/>
          <w:noProof/>
        </w:rPr>
      </w:pPr>
      <w:hyperlink w:anchor="_Toc135990600" w:history="1">
        <w:r w:rsidR="00A82EF4" w:rsidRPr="005506CA">
          <w:rPr>
            <w:rStyle w:val="Hyperlink"/>
            <w:i w:val="0"/>
            <w:iCs w:val="0"/>
            <w:noProof/>
            <w:u w:val="none"/>
          </w:rPr>
          <w:t>4.1.2</w:t>
        </w:r>
        <w:r w:rsidR="00A82EF4" w:rsidRPr="005506CA">
          <w:rPr>
            <w:rFonts w:eastAsiaTheme="minorEastAsia"/>
            <w:i w:val="0"/>
            <w:iCs w:val="0"/>
            <w:noProof/>
          </w:rPr>
          <w:tab/>
        </w:r>
        <w:r w:rsidR="00A82EF4" w:rsidRPr="005506CA">
          <w:rPr>
            <w:rStyle w:val="Hyperlink"/>
            <w:i w:val="0"/>
            <w:iCs w:val="0"/>
            <w:noProof/>
            <w:u w:val="none"/>
          </w:rPr>
          <w:t>Day-Ahead Process and Timing Deviations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_Toc135990600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4-3</w:t>
        </w:r>
        <w:r w:rsidR="00A82EF4" w:rsidRPr="005506CA">
          <w:rPr>
            <w:i w:val="0"/>
            <w:iCs w:val="0"/>
            <w:noProof/>
            <w:webHidden/>
          </w:rPr>
          <w:fldChar w:fldCharType="end"/>
        </w:r>
      </w:hyperlink>
    </w:p>
    <w:p w14:paraId="1F9FF822" w14:textId="520A6AE3" w:rsidR="00A82EF4" w:rsidRPr="005506CA" w:rsidRDefault="005506CA">
      <w:pPr>
        <w:pStyle w:val="TOC2"/>
        <w:rPr>
          <w:rFonts w:eastAsiaTheme="minorEastAsia"/>
          <w:noProof/>
        </w:rPr>
      </w:pPr>
      <w:hyperlink w:anchor="_Toc135990601" w:history="1">
        <w:r w:rsidR="00A82EF4" w:rsidRPr="005506CA">
          <w:rPr>
            <w:rStyle w:val="Hyperlink"/>
            <w:noProof/>
            <w:u w:val="none"/>
          </w:rPr>
          <w:t>4.2</w:t>
        </w:r>
        <w:r w:rsidR="00A82EF4" w:rsidRPr="005506CA">
          <w:rPr>
            <w:rFonts w:eastAsiaTheme="minorEastAsia"/>
            <w:noProof/>
          </w:rPr>
          <w:tab/>
        </w:r>
        <w:r w:rsidR="00A82EF4" w:rsidRPr="005506CA">
          <w:rPr>
            <w:rStyle w:val="Hyperlink"/>
            <w:noProof/>
            <w:u w:val="none"/>
          </w:rPr>
          <w:t>ERCOT Activities in the Day-Ahead</w:t>
        </w:r>
        <w:r w:rsidR="00A82EF4" w:rsidRPr="005506CA">
          <w:rPr>
            <w:noProof/>
            <w:webHidden/>
          </w:rPr>
          <w:tab/>
        </w:r>
        <w:r w:rsidR="00A82EF4" w:rsidRPr="005506CA">
          <w:rPr>
            <w:noProof/>
            <w:webHidden/>
          </w:rPr>
          <w:fldChar w:fldCharType="begin"/>
        </w:r>
        <w:r w:rsidR="00A82EF4" w:rsidRPr="005506CA">
          <w:rPr>
            <w:noProof/>
            <w:webHidden/>
          </w:rPr>
          <w:instrText xml:space="preserve"> PAGEREF _Toc135990601 \h </w:instrText>
        </w:r>
        <w:r w:rsidR="00A82EF4" w:rsidRPr="005506CA">
          <w:rPr>
            <w:noProof/>
            <w:webHidden/>
          </w:rPr>
        </w:r>
        <w:r w:rsidR="00A82EF4" w:rsidRPr="005506CA">
          <w:rPr>
            <w:noProof/>
            <w:webHidden/>
          </w:rPr>
          <w:fldChar w:fldCharType="separate"/>
        </w:r>
        <w:r w:rsidRPr="005506CA">
          <w:rPr>
            <w:noProof/>
            <w:webHidden/>
          </w:rPr>
          <w:t>4-5</w:t>
        </w:r>
        <w:r w:rsidR="00A82EF4" w:rsidRPr="005506CA">
          <w:rPr>
            <w:noProof/>
            <w:webHidden/>
          </w:rPr>
          <w:fldChar w:fldCharType="end"/>
        </w:r>
      </w:hyperlink>
    </w:p>
    <w:p w14:paraId="56FEFA4E" w14:textId="01BB5FD2" w:rsidR="00A82EF4" w:rsidRPr="005506CA" w:rsidRDefault="005506CA">
      <w:pPr>
        <w:pStyle w:val="TOC3"/>
        <w:rPr>
          <w:rFonts w:eastAsiaTheme="minorEastAsia"/>
          <w:i w:val="0"/>
          <w:iCs w:val="0"/>
          <w:noProof/>
        </w:rPr>
      </w:pPr>
      <w:hyperlink w:anchor="_Toc135990602" w:history="1">
        <w:r w:rsidR="00A82EF4" w:rsidRPr="005506CA">
          <w:rPr>
            <w:rStyle w:val="Hyperlink"/>
            <w:i w:val="0"/>
            <w:iCs w:val="0"/>
            <w:noProof/>
            <w:u w:val="none"/>
          </w:rPr>
          <w:t>4.2.1</w:t>
        </w:r>
        <w:r w:rsidR="00A82EF4" w:rsidRPr="005506CA">
          <w:rPr>
            <w:rFonts w:eastAsiaTheme="minorEastAsia"/>
            <w:i w:val="0"/>
            <w:iCs w:val="0"/>
            <w:noProof/>
          </w:rPr>
          <w:tab/>
        </w:r>
        <w:r w:rsidR="00A82EF4" w:rsidRPr="005506CA">
          <w:rPr>
            <w:rStyle w:val="Hyperlink"/>
            <w:i w:val="0"/>
            <w:iCs w:val="0"/>
            <w:noProof/>
            <w:u w:val="none"/>
          </w:rPr>
          <w:t>Ancillary Service Plan and Ancillary Service Obligation</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_Toc135990602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4-5</w:t>
        </w:r>
        <w:r w:rsidR="00A82EF4" w:rsidRPr="005506CA">
          <w:rPr>
            <w:i w:val="0"/>
            <w:iCs w:val="0"/>
            <w:noProof/>
            <w:webHidden/>
          </w:rPr>
          <w:fldChar w:fldCharType="end"/>
        </w:r>
      </w:hyperlink>
    </w:p>
    <w:p w14:paraId="0ED566E5" w14:textId="43B8C14F" w:rsidR="00A82EF4" w:rsidRPr="005506CA" w:rsidRDefault="005506CA" w:rsidP="00B3531E">
      <w:pPr>
        <w:pStyle w:val="TOC4"/>
        <w:rPr>
          <w:rFonts w:eastAsiaTheme="minorEastAsia"/>
          <w:noProof/>
          <w:sz w:val="20"/>
          <w:szCs w:val="20"/>
        </w:rPr>
      </w:pPr>
      <w:hyperlink w:anchor="_Toc135990603" w:history="1">
        <w:r w:rsidR="00A82EF4" w:rsidRPr="005506CA">
          <w:rPr>
            <w:rStyle w:val="Hyperlink"/>
            <w:noProof/>
            <w:sz w:val="20"/>
            <w:szCs w:val="20"/>
            <w:u w:val="none"/>
          </w:rPr>
          <w:t>4.2.1.1</w:t>
        </w:r>
        <w:r w:rsidR="00A82EF4" w:rsidRPr="005506CA">
          <w:rPr>
            <w:rFonts w:eastAsiaTheme="minorEastAsia"/>
            <w:noProof/>
            <w:sz w:val="20"/>
            <w:szCs w:val="20"/>
          </w:rPr>
          <w:tab/>
        </w:r>
        <w:r w:rsidR="00A82EF4" w:rsidRPr="005506CA">
          <w:rPr>
            <w:rStyle w:val="Hyperlink"/>
            <w:noProof/>
            <w:sz w:val="20"/>
            <w:szCs w:val="20"/>
            <w:u w:val="none"/>
          </w:rPr>
          <w:t>Ancillary Service Plan</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_Toc135990603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4-5</w:t>
        </w:r>
        <w:r w:rsidR="00A82EF4" w:rsidRPr="005506CA">
          <w:rPr>
            <w:noProof/>
            <w:webHidden/>
            <w:sz w:val="20"/>
            <w:szCs w:val="20"/>
          </w:rPr>
          <w:fldChar w:fldCharType="end"/>
        </w:r>
      </w:hyperlink>
    </w:p>
    <w:p w14:paraId="2BD90987" w14:textId="09D0AF92" w:rsidR="00A82EF4" w:rsidRPr="005506CA" w:rsidRDefault="005506CA" w:rsidP="00B3531E">
      <w:pPr>
        <w:pStyle w:val="TOC4"/>
        <w:rPr>
          <w:rFonts w:eastAsiaTheme="minorEastAsia"/>
          <w:noProof/>
          <w:sz w:val="20"/>
          <w:szCs w:val="20"/>
        </w:rPr>
      </w:pPr>
      <w:hyperlink w:anchor="_Toc135990604" w:history="1">
        <w:r w:rsidR="00A82EF4" w:rsidRPr="005506CA">
          <w:rPr>
            <w:rStyle w:val="Hyperlink"/>
            <w:noProof/>
            <w:sz w:val="20"/>
            <w:szCs w:val="20"/>
            <w:u w:val="none"/>
          </w:rPr>
          <w:t>4.2.1.2</w:t>
        </w:r>
        <w:r w:rsidR="00A82EF4" w:rsidRPr="005506CA">
          <w:rPr>
            <w:rFonts w:eastAsiaTheme="minorEastAsia"/>
            <w:noProof/>
            <w:sz w:val="20"/>
            <w:szCs w:val="20"/>
          </w:rPr>
          <w:tab/>
        </w:r>
        <w:r w:rsidR="00A82EF4" w:rsidRPr="005506CA">
          <w:rPr>
            <w:rStyle w:val="Hyperlink"/>
            <w:noProof/>
            <w:sz w:val="20"/>
            <w:szCs w:val="20"/>
            <w:u w:val="none"/>
          </w:rPr>
          <w:t>Ancillary Service Obligation Assignment and Notice</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_Toc135990604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4-6</w:t>
        </w:r>
        <w:r w:rsidR="00A82EF4" w:rsidRPr="005506CA">
          <w:rPr>
            <w:noProof/>
            <w:webHidden/>
            <w:sz w:val="20"/>
            <w:szCs w:val="20"/>
          </w:rPr>
          <w:fldChar w:fldCharType="end"/>
        </w:r>
      </w:hyperlink>
    </w:p>
    <w:p w14:paraId="3D12FD7A" w14:textId="4DB1482F" w:rsidR="00A82EF4" w:rsidRPr="005506CA" w:rsidRDefault="005506CA">
      <w:pPr>
        <w:pStyle w:val="TOC3"/>
        <w:rPr>
          <w:rFonts w:eastAsiaTheme="minorEastAsia"/>
          <w:i w:val="0"/>
          <w:iCs w:val="0"/>
          <w:noProof/>
        </w:rPr>
      </w:pPr>
      <w:hyperlink w:anchor="_Toc135990606" w:history="1">
        <w:r w:rsidR="00A82EF4" w:rsidRPr="005506CA">
          <w:rPr>
            <w:rStyle w:val="Hyperlink"/>
            <w:i w:val="0"/>
            <w:iCs w:val="0"/>
            <w:noProof/>
            <w:u w:val="none"/>
          </w:rPr>
          <w:t>4.2.2</w:t>
        </w:r>
        <w:r w:rsidR="00A82EF4" w:rsidRPr="005506CA">
          <w:rPr>
            <w:rFonts w:eastAsiaTheme="minorEastAsia"/>
            <w:i w:val="0"/>
            <w:iCs w:val="0"/>
            <w:noProof/>
          </w:rPr>
          <w:tab/>
        </w:r>
        <w:r w:rsidR="00A82EF4" w:rsidRPr="005506CA">
          <w:rPr>
            <w:rStyle w:val="Hyperlink"/>
            <w:i w:val="0"/>
            <w:iCs w:val="0"/>
            <w:noProof/>
            <w:u w:val="none"/>
          </w:rPr>
          <w:t>Wind-Powered Generation Resource Production Potential</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_Toc135990606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4-7</w:t>
        </w:r>
        <w:r w:rsidR="00A82EF4" w:rsidRPr="005506CA">
          <w:rPr>
            <w:i w:val="0"/>
            <w:iCs w:val="0"/>
            <w:noProof/>
            <w:webHidden/>
          </w:rPr>
          <w:fldChar w:fldCharType="end"/>
        </w:r>
      </w:hyperlink>
    </w:p>
    <w:p w14:paraId="1C92F834" w14:textId="0EE3AFD8" w:rsidR="00A82EF4" w:rsidRPr="005506CA" w:rsidRDefault="005506CA">
      <w:pPr>
        <w:pStyle w:val="TOC3"/>
        <w:rPr>
          <w:rFonts w:eastAsiaTheme="minorEastAsia"/>
          <w:i w:val="0"/>
          <w:iCs w:val="0"/>
          <w:noProof/>
        </w:rPr>
      </w:pPr>
      <w:hyperlink w:anchor="_Toc135990607" w:history="1">
        <w:r w:rsidR="00A82EF4" w:rsidRPr="005506CA">
          <w:rPr>
            <w:rStyle w:val="Hyperlink"/>
            <w:i w:val="0"/>
            <w:iCs w:val="0"/>
            <w:noProof/>
            <w:u w:val="none"/>
          </w:rPr>
          <w:t>4.2.3</w:t>
        </w:r>
        <w:r w:rsidR="00A82EF4" w:rsidRPr="005506CA">
          <w:rPr>
            <w:rFonts w:eastAsiaTheme="minorEastAsia"/>
            <w:i w:val="0"/>
            <w:iCs w:val="0"/>
            <w:noProof/>
          </w:rPr>
          <w:tab/>
        </w:r>
        <w:r w:rsidR="00A82EF4" w:rsidRPr="005506CA">
          <w:rPr>
            <w:rStyle w:val="Hyperlink"/>
            <w:i w:val="0"/>
            <w:iCs w:val="0"/>
            <w:noProof/>
            <w:u w:val="none"/>
          </w:rPr>
          <w:t>PhotoVoltaic Generation Resource Production Potential</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_Toc135990607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4-10</w:t>
        </w:r>
        <w:r w:rsidR="00A82EF4" w:rsidRPr="005506CA">
          <w:rPr>
            <w:i w:val="0"/>
            <w:iCs w:val="0"/>
            <w:noProof/>
            <w:webHidden/>
          </w:rPr>
          <w:fldChar w:fldCharType="end"/>
        </w:r>
      </w:hyperlink>
    </w:p>
    <w:p w14:paraId="4D48B649" w14:textId="0800E72B" w:rsidR="00A82EF4" w:rsidRPr="005506CA" w:rsidRDefault="005506CA">
      <w:pPr>
        <w:pStyle w:val="TOC3"/>
        <w:rPr>
          <w:rFonts w:eastAsiaTheme="minorEastAsia"/>
          <w:i w:val="0"/>
          <w:iCs w:val="0"/>
          <w:noProof/>
        </w:rPr>
      </w:pPr>
      <w:hyperlink w:anchor="_Toc135990608" w:history="1">
        <w:r w:rsidR="00A82EF4" w:rsidRPr="005506CA">
          <w:rPr>
            <w:rStyle w:val="Hyperlink"/>
            <w:i w:val="0"/>
            <w:iCs w:val="0"/>
            <w:noProof/>
            <w:u w:val="none"/>
          </w:rPr>
          <w:t>4.2.4</w:t>
        </w:r>
        <w:r w:rsidR="00A82EF4" w:rsidRPr="005506CA">
          <w:rPr>
            <w:rFonts w:eastAsiaTheme="minorEastAsia"/>
            <w:i w:val="0"/>
            <w:iCs w:val="0"/>
            <w:noProof/>
          </w:rPr>
          <w:tab/>
        </w:r>
        <w:r w:rsidR="00A82EF4" w:rsidRPr="005506CA">
          <w:rPr>
            <w:rStyle w:val="Hyperlink"/>
            <w:i w:val="0"/>
            <w:iCs w:val="0"/>
            <w:noProof/>
            <w:u w:val="none"/>
          </w:rPr>
          <w:t>Posting Secure Forecasted ERCOT System Conditions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_Toc135990608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4-13</w:t>
        </w:r>
        <w:r w:rsidR="00A82EF4" w:rsidRPr="005506CA">
          <w:rPr>
            <w:i w:val="0"/>
            <w:iCs w:val="0"/>
            <w:noProof/>
            <w:webHidden/>
          </w:rPr>
          <w:fldChar w:fldCharType="end"/>
        </w:r>
      </w:hyperlink>
    </w:p>
    <w:p w14:paraId="7985EEB9" w14:textId="248102CA" w:rsidR="00A82EF4" w:rsidRPr="005506CA" w:rsidRDefault="005506CA" w:rsidP="00B3531E">
      <w:pPr>
        <w:pStyle w:val="TOC4"/>
        <w:rPr>
          <w:rFonts w:eastAsiaTheme="minorEastAsia"/>
          <w:noProof/>
          <w:sz w:val="20"/>
          <w:szCs w:val="20"/>
        </w:rPr>
      </w:pPr>
      <w:hyperlink w:anchor="_Toc135990609" w:history="1">
        <w:r w:rsidR="00A82EF4" w:rsidRPr="005506CA">
          <w:rPr>
            <w:rStyle w:val="Hyperlink"/>
            <w:noProof/>
            <w:sz w:val="20"/>
            <w:szCs w:val="20"/>
            <w:u w:val="none"/>
          </w:rPr>
          <w:t>4.2.4.1</w:t>
        </w:r>
        <w:r w:rsidR="00A82EF4" w:rsidRPr="005506CA">
          <w:rPr>
            <w:rFonts w:eastAsiaTheme="minorEastAsia"/>
            <w:noProof/>
            <w:sz w:val="20"/>
            <w:szCs w:val="20"/>
          </w:rPr>
          <w:tab/>
        </w:r>
        <w:r w:rsidR="00A82EF4" w:rsidRPr="005506CA">
          <w:rPr>
            <w:rStyle w:val="Hyperlink"/>
            <w:noProof/>
            <w:sz w:val="20"/>
            <w:szCs w:val="20"/>
            <w:u w:val="none"/>
          </w:rPr>
          <w:t>Posting Public Forecasted ERCOT System Conditions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_Toc135990609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4-15</w:t>
        </w:r>
        <w:r w:rsidR="00A82EF4" w:rsidRPr="005506CA">
          <w:rPr>
            <w:noProof/>
            <w:webHidden/>
            <w:sz w:val="20"/>
            <w:szCs w:val="20"/>
          </w:rPr>
          <w:fldChar w:fldCharType="end"/>
        </w:r>
      </w:hyperlink>
    </w:p>
    <w:p w14:paraId="2224381A" w14:textId="2140AE32" w:rsidR="00A82EF4" w:rsidRPr="005506CA" w:rsidRDefault="005506CA">
      <w:pPr>
        <w:pStyle w:val="TOC3"/>
        <w:rPr>
          <w:rFonts w:eastAsiaTheme="minorEastAsia"/>
          <w:i w:val="0"/>
          <w:iCs w:val="0"/>
          <w:noProof/>
        </w:rPr>
      </w:pPr>
      <w:hyperlink w:anchor="_Toc135990610" w:history="1">
        <w:r w:rsidR="00A82EF4" w:rsidRPr="005506CA">
          <w:rPr>
            <w:rStyle w:val="Hyperlink"/>
            <w:i w:val="0"/>
            <w:iCs w:val="0"/>
            <w:noProof/>
            <w:u w:val="none"/>
          </w:rPr>
          <w:t>4.2.5</w:t>
        </w:r>
        <w:r w:rsidR="00A82EF4" w:rsidRPr="005506CA">
          <w:rPr>
            <w:rFonts w:eastAsiaTheme="minorEastAsia"/>
            <w:i w:val="0"/>
            <w:iCs w:val="0"/>
            <w:noProof/>
          </w:rPr>
          <w:tab/>
        </w:r>
        <w:r w:rsidR="00A82EF4" w:rsidRPr="005506CA">
          <w:rPr>
            <w:rStyle w:val="Hyperlink"/>
            <w:i w:val="0"/>
            <w:iCs w:val="0"/>
            <w:noProof/>
            <w:u w:val="none"/>
          </w:rPr>
          <w:t>Notice of New Types of Forecasts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_Toc135990610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4-15</w:t>
        </w:r>
        <w:r w:rsidR="00A82EF4" w:rsidRPr="005506CA">
          <w:rPr>
            <w:i w:val="0"/>
            <w:iCs w:val="0"/>
            <w:noProof/>
            <w:webHidden/>
          </w:rPr>
          <w:fldChar w:fldCharType="end"/>
        </w:r>
      </w:hyperlink>
    </w:p>
    <w:p w14:paraId="628911E3" w14:textId="7E0AA6AF" w:rsidR="00A82EF4" w:rsidRPr="005506CA" w:rsidRDefault="005506CA">
      <w:pPr>
        <w:pStyle w:val="TOC3"/>
        <w:rPr>
          <w:rFonts w:eastAsiaTheme="minorEastAsia"/>
          <w:i w:val="0"/>
          <w:iCs w:val="0"/>
          <w:noProof/>
        </w:rPr>
      </w:pPr>
      <w:hyperlink w:anchor="_Toc135990611" w:history="1">
        <w:r w:rsidR="00A82EF4" w:rsidRPr="005506CA">
          <w:rPr>
            <w:rStyle w:val="Hyperlink"/>
            <w:i w:val="0"/>
            <w:iCs w:val="0"/>
            <w:noProof/>
            <w:u w:val="none"/>
          </w:rPr>
          <w:t>4.2.6</w:t>
        </w:r>
        <w:r w:rsidR="00A82EF4" w:rsidRPr="005506CA">
          <w:rPr>
            <w:rFonts w:eastAsiaTheme="minorEastAsia"/>
            <w:i w:val="0"/>
            <w:iCs w:val="0"/>
            <w:noProof/>
          </w:rPr>
          <w:tab/>
        </w:r>
        <w:r w:rsidR="00A82EF4" w:rsidRPr="005506CA">
          <w:rPr>
            <w:rStyle w:val="Hyperlink"/>
            <w:i w:val="0"/>
            <w:iCs w:val="0"/>
            <w:noProof/>
            <w:u w:val="none"/>
          </w:rPr>
          <w:t>ERCOT Notice of Validation Rules for the Day-Ahead</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_Toc135990611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4-15</w:t>
        </w:r>
        <w:r w:rsidR="00A82EF4" w:rsidRPr="005506CA">
          <w:rPr>
            <w:i w:val="0"/>
            <w:iCs w:val="0"/>
            <w:noProof/>
            <w:webHidden/>
          </w:rPr>
          <w:fldChar w:fldCharType="end"/>
        </w:r>
      </w:hyperlink>
    </w:p>
    <w:p w14:paraId="3F802681" w14:textId="6E4590AA" w:rsidR="00A82EF4" w:rsidRPr="005506CA" w:rsidRDefault="005506CA">
      <w:pPr>
        <w:pStyle w:val="TOC2"/>
        <w:rPr>
          <w:rFonts w:eastAsiaTheme="minorEastAsia"/>
          <w:noProof/>
        </w:rPr>
      </w:pPr>
      <w:hyperlink w:anchor="_Toc135990612" w:history="1">
        <w:r w:rsidR="00A82EF4" w:rsidRPr="005506CA">
          <w:rPr>
            <w:rStyle w:val="Hyperlink"/>
            <w:noProof/>
            <w:u w:val="none"/>
          </w:rPr>
          <w:t>4.3</w:t>
        </w:r>
        <w:r w:rsidR="00A82EF4" w:rsidRPr="005506CA">
          <w:rPr>
            <w:rFonts w:eastAsiaTheme="minorEastAsia"/>
            <w:noProof/>
          </w:rPr>
          <w:tab/>
        </w:r>
        <w:r w:rsidR="00A82EF4" w:rsidRPr="005506CA">
          <w:rPr>
            <w:rStyle w:val="Hyperlink"/>
            <w:noProof/>
            <w:u w:val="none"/>
          </w:rPr>
          <w:t>QSE Activities and Responsibilities in the Day-Ahead</w:t>
        </w:r>
        <w:r w:rsidR="00A82EF4" w:rsidRPr="005506CA">
          <w:rPr>
            <w:noProof/>
            <w:webHidden/>
          </w:rPr>
          <w:tab/>
        </w:r>
        <w:r w:rsidR="00A82EF4" w:rsidRPr="005506CA">
          <w:rPr>
            <w:noProof/>
            <w:webHidden/>
          </w:rPr>
          <w:fldChar w:fldCharType="begin"/>
        </w:r>
        <w:r w:rsidR="00A82EF4" w:rsidRPr="005506CA">
          <w:rPr>
            <w:noProof/>
            <w:webHidden/>
          </w:rPr>
          <w:instrText xml:space="preserve"> PAGEREF _Toc135990612 \h </w:instrText>
        </w:r>
        <w:r w:rsidR="00A82EF4" w:rsidRPr="005506CA">
          <w:rPr>
            <w:noProof/>
            <w:webHidden/>
          </w:rPr>
        </w:r>
        <w:r w:rsidR="00A82EF4" w:rsidRPr="005506CA">
          <w:rPr>
            <w:noProof/>
            <w:webHidden/>
          </w:rPr>
          <w:fldChar w:fldCharType="separate"/>
        </w:r>
        <w:r w:rsidRPr="005506CA">
          <w:rPr>
            <w:noProof/>
            <w:webHidden/>
          </w:rPr>
          <w:t>4-16</w:t>
        </w:r>
        <w:r w:rsidR="00A82EF4" w:rsidRPr="005506CA">
          <w:rPr>
            <w:noProof/>
            <w:webHidden/>
          </w:rPr>
          <w:fldChar w:fldCharType="end"/>
        </w:r>
      </w:hyperlink>
    </w:p>
    <w:p w14:paraId="3251F210" w14:textId="38917FF8" w:rsidR="00A82EF4" w:rsidRPr="005506CA" w:rsidRDefault="005506CA">
      <w:pPr>
        <w:pStyle w:val="TOC2"/>
        <w:rPr>
          <w:rFonts w:eastAsiaTheme="minorEastAsia"/>
          <w:noProof/>
        </w:rPr>
      </w:pPr>
      <w:hyperlink w:anchor="_Toc135990613" w:history="1">
        <w:r w:rsidR="00A82EF4" w:rsidRPr="005506CA">
          <w:rPr>
            <w:rStyle w:val="Hyperlink"/>
            <w:noProof/>
            <w:u w:val="none"/>
          </w:rPr>
          <w:t>4.4</w:t>
        </w:r>
        <w:r w:rsidR="00A82EF4" w:rsidRPr="005506CA">
          <w:rPr>
            <w:rFonts w:eastAsiaTheme="minorEastAsia"/>
            <w:noProof/>
          </w:rPr>
          <w:tab/>
        </w:r>
        <w:r w:rsidR="00A82EF4" w:rsidRPr="005506CA">
          <w:rPr>
            <w:rStyle w:val="Hyperlink"/>
            <w:noProof/>
            <w:u w:val="none"/>
          </w:rPr>
          <w:t>Inputs into DAM and Other Trades</w:t>
        </w:r>
        <w:r w:rsidR="00A82EF4" w:rsidRPr="005506CA">
          <w:rPr>
            <w:noProof/>
            <w:webHidden/>
          </w:rPr>
          <w:tab/>
        </w:r>
        <w:r w:rsidR="00A82EF4" w:rsidRPr="005506CA">
          <w:rPr>
            <w:noProof/>
            <w:webHidden/>
          </w:rPr>
          <w:fldChar w:fldCharType="begin"/>
        </w:r>
        <w:r w:rsidR="00A82EF4" w:rsidRPr="005506CA">
          <w:rPr>
            <w:noProof/>
            <w:webHidden/>
          </w:rPr>
          <w:instrText xml:space="preserve"> PAGEREF _Toc135990613 \h </w:instrText>
        </w:r>
        <w:r w:rsidR="00A82EF4" w:rsidRPr="005506CA">
          <w:rPr>
            <w:noProof/>
            <w:webHidden/>
          </w:rPr>
        </w:r>
        <w:r w:rsidR="00A82EF4" w:rsidRPr="005506CA">
          <w:rPr>
            <w:noProof/>
            <w:webHidden/>
          </w:rPr>
          <w:fldChar w:fldCharType="separate"/>
        </w:r>
        <w:r w:rsidRPr="005506CA">
          <w:rPr>
            <w:noProof/>
            <w:webHidden/>
          </w:rPr>
          <w:t>4-16</w:t>
        </w:r>
        <w:r w:rsidR="00A82EF4" w:rsidRPr="005506CA">
          <w:rPr>
            <w:noProof/>
            <w:webHidden/>
          </w:rPr>
          <w:fldChar w:fldCharType="end"/>
        </w:r>
      </w:hyperlink>
    </w:p>
    <w:p w14:paraId="0CC0296E" w14:textId="0FE29790" w:rsidR="00A82EF4" w:rsidRPr="005506CA" w:rsidRDefault="005506CA">
      <w:pPr>
        <w:pStyle w:val="TOC3"/>
        <w:rPr>
          <w:rFonts w:eastAsiaTheme="minorEastAsia"/>
          <w:i w:val="0"/>
          <w:iCs w:val="0"/>
          <w:noProof/>
        </w:rPr>
      </w:pPr>
      <w:hyperlink w:anchor="_Toc135990614" w:history="1">
        <w:r w:rsidR="00A82EF4" w:rsidRPr="005506CA">
          <w:rPr>
            <w:rStyle w:val="Hyperlink"/>
            <w:i w:val="0"/>
            <w:iCs w:val="0"/>
            <w:noProof/>
            <w:u w:val="none"/>
          </w:rPr>
          <w:t>4.4.1</w:t>
        </w:r>
        <w:r w:rsidR="00A82EF4" w:rsidRPr="005506CA">
          <w:rPr>
            <w:rFonts w:eastAsiaTheme="minorEastAsia"/>
            <w:i w:val="0"/>
            <w:iCs w:val="0"/>
            <w:noProof/>
          </w:rPr>
          <w:tab/>
        </w:r>
        <w:r w:rsidR="00A82EF4" w:rsidRPr="005506CA">
          <w:rPr>
            <w:rStyle w:val="Hyperlink"/>
            <w:i w:val="0"/>
            <w:iCs w:val="0"/>
            <w:noProof/>
            <w:u w:val="none"/>
          </w:rPr>
          <w:t>Capacity Trades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_Toc135990614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4-16</w:t>
        </w:r>
        <w:r w:rsidR="00A82EF4" w:rsidRPr="005506CA">
          <w:rPr>
            <w:i w:val="0"/>
            <w:iCs w:val="0"/>
            <w:noProof/>
            <w:webHidden/>
          </w:rPr>
          <w:fldChar w:fldCharType="end"/>
        </w:r>
      </w:hyperlink>
    </w:p>
    <w:p w14:paraId="43021DBA" w14:textId="09691C00" w:rsidR="00A82EF4" w:rsidRPr="005506CA" w:rsidRDefault="005506CA" w:rsidP="00B3531E">
      <w:pPr>
        <w:pStyle w:val="TOC4"/>
        <w:rPr>
          <w:rFonts w:eastAsiaTheme="minorEastAsia"/>
          <w:noProof/>
          <w:sz w:val="20"/>
          <w:szCs w:val="20"/>
        </w:rPr>
      </w:pPr>
      <w:hyperlink w:anchor="_Toc135990615" w:history="1">
        <w:r w:rsidR="00A82EF4" w:rsidRPr="005506CA">
          <w:rPr>
            <w:rStyle w:val="Hyperlink"/>
            <w:noProof/>
            <w:sz w:val="20"/>
            <w:szCs w:val="20"/>
            <w:u w:val="none"/>
          </w:rPr>
          <w:t>4.4.1.1</w:t>
        </w:r>
        <w:r w:rsidR="00A82EF4" w:rsidRPr="005506CA">
          <w:rPr>
            <w:rFonts w:eastAsiaTheme="minorEastAsia"/>
            <w:noProof/>
            <w:sz w:val="20"/>
            <w:szCs w:val="20"/>
          </w:rPr>
          <w:tab/>
        </w:r>
        <w:r w:rsidR="00A82EF4" w:rsidRPr="005506CA">
          <w:rPr>
            <w:rStyle w:val="Hyperlink"/>
            <w:noProof/>
            <w:sz w:val="20"/>
            <w:szCs w:val="20"/>
            <w:u w:val="none"/>
          </w:rPr>
          <w:t>Capacity Trade Criteria</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_Toc135990615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4-17</w:t>
        </w:r>
        <w:r w:rsidR="00A82EF4" w:rsidRPr="005506CA">
          <w:rPr>
            <w:noProof/>
            <w:webHidden/>
            <w:sz w:val="20"/>
            <w:szCs w:val="20"/>
          </w:rPr>
          <w:fldChar w:fldCharType="end"/>
        </w:r>
      </w:hyperlink>
    </w:p>
    <w:p w14:paraId="433B4E53" w14:textId="2197AC3F" w:rsidR="00A82EF4" w:rsidRPr="005506CA" w:rsidRDefault="005506CA" w:rsidP="00B3531E">
      <w:pPr>
        <w:pStyle w:val="TOC4"/>
        <w:rPr>
          <w:rFonts w:eastAsiaTheme="minorEastAsia"/>
          <w:noProof/>
          <w:sz w:val="20"/>
          <w:szCs w:val="20"/>
        </w:rPr>
      </w:pPr>
      <w:hyperlink w:anchor="_Toc135990616" w:history="1">
        <w:r w:rsidR="00A82EF4" w:rsidRPr="005506CA">
          <w:rPr>
            <w:rStyle w:val="Hyperlink"/>
            <w:noProof/>
            <w:sz w:val="20"/>
            <w:szCs w:val="20"/>
            <w:u w:val="none"/>
          </w:rPr>
          <w:t>4.4.1.2</w:t>
        </w:r>
        <w:r w:rsidR="00A82EF4" w:rsidRPr="005506CA">
          <w:rPr>
            <w:rFonts w:eastAsiaTheme="minorEastAsia"/>
            <w:noProof/>
            <w:sz w:val="20"/>
            <w:szCs w:val="20"/>
          </w:rPr>
          <w:tab/>
        </w:r>
        <w:r w:rsidR="00A82EF4" w:rsidRPr="005506CA">
          <w:rPr>
            <w:rStyle w:val="Hyperlink"/>
            <w:noProof/>
            <w:sz w:val="20"/>
            <w:szCs w:val="20"/>
            <w:u w:val="none"/>
          </w:rPr>
          <w:t>Capacity Trade Validation</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_Toc135990616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4-17</w:t>
        </w:r>
        <w:r w:rsidR="00A82EF4" w:rsidRPr="005506CA">
          <w:rPr>
            <w:noProof/>
            <w:webHidden/>
            <w:sz w:val="20"/>
            <w:szCs w:val="20"/>
          </w:rPr>
          <w:fldChar w:fldCharType="end"/>
        </w:r>
      </w:hyperlink>
    </w:p>
    <w:p w14:paraId="55389341" w14:textId="75E9541B" w:rsidR="00A82EF4" w:rsidRPr="005506CA" w:rsidRDefault="005506CA">
      <w:pPr>
        <w:pStyle w:val="TOC3"/>
        <w:rPr>
          <w:rFonts w:eastAsiaTheme="minorEastAsia"/>
          <w:i w:val="0"/>
          <w:iCs w:val="0"/>
          <w:noProof/>
        </w:rPr>
      </w:pPr>
      <w:hyperlink w:anchor="_Toc135990617" w:history="1">
        <w:r w:rsidR="00A82EF4" w:rsidRPr="005506CA">
          <w:rPr>
            <w:rStyle w:val="Hyperlink"/>
            <w:i w:val="0"/>
            <w:iCs w:val="0"/>
            <w:noProof/>
            <w:u w:val="none"/>
          </w:rPr>
          <w:t>4.4.2</w:t>
        </w:r>
        <w:r w:rsidR="00A82EF4" w:rsidRPr="005506CA">
          <w:rPr>
            <w:rFonts w:eastAsiaTheme="minorEastAsia"/>
            <w:i w:val="0"/>
            <w:iCs w:val="0"/>
            <w:noProof/>
          </w:rPr>
          <w:tab/>
        </w:r>
        <w:r w:rsidR="00A82EF4" w:rsidRPr="005506CA">
          <w:rPr>
            <w:rStyle w:val="Hyperlink"/>
            <w:i w:val="0"/>
            <w:iCs w:val="0"/>
            <w:noProof/>
            <w:u w:val="none"/>
          </w:rPr>
          <w:t>Energy Trades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_Toc135990617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4-18</w:t>
        </w:r>
        <w:r w:rsidR="00A82EF4" w:rsidRPr="005506CA">
          <w:rPr>
            <w:i w:val="0"/>
            <w:iCs w:val="0"/>
            <w:noProof/>
            <w:webHidden/>
          </w:rPr>
          <w:fldChar w:fldCharType="end"/>
        </w:r>
      </w:hyperlink>
    </w:p>
    <w:p w14:paraId="7675FAED" w14:textId="4028355E" w:rsidR="00A82EF4" w:rsidRPr="005506CA" w:rsidRDefault="005506CA" w:rsidP="00B3531E">
      <w:pPr>
        <w:pStyle w:val="TOC4"/>
        <w:rPr>
          <w:rFonts w:eastAsiaTheme="minorEastAsia"/>
          <w:noProof/>
          <w:sz w:val="20"/>
          <w:szCs w:val="20"/>
        </w:rPr>
      </w:pPr>
      <w:hyperlink w:anchor="_Toc135990618" w:history="1">
        <w:r w:rsidR="00A82EF4" w:rsidRPr="005506CA">
          <w:rPr>
            <w:rStyle w:val="Hyperlink"/>
            <w:noProof/>
            <w:sz w:val="20"/>
            <w:szCs w:val="20"/>
            <w:u w:val="none"/>
          </w:rPr>
          <w:t>4.4.2.1</w:t>
        </w:r>
        <w:r w:rsidR="00A82EF4" w:rsidRPr="005506CA">
          <w:rPr>
            <w:rFonts w:eastAsiaTheme="minorEastAsia"/>
            <w:noProof/>
            <w:sz w:val="20"/>
            <w:szCs w:val="20"/>
          </w:rPr>
          <w:tab/>
        </w:r>
        <w:r w:rsidR="00A82EF4" w:rsidRPr="005506CA">
          <w:rPr>
            <w:rStyle w:val="Hyperlink"/>
            <w:noProof/>
            <w:sz w:val="20"/>
            <w:szCs w:val="20"/>
            <w:u w:val="none"/>
          </w:rPr>
          <w:t>Energy Trade Criteria</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_Toc135990618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4-18</w:t>
        </w:r>
        <w:r w:rsidR="00A82EF4" w:rsidRPr="005506CA">
          <w:rPr>
            <w:noProof/>
            <w:webHidden/>
            <w:sz w:val="20"/>
            <w:szCs w:val="20"/>
          </w:rPr>
          <w:fldChar w:fldCharType="end"/>
        </w:r>
      </w:hyperlink>
    </w:p>
    <w:p w14:paraId="27285FE5" w14:textId="65264AC5" w:rsidR="00A82EF4" w:rsidRPr="005506CA" w:rsidRDefault="005506CA" w:rsidP="00B3531E">
      <w:pPr>
        <w:pStyle w:val="TOC4"/>
        <w:rPr>
          <w:rFonts w:eastAsiaTheme="minorEastAsia"/>
          <w:noProof/>
          <w:sz w:val="20"/>
          <w:szCs w:val="20"/>
        </w:rPr>
      </w:pPr>
      <w:hyperlink w:anchor="_Toc135990619" w:history="1">
        <w:r w:rsidR="00A82EF4" w:rsidRPr="005506CA">
          <w:rPr>
            <w:rStyle w:val="Hyperlink"/>
            <w:noProof/>
            <w:sz w:val="20"/>
            <w:szCs w:val="20"/>
            <w:u w:val="none"/>
          </w:rPr>
          <w:t>4.4.2.2</w:t>
        </w:r>
        <w:r w:rsidR="00A82EF4" w:rsidRPr="005506CA">
          <w:rPr>
            <w:rFonts w:eastAsiaTheme="minorEastAsia"/>
            <w:noProof/>
            <w:sz w:val="20"/>
            <w:szCs w:val="20"/>
          </w:rPr>
          <w:tab/>
        </w:r>
        <w:r w:rsidR="00A82EF4" w:rsidRPr="005506CA">
          <w:rPr>
            <w:rStyle w:val="Hyperlink"/>
            <w:noProof/>
            <w:sz w:val="20"/>
            <w:szCs w:val="20"/>
            <w:u w:val="none"/>
          </w:rPr>
          <w:t>Energy Trade Validation</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_Toc135990619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4-18</w:t>
        </w:r>
        <w:r w:rsidR="00A82EF4" w:rsidRPr="005506CA">
          <w:rPr>
            <w:noProof/>
            <w:webHidden/>
            <w:sz w:val="20"/>
            <w:szCs w:val="20"/>
          </w:rPr>
          <w:fldChar w:fldCharType="end"/>
        </w:r>
      </w:hyperlink>
    </w:p>
    <w:p w14:paraId="52F3892A" w14:textId="5362B350" w:rsidR="00A82EF4" w:rsidRPr="005506CA" w:rsidRDefault="005506CA">
      <w:pPr>
        <w:pStyle w:val="TOC3"/>
        <w:rPr>
          <w:rFonts w:eastAsiaTheme="minorEastAsia"/>
          <w:i w:val="0"/>
          <w:iCs w:val="0"/>
          <w:noProof/>
        </w:rPr>
      </w:pPr>
      <w:hyperlink w:anchor="_Toc135990620" w:history="1">
        <w:r w:rsidR="00A82EF4" w:rsidRPr="005506CA">
          <w:rPr>
            <w:rStyle w:val="Hyperlink"/>
            <w:i w:val="0"/>
            <w:iCs w:val="0"/>
            <w:noProof/>
            <w:u w:val="none"/>
          </w:rPr>
          <w:t>4.4.3</w:t>
        </w:r>
        <w:r w:rsidR="00A82EF4" w:rsidRPr="005506CA">
          <w:rPr>
            <w:rFonts w:eastAsiaTheme="minorEastAsia"/>
            <w:i w:val="0"/>
            <w:iCs w:val="0"/>
            <w:noProof/>
          </w:rPr>
          <w:tab/>
        </w:r>
        <w:r w:rsidR="00A82EF4" w:rsidRPr="005506CA">
          <w:rPr>
            <w:rStyle w:val="Hyperlink"/>
            <w:i w:val="0"/>
            <w:iCs w:val="0"/>
            <w:noProof/>
            <w:u w:val="none"/>
          </w:rPr>
          <w:t>Self-Schedules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_Toc135990620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4-19</w:t>
        </w:r>
        <w:r w:rsidR="00A82EF4" w:rsidRPr="005506CA">
          <w:rPr>
            <w:i w:val="0"/>
            <w:iCs w:val="0"/>
            <w:noProof/>
            <w:webHidden/>
          </w:rPr>
          <w:fldChar w:fldCharType="end"/>
        </w:r>
      </w:hyperlink>
    </w:p>
    <w:p w14:paraId="63E1FA34" w14:textId="35346D9C" w:rsidR="00A82EF4" w:rsidRPr="005506CA" w:rsidRDefault="005506CA" w:rsidP="00B3531E">
      <w:pPr>
        <w:pStyle w:val="TOC4"/>
        <w:rPr>
          <w:rFonts w:eastAsiaTheme="minorEastAsia"/>
          <w:noProof/>
          <w:sz w:val="20"/>
          <w:szCs w:val="20"/>
        </w:rPr>
      </w:pPr>
      <w:hyperlink w:anchor="_Toc135990621" w:history="1">
        <w:r w:rsidR="00A82EF4" w:rsidRPr="005506CA">
          <w:rPr>
            <w:rStyle w:val="Hyperlink"/>
            <w:noProof/>
            <w:sz w:val="20"/>
            <w:szCs w:val="20"/>
            <w:u w:val="none"/>
          </w:rPr>
          <w:t>4.4.3.1</w:t>
        </w:r>
        <w:r w:rsidR="00A82EF4" w:rsidRPr="005506CA">
          <w:rPr>
            <w:rFonts w:eastAsiaTheme="minorEastAsia"/>
            <w:noProof/>
            <w:sz w:val="20"/>
            <w:szCs w:val="20"/>
          </w:rPr>
          <w:tab/>
        </w:r>
        <w:r w:rsidR="00A82EF4" w:rsidRPr="005506CA">
          <w:rPr>
            <w:rStyle w:val="Hyperlink"/>
            <w:noProof/>
            <w:sz w:val="20"/>
            <w:szCs w:val="20"/>
            <w:u w:val="none"/>
          </w:rPr>
          <w:t>Self-Schedule Criteria</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_Toc135990621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4-19</w:t>
        </w:r>
        <w:r w:rsidR="00A82EF4" w:rsidRPr="005506CA">
          <w:rPr>
            <w:noProof/>
            <w:webHidden/>
            <w:sz w:val="20"/>
            <w:szCs w:val="20"/>
          </w:rPr>
          <w:fldChar w:fldCharType="end"/>
        </w:r>
      </w:hyperlink>
    </w:p>
    <w:p w14:paraId="6F4896F2" w14:textId="69EB4083" w:rsidR="00A82EF4" w:rsidRPr="005506CA" w:rsidRDefault="005506CA" w:rsidP="00B3531E">
      <w:pPr>
        <w:pStyle w:val="TOC4"/>
        <w:rPr>
          <w:rFonts w:eastAsiaTheme="minorEastAsia"/>
          <w:noProof/>
          <w:sz w:val="20"/>
          <w:szCs w:val="20"/>
        </w:rPr>
      </w:pPr>
      <w:hyperlink w:anchor="_Toc135990622" w:history="1">
        <w:r w:rsidR="00A82EF4" w:rsidRPr="005506CA">
          <w:rPr>
            <w:rStyle w:val="Hyperlink"/>
            <w:noProof/>
            <w:sz w:val="20"/>
            <w:szCs w:val="20"/>
            <w:u w:val="none"/>
          </w:rPr>
          <w:t>4.4.3.2</w:t>
        </w:r>
        <w:r w:rsidR="00A82EF4" w:rsidRPr="005506CA">
          <w:rPr>
            <w:rFonts w:eastAsiaTheme="minorEastAsia"/>
            <w:noProof/>
            <w:sz w:val="20"/>
            <w:szCs w:val="20"/>
          </w:rPr>
          <w:tab/>
        </w:r>
        <w:r w:rsidR="00A82EF4" w:rsidRPr="005506CA">
          <w:rPr>
            <w:rStyle w:val="Hyperlink"/>
            <w:noProof/>
            <w:sz w:val="20"/>
            <w:szCs w:val="20"/>
            <w:u w:val="none"/>
          </w:rPr>
          <w:t>Self-Schedule Validation</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_Toc135990622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4-20</w:t>
        </w:r>
        <w:r w:rsidR="00A82EF4" w:rsidRPr="005506CA">
          <w:rPr>
            <w:noProof/>
            <w:webHidden/>
            <w:sz w:val="20"/>
            <w:szCs w:val="20"/>
          </w:rPr>
          <w:fldChar w:fldCharType="end"/>
        </w:r>
      </w:hyperlink>
    </w:p>
    <w:p w14:paraId="4ED3BDFF" w14:textId="00D5D350" w:rsidR="00A82EF4" w:rsidRPr="005506CA" w:rsidRDefault="005506CA">
      <w:pPr>
        <w:pStyle w:val="TOC3"/>
        <w:rPr>
          <w:rFonts w:eastAsiaTheme="minorEastAsia"/>
          <w:i w:val="0"/>
          <w:iCs w:val="0"/>
          <w:noProof/>
        </w:rPr>
      </w:pPr>
      <w:hyperlink w:anchor="_Toc135990623" w:history="1">
        <w:r w:rsidR="00A82EF4" w:rsidRPr="005506CA">
          <w:rPr>
            <w:rStyle w:val="Hyperlink"/>
            <w:i w:val="0"/>
            <w:iCs w:val="0"/>
            <w:noProof/>
            <w:u w:val="none"/>
          </w:rPr>
          <w:t>4.4.4</w:t>
        </w:r>
        <w:r w:rsidR="00A82EF4" w:rsidRPr="005506CA">
          <w:rPr>
            <w:rFonts w:eastAsiaTheme="minorEastAsia"/>
            <w:i w:val="0"/>
            <w:iCs w:val="0"/>
            <w:noProof/>
          </w:rPr>
          <w:tab/>
        </w:r>
        <w:r w:rsidR="00A82EF4" w:rsidRPr="005506CA">
          <w:rPr>
            <w:rStyle w:val="Hyperlink"/>
            <w:i w:val="0"/>
            <w:iCs w:val="0"/>
            <w:noProof/>
            <w:u w:val="none"/>
          </w:rPr>
          <w:t>DC Tie Schedules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_Toc135990623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4-20</w:t>
        </w:r>
        <w:r w:rsidR="00A82EF4" w:rsidRPr="005506CA">
          <w:rPr>
            <w:i w:val="0"/>
            <w:iCs w:val="0"/>
            <w:noProof/>
            <w:webHidden/>
          </w:rPr>
          <w:fldChar w:fldCharType="end"/>
        </w:r>
      </w:hyperlink>
    </w:p>
    <w:p w14:paraId="2C2CB1AF" w14:textId="24ECABA8" w:rsidR="00A82EF4" w:rsidRPr="005506CA" w:rsidRDefault="005506CA" w:rsidP="00B3531E">
      <w:pPr>
        <w:pStyle w:val="TOC4"/>
        <w:rPr>
          <w:rFonts w:eastAsiaTheme="minorEastAsia"/>
          <w:noProof/>
          <w:sz w:val="20"/>
          <w:szCs w:val="20"/>
        </w:rPr>
      </w:pPr>
      <w:hyperlink w:anchor="_Toc135990624" w:history="1">
        <w:r w:rsidR="00A82EF4" w:rsidRPr="005506CA">
          <w:rPr>
            <w:rStyle w:val="Hyperlink"/>
            <w:noProof/>
            <w:sz w:val="20"/>
            <w:szCs w:val="20"/>
            <w:u w:val="none"/>
          </w:rPr>
          <w:t>4.4.4.1</w:t>
        </w:r>
        <w:r w:rsidR="00A82EF4" w:rsidRPr="005506CA">
          <w:rPr>
            <w:rFonts w:eastAsiaTheme="minorEastAsia"/>
            <w:noProof/>
            <w:sz w:val="20"/>
            <w:szCs w:val="20"/>
          </w:rPr>
          <w:tab/>
        </w:r>
        <w:r w:rsidR="00A82EF4" w:rsidRPr="005506CA">
          <w:rPr>
            <w:rStyle w:val="Hyperlink"/>
            <w:noProof/>
            <w:sz w:val="20"/>
            <w:szCs w:val="20"/>
            <w:u w:val="none"/>
          </w:rPr>
          <w:t>DC Tie Schedule Criteria</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_Toc135990624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4-24</w:t>
        </w:r>
        <w:r w:rsidR="00A82EF4" w:rsidRPr="005506CA">
          <w:rPr>
            <w:noProof/>
            <w:webHidden/>
            <w:sz w:val="20"/>
            <w:szCs w:val="20"/>
          </w:rPr>
          <w:fldChar w:fldCharType="end"/>
        </w:r>
      </w:hyperlink>
    </w:p>
    <w:p w14:paraId="49A95C71" w14:textId="3709DD82" w:rsidR="00A82EF4" w:rsidRPr="005506CA" w:rsidRDefault="005506CA" w:rsidP="00B3531E">
      <w:pPr>
        <w:pStyle w:val="TOC4"/>
        <w:rPr>
          <w:rFonts w:eastAsiaTheme="minorEastAsia"/>
          <w:noProof/>
          <w:sz w:val="20"/>
          <w:szCs w:val="20"/>
        </w:rPr>
      </w:pPr>
      <w:hyperlink w:anchor="_Toc135990625" w:history="1">
        <w:r w:rsidR="00A82EF4" w:rsidRPr="005506CA">
          <w:rPr>
            <w:rStyle w:val="Hyperlink"/>
            <w:noProof/>
            <w:sz w:val="20"/>
            <w:szCs w:val="20"/>
            <w:u w:val="none"/>
          </w:rPr>
          <w:t>4.4.4.2</w:t>
        </w:r>
        <w:r w:rsidR="00A82EF4" w:rsidRPr="005506CA">
          <w:rPr>
            <w:rFonts w:eastAsiaTheme="minorEastAsia"/>
            <w:noProof/>
            <w:sz w:val="20"/>
            <w:szCs w:val="20"/>
          </w:rPr>
          <w:tab/>
        </w:r>
        <w:r w:rsidR="00A82EF4" w:rsidRPr="005506CA">
          <w:rPr>
            <w:rStyle w:val="Hyperlink"/>
            <w:noProof/>
            <w:sz w:val="20"/>
            <w:szCs w:val="20"/>
            <w:u w:val="none"/>
          </w:rPr>
          <w:t>Management of DC Tie Schedules due to Ramp Limitations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_Toc135990625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4-25</w:t>
        </w:r>
        <w:r w:rsidR="00A82EF4" w:rsidRPr="005506CA">
          <w:rPr>
            <w:noProof/>
            <w:webHidden/>
            <w:sz w:val="20"/>
            <w:szCs w:val="20"/>
          </w:rPr>
          <w:fldChar w:fldCharType="end"/>
        </w:r>
      </w:hyperlink>
    </w:p>
    <w:p w14:paraId="014C3B0A" w14:textId="5A0EEE35" w:rsidR="00A82EF4" w:rsidRPr="005506CA" w:rsidRDefault="005506CA" w:rsidP="00B3531E">
      <w:pPr>
        <w:pStyle w:val="TOC4"/>
        <w:rPr>
          <w:rFonts w:eastAsiaTheme="minorEastAsia"/>
          <w:noProof/>
          <w:sz w:val="20"/>
          <w:szCs w:val="20"/>
        </w:rPr>
      </w:pPr>
      <w:hyperlink w:anchor="_Toc135990626" w:history="1">
        <w:r w:rsidR="00A82EF4" w:rsidRPr="005506CA">
          <w:rPr>
            <w:rStyle w:val="Hyperlink"/>
            <w:noProof/>
            <w:sz w:val="20"/>
            <w:szCs w:val="20"/>
            <w:u w:val="none"/>
          </w:rPr>
          <w:t>4.4.4.3</w:t>
        </w:r>
        <w:r w:rsidR="00A82EF4" w:rsidRPr="005506CA">
          <w:rPr>
            <w:rFonts w:eastAsiaTheme="minorEastAsia"/>
            <w:noProof/>
            <w:sz w:val="20"/>
            <w:szCs w:val="20"/>
          </w:rPr>
          <w:tab/>
        </w:r>
        <w:r w:rsidR="00A82EF4" w:rsidRPr="005506CA">
          <w:rPr>
            <w:rStyle w:val="Hyperlink"/>
            <w:noProof/>
            <w:sz w:val="20"/>
            <w:szCs w:val="20"/>
            <w:u w:val="none"/>
          </w:rPr>
          <w:t>Frequency-Based Limits on DC Tie Imports or Exports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_Toc135990626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4-25</w:t>
        </w:r>
        <w:r w:rsidR="00A82EF4" w:rsidRPr="005506CA">
          <w:rPr>
            <w:noProof/>
            <w:webHidden/>
            <w:sz w:val="20"/>
            <w:szCs w:val="20"/>
          </w:rPr>
          <w:fldChar w:fldCharType="end"/>
        </w:r>
      </w:hyperlink>
    </w:p>
    <w:p w14:paraId="648195E5" w14:textId="6622F01C" w:rsidR="00A82EF4" w:rsidRPr="005506CA" w:rsidRDefault="005506CA">
      <w:pPr>
        <w:pStyle w:val="TOC3"/>
        <w:rPr>
          <w:rFonts w:eastAsiaTheme="minorEastAsia"/>
          <w:i w:val="0"/>
          <w:iCs w:val="0"/>
          <w:noProof/>
        </w:rPr>
      </w:pPr>
      <w:hyperlink w:anchor="_Toc135990627" w:history="1">
        <w:r w:rsidR="00A82EF4" w:rsidRPr="005506CA">
          <w:rPr>
            <w:rStyle w:val="Hyperlink"/>
            <w:i w:val="0"/>
            <w:iCs w:val="0"/>
            <w:noProof/>
            <w:u w:val="none"/>
          </w:rPr>
          <w:t>4.4.5</w:t>
        </w:r>
        <w:r w:rsidR="00A82EF4" w:rsidRPr="005506CA">
          <w:rPr>
            <w:rFonts w:eastAsiaTheme="minorEastAsia"/>
            <w:i w:val="0"/>
            <w:iCs w:val="0"/>
            <w:noProof/>
          </w:rPr>
          <w:tab/>
        </w:r>
        <w:r w:rsidR="00A82EF4" w:rsidRPr="005506CA">
          <w:rPr>
            <w:rStyle w:val="Hyperlink"/>
            <w:i w:val="0"/>
            <w:iCs w:val="0"/>
            <w:noProof/>
            <w:u w:val="none"/>
          </w:rPr>
          <w:t>[RESERVED]</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_Toc135990627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4-26</w:t>
        </w:r>
        <w:r w:rsidR="00A82EF4" w:rsidRPr="005506CA">
          <w:rPr>
            <w:i w:val="0"/>
            <w:iCs w:val="0"/>
            <w:noProof/>
            <w:webHidden/>
          </w:rPr>
          <w:fldChar w:fldCharType="end"/>
        </w:r>
      </w:hyperlink>
    </w:p>
    <w:p w14:paraId="5A6052EC" w14:textId="61B9A288" w:rsidR="00A82EF4" w:rsidRPr="005506CA" w:rsidRDefault="005506CA">
      <w:pPr>
        <w:pStyle w:val="TOC3"/>
        <w:rPr>
          <w:rFonts w:eastAsiaTheme="minorEastAsia"/>
          <w:i w:val="0"/>
          <w:iCs w:val="0"/>
          <w:noProof/>
        </w:rPr>
      </w:pPr>
      <w:hyperlink w:anchor="_Toc135990628" w:history="1">
        <w:r w:rsidR="00A82EF4" w:rsidRPr="005506CA">
          <w:rPr>
            <w:rStyle w:val="Hyperlink"/>
            <w:i w:val="0"/>
            <w:iCs w:val="0"/>
            <w:noProof/>
            <w:u w:val="none"/>
          </w:rPr>
          <w:t>4.4.6</w:t>
        </w:r>
        <w:r w:rsidR="00A82EF4" w:rsidRPr="005506CA">
          <w:rPr>
            <w:rFonts w:eastAsiaTheme="minorEastAsia"/>
            <w:i w:val="0"/>
            <w:iCs w:val="0"/>
            <w:noProof/>
          </w:rPr>
          <w:tab/>
        </w:r>
        <w:r w:rsidR="00A82EF4" w:rsidRPr="005506CA">
          <w:rPr>
            <w:rStyle w:val="Hyperlink"/>
            <w:i w:val="0"/>
            <w:iCs w:val="0"/>
            <w:noProof/>
            <w:u w:val="none"/>
          </w:rPr>
          <w:t>PTP Obligation Bids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_Toc135990628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4-26</w:t>
        </w:r>
        <w:r w:rsidR="00A82EF4" w:rsidRPr="005506CA">
          <w:rPr>
            <w:i w:val="0"/>
            <w:iCs w:val="0"/>
            <w:noProof/>
            <w:webHidden/>
          </w:rPr>
          <w:fldChar w:fldCharType="end"/>
        </w:r>
      </w:hyperlink>
    </w:p>
    <w:p w14:paraId="3C5A2025" w14:textId="668C356C" w:rsidR="00A82EF4" w:rsidRPr="005506CA" w:rsidRDefault="005506CA" w:rsidP="00B3531E">
      <w:pPr>
        <w:pStyle w:val="TOC4"/>
        <w:rPr>
          <w:rFonts w:eastAsiaTheme="minorEastAsia"/>
          <w:noProof/>
          <w:sz w:val="20"/>
          <w:szCs w:val="20"/>
        </w:rPr>
      </w:pPr>
      <w:hyperlink w:anchor="_Toc135990629" w:history="1">
        <w:r w:rsidR="00A82EF4" w:rsidRPr="005506CA">
          <w:rPr>
            <w:rStyle w:val="Hyperlink"/>
            <w:noProof/>
            <w:sz w:val="20"/>
            <w:szCs w:val="20"/>
            <w:u w:val="none"/>
          </w:rPr>
          <w:t>4.4.6.1</w:t>
        </w:r>
        <w:r w:rsidR="00A82EF4" w:rsidRPr="005506CA">
          <w:rPr>
            <w:rFonts w:eastAsiaTheme="minorEastAsia"/>
            <w:noProof/>
            <w:sz w:val="20"/>
            <w:szCs w:val="20"/>
          </w:rPr>
          <w:tab/>
        </w:r>
        <w:r w:rsidR="00A82EF4" w:rsidRPr="005506CA">
          <w:rPr>
            <w:rStyle w:val="Hyperlink"/>
            <w:noProof/>
            <w:sz w:val="20"/>
            <w:szCs w:val="20"/>
            <w:u w:val="none"/>
          </w:rPr>
          <w:t>PTP Obligation Bid Criteria</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_Toc135990629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4-26</w:t>
        </w:r>
        <w:r w:rsidR="00A82EF4" w:rsidRPr="005506CA">
          <w:rPr>
            <w:noProof/>
            <w:webHidden/>
            <w:sz w:val="20"/>
            <w:szCs w:val="20"/>
          </w:rPr>
          <w:fldChar w:fldCharType="end"/>
        </w:r>
      </w:hyperlink>
    </w:p>
    <w:p w14:paraId="6890014F" w14:textId="1E552B5B" w:rsidR="00A82EF4" w:rsidRPr="005506CA" w:rsidRDefault="005506CA" w:rsidP="00B3531E">
      <w:pPr>
        <w:pStyle w:val="TOC4"/>
        <w:rPr>
          <w:rFonts w:eastAsiaTheme="minorEastAsia"/>
          <w:noProof/>
          <w:sz w:val="20"/>
          <w:szCs w:val="20"/>
        </w:rPr>
      </w:pPr>
      <w:hyperlink w:anchor="_Toc135990630" w:history="1">
        <w:r w:rsidR="00A82EF4" w:rsidRPr="005506CA">
          <w:rPr>
            <w:rStyle w:val="Hyperlink"/>
            <w:noProof/>
            <w:sz w:val="20"/>
            <w:szCs w:val="20"/>
            <w:u w:val="none"/>
          </w:rPr>
          <w:t>4.4.6.2</w:t>
        </w:r>
        <w:r w:rsidR="00A82EF4" w:rsidRPr="005506CA">
          <w:rPr>
            <w:rFonts w:eastAsiaTheme="minorEastAsia"/>
            <w:noProof/>
            <w:sz w:val="20"/>
            <w:szCs w:val="20"/>
          </w:rPr>
          <w:tab/>
        </w:r>
        <w:r w:rsidR="00A82EF4" w:rsidRPr="005506CA">
          <w:rPr>
            <w:rStyle w:val="Hyperlink"/>
            <w:noProof/>
            <w:sz w:val="20"/>
            <w:szCs w:val="20"/>
            <w:u w:val="none"/>
          </w:rPr>
          <w:t>PTP Obligation Bid Validation</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_Toc135990630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4-28</w:t>
        </w:r>
        <w:r w:rsidR="00A82EF4" w:rsidRPr="005506CA">
          <w:rPr>
            <w:noProof/>
            <w:webHidden/>
            <w:sz w:val="20"/>
            <w:szCs w:val="20"/>
          </w:rPr>
          <w:fldChar w:fldCharType="end"/>
        </w:r>
      </w:hyperlink>
    </w:p>
    <w:p w14:paraId="778F13AE" w14:textId="7021DB83" w:rsidR="00A82EF4" w:rsidRPr="005506CA" w:rsidRDefault="005506CA" w:rsidP="00B3531E">
      <w:pPr>
        <w:pStyle w:val="TOC4"/>
        <w:rPr>
          <w:rFonts w:eastAsiaTheme="minorEastAsia"/>
          <w:noProof/>
          <w:sz w:val="20"/>
          <w:szCs w:val="20"/>
        </w:rPr>
      </w:pPr>
      <w:hyperlink w:anchor="_Toc135990631" w:history="1">
        <w:r w:rsidR="00A82EF4" w:rsidRPr="005506CA">
          <w:rPr>
            <w:rStyle w:val="Hyperlink"/>
            <w:noProof/>
            <w:sz w:val="20"/>
            <w:szCs w:val="20"/>
            <w:u w:val="none"/>
          </w:rPr>
          <w:t>4.4.6.3</w:t>
        </w:r>
        <w:r w:rsidR="00A82EF4" w:rsidRPr="005506CA">
          <w:rPr>
            <w:rFonts w:eastAsiaTheme="minorEastAsia"/>
            <w:noProof/>
            <w:sz w:val="20"/>
            <w:szCs w:val="20"/>
          </w:rPr>
          <w:tab/>
        </w:r>
        <w:r w:rsidR="00A82EF4" w:rsidRPr="005506CA">
          <w:rPr>
            <w:rStyle w:val="Hyperlink"/>
            <w:noProof/>
            <w:sz w:val="20"/>
            <w:szCs w:val="20"/>
            <w:u w:val="none"/>
          </w:rPr>
          <w:t>PTP Obligations with Links to an Option DAM Award Eligibility</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_Toc135990631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4-29</w:t>
        </w:r>
        <w:r w:rsidR="00A82EF4" w:rsidRPr="005506CA">
          <w:rPr>
            <w:noProof/>
            <w:webHidden/>
            <w:sz w:val="20"/>
            <w:szCs w:val="20"/>
          </w:rPr>
          <w:fldChar w:fldCharType="end"/>
        </w:r>
      </w:hyperlink>
    </w:p>
    <w:p w14:paraId="46F2EE33" w14:textId="7971FD9E" w:rsidR="00A82EF4" w:rsidRPr="005506CA" w:rsidRDefault="005506CA">
      <w:pPr>
        <w:pStyle w:val="TOC3"/>
        <w:rPr>
          <w:rFonts w:eastAsiaTheme="minorEastAsia"/>
          <w:i w:val="0"/>
          <w:iCs w:val="0"/>
          <w:noProof/>
        </w:rPr>
      </w:pPr>
      <w:hyperlink w:anchor="_Toc135990632" w:history="1">
        <w:r w:rsidR="00A82EF4" w:rsidRPr="005506CA">
          <w:rPr>
            <w:rStyle w:val="Hyperlink"/>
            <w:i w:val="0"/>
            <w:iCs w:val="0"/>
            <w:noProof/>
            <w:u w:val="none"/>
          </w:rPr>
          <w:t>4.4.7</w:t>
        </w:r>
        <w:r w:rsidR="00A82EF4" w:rsidRPr="005506CA">
          <w:rPr>
            <w:rFonts w:eastAsiaTheme="minorEastAsia"/>
            <w:i w:val="0"/>
            <w:iCs w:val="0"/>
            <w:noProof/>
          </w:rPr>
          <w:tab/>
        </w:r>
        <w:r w:rsidR="00A82EF4" w:rsidRPr="005506CA">
          <w:rPr>
            <w:rStyle w:val="Hyperlink"/>
            <w:i w:val="0"/>
            <w:iCs w:val="0"/>
            <w:noProof/>
            <w:u w:val="none"/>
          </w:rPr>
          <w:t>Ancillary Service Supplied and Traded</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_Toc135990632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4-29</w:t>
        </w:r>
        <w:r w:rsidR="00A82EF4" w:rsidRPr="005506CA">
          <w:rPr>
            <w:i w:val="0"/>
            <w:iCs w:val="0"/>
            <w:noProof/>
            <w:webHidden/>
          </w:rPr>
          <w:fldChar w:fldCharType="end"/>
        </w:r>
      </w:hyperlink>
    </w:p>
    <w:p w14:paraId="70A8FB42" w14:textId="59DF1A99" w:rsidR="00A82EF4" w:rsidRPr="005506CA" w:rsidRDefault="005506CA" w:rsidP="00B3531E">
      <w:pPr>
        <w:pStyle w:val="TOC4"/>
        <w:rPr>
          <w:rFonts w:eastAsiaTheme="minorEastAsia"/>
          <w:noProof/>
          <w:sz w:val="20"/>
          <w:szCs w:val="20"/>
        </w:rPr>
      </w:pPr>
      <w:hyperlink w:anchor="_Toc135990633" w:history="1">
        <w:r w:rsidR="00A82EF4" w:rsidRPr="005506CA">
          <w:rPr>
            <w:rStyle w:val="Hyperlink"/>
            <w:noProof/>
            <w:sz w:val="20"/>
            <w:szCs w:val="20"/>
            <w:u w:val="none"/>
          </w:rPr>
          <w:t>4.4.7.1</w:t>
        </w:r>
        <w:r w:rsidR="00A82EF4" w:rsidRPr="005506CA">
          <w:rPr>
            <w:rFonts w:eastAsiaTheme="minorEastAsia"/>
            <w:noProof/>
            <w:sz w:val="20"/>
            <w:szCs w:val="20"/>
          </w:rPr>
          <w:tab/>
        </w:r>
        <w:r w:rsidR="00A82EF4" w:rsidRPr="005506CA">
          <w:rPr>
            <w:rStyle w:val="Hyperlink"/>
            <w:noProof/>
            <w:sz w:val="20"/>
            <w:szCs w:val="20"/>
            <w:u w:val="none"/>
          </w:rPr>
          <w:t>Self-Arranged Ancillary Service Quantities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_Toc135990633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4-29</w:t>
        </w:r>
        <w:r w:rsidR="00A82EF4" w:rsidRPr="005506CA">
          <w:rPr>
            <w:noProof/>
            <w:webHidden/>
            <w:sz w:val="20"/>
            <w:szCs w:val="20"/>
          </w:rPr>
          <w:fldChar w:fldCharType="end"/>
        </w:r>
      </w:hyperlink>
    </w:p>
    <w:p w14:paraId="1DBBFFED" w14:textId="1E32FA03" w:rsidR="00A82EF4" w:rsidRPr="005506CA" w:rsidRDefault="005506CA" w:rsidP="006D5105">
      <w:pPr>
        <w:pStyle w:val="TOC5"/>
        <w:rPr>
          <w:rFonts w:eastAsiaTheme="minorEastAsia"/>
          <w:i w:val="0"/>
          <w:sz w:val="20"/>
          <w:szCs w:val="20"/>
        </w:rPr>
      </w:pPr>
      <w:hyperlink w:anchor="_Toc135990634" w:history="1">
        <w:r w:rsidR="00A82EF4" w:rsidRPr="005506CA">
          <w:rPr>
            <w:rStyle w:val="Hyperlink"/>
            <w:i w:val="0"/>
            <w:sz w:val="20"/>
            <w:szCs w:val="20"/>
            <w:u w:val="none"/>
          </w:rPr>
          <w:t>4.4.7.1.1</w:t>
        </w:r>
        <w:r w:rsidR="00A82EF4" w:rsidRPr="005506CA">
          <w:rPr>
            <w:rFonts w:eastAsiaTheme="minorEastAsia"/>
            <w:i w:val="0"/>
            <w:sz w:val="20"/>
            <w:szCs w:val="20"/>
          </w:rPr>
          <w:tab/>
        </w:r>
        <w:r w:rsidR="00A82EF4" w:rsidRPr="005506CA">
          <w:rPr>
            <w:rStyle w:val="Hyperlink"/>
            <w:i w:val="0"/>
            <w:sz w:val="20"/>
            <w:szCs w:val="20"/>
            <w:u w:val="none"/>
          </w:rPr>
          <w:t>Negative Self-Arranged Ancillary Service Quantities</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_Toc135990634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4-32</w:t>
        </w:r>
        <w:r w:rsidR="00A82EF4" w:rsidRPr="005506CA">
          <w:rPr>
            <w:i w:val="0"/>
            <w:webHidden/>
            <w:sz w:val="20"/>
            <w:szCs w:val="20"/>
          </w:rPr>
          <w:fldChar w:fldCharType="end"/>
        </w:r>
      </w:hyperlink>
    </w:p>
    <w:p w14:paraId="5055DEC5" w14:textId="1BB814CB" w:rsidR="00A82EF4" w:rsidRPr="005506CA" w:rsidRDefault="005506CA" w:rsidP="00B3531E">
      <w:pPr>
        <w:pStyle w:val="TOC4"/>
        <w:rPr>
          <w:rFonts w:eastAsiaTheme="minorEastAsia"/>
          <w:noProof/>
          <w:sz w:val="20"/>
          <w:szCs w:val="20"/>
        </w:rPr>
      </w:pPr>
      <w:hyperlink w:anchor="_Toc135990635" w:history="1">
        <w:r w:rsidR="00A82EF4" w:rsidRPr="005506CA">
          <w:rPr>
            <w:rStyle w:val="Hyperlink"/>
            <w:noProof/>
            <w:sz w:val="20"/>
            <w:szCs w:val="20"/>
            <w:u w:val="none"/>
          </w:rPr>
          <w:t>4.4.7.2</w:t>
        </w:r>
        <w:r w:rsidR="00A82EF4" w:rsidRPr="005506CA">
          <w:rPr>
            <w:rFonts w:eastAsiaTheme="minorEastAsia"/>
            <w:noProof/>
            <w:sz w:val="20"/>
            <w:szCs w:val="20"/>
          </w:rPr>
          <w:tab/>
        </w:r>
        <w:r w:rsidR="00A82EF4" w:rsidRPr="005506CA">
          <w:rPr>
            <w:rStyle w:val="Hyperlink"/>
            <w:noProof/>
            <w:sz w:val="20"/>
            <w:szCs w:val="20"/>
            <w:u w:val="none"/>
          </w:rPr>
          <w:t>Ancillary Service Offers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_Toc135990635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4-33</w:t>
        </w:r>
        <w:r w:rsidR="00A82EF4" w:rsidRPr="005506CA">
          <w:rPr>
            <w:noProof/>
            <w:webHidden/>
            <w:sz w:val="20"/>
            <w:szCs w:val="20"/>
          </w:rPr>
          <w:fldChar w:fldCharType="end"/>
        </w:r>
      </w:hyperlink>
    </w:p>
    <w:p w14:paraId="095003D6" w14:textId="4BA9C28E" w:rsidR="00A82EF4" w:rsidRPr="005506CA" w:rsidRDefault="005506CA" w:rsidP="006D5105">
      <w:pPr>
        <w:pStyle w:val="TOC5"/>
        <w:rPr>
          <w:rFonts w:eastAsiaTheme="minorEastAsia"/>
          <w:i w:val="0"/>
          <w:sz w:val="20"/>
          <w:szCs w:val="20"/>
        </w:rPr>
      </w:pPr>
      <w:hyperlink w:anchor="_Toc135990636" w:history="1">
        <w:r w:rsidR="00A82EF4" w:rsidRPr="005506CA">
          <w:rPr>
            <w:rStyle w:val="Hyperlink"/>
            <w:i w:val="0"/>
            <w:sz w:val="20"/>
            <w:szCs w:val="20"/>
            <w:u w:val="none"/>
          </w:rPr>
          <w:t>4.4.7.2.1</w:t>
        </w:r>
        <w:r w:rsidR="00A82EF4" w:rsidRPr="005506CA">
          <w:rPr>
            <w:rFonts w:eastAsiaTheme="minorEastAsia"/>
            <w:i w:val="0"/>
            <w:sz w:val="20"/>
            <w:szCs w:val="20"/>
          </w:rPr>
          <w:tab/>
        </w:r>
        <w:r w:rsidR="00A82EF4" w:rsidRPr="005506CA">
          <w:rPr>
            <w:rStyle w:val="Hyperlink"/>
            <w:i w:val="0"/>
            <w:sz w:val="20"/>
            <w:szCs w:val="20"/>
            <w:u w:val="none"/>
          </w:rPr>
          <w:t>Ancillary Service Offer Criteria</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_Toc135990636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4-37</w:t>
        </w:r>
        <w:r w:rsidR="00A82EF4" w:rsidRPr="005506CA">
          <w:rPr>
            <w:i w:val="0"/>
            <w:webHidden/>
            <w:sz w:val="20"/>
            <w:szCs w:val="20"/>
          </w:rPr>
          <w:fldChar w:fldCharType="end"/>
        </w:r>
      </w:hyperlink>
    </w:p>
    <w:p w14:paraId="3E77E3D4" w14:textId="228BE709" w:rsidR="00A82EF4" w:rsidRPr="005506CA" w:rsidRDefault="005506CA" w:rsidP="006D5105">
      <w:pPr>
        <w:pStyle w:val="TOC5"/>
        <w:rPr>
          <w:rFonts w:eastAsiaTheme="minorEastAsia"/>
          <w:i w:val="0"/>
          <w:sz w:val="20"/>
          <w:szCs w:val="20"/>
        </w:rPr>
      </w:pPr>
      <w:hyperlink w:anchor="_Toc135990638" w:history="1">
        <w:r w:rsidR="00A82EF4" w:rsidRPr="005506CA">
          <w:rPr>
            <w:rStyle w:val="Hyperlink"/>
            <w:i w:val="0"/>
            <w:sz w:val="20"/>
            <w:szCs w:val="20"/>
            <w:u w:val="none"/>
          </w:rPr>
          <w:t>4.4.7.2.2</w:t>
        </w:r>
        <w:r w:rsidR="00A82EF4" w:rsidRPr="005506CA">
          <w:rPr>
            <w:rFonts w:eastAsiaTheme="minorEastAsia"/>
            <w:i w:val="0"/>
            <w:sz w:val="20"/>
            <w:szCs w:val="20"/>
          </w:rPr>
          <w:tab/>
        </w:r>
        <w:r w:rsidR="00A82EF4" w:rsidRPr="005506CA">
          <w:rPr>
            <w:rStyle w:val="Hyperlink"/>
            <w:i w:val="0"/>
            <w:sz w:val="20"/>
            <w:szCs w:val="20"/>
            <w:u w:val="none"/>
          </w:rPr>
          <w:t>Ancillary Service Offer Validation</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_Toc135990638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4-41</w:t>
        </w:r>
        <w:r w:rsidR="00A82EF4" w:rsidRPr="005506CA">
          <w:rPr>
            <w:i w:val="0"/>
            <w:webHidden/>
            <w:sz w:val="20"/>
            <w:szCs w:val="20"/>
          </w:rPr>
          <w:fldChar w:fldCharType="end"/>
        </w:r>
      </w:hyperlink>
    </w:p>
    <w:p w14:paraId="02A3E5DC" w14:textId="240F389A" w:rsidR="00A82EF4" w:rsidRPr="005506CA" w:rsidRDefault="005506CA" w:rsidP="00B3531E">
      <w:pPr>
        <w:pStyle w:val="TOC4"/>
        <w:rPr>
          <w:rFonts w:eastAsiaTheme="minorEastAsia"/>
          <w:noProof/>
          <w:sz w:val="20"/>
          <w:szCs w:val="20"/>
        </w:rPr>
      </w:pPr>
      <w:hyperlink w:anchor="_Toc135990640" w:history="1">
        <w:r w:rsidR="00A82EF4" w:rsidRPr="005506CA">
          <w:rPr>
            <w:rStyle w:val="Hyperlink"/>
            <w:noProof/>
            <w:sz w:val="20"/>
            <w:szCs w:val="20"/>
            <w:u w:val="none"/>
          </w:rPr>
          <w:t>4.4.7.3</w:t>
        </w:r>
        <w:r w:rsidR="00A82EF4" w:rsidRPr="005506CA">
          <w:rPr>
            <w:rFonts w:eastAsiaTheme="minorEastAsia"/>
            <w:noProof/>
            <w:sz w:val="20"/>
            <w:szCs w:val="20"/>
          </w:rPr>
          <w:tab/>
        </w:r>
        <w:r w:rsidR="00A82EF4" w:rsidRPr="005506CA">
          <w:rPr>
            <w:rStyle w:val="Hyperlink"/>
            <w:noProof/>
            <w:sz w:val="20"/>
            <w:szCs w:val="20"/>
            <w:u w:val="none"/>
          </w:rPr>
          <w:t>Ancillary Service Trades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_Toc135990640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4-42</w:t>
        </w:r>
        <w:r w:rsidR="00A82EF4" w:rsidRPr="005506CA">
          <w:rPr>
            <w:noProof/>
            <w:webHidden/>
            <w:sz w:val="20"/>
            <w:szCs w:val="20"/>
          </w:rPr>
          <w:fldChar w:fldCharType="end"/>
        </w:r>
      </w:hyperlink>
    </w:p>
    <w:p w14:paraId="64B5D940" w14:textId="200D2D65" w:rsidR="00A82EF4" w:rsidRPr="005506CA" w:rsidRDefault="005506CA" w:rsidP="006D5105">
      <w:pPr>
        <w:pStyle w:val="TOC5"/>
        <w:rPr>
          <w:rFonts w:eastAsiaTheme="minorEastAsia"/>
          <w:i w:val="0"/>
          <w:sz w:val="20"/>
          <w:szCs w:val="20"/>
        </w:rPr>
      </w:pPr>
      <w:hyperlink w:anchor="_Toc135990641" w:history="1">
        <w:r w:rsidR="00A82EF4" w:rsidRPr="005506CA">
          <w:rPr>
            <w:rStyle w:val="Hyperlink"/>
            <w:i w:val="0"/>
            <w:sz w:val="20"/>
            <w:szCs w:val="20"/>
            <w:u w:val="none"/>
          </w:rPr>
          <w:t>4.4.7.3.1</w:t>
        </w:r>
        <w:r w:rsidR="00A82EF4" w:rsidRPr="005506CA">
          <w:rPr>
            <w:rFonts w:eastAsiaTheme="minorEastAsia"/>
            <w:i w:val="0"/>
            <w:sz w:val="20"/>
            <w:szCs w:val="20"/>
          </w:rPr>
          <w:tab/>
        </w:r>
        <w:r w:rsidR="00A82EF4" w:rsidRPr="005506CA">
          <w:rPr>
            <w:rStyle w:val="Hyperlink"/>
            <w:i w:val="0"/>
            <w:sz w:val="20"/>
            <w:szCs w:val="20"/>
            <w:u w:val="none"/>
          </w:rPr>
          <w:t>Ancillary Service Trade Criteria</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_Toc135990641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4-47</w:t>
        </w:r>
        <w:r w:rsidR="00A82EF4" w:rsidRPr="005506CA">
          <w:rPr>
            <w:i w:val="0"/>
            <w:webHidden/>
            <w:sz w:val="20"/>
            <w:szCs w:val="20"/>
          </w:rPr>
          <w:fldChar w:fldCharType="end"/>
        </w:r>
      </w:hyperlink>
    </w:p>
    <w:p w14:paraId="2F5C4C29" w14:textId="057AFB6D" w:rsidR="00A82EF4" w:rsidRPr="005506CA" w:rsidRDefault="005506CA" w:rsidP="006D5105">
      <w:pPr>
        <w:pStyle w:val="TOC5"/>
        <w:rPr>
          <w:rFonts w:eastAsiaTheme="minorEastAsia"/>
          <w:i w:val="0"/>
          <w:sz w:val="20"/>
          <w:szCs w:val="20"/>
        </w:rPr>
      </w:pPr>
      <w:hyperlink w:anchor="_Toc135990642" w:history="1">
        <w:r w:rsidR="00A82EF4" w:rsidRPr="005506CA">
          <w:rPr>
            <w:rStyle w:val="Hyperlink"/>
            <w:i w:val="0"/>
            <w:sz w:val="20"/>
            <w:szCs w:val="20"/>
            <w:u w:val="none"/>
          </w:rPr>
          <w:t>4.4.7.3.2</w:t>
        </w:r>
        <w:r w:rsidR="00A82EF4" w:rsidRPr="005506CA">
          <w:rPr>
            <w:rFonts w:eastAsiaTheme="minorEastAsia"/>
            <w:i w:val="0"/>
            <w:sz w:val="20"/>
            <w:szCs w:val="20"/>
          </w:rPr>
          <w:tab/>
        </w:r>
        <w:r w:rsidR="00A82EF4" w:rsidRPr="005506CA">
          <w:rPr>
            <w:rStyle w:val="Hyperlink"/>
            <w:i w:val="0"/>
            <w:sz w:val="20"/>
            <w:szCs w:val="20"/>
            <w:u w:val="none"/>
          </w:rPr>
          <w:t>Ancillary Service Trade Validation</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_Toc135990642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4-49</w:t>
        </w:r>
        <w:r w:rsidR="00A82EF4" w:rsidRPr="005506CA">
          <w:rPr>
            <w:i w:val="0"/>
            <w:webHidden/>
            <w:sz w:val="20"/>
            <w:szCs w:val="20"/>
          </w:rPr>
          <w:fldChar w:fldCharType="end"/>
        </w:r>
      </w:hyperlink>
    </w:p>
    <w:p w14:paraId="02E29E8F" w14:textId="04848853" w:rsidR="00A82EF4" w:rsidRPr="005506CA" w:rsidRDefault="005506CA" w:rsidP="00B3531E">
      <w:pPr>
        <w:pStyle w:val="TOC4"/>
        <w:rPr>
          <w:rFonts w:eastAsiaTheme="minorEastAsia"/>
          <w:noProof/>
          <w:sz w:val="20"/>
          <w:szCs w:val="20"/>
        </w:rPr>
      </w:pPr>
      <w:hyperlink w:anchor="_Toc135990643" w:history="1">
        <w:r w:rsidR="00A82EF4" w:rsidRPr="005506CA">
          <w:rPr>
            <w:rStyle w:val="Hyperlink"/>
            <w:noProof/>
            <w:sz w:val="20"/>
            <w:szCs w:val="20"/>
            <w:u w:val="none"/>
          </w:rPr>
          <w:t>4.4.7.4</w:t>
        </w:r>
        <w:r w:rsidR="00A82EF4" w:rsidRPr="005506CA">
          <w:rPr>
            <w:rFonts w:eastAsiaTheme="minorEastAsia"/>
            <w:noProof/>
            <w:sz w:val="20"/>
            <w:szCs w:val="20"/>
          </w:rPr>
          <w:tab/>
        </w:r>
        <w:r w:rsidR="00A82EF4" w:rsidRPr="005506CA">
          <w:rPr>
            <w:rStyle w:val="Hyperlink"/>
            <w:noProof/>
            <w:sz w:val="20"/>
            <w:szCs w:val="20"/>
            <w:u w:val="none"/>
          </w:rPr>
          <w:t>Ancillary Service Supply Responsibility</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_Toc135990643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4-49</w:t>
        </w:r>
        <w:r w:rsidR="00A82EF4" w:rsidRPr="005506CA">
          <w:rPr>
            <w:noProof/>
            <w:webHidden/>
            <w:sz w:val="20"/>
            <w:szCs w:val="20"/>
          </w:rPr>
          <w:fldChar w:fldCharType="end"/>
        </w:r>
      </w:hyperlink>
    </w:p>
    <w:p w14:paraId="4AE9895F" w14:textId="004E7678" w:rsidR="00A82EF4" w:rsidRPr="005506CA" w:rsidRDefault="005506CA">
      <w:pPr>
        <w:pStyle w:val="TOC3"/>
        <w:rPr>
          <w:rFonts w:eastAsiaTheme="minorEastAsia"/>
          <w:i w:val="0"/>
          <w:iCs w:val="0"/>
          <w:noProof/>
        </w:rPr>
      </w:pPr>
      <w:hyperlink w:anchor="_Toc135990644" w:history="1">
        <w:r w:rsidR="00A82EF4" w:rsidRPr="005506CA">
          <w:rPr>
            <w:rStyle w:val="Hyperlink"/>
            <w:i w:val="0"/>
            <w:iCs w:val="0"/>
            <w:noProof/>
            <w:u w:val="none"/>
          </w:rPr>
          <w:t>4.4.8</w:t>
        </w:r>
        <w:r w:rsidR="00A82EF4" w:rsidRPr="005506CA">
          <w:rPr>
            <w:rFonts w:eastAsiaTheme="minorEastAsia"/>
            <w:i w:val="0"/>
            <w:iCs w:val="0"/>
            <w:noProof/>
          </w:rPr>
          <w:tab/>
        </w:r>
        <w:r w:rsidR="00A82EF4" w:rsidRPr="005506CA">
          <w:rPr>
            <w:rStyle w:val="Hyperlink"/>
            <w:i w:val="0"/>
            <w:iCs w:val="0"/>
            <w:noProof/>
            <w:u w:val="none"/>
          </w:rPr>
          <w:t>RMR Offers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_Toc135990644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4-51</w:t>
        </w:r>
        <w:r w:rsidR="00A82EF4" w:rsidRPr="005506CA">
          <w:rPr>
            <w:i w:val="0"/>
            <w:iCs w:val="0"/>
            <w:noProof/>
            <w:webHidden/>
          </w:rPr>
          <w:fldChar w:fldCharType="end"/>
        </w:r>
      </w:hyperlink>
    </w:p>
    <w:p w14:paraId="7C47EEE8" w14:textId="497097C5" w:rsidR="00A82EF4" w:rsidRPr="005506CA" w:rsidRDefault="005506CA">
      <w:pPr>
        <w:pStyle w:val="TOC3"/>
        <w:rPr>
          <w:rFonts w:eastAsiaTheme="minorEastAsia"/>
          <w:i w:val="0"/>
          <w:iCs w:val="0"/>
          <w:noProof/>
        </w:rPr>
      </w:pPr>
      <w:hyperlink w:anchor="_Toc135990645" w:history="1">
        <w:r w:rsidR="00A82EF4" w:rsidRPr="005506CA">
          <w:rPr>
            <w:rStyle w:val="Hyperlink"/>
            <w:i w:val="0"/>
            <w:iCs w:val="0"/>
            <w:noProof/>
            <w:u w:val="none"/>
          </w:rPr>
          <w:t>4.4.9</w:t>
        </w:r>
        <w:r w:rsidR="00A82EF4" w:rsidRPr="005506CA">
          <w:rPr>
            <w:rFonts w:eastAsiaTheme="minorEastAsia"/>
            <w:i w:val="0"/>
            <w:iCs w:val="0"/>
            <w:noProof/>
          </w:rPr>
          <w:tab/>
        </w:r>
        <w:r w:rsidR="00A82EF4" w:rsidRPr="005506CA">
          <w:rPr>
            <w:rStyle w:val="Hyperlink"/>
            <w:i w:val="0"/>
            <w:iCs w:val="0"/>
            <w:noProof/>
            <w:u w:val="none"/>
          </w:rPr>
          <w:t>Energy Offers and Bids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_Toc135990645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4-52</w:t>
        </w:r>
        <w:r w:rsidR="00A82EF4" w:rsidRPr="005506CA">
          <w:rPr>
            <w:i w:val="0"/>
            <w:iCs w:val="0"/>
            <w:noProof/>
            <w:webHidden/>
          </w:rPr>
          <w:fldChar w:fldCharType="end"/>
        </w:r>
      </w:hyperlink>
    </w:p>
    <w:p w14:paraId="6EA5329D" w14:textId="752FA488" w:rsidR="00A82EF4" w:rsidRPr="005506CA" w:rsidRDefault="005506CA" w:rsidP="00B3531E">
      <w:pPr>
        <w:pStyle w:val="TOC4"/>
        <w:rPr>
          <w:rFonts w:eastAsiaTheme="minorEastAsia"/>
          <w:noProof/>
          <w:sz w:val="20"/>
          <w:szCs w:val="20"/>
        </w:rPr>
      </w:pPr>
      <w:hyperlink w:anchor="_Toc135990646" w:history="1">
        <w:r w:rsidR="00A82EF4" w:rsidRPr="005506CA">
          <w:rPr>
            <w:rStyle w:val="Hyperlink"/>
            <w:noProof/>
            <w:sz w:val="20"/>
            <w:szCs w:val="20"/>
            <w:u w:val="none"/>
          </w:rPr>
          <w:t>4.4.9.1</w:t>
        </w:r>
        <w:r w:rsidR="00A82EF4" w:rsidRPr="005506CA">
          <w:rPr>
            <w:rFonts w:eastAsiaTheme="minorEastAsia"/>
            <w:noProof/>
            <w:sz w:val="20"/>
            <w:szCs w:val="20"/>
          </w:rPr>
          <w:tab/>
        </w:r>
        <w:r w:rsidR="00A82EF4" w:rsidRPr="005506CA">
          <w:rPr>
            <w:rStyle w:val="Hyperlink"/>
            <w:noProof/>
            <w:sz w:val="20"/>
            <w:szCs w:val="20"/>
            <w:u w:val="none"/>
          </w:rPr>
          <w:t>Three-Part Supply Offers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_Toc135990646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4-52</w:t>
        </w:r>
        <w:r w:rsidR="00A82EF4" w:rsidRPr="005506CA">
          <w:rPr>
            <w:noProof/>
            <w:webHidden/>
            <w:sz w:val="20"/>
            <w:szCs w:val="20"/>
          </w:rPr>
          <w:fldChar w:fldCharType="end"/>
        </w:r>
      </w:hyperlink>
    </w:p>
    <w:p w14:paraId="5293A672" w14:textId="7D7D69D4" w:rsidR="00A82EF4" w:rsidRPr="005506CA" w:rsidRDefault="005506CA" w:rsidP="00B3531E">
      <w:pPr>
        <w:pStyle w:val="TOC4"/>
        <w:rPr>
          <w:rFonts w:eastAsiaTheme="minorEastAsia"/>
          <w:noProof/>
          <w:sz w:val="20"/>
          <w:szCs w:val="20"/>
        </w:rPr>
      </w:pPr>
      <w:hyperlink w:anchor="_Toc135990647" w:history="1">
        <w:r w:rsidR="00A82EF4" w:rsidRPr="005506CA">
          <w:rPr>
            <w:rStyle w:val="Hyperlink"/>
            <w:noProof/>
            <w:sz w:val="20"/>
            <w:szCs w:val="20"/>
            <w:u w:val="none"/>
          </w:rPr>
          <w:t>4.4.9.2</w:t>
        </w:r>
        <w:r w:rsidR="00A82EF4" w:rsidRPr="005506CA">
          <w:rPr>
            <w:rFonts w:eastAsiaTheme="minorEastAsia"/>
            <w:noProof/>
            <w:sz w:val="20"/>
            <w:szCs w:val="20"/>
          </w:rPr>
          <w:tab/>
        </w:r>
        <w:r w:rsidR="00A82EF4" w:rsidRPr="005506CA">
          <w:rPr>
            <w:rStyle w:val="Hyperlink"/>
            <w:noProof/>
            <w:sz w:val="20"/>
            <w:szCs w:val="20"/>
            <w:u w:val="none"/>
          </w:rPr>
          <w:t>Startup Offer and Minimum-Energy Offer</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_Toc135990647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4-53</w:t>
        </w:r>
        <w:r w:rsidR="00A82EF4" w:rsidRPr="005506CA">
          <w:rPr>
            <w:noProof/>
            <w:webHidden/>
            <w:sz w:val="20"/>
            <w:szCs w:val="20"/>
          </w:rPr>
          <w:fldChar w:fldCharType="end"/>
        </w:r>
      </w:hyperlink>
    </w:p>
    <w:p w14:paraId="05655589" w14:textId="5C76465F" w:rsidR="00A82EF4" w:rsidRPr="005506CA" w:rsidRDefault="005506CA" w:rsidP="006D5105">
      <w:pPr>
        <w:pStyle w:val="TOC5"/>
        <w:rPr>
          <w:rFonts w:eastAsiaTheme="minorEastAsia"/>
          <w:i w:val="0"/>
          <w:sz w:val="20"/>
          <w:szCs w:val="20"/>
        </w:rPr>
      </w:pPr>
      <w:hyperlink w:anchor="_Toc135990648" w:history="1">
        <w:r w:rsidR="00A82EF4" w:rsidRPr="005506CA">
          <w:rPr>
            <w:rStyle w:val="Hyperlink"/>
            <w:i w:val="0"/>
            <w:sz w:val="20"/>
            <w:szCs w:val="20"/>
            <w:u w:val="none"/>
          </w:rPr>
          <w:t>4.4.9.2.1</w:t>
        </w:r>
        <w:r w:rsidR="00A82EF4" w:rsidRPr="005506CA">
          <w:rPr>
            <w:rFonts w:eastAsiaTheme="minorEastAsia"/>
            <w:i w:val="0"/>
            <w:sz w:val="20"/>
            <w:szCs w:val="20"/>
          </w:rPr>
          <w:tab/>
        </w:r>
        <w:r w:rsidR="00A82EF4" w:rsidRPr="005506CA">
          <w:rPr>
            <w:rStyle w:val="Hyperlink"/>
            <w:i w:val="0"/>
            <w:sz w:val="20"/>
            <w:szCs w:val="20"/>
            <w:u w:val="none"/>
          </w:rPr>
          <w:t>Startup Offer and Minimum-Energy Offer Criteria</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_Toc135990648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4-53</w:t>
        </w:r>
        <w:r w:rsidR="00A82EF4" w:rsidRPr="005506CA">
          <w:rPr>
            <w:i w:val="0"/>
            <w:webHidden/>
            <w:sz w:val="20"/>
            <w:szCs w:val="20"/>
          </w:rPr>
          <w:fldChar w:fldCharType="end"/>
        </w:r>
      </w:hyperlink>
    </w:p>
    <w:p w14:paraId="1B8F0E63" w14:textId="222E5AED" w:rsidR="00A82EF4" w:rsidRPr="005506CA" w:rsidRDefault="005506CA" w:rsidP="006D5105">
      <w:pPr>
        <w:pStyle w:val="TOC5"/>
        <w:rPr>
          <w:rFonts w:eastAsiaTheme="minorEastAsia"/>
          <w:i w:val="0"/>
          <w:sz w:val="20"/>
          <w:szCs w:val="20"/>
        </w:rPr>
      </w:pPr>
      <w:hyperlink w:anchor="_Toc135990649" w:history="1">
        <w:r w:rsidR="00A82EF4" w:rsidRPr="005506CA">
          <w:rPr>
            <w:rStyle w:val="Hyperlink"/>
            <w:i w:val="0"/>
            <w:sz w:val="20"/>
            <w:szCs w:val="20"/>
            <w:u w:val="none"/>
          </w:rPr>
          <w:t>4.4.9.2.2</w:t>
        </w:r>
        <w:r w:rsidR="00A82EF4" w:rsidRPr="005506CA">
          <w:rPr>
            <w:rFonts w:eastAsiaTheme="minorEastAsia"/>
            <w:i w:val="0"/>
            <w:sz w:val="20"/>
            <w:szCs w:val="20"/>
          </w:rPr>
          <w:tab/>
        </w:r>
        <w:r w:rsidR="00A82EF4" w:rsidRPr="005506CA">
          <w:rPr>
            <w:rStyle w:val="Hyperlink"/>
            <w:i w:val="0"/>
            <w:sz w:val="20"/>
            <w:szCs w:val="20"/>
            <w:u w:val="none"/>
          </w:rPr>
          <w:t>Startup Offer and Minimum-Energy Offer Validation</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_Toc135990649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4-54</w:t>
        </w:r>
        <w:r w:rsidR="00A82EF4" w:rsidRPr="005506CA">
          <w:rPr>
            <w:i w:val="0"/>
            <w:webHidden/>
            <w:sz w:val="20"/>
            <w:szCs w:val="20"/>
          </w:rPr>
          <w:fldChar w:fldCharType="end"/>
        </w:r>
      </w:hyperlink>
    </w:p>
    <w:p w14:paraId="5A27A67C" w14:textId="690E4806" w:rsidR="00A82EF4" w:rsidRPr="005506CA" w:rsidRDefault="005506CA" w:rsidP="006D5105">
      <w:pPr>
        <w:pStyle w:val="TOC5"/>
        <w:rPr>
          <w:rFonts w:eastAsiaTheme="minorEastAsia"/>
          <w:i w:val="0"/>
          <w:sz w:val="20"/>
          <w:szCs w:val="20"/>
        </w:rPr>
      </w:pPr>
      <w:hyperlink w:anchor="_Toc135990650" w:history="1">
        <w:r w:rsidR="00A82EF4" w:rsidRPr="005506CA">
          <w:rPr>
            <w:rStyle w:val="Hyperlink"/>
            <w:i w:val="0"/>
            <w:sz w:val="20"/>
            <w:szCs w:val="20"/>
            <w:u w:val="none"/>
          </w:rPr>
          <w:t>4.4.9.2.3</w:t>
        </w:r>
        <w:r w:rsidR="00A82EF4" w:rsidRPr="005506CA">
          <w:rPr>
            <w:rFonts w:eastAsiaTheme="minorEastAsia"/>
            <w:i w:val="0"/>
            <w:sz w:val="20"/>
            <w:szCs w:val="20"/>
          </w:rPr>
          <w:tab/>
        </w:r>
        <w:r w:rsidR="00A82EF4" w:rsidRPr="005506CA">
          <w:rPr>
            <w:rStyle w:val="Hyperlink"/>
            <w:i w:val="0"/>
            <w:sz w:val="20"/>
            <w:szCs w:val="20"/>
            <w:u w:val="none"/>
          </w:rPr>
          <w:t>Startup Offer and Minimum-Energy Offer Generic Caps</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_Toc135990650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4-55</w:t>
        </w:r>
        <w:r w:rsidR="00A82EF4" w:rsidRPr="005506CA">
          <w:rPr>
            <w:i w:val="0"/>
            <w:webHidden/>
            <w:sz w:val="20"/>
            <w:szCs w:val="20"/>
          </w:rPr>
          <w:fldChar w:fldCharType="end"/>
        </w:r>
      </w:hyperlink>
    </w:p>
    <w:p w14:paraId="3E2AB791" w14:textId="742A6065" w:rsidR="00A82EF4" w:rsidRPr="005506CA" w:rsidRDefault="005506CA" w:rsidP="006D5105">
      <w:pPr>
        <w:pStyle w:val="TOC5"/>
        <w:rPr>
          <w:rFonts w:eastAsiaTheme="minorEastAsia"/>
          <w:i w:val="0"/>
          <w:sz w:val="20"/>
          <w:szCs w:val="20"/>
        </w:rPr>
      </w:pPr>
      <w:hyperlink w:anchor="_Toc135990651" w:history="1">
        <w:r w:rsidR="00A82EF4" w:rsidRPr="005506CA">
          <w:rPr>
            <w:rStyle w:val="Hyperlink"/>
            <w:i w:val="0"/>
            <w:sz w:val="20"/>
            <w:szCs w:val="20"/>
            <w:u w:val="none"/>
          </w:rPr>
          <w:t>4.4.9.2.4</w:t>
        </w:r>
        <w:r w:rsidR="00A82EF4" w:rsidRPr="005506CA">
          <w:rPr>
            <w:rFonts w:eastAsiaTheme="minorEastAsia"/>
            <w:i w:val="0"/>
            <w:sz w:val="20"/>
            <w:szCs w:val="20"/>
          </w:rPr>
          <w:tab/>
        </w:r>
        <w:r w:rsidR="00A82EF4" w:rsidRPr="005506CA">
          <w:rPr>
            <w:rStyle w:val="Hyperlink"/>
            <w:i w:val="0"/>
            <w:sz w:val="20"/>
            <w:szCs w:val="20"/>
            <w:u w:val="none"/>
          </w:rPr>
          <w:t>Verifiable Startup Offer and Minimum-Energy Offer Caps</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_Toc135990651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4-57</w:t>
        </w:r>
        <w:r w:rsidR="00A82EF4" w:rsidRPr="005506CA">
          <w:rPr>
            <w:i w:val="0"/>
            <w:webHidden/>
            <w:sz w:val="20"/>
            <w:szCs w:val="20"/>
          </w:rPr>
          <w:fldChar w:fldCharType="end"/>
        </w:r>
      </w:hyperlink>
    </w:p>
    <w:p w14:paraId="07D10B53" w14:textId="58A303E6" w:rsidR="00A82EF4" w:rsidRPr="005506CA" w:rsidRDefault="005506CA" w:rsidP="00B3531E">
      <w:pPr>
        <w:pStyle w:val="TOC4"/>
        <w:rPr>
          <w:rFonts w:eastAsiaTheme="minorEastAsia"/>
          <w:noProof/>
          <w:sz w:val="20"/>
          <w:szCs w:val="20"/>
        </w:rPr>
      </w:pPr>
      <w:hyperlink w:anchor="_Toc135990652" w:history="1">
        <w:r w:rsidR="00A82EF4" w:rsidRPr="005506CA">
          <w:rPr>
            <w:rStyle w:val="Hyperlink"/>
            <w:noProof/>
            <w:sz w:val="20"/>
            <w:szCs w:val="20"/>
            <w:u w:val="none"/>
          </w:rPr>
          <w:t>4.4.9.3</w:t>
        </w:r>
        <w:r w:rsidR="00A82EF4" w:rsidRPr="005506CA">
          <w:rPr>
            <w:rFonts w:eastAsiaTheme="minorEastAsia"/>
            <w:noProof/>
            <w:sz w:val="20"/>
            <w:szCs w:val="20"/>
          </w:rPr>
          <w:tab/>
        </w:r>
        <w:r w:rsidR="00A82EF4" w:rsidRPr="005506CA">
          <w:rPr>
            <w:rStyle w:val="Hyperlink"/>
            <w:noProof/>
            <w:sz w:val="20"/>
            <w:szCs w:val="20"/>
            <w:u w:val="none"/>
          </w:rPr>
          <w:t>Energy Offer Curve</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_Toc135990652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4-57</w:t>
        </w:r>
        <w:r w:rsidR="00A82EF4" w:rsidRPr="005506CA">
          <w:rPr>
            <w:noProof/>
            <w:webHidden/>
            <w:sz w:val="20"/>
            <w:szCs w:val="20"/>
          </w:rPr>
          <w:fldChar w:fldCharType="end"/>
        </w:r>
      </w:hyperlink>
    </w:p>
    <w:p w14:paraId="79AC13DD" w14:textId="34B73500" w:rsidR="00A82EF4" w:rsidRPr="005506CA" w:rsidRDefault="005506CA" w:rsidP="006D5105">
      <w:pPr>
        <w:pStyle w:val="TOC5"/>
        <w:rPr>
          <w:rFonts w:eastAsiaTheme="minorEastAsia"/>
          <w:i w:val="0"/>
          <w:sz w:val="20"/>
          <w:szCs w:val="20"/>
        </w:rPr>
      </w:pPr>
      <w:hyperlink w:anchor="_Toc135990653" w:history="1">
        <w:r w:rsidR="00A82EF4" w:rsidRPr="005506CA">
          <w:rPr>
            <w:rStyle w:val="Hyperlink"/>
            <w:i w:val="0"/>
            <w:sz w:val="20"/>
            <w:szCs w:val="20"/>
            <w:u w:val="none"/>
          </w:rPr>
          <w:t>4.4.9.3.1</w:t>
        </w:r>
        <w:r w:rsidR="00A82EF4" w:rsidRPr="005506CA">
          <w:rPr>
            <w:rFonts w:eastAsiaTheme="minorEastAsia"/>
            <w:i w:val="0"/>
            <w:sz w:val="20"/>
            <w:szCs w:val="20"/>
          </w:rPr>
          <w:tab/>
        </w:r>
        <w:r w:rsidR="00A82EF4" w:rsidRPr="005506CA">
          <w:rPr>
            <w:rStyle w:val="Hyperlink"/>
            <w:i w:val="0"/>
            <w:sz w:val="20"/>
            <w:szCs w:val="20"/>
            <w:u w:val="none"/>
          </w:rPr>
          <w:t>Energy Offer Curve Criteria</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_Toc135990653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4-59</w:t>
        </w:r>
        <w:r w:rsidR="00A82EF4" w:rsidRPr="005506CA">
          <w:rPr>
            <w:i w:val="0"/>
            <w:webHidden/>
            <w:sz w:val="20"/>
            <w:szCs w:val="20"/>
          </w:rPr>
          <w:fldChar w:fldCharType="end"/>
        </w:r>
      </w:hyperlink>
    </w:p>
    <w:p w14:paraId="598305A3" w14:textId="1687346B" w:rsidR="00A82EF4" w:rsidRPr="005506CA" w:rsidRDefault="005506CA" w:rsidP="006D5105">
      <w:pPr>
        <w:pStyle w:val="TOC5"/>
        <w:rPr>
          <w:rFonts w:eastAsiaTheme="minorEastAsia"/>
          <w:i w:val="0"/>
          <w:sz w:val="20"/>
          <w:szCs w:val="20"/>
        </w:rPr>
      </w:pPr>
      <w:hyperlink w:anchor="_Toc135990654" w:history="1">
        <w:r w:rsidR="00A82EF4" w:rsidRPr="005506CA">
          <w:rPr>
            <w:rStyle w:val="Hyperlink"/>
            <w:i w:val="0"/>
            <w:sz w:val="20"/>
            <w:szCs w:val="20"/>
            <w:u w:val="none"/>
          </w:rPr>
          <w:t>4.4.9.3.2</w:t>
        </w:r>
        <w:r w:rsidR="00A82EF4" w:rsidRPr="005506CA">
          <w:rPr>
            <w:rFonts w:eastAsiaTheme="minorEastAsia"/>
            <w:i w:val="0"/>
            <w:sz w:val="20"/>
            <w:szCs w:val="20"/>
          </w:rPr>
          <w:tab/>
        </w:r>
        <w:r w:rsidR="00A82EF4" w:rsidRPr="005506CA">
          <w:rPr>
            <w:rStyle w:val="Hyperlink"/>
            <w:i w:val="0"/>
            <w:sz w:val="20"/>
            <w:szCs w:val="20"/>
            <w:u w:val="none"/>
          </w:rPr>
          <w:t>Energy Offer Curve Validation</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_Toc135990654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4-60</w:t>
        </w:r>
        <w:r w:rsidR="00A82EF4" w:rsidRPr="005506CA">
          <w:rPr>
            <w:i w:val="0"/>
            <w:webHidden/>
            <w:sz w:val="20"/>
            <w:szCs w:val="20"/>
          </w:rPr>
          <w:fldChar w:fldCharType="end"/>
        </w:r>
      </w:hyperlink>
    </w:p>
    <w:p w14:paraId="127C1DE7" w14:textId="65E56A47" w:rsidR="00A82EF4" w:rsidRPr="005506CA" w:rsidRDefault="005506CA" w:rsidP="006D5105">
      <w:pPr>
        <w:pStyle w:val="TOC5"/>
        <w:rPr>
          <w:rFonts w:eastAsiaTheme="minorEastAsia"/>
          <w:i w:val="0"/>
          <w:sz w:val="20"/>
          <w:szCs w:val="20"/>
        </w:rPr>
      </w:pPr>
      <w:hyperlink w:anchor="_Toc135990655" w:history="1">
        <w:r w:rsidR="00A82EF4" w:rsidRPr="005506CA">
          <w:rPr>
            <w:rStyle w:val="Hyperlink"/>
            <w:i w:val="0"/>
            <w:sz w:val="20"/>
            <w:szCs w:val="20"/>
            <w:u w:val="none"/>
          </w:rPr>
          <w:t>4.4.9.3.3</w:t>
        </w:r>
        <w:r w:rsidR="00A82EF4" w:rsidRPr="005506CA">
          <w:rPr>
            <w:rFonts w:eastAsiaTheme="minorEastAsia"/>
            <w:i w:val="0"/>
            <w:sz w:val="20"/>
            <w:szCs w:val="20"/>
          </w:rPr>
          <w:tab/>
        </w:r>
        <w:r w:rsidR="00A82EF4" w:rsidRPr="005506CA">
          <w:rPr>
            <w:rStyle w:val="Hyperlink"/>
            <w:i w:val="0"/>
            <w:sz w:val="20"/>
            <w:szCs w:val="20"/>
            <w:u w:val="none"/>
          </w:rPr>
          <w:t>Energy Offer Curve Cost Caps</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_Toc135990655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4-60</w:t>
        </w:r>
        <w:r w:rsidR="00A82EF4" w:rsidRPr="005506CA">
          <w:rPr>
            <w:i w:val="0"/>
            <w:webHidden/>
            <w:sz w:val="20"/>
            <w:szCs w:val="20"/>
          </w:rPr>
          <w:fldChar w:fldCharType="end"/>
        </w:r>
      </w:hyperlink>
    </w:p>
    <w:p w14:paraId="3E93D8AC" w14:textId="62A4758F" w:rsidR="00A82EF4" w:rsidRPr="005506CA" w:rsidRDefault="005506CA" w:rsidP="00B3531E">
      <w:pPr>
        <w:pStyle w:val="TOC4"/>
        <w:rPr>
          <w:rFonts w:eastAsiaTheme="minorEastAsia"/>
          <w:noProof/>
          <w:sz w:val="20"/>
          <w:szCs w:val="20"/>
        </w:rPr>
      </w:pPr>
      <w:hyperlink w:anchor="_Toc135990656" w:history="1">
        <w:r w:rsidR="00A82EF4" w:rsidRPr="005506CA">
          <w:rPr>
            <w:rStyle w:val="Hyperlink"/>
            <w:noProof/>
            <w:sz w:val="20"/>
            <w:szCs w:val="20"/>
            <w:u w:val="none"/>
          </w:rPr>
          <w:t>4.4.9.4</w:t>
        </w:r>
        <w:r w:rsidR="00A82EF4" w:rsidRPr="005506CA">
          <w:rPr>
            <w:rFonts w:eastAsiaTheme="minorEastAsia"/>
            <w:noProof/>
            <w:sz w:val="20"/>
            <w:szCs w:val="20"/>
          </w:rPr>
          <w:tab/>
        </w:r>
        <w:r w:rsidR="00A82EF4" w:rsidRPr="005506CA">
          <w:rPr>
            <w:rStyle w:val="Hyperlink"/>
            <w:noProof/>
            <w:sz w:val="20"/>
            <w:szCs w:val="20"/>
            <w:u w:val="none"/>
          </w:rPr>
          <w:t>Mitigated Offer Cap and Mitigated Offer Floor</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_Toc135990656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4-62</w:t>
        </w:r>
        <w:r w:rsidR="00A82EF4" w:rsidRPr="005506CA">
          <w:rPr>
            <w:noProof/>
            <w:webHidden/>
            <w:sz w:val="20"/>
            <w:szCs w:val="20"/>
          </w:rPr>
          <w:fldChar w:fldCharType="end"/>
        </w:r>
      </w:hyperlink>
    </w:p>
    <w:p w14:paraId="48EC0956" w14:textId="6B940B15" w:rsidR="00A82EF4" w:rsidRPr="005506CA" w:rsidRDefault="005506CA" w:rsidP="006D5105">
      <w:pPr>
        <w:pStyle w:val="TOC5"/>
        <w:rPr>
          <w:rFonts w:eastAsiaTheme="minorEastAsia"/>
          <w:i w:val="0"/>
          <w:sz w:val="20"/>
          <w:szCs w:val="20"/>
        </w:rPr>
      </w:pPr>
      <w:hyperlink w:anchor="_Toc135990657" w:history="1">
        <w:r w:rsidR="00A82EF4" w:rsidRPr="005506CA">
          <w:rPr>
            <w:rStyle w:val="Hyperlink"/>
            <w:i w:val="0"/>
            <w:sz w:val="20"/>
            <w:szCs w:val="20"/>
            <w:u w:val="none"/>
          </w:rPr>
          <w:t>4.4.9.4.1</w:t>
        </w:r>
        <w:r w:rsidR="00A82EF4" w:rsidRPr="005506CA">
          <w:rPr>
            <w:rFonts w:eastAsiaTheme="minorEastAsia"/>
            <w:i w:val="0"/>
            <w:sz w:val="20"/>
            <w:szCs w:val="20"/>
          </w:rPr>
          <w:tab/>
        </w:r>
        <w:r w:rsidR="00A82EF4" w:rsidRPr="005506CA">
          <w:rPr>
            <w:rStyle w:val="Hyperlink"/>
            <w:i w:val="0"/>
            <w:sz w:val="20"/>
            <w:szCs w:val="20"/>
            <w:u w:val="none"/>
          </w:rPr>
          <w:t>Mitigated Offer Cap</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_Toc135990657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4-62</w:t>
        </w:r>
        <w:r w:rsidR="00A82EF4" w:rsidRPr="005506CA">
          <w:rPr>
            <w:i w:val="0"/>
            <w:webHidden/>
            <w:sz w:val="20"/>
            <w:szCs w:val="20"/>
          </w:rPr>
          <w:fldChar w:fldCharType="end"/>
        </w:r>
      </w:hyperlink>
    </w:p>
    <w:p w14:paraId="222F13B1" w14:textId="1B8DB230" w:rsidR="00A82EF4" w:rsidRPr="005506CA" w:rsidRDefault="005506CA" w:rsidP="006D5105">
      <w:pPr>
        <w:pStyle w:val="TOC5"/>
        <w:rPr>
          <w:rFonts w:eastAsiaTheme="minorEastAsia"/>
          <w:i w:val="0"/>
          <w:sz w:val="20"/>
          <w:szCs w:val="20"/>
        </w:rPr>
      </w:pPr>
      <w:hyperlink w:anchor="_Toc135990658" w:history="1">
        <w:r w:rsidR="00A82EF4" w:rsidRPr="005506CA">
          <w:rPr>
            <w:rStyle w:val="Hyperlink"/>
            <w:i w:val="0"/>
            <w:sz w:val="20"/>
            <w:szCs w:val="20"/>
            <w:u w:val="none"/>
          </w:rPr>
          <w:t>4.4.9.4.2</w:t>
        </w:r>
        <w:r w:rsidR="00A82EF4" w:rsidRPr="005506CA">
          <w:rPr>
            <w:rFonts w:eastAsiaTheme="minorEastAsia"/>
            <w:i w:val="0"/>
            <w:sz w:val="20"/>
            <w:szCs w:val="20"/>
          </w:rPr>
          <w:tab/>
        </w:r>
        <w:r w:rsidR="00A82EF4" w:rsidRPr="005506CA">
          <w:rPr>
            <w:rStyle w:val="Hyperlink"/>
            <w:i w:val="0"/>
            <w:sz w:val="20"/>
            <w:szCs w:val="20"/>
            <w:u w:val="none"/>
          </w:rPr>
          <w:t>Mitigated Offer Floor</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_Toc135990658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4-70</w:t>
        </w:r>
        <w:r w:rsidR="00A82EF4" w:rsidRPr="005506CA">
          <w:rPr>
            <w:i w:val="0"/>
            <w:webHidden/>
            <w:sz w:val="20"/>
            <w:szCs w:val="20"/>
          </w:rPr>
          <w:fldChar w:fldCharType="end"/>
        </w:r>
      </w:hyperlink>
    </w:p>
    <w:p w14:paraId="031332EA" w14:textId="4F06D590" w:rsidR="00A82EF4" w:rsidRPr="005506CA" w:rsidRDefault="005506CA" w:rsidP="006D5105">
      <w:pPr>
        <w:pStyle w:val="TOC5"/>
        <w:rPr>
          <w:rFonts w:eastAsiaTheme="minorEastAsia"/>
          <w:i w:val="0"/>
          <w:sz w:val="20"/>
          <w:szCs w:val="20"/>
        </w:rPr>
      </w:pPr>
      <w:hyperlink w:anchor="_Toc135990659" w:history="1">
        <w:r w:rsidR="00A82EF4" w:rsidRPr="005506CA">
          <w:rPr>
            <w:rStyle w:val="Hyperlink"/>
            <w:i w:val="0"/>
            <w:sz w:val="20"/>
            <w:szCs w:val="20"/>
            <w:u w:val="none"/>
          </w:rPr>
          <w:t>4.4.9.4.3</w:t>
        </w:r>
        <w:r w:rsidR="00A82EF4" w:rsidRPr="005506CA">
          <w:rPr>
            <w:rFonts w:eastAsiaTheme="minorEastAsia"/>
            <w:i w:val="0"/>
            <w:sz w:val="20"/>
            <w:szCs w:val="20"/>
          </w:rPr>
          <w:tab/>
        </w:r>
        <w:r w:rsidR="00A82EF4" w:rsidRPr="005506CA">
          <w:rPr>
            <w:rStyle w:val="Hyperlink"/>
            <w:i w:val="0"/>
            <w:sz w:val="20"/>
            <w:szCs w:val="20"/>
            <w:u w:val="none"/>
          </w:rPr>
          <w:t>Mitigated Offer Cap for RMR Resources</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_Toc135990659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4-71</w:t>
        </w:r>
        <w:r w:rsidR="00A82EF4" w:rsidRPr="005506CA">
          <w:rPr>
            <w:i w:val="0"/>
            <w:webHidden/>
            <w:sz w:val="20"/>
            <w:szCs w:val="20"/>
          </w:rPr>
          <w:fldChar w:fldCharType="end"/>
        </w:r>
      </w:hyperlink>
    </w:p>
    <w:p w14:paraId="1294E4AC" w14:textId="4B557EA0" w:rsidR="00A82EF4" w:rsidRPr="005506CA" w:rsidRDefault="005506CA" w:rsidP="00B3531E">
      <w:pPr>
        <w:pStyle w:val="TOC4"/>
        <w:rPr>
          <w:rFonts w:eastAsiaTheme="minorEastAsia"/>
          <w:noProof/>
          <w:sz w:val="20"/>
          <w:szCs w:val="20"/>
        </w:rPr>
      </w:pPr>
      <w:hyperlink w:anchor="_Toc135990660" w:history="1">
        <w:r w:rsidR="00A82EF4" w:rsidRPr="005506CA">
          <w:rPr>
            <w:rStyle w:val="Hyperlink"/>
            <w:noProof/>
            <w:sz w:val="20"/>
            <w:szCs w:val="20"/>
            <w:u w:val="none"/>
          </w:rPr>
          <w:t>4.4.9.5</w:t>
        </w:r>
        <w:r w:rsidR="00A82EF4" w:rsidRPr="005506CA">
          <w:rPr>
            <w:rFonts w:eastAsiaTheme="minorEastAsia"/>
            <w:noProof/>
            <w:sz w:val="20"/>
            <w:szCs w:val="20"/>
          </w:rPr>
          <w:tab/>
        </w:r>
        <w:r w:rsidR="00A82EF4" w:rsidRPr="005506CA">
          <w:rPr>
            <w:rStyle w:val="Hyperlink"/>
            <w:noProof/>
            <w:sz w:val="20"/>
            <w:szCs w:val="20"/>
            <w:u w:val="none"/>
          </w:rPr>
          <w:t>DAM Energy-Only Offer Curves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_Toc135990660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4-72</w:t>
        </w:r>
        <w:r w:rsidR="00A82EF4" w:rsidRPr="005506CA">
          <w:rPr>
            <w:noProof/>
            <w:webHidden/>
            <w:sz w:val="20"/>
            <w:szCs w:val="20"/>
          </w:rPr>
          <w:fldChar w:fldCharType="end"/>
        </w:r>
      </w:hyperlink>
    </w:p>
    <w:p w14:paraId="75154DA9" w14:textId="055FF49E" w:rsidR="00A82EF4" w:rsidRPr="005506CA" w:rsidRDefault="005506CA" w:rsidP="006D5105">
      <w:pPr>
        <w:pStyle w:val="TOC5"/>
        <w:rPr>
          <w:rFonts w:eastAsiaTheme="minorEastAsia"/>
          <w:i w:val="0"/>
          <w:sz w:val="20"/>
          <w:szCs w:val="20"/>
        </w:rPr>
      </w:pPr>
      <w:hyperlink w:anchor="_Toc135990661" w:history="1">
        <w:r w:rsidR="00A82EF4" w:rsidRPr="005506CA">
          <w:rPr>
            <w:rStyle w:val="Hyperlink"/>
            <w:i w:val="0"/>
            <w:sz w:val="20"/>
            <w:szCs w:val="20"/>
            <w:u w:val="none"/>
          </w:rPr>
          <w:t>4.4.9.5.1</w:t>
        </w:r>
        <w:r w:rsidR="00A82EF4" w:rsidRPr="005506CA">
          <w:rPr>
            <w:rFonts w:eastAsiaTheme="minorEastAsia"/>
            <w:i w:val="0"/>
            <w:sz w:val="20"/>
            <w:szCs w:val="20"/>
          </w:rPr>
          <w:tab/>
        </w:r>
        <w:r w:rsidR="00A82EF4" w:rsidRPr="005506CA">
          <w:rPr>
            <w:rStyle w:val="Hyperlink"/>
            <w:i w:val="0"/>
            <w:sz w:val="20"/>
            <w:szCs w:val="20"/>
            <w:u w:val="none"/>
          </w:rPr>
          <w:t>DAM Energy-Only Offer Curve Criteria</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_Toc135990661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4-72</w:t>
        </w:r>
        <w:r w:rsidR="00A82EF4" w:rsidRPr="005506CA">
          <w:rPr>
            <w:i w:val="0"/>
            <w:webHidden/>
            <w:sz w:val="20"/>
            <w:szCs w:val="20"/>
          </w:rPr>
          <w:fldChar w:fldCharType="end"/>
        </w:r>
      </w:hyperlink>
    </w:p>
    <w:p w14:paraId="4D513F8F" w14:textId="20B4540D" w:rsidR="00A82EF4" w:rsidRPr="005506CA" w:rsidRDefault="005506CA" w:rsidP="006D5105">
      <w:pPr>
        <w:pStyle w:val="TOC5"/>
        <w:rPr>
          <w:rFonts w:eastAsiaTheme="minorEastAsia"/>
          <w:i w:val="0"/>
          <w:sz w:val="20"/>
          <w:szCs w:val="20"/>
        </w:rPr>
      </w:pPr>
      <w:hyperlink w:anchor="_Toc135990662" w:history="1">
        <w:r w:rsidR="00A82EF4" w:rsidRPr="005506CA">
          <w:rPr>
            <w:rStyle w:val="Hyperlink"/>
            <w:i w:val="0"/>
            <w:sz w:val="20"/>
            <w:szCs w:val="20"/>
            <w:u w:val="none"/>
          </w:rPr>
          <w:t>4.4.9.5.2</w:t>
        </w:r>
        <w:r w:rsidR="00A82EF4" w:rsidRPr="005506CA">
          <w:rPr>
            <w:rFonts w:eastAsiaTheme="minorEastAsia"/>
            <w:i w:val="0"/>
            <w:sz w:val="20"/>
            <w:szCs w:val="20"/>
          </w:rPr>
          <w:tab/>
        </w:r>
        <w:r w:rsidR="00A82EF4" w:rsidRPr="005506CA">
          <w:rPr>
            <w:rStyle w:val="Hyperlink"/>
            <w:i w:val="0"/>
            <w:sz w:val="20"/>
            <w:szCs w:val="20"/>
            <w:u w:val="none"/>
          </w:rPr>
          <w:t>DAM Energy-Only Offer Validation</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_Toc135990662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4-73</w:t>
        </w:r>
        <w:r w:rsidR="00A82EF4" w:rsidRPr="005506CA">
          <w:rPr>
            <w:i w:val="0"/>
            <w:webHidden/>
            <w:sz w:val="20"/>
            <w:szCs w:val="20"/>
          </w:rPr>
          <w:fldChar w:fldCharType="end"/>
        </w:r>
      </w:hyperlink>
    </w:p>
    <w:p w14:paraId="410031D5" w14:textId="4FAA8B26" w:rsidR="00A82EF4" w:rsidRPr="005506CA" w:rsidRDefault="005506CA" w:rsidP="00B3531E">
      <w:pPr>
        <w:pStyle w:val="TOC4"/>
        <w:rPr>
          <w:rFonts w:eastAsiaTheme="minorEastAsia"/>
          <w:noProof/>
          <w:sz w:val="20"/>
          <w:szCs w:val="20"/>
        </w:rPr>
      </w:pPr>
      <w:hyperlink w:anchor="_Toc135990663" w:history="1">
        <w:r w:rsidR="00A82EF4" w:rsidRPr="005506CA">
          <w:rPr>
            <w:rStyle w:val="Hyperlink"/>
            <w:noProof/>
            <w:sz w:val="20"/>
            <w:szCs w:val="20"/>
            <w:u w:val="none"/>
          </w:rPr>
          <w:t>4.4.9.6</w:t>
        </w:r>
        <w:r w:rsidR="00A82EF4" w:rsidRPr="005506CA">
          <w:rPr>
            <w:rFonts w:eastAsiaTheme="minorEastAsia"/>
            <w:noProof/>
            <w:sz w:val="20"/>
            <w:szCs w:val="20"/>
          </w:rPr>
          <w:tab/>
        </w:r>
        <w:r w:rsidR="00A82EF4" w:rsidRPr="005506CA">
          <w:rPr>
            <w:rStyle w:val="Hyperlink"/>
            <w:noProof/>
            <w:sz w:val="20"/>
            <w:szCs w:val="20"/>
            <w:u w:val="none"/>
          </w:rPr>
          <w:t>DAM Energy Bids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_Toc135990663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4-73</w:t>
        </w:r>
        <w:r w:rsidR="00A82EF4" w:rsidRPr="005506CA">
          <w:rPr>
            <w:noProof/>
            <w:webHidden/>
            <w:sz w:val="20"/>
            <w:szCs w:val="20"/>
          </w:rPr>
          <w:fldChar w:fldCharType="end"/>
        </w:r>
      </w:hyperlink>
    </w:p>
    <w:p w14:paraId="3F848CE6" w14:textId="0CBF0D87" w:rsidR="00A82EF4" w:rsidRPr="005506CA" w:rsidRDefault="005506CA" w:rsidP="006D5105">
      <w:pPr>
        <w:pStyle w:val="TOC5"/>
        <w:rPr>
          <w:rFonts w:eastAsiaTheme="minorEastAsia"/>
          <w:i w:val="0"/>
          <w:sz w:val="20"/>
          <w:szCs w:val="20"/>
        </w:rPr>
      </w:pPr>
      <w:hyperlink w:anchor="_Toc135990664" w:history="1">
        <w:r w:rsidR="00A82EF4" w:rsidRPr="005506CA">
          <w:rPr>
            <w:rStyle w:val="Hyperlink"/>
            <w:i w:val="0"/>
            <w:sz w:val="20"/>
            <w:szCs w:val="20"/>
            <w:u w:val="none"/>
          </w:rPr>
          <w:t>4.4.9.6.1</w:t>
        </w:r>
        <w:r w:rsidR="00A82EF4" w:rsidRPr="005506CA">
          <w:rPr>
            <w:rFonts w:eastAsiaTheme="minorEastAsia"/>
            <w:i w:val="0"/>
            <w:sz w:val="20"/>
            <w:szCs w:val="20"/>
          </w:rPr>
          <w:tab/>
        </w:r>
        <w:r w:rsidR="00A82EF4" w:rsidRPr="005506CA">
          <w:rPr>
            <w:rStyle w:val="Hyperlink"/>
            <w:i w:val="0"/>
            <w:sz w:val="20"/>
            <w:szCs w:val="20"/>
            <w:u w:val="none"/>
          </w:rPr>
          <w:t>DAM Energy Bid Criteria</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_Toc135990664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4-74</w:t>
        </w:r>
        <w:r w:rsidR="00A82EF4" w:rsidRPr="005506CA">
          <w:rPr>
            <w:i w:val="0"/>
            <w:webHidden/>
            <w:sz w:val="20"/>
            <w:szCs w:val="20"/>
          </w:rPr>
          <w:fldChar w:fldCharType="end"/>
        </w:r>
      </w:hyperlink>
    </w:p>
    <w:p w14:paraId="5B1E2932" w14:textId="6FAC3B05" w:rsidR="00A82EF4" w:rsidRPr="005506CA" w:rsidRDefault="005506CA" w:rsidP="006D5105">
      <w:pPr>
        <w:pStyle w:val="TOC5"/>
        <w:rPr>
          <w:rFonts w:eastAsiaTheme="minorEastAsia"/>
          <w:i w:val="0"/>
          <w:sz w:val="20"/>
          <w:szCs w:val="20"/>
        </w:rPr>
      </w:pPr>
      <w:hyperlink w:anchor="_Toc135990665" w:history="1">
        <w:r w:rsidR="00A82EF4" w:rsidRPr="005506CA">
          <w:rPr>
            <w:rStyle w:val="Hyperlink"/>
            <w:i w:val="0"/>
            <w:sz w:val="20"/>
            <w:szCs w:val="20"/>
            <w:u w:val="none"/>
          </w:rPr>
          <w:t>4.4.9.6.2</w:t>
        </w:r>
        <w:r w:rsidR="00A82EF4" w:rsidRPr="005506CA">
          <w:rPr>
            <w:rFonts w:eastAsiaTheme="minorEastAsia"/>
            <w:i w:val="0"/>
            <w:sz w:val="20"/>
            <w:szCs w:val="20"/>
          </w:rPr>
          <w:tab/>
        </w:r>
        <w:r w:rsidR="00A82EF4" w:rsidRPr="005506CA">
          <w:rPr>
            <w:rStyle w:val="Hyperlink"/>
            <w:i w:val="0"/>
            <w:sz w:val="20"/>
            <w:szCs w:val="20"/>
            <w:u w:val="none"/>
          </w:rPr>
          <w:t>DAM Energy Bid Validation</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_Toc135990665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4-74</w:t>
        </w:r>
        <w:r w:rsidR="00A82EF4" w:rsidRPr="005506CA">
          <w:rPr>
            <w:i w:val="0"/>
            <w:webHidden/>
            <w:sz w:val="20"/>
            <w:szCs w:val="20"/>
          </w:rPr>
          <w:fldChar w:fldCharType="end"/>
        </w:r>
      </w:hyperlink>
    </w:p>
    <w:p w14:paraId="2F1F549B" w14:textId="2C6B0AA0" w:rsidR="00A82EF4" w:rsidRPr="005506CA" w:rsidRDefault="005506CA" w:rsidP="00B3531E">
      <w:pPr>
        <w:pStyle w:val="TOC4"/>
        <w:rPr>
          <w:rFonts w:eastAsiaTheme="minorEastAsia"/>
          <w:noProof/>
          <w:sz w:val="20"/>
          <w:szCs w:val="20"/>
        </w:rPr>
      </w:pPr>
      <w:hyperlink w:anchor="_Toc135990666" w:history="1">
        <w:r w:rsidR="00A82EF4" w:rsidRPr="005506CA">
          <w:rPr>
            <w:rStyle w:val="Hyperlink"/>
            <w:noProof/>
            <w:snapToGrid w:val="0"/>
            <w:sz w:val="20"/>
            <w:szCs w:val="20"/>
            <w:u w:val="none"/>
          </w:rPr>
          <w:t>4.4.9.7</w:t>
        </w:r>
        <w:r w:rsidR="00A82EF4" w:rsidRPr="005506CA">
          <w:rPr>
            <w:rFonts w:eastAsiaTheme="minorEastAsia"/>
            <w:noProof/>
            <w:sz w:val="20"/>
            <w:szCs w:val="20"/>
          </w:rPr>
          <w:tab/>
        </w:r>
        <w:r w:rsidR="00A82EF4" w:rsidRPr="005506CA">
          <w:rPr>
            <w:rStyle w:val="Hyperlink"/>
            <w:noProof/>
            <w:snapToGrid w:val="0"/>
            <w:sz w:val="20"/>
            <w:szCs w:val="20"/>
            <w:u w:val="none"/>
          </w:rPr>
          <w:t>Energy Bid/Offer Curve</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_Toc135990666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4-75</w:t>
        </w:r>
        <w:r w:rsidR="00A82EF4" w:rsidRPr="005506CA">
          <w:rPr>
            <w:noProof/>
            <w:webHidden/>
            <w:sz w:val="20"/>
            <w:szCs w:val="20"/>
          </w:rPr>
          <w:fldChar w:fldCharType="end"/>
        </w:r>
      </w:hyperlink>
    </w:p>
    <w:p w14:paraId="5FFD984C" w14:textId="28DBB46E" w:rsidR="00A82EF4" w:rsidRPr="005506CA" w:rsidRDefault="005506CA" w:rsidP="006D5105">
      <w:pPr>
        <w:pStyle w:val="TOC5"/>
        <w:rPr>
          <w:rFonts w:eastAsiaTheme="minorEastAsia"/>
          <w:i w:val="0"/>
          <w:sz w:val="20"/>
          <w:szCs w:val="20"/>
        </w:rPr>
      </w:pPr>
      <w:hyperlink w:anchor="_Toc135990667" w:history="1">
        <w:r w:rsidR="00A82EF4" w:rsidRPr="005506CA">
          <w:rPr>
            <w:rStyle w:val="Hyperlink"/>
            <w:i w:val="0"/>
            <w:sz w:val="20"/>
            <w:szCs w:val="20"/>
            <w:u w:val="none"/>
          </w:rPr>
          <w:t>4.4.9.7.1</w:t>
        </w:r>
        <w:r w:rsidR="00A82EF4" w:rsidRPr="005506CA">
          <w:rPr>
            <w:rFonts w:eastAsiaTheme="minorEastAsia"/>
            <w:i w:val="0"/>
            <w:sz w:val="20"/>
            <w:szCs w:val="20"/>
          </w:rPr>
          <w:tab/>
        </w:r>
        <w:r w:rsidR="00A82EF4" w:rsidRPr="005506CA">
          <w:rPr>
            <w:rStyle w:val="Hyperlink"/>
            <w:i w:val="0"/>
            <w:sz w:val="20"/>
            <w:szCs w:val="20"/>
            <w:u w:val="none"/>
          </w:rPr>
          <w:t>Energy Bid/Offer Curve Criteria</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_Toc135990667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4-76</w:t>
        </w:r>
        <w:r w:rsidR="00A82EF4" w:rsidRPr="005506CA">
          <w:rPr>
            <w:i w:val="0"/>
            <w:webHidden/>
            <w:sz w:val="20"/>
            <w:szCs w:val="20"/>
          </w:rPr>
          <w:fldChar w:fldCharType="end"/>
        </w:r>
      </w:hyperlink>
    </w:p>
    <w:p w14:paraId="1EC87B38" w14:textId="4B2ACBDE" w:rsidR="00A82EF4" w:rsidRPr="005506CA" w:rsidRDefault="005506CA" w:rsidP="006D5105">
      <w:pPr>
        <w:pStyle w:val="TOC5"/>
        <w:rPr>
          <w:rFonts w:eastAsiaTheme="minorEastAsia"/>
          <w:i w:val="0"/>
          <w:sz w:val="20"/>
          <w:szCs w:val="20"/>
        </w:rPr>
      </w:pPr>
      <w:hyperlink w:anchor="_Toc135990668" w:history="1">
        <w:r w:rsidR="00A82EF4" w:rsidRPr="005506CA">
          <w:rPr>
            <w:rStyle w:val="Hyperlink"/>
            <w:i w:val="0"/>
            <w:sz w:val="20"/>
            <w:szCs w:val="20"/>
            <w:u w:val="none"/>
          </w:rPr>
          <w:t>4.4.9.7.2</w:t>
        </w:r>
        <w:r w:rsidR="00A82EF4" w:rsidRPr="005506CA">
          <w:rPr>
            <w:rFonts w:eastAsiaTheme="minorEastAsia"/>
            <w:i w:val="0"/>
            <w:sz w:val="20"/>
            <w:szCs w:val="20"/>
          </w:rPr>
          <w:tab/>
        </w:r>
        <w:r w:rsidR="00A82EF4" w:rsidRPr="005506CA">
          <w:rPr>
            <w:rStyle w:val="Hyperlink"/>
            <w:i w:val="0"/>
            <w:sz w:val="20"/>
            <w:szCs w:val="20"/>
            <w:u w:val="none"/>
          </w:rPr>
          <w:t>Energy Bid/Offer Curve Validation</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_Toc135990668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4-77</w:t>
        </w:r>
        <w:r w:rsidR="00A82EF4" w:rsidRPr="005506CA">
          <w:rPr>
            <w:i w:val="0"/>
            <w:webHidden/>
            <w:sz w:val="20"/>
            <w:szCs w:val="20"/>
          </w:rPr>
          <w:fldChar w:fldCharType="end"/>
        </w:r>
      </w:hyperlink>
    </w:p>
    <w:p w14:paraId="0C2BE47F" w14:textId="3CE6459B" w:rsidR="00A82EF4" w:rsidRPr="005506CA" w:rsidRDefault="005506CA">
      <w:pPr>
        <w:pStyle w:val="TOC3"/>
        <w:rPr>
          <w:rFonts w:eastAsiaTheme="minorEastAsia"/>
          <w:i w:val="0"/>
          <w:iCs w:val="0"/>
          <w:noProof/>
        </w:rPr>
      </w:pPr>
      <w:hyperlink w:anchor="_Toc135990669" w:history="1">
        <w:r w:rsidR="00A82EF4" w:rsidRPr="005506CA">
          <w:rPr>
            <w:rStyle w:val="Hyperlink"/>
            <w:i w:val="0"/>
            <w:iCs w:val="0"/>
            <w:noProof/>
            <w:u w:val="none"/>
          </w:rPr>
          <w:t>4.4.10</w:t>
        </w:r>
        <w:r w:rsidR="00A82EF4" w:rsidRPr="005506CA">
          <w:rPr>
            <w:rFonts w:eastAsiaTheme="minorEastAsia"/>
            <w:i w:val="0"/>
            <w:iCs w:val="0"/>
            <w:noProof/>
          </w:rPr>
          <w:tab/>
        </w:r>
        <w:r w:rsidR="00A82EF4" w:rsidRPr="005506CA">
          <w:rPr>
            <w:rStyle w:val="Hyperlink"/>
            <w:i w:val="0"/>
            <w:iCs w:val="0"/>
            <w:noProof/>
            <w:u w:val="none"/>
          </w:rPr>
          <w:t>Credit Requirement for DAM Bids and Offers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_Toc135990669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4-77</w:t>
        </w:r>
        <w:r w:rsidR="00A82EF4" w:rsidRPr="005506CA">
          <w:rPr>
            <w:i w:val="0"/>
            <w:iCs w:val="0"/>
            <w:noProof/>
            <w:webHidden/>
          </w:rPr>
          <w:fldChar w:fldCharType="end"/>
        </w:r>
      </w:hyperlink>
    </w:p>
    <w:p w14:paraId="0AE984C0" w14:textId="508ED446" w:rsidR="00A82EF4" w:rsidRPr="005506CA" w:rsidRDefault="005506CA">
      <w:pPr>
        <w:pStyle w:val="TOC3"/>
        <w:rPr>
          <w:rFonts w:eastAsiaTheme="minorEastAsia"/>
          <w:i w:val="0"/>
          <w:iCs w:val="0"/>
          <w:noProof/>
        </w:rPr>
      </w:pPr>
      <w:hyperlink w:anchor="_Toc135990670" w:history="1">
        <w:r w:rsidR="00A82EF4" w:rsidRPr="005506CA">
          <w:rPr>
            <w:rStyle w:val="Hyperlink"/>
            <w:i w:val="0"/>
            <w:iCs w:val="0"/>
            <w:noProof/>
            <w:u w:val="none"/>
          </w:rPr>
          <w:t>4.4.11</w:t>
        </w:r>
        <w:r w:rsidR="00A82EF4" w:rsidRPr="005506CA">
          <w:rPr>
            <w:rFonts w:eastAsiaTheme="minorEastAsia"/>
            <w:i w:val="0"/>
            <w:iCs w:val="0"/>
            <w:noProof/>
          </w:rPr>
          <w:tab/>
        </w:r>
        <w:r w:rsidR="00A82EF4" w:rsidRPr="005506CA">
          <w:rPr>
            <w:rStyle w:val="Hyperlink"/>
            <w:i w:val="0"/>
            <w:iCs w:val="0"/>
            <w:noProof/>
            <w:u w:val="none"/>
          </w:rPr>
          <w:t>System-Wide Offer Caps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_Toc135990670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4-87</w:t>
        </w:r>
        <w:r w:rsidR="00A82EF4" w:rsidRPr="005506CA">
          <w:rPr>
            <w:i w:val="0"/>
            <w:iCs w:val="0"/>
            <w:noProof/>
            <w:webHidden/>
          </w:rPr>
          <w:fldChar w:fldCharType="end"/>
        </w:r>
      </w:hyperlink>
    </w:p>
    <w:p w14:paraId="177E3E00" w14:textId="7E557C21" w:rsidR="00A82EF4" w:rsidRPr="005506CA" w:rsidRDefault="005506CA" w:rsidP="00B3531E">
      <w:pPr>
        <w:pStyle w:val="TOC4"/>
        <w:rPr>
          <w:rFonts w:eastAsiaTheme="minorEastAsia"/>
          <w:noProof/>
          <w:sz w:val="20"/>
          <w:szCs w:val="20"/>
        </w:rPr>
      </w:pPr>
      <w:hyperlink w:anchor="_Toc135990672" w:history="1">
        <w:r w:rsidR="00A82EF4" w:rsidRPr="005506CA">
          <w:rPr>
            <w:rStyle w:val="Hyperlink"/>
            <w:noProof/>
            <w:sz w:val="20"/>
            <w:szCs w:val="20"/>
            <w:u w:val="none"/>
          </w:rPr>
          <w:t>4.4.11.1</w:t>
        </w:r>
        <w:r w:rsidR="00A82EF4" w:rsidRPr="005506CA">
          <w:rPr>
            <w:rFonts w:eastAsiaTheme="minorEastAsia"/>
            <w:noProof/>
            <w:sz w:val="20"/>
            <w:szCs w:val="20"/>
          </w:rPr>
          <w:tab/>
        </w:r>
        <w:r w:rsidR="00A82EF4" w:rsidRPr="005506CA">
          <w:rPr>
            <w:rStyle w:val="Hyperlink"/>
            <w:noProof/>
            <w:sz w:val="20"/>
            <w:szCs w:val="20"/>
            <w:u w:val="none"/>
          </w:rPr>
          <w:t>Scarcity Pricing Mechanism</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_Toc135990672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4-88</w:t>
        </w:r>
        <w:r w:rsidR="00A82EF4" w:rsidRPr="005506CA">
          <w:rPr>
            <w:noProof/>
            <w:webHidden/>
            <w:sz w:val="20"/>
            <w:szCs w:val="20"/>
          </w:rPr>
          <w:fldChar w:fldCharType="end"/>
        </w:r>
      </w:hyperlink>
    </w:p>
    <w:p w14:paraId="611D4444" w14:textId="667BAEF4" w:rsidR="00A82EF4" w:rsidRPr="005506CA" w:rsidRDefault="005506CA">
      <w:pPr>
        <w:pStyle w:val="TOC3"/>
        <w:rPr>
          <w:rFonts w:eastAsiaTheme="minorEastAsia"/>
          <w:i w:val="0"/>
          <w:iCs w:val="0"/>
          <w:noProof/>
        </w:rPr>
      </w:pPr>
      <w:hyperlink w:anchor="_Toc135990673" w:history="1">
        <w:r w:rsidR="00A82EF4" w:rsidRPr="005506CA">
          <w:rPr>
            <w:rStyle w:val="Hyperlink"/>
            <w:i w:val="0"/>
            <w:iCs w:val="0"/>
            <w:noProof/>
            <w:u w:val="none"/>
          </w:rPr>
          <w:t>4.4.12</w:t>
        </w:r>
        <w:r w:rsidR="00A82EF4" w:rsidRPr="005506CA">
          <w:rPr>
            <w:rFonts w:eastAsiaTheme="minorEastAsia"/>
            <w:i w:val="0"/>
            <w:iCs w:val="0"/>
            <w:noProof/>
          </w:rPr>
          <w:tab/>
        </w:r>
        <w:r w:rsidR="00A82EF4" w:rsidRPr="005506CA">
          <w:rPr>
            <w:rStyle w:val="Hyperlink"/>
            <w:i w:val="0"/>
            <w:iCs w:val="0"/>
            <w:noProof/>
            <w:u w:val="none"/>
          </w:rPr>
          <w:t>Determination of Ancillary Service Demand Curves for the Day-Ahead Market and Real-Time Market</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_Toc135990673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4-90</w:t>
        </w:r>
        <w:r w:rsidR="00A82EF4" w:rsidRPr="005506CA">
          <w:rPr>
            <w:i w:val="0"/>
            <w:iCs w:val="0"/>
            <w:noProof/>
            <w:webHidden/>
          </w:rPr>
          <w:fldChar w:fldCharType="end"/>
        </w:r>
      </w:hyperlink>
    </w:p>
    <w:p w14:paraId="3AD0BC5F" w14:textId="24A04CBC" w:rsidR="00A82EF4" w:rsidRPr="005506CA" w:rsidRDefault="005506CA">
      <w:pPr>
        <w:pStyle w:val="TOC2"/>
        <w:rPr>
          <w:rFonts w:eastAsiaTheme="minorEastAsia"/>
          <w:noProof/>
        </w:rPr>
      </w:pPr>
      <w:hyperlink w:anchor="_Toc135990674" w:history="1">
        <w:r w:rsidR="00A82EF4" w:rsidRPr="005506CA">
          <w:rPr>
            <w:rStyle w:val="Hyperlink"/>
            <w:noProof/>
            <w:u w:val="none"/>
          </w:rPr>
          <w:t>4.5</w:t>
        </w:r>
        <w:r w:rsidR="00A82EF4" w:rsidRPr="005506CA">
          <w:rPr>
            <w:rFonts w:eastAsiaTheme="minorEastAsia"/>
            <w:noProof/>
          </w:rPr>
          <w:tab/>
        </w:r>
        <w:r w:rsidR="00A82EF4" w:rsidRPr="005506CA">
          <w:rPr>
            <w:rStyle w:val="Hyperlink"/>
            <w:noProof/>
            <w:u w:val="none"/>
          </w:rPr>
          <w:t>DAM Execution and Results</w:t>
        </w:r>
        <w:r w:rsidR="00A82EF4" w:rsidRPr="005506CA">
          <w:rPr>
            <w:noProof/>
            <w:webHidden/>
          </w:rPr>
          <w:tab/>
        </w:r>
        <w:r w:rsidR="00A82EF4" w:rsidRPr="005506CA">
          <w:rPr>
            <w:noProof/>
            <w:webHidden/>
          </w:rPr>
          <w:fldChar w:fldCharType="begin"/>
        </w:r>
        <w:r w:rsidR="00A82EF4" w:rsidRPr="005506CA">
          <w:rPr>
            <w:noProof/>
            <w:webHidden/>
          </w:rPr>
          <w:instrText xml:space="preserve"> PAGEREF _Toc135990674 \h </w:instrText>
        </w:r>
        <w:r w:rsidR="00A82EF4" w:rsidRPr="005506CA">
          <w:rPr>
            <w:noProof/>
            <w:webHidden/>
          </w:rPr>
        </w:r>
        <w:r w:rsidR="00A82EF4" w:rsidRPr="005506CA">
          <w:rPr>
            <w:noProof/>
            <w:webHidden/>
          </w:rPr>
          <w:fldChar w:fldCharType="separate"/>
        </w:r>
        <w:r w:rsidRPr="005506CA">
          <w:rPr>
            <w:noProof/>
            <w:webHidden/>
          </w:rPr>
          <w:t>4-92</w:t>
        </w:r>
        <w:r w:rsidR="00A82EF4" w:rsidRPr="005506CA">
          <w:rPr>
            <w:noProof/>
            <w:webHidden/>
          </w:rPr>
          <w:fldChar w:fldCharType="end"/>
        </w:r>
      </w:hyperlink>
    </w:p>
    <w:p w14:paraId="74D74FEA" w14:textId="12A450D0" w:rsidR="00A82EF4" w:rsidRPr="005506CA" w:rsidRDefault="005506CA">
      <w:pPr>
        <w:pStyle w:val="TOC3"/>
        <w:rPr>
          <w:rFonts w:eastAsiaTheme="minorEastAsia"/>
          <w:i w:val="0"/>
          <w:iCs w:val="0"/>
          <w:noProof/>
        </w:rPr>
      </w:pPr>
      <w:hyperlink w:anchor="_Toc135990675" w:history="1">
        <w:r w:rsidR="00A82EF4" w:rsidRPr="005506CA">
          <w:rPr>
            <w:rStyle w:val="Hyperlink"/>
            <w:i w:val="0"/>
            <w:iCs w:val="0"/>
            <w:noProof/>
            <w:u w:val="none"/>
          </w:rPr>
          <w:t>4.5.1</w:t>
        </w:r>
        <w:r w:rsidR="00A82EF4" w:rsidRPr="005506CA">
          <w:rPr>
            <w:rFonts w:eastAsiaTheme="minorEastAsia"/>
            <w:i w:val="0"/>
            <w:iCs w:val="0"/>
            <w:noProof/>
          </w:rPr>
          <w:tab/>
        </w:r>
        <w:r w:rsidR="00A82EF4" w:rsidRPr="005506CA">
          <w:rPr>
            <w:rStyle w:val="Hyperlink"/>
            <w:i w:val="0"/>
            <w:iCs w:val="0"/>
            <w:noProof/>
            <w:u w:val="none"/>
          </w:rPr>
          <w:t>DAM Clearing Process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_Toc135990675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4-92</w:t>
        </w:r>
        <w:r w:rsidR="00A82EF4" w:rsidRPr="005506CA">
          <w:rPr>
            <w:i w:val="0"/>
            <w:iCs w:val="0"/>
            <w:noProof/>
            <w:webHidden/>
          </w:rPr>
          <w:fldChar w:fldCharType="end"/>
        </w:r>
      </w:hyperlink>
    </w:p>
    <w:p w14:paraId="0321C82F" w14:textId="7367E1B9" w:rsidR="00A82EF4" w:rsidRPr="005506CA" w:rsidRDefault="005506CA">
      <w:pPr>
        <w:pStyle w:val="TOC3"/>
        <w:rPr>
          <w:rFonts w:eastAsiaTheme="minorEastAsia"/>
          <w:i w:val="0"/>
          <w:iCs w:val="0"/>
          <w:noProof/>
        </w:rPr>
      </w:pPr>
      <w:hyperlink w:anchor="_Toc135990676" w:history="1">
        <w:r w:rsidR="00A82EF4" w:rsidRPr="005506CA">
          <w:rPr>
            <w:rStyle w:val="Hyperlink"/>
            <w:i w:val="0"/>
            <w:iCs w:val="0"/>
            <w:noProof/>
            <w:u w:val="none"/>
          </w:rPr>
          <w:t>4.5.2</w:t>
        </w:r>
        <w:r w:rsidR="00A82EF4" w:rsidRPr="005506CA">
          <w:rPr>
            <w:rFonts w:eastAsiaTheme="minorEastAsia"/>
            <w:i w:val="0"/>
            <w:iCs w:val="0"/>
            <w:noProof/>
          </w:rPr>
          <w:tab/>
        </w:r>
        <w:r w:rsidR="00A82EF4" w:rsidRPr="005506CA">
          <w:rPr>
            <w:rStyle w:val="Hyperlink"/>
            <w:i w:val="0"/>
            <w:iCs w:val="0"/>
            <w:noProof/>
            <w:u w:val="none"/>
          </w:rPr>
          <w:t>Ancillary Service Insufficiency</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_Toc135990676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4-98</w:t>
        </w:r>
        <w:r w:rsidR="00A82EF4" w:rsidRPr="005506CA">
          <w:rPr>
            <w:i w:val="0"/>
            <w:iCs w:val="0"/>
            <w:noProof/>
            <w:webHidden/>
          </w:rPr>
          <w:fldChar w:fldCharType="end"/>
        </w:r>
      </w:hyperlink>
    </w:p>
    <w:p w14:paraId="4209766F" w14:textId="723BAFCC" w:rsidR="00A82EF4" w:rsidRPr="005506CA" w:rsidRDefault="005506CA">
      <w:pPr>
        <w:pStyle w:val="TOC3"/>
        <w:rPr>
          <w:rFonts w:eastAsiaTheme="minorEastAsia"/>
          <w:i w:val="0"/>
          <w:iCs w:val="0"/>
          <w:noProof/>
        </w:rPr>
      </w:pPr>
      <w:hyperlink w:anchor="_Toc135990677" w:history="1">
        <w:r w:rsidR="00A82EF4" w:rsidRPr="005506CA">
          <w:rPr>
            <w:rStyle w:val="Hyperlink"/>
            <w:i w:val="0"/>
            <w:iCs w:val="0"/>
            <w:noProof/>
            <w:u w:val="none"/>
          </w:rPr>
          <w:t>4.5.3</w:t>
        </w:r>
        <w:r w:rsidR="00A82EF4" w:rsidRPr="005506CA">
          <w:rPr>
            <w:rFonts w:eastAsiaTheme="minorEastAsia"/>
            <w:i w:val="0"/>
            <w:iCs w:val="0"/>
            <w:noProof/>
          </w:rPr>
          <w:tab/>
        </w:r>
        <w:r w:rsidR="00A82EF4" w:rsidRPr="005506CA">
          <w:rPr>
            <w:rStyle w:val="Hyperlink"/>
            <w:i w:val="0"/>
            <w:iCs w:val="0"/>
            <w:noProof/>
            <w:u w:val="none"/>
          </w:rPr>
          <w:t>Communicating DAM Results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_Toc135990677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4-100</w:t>
        </w:r>
        <w:r w:rsidR="00A82EF4" w:rsidRPr="005506CA">
          <w:rPr>
            <w:i w:val="0"/>
            <w:iCs w:val="0"/>
            <w:noProof/>
            <w:webHidden/>
          </w:rPr>
          <w:fldChar w:fldCharType="end"/>
        </w:r>
      </w:hyperlink>
    </w:p>
    <w:p w14:paraId="0011657C" w14:textId="71C059D7" w:rsidR="00A82EF4" w:rsidRPr="005506CA" w:rsidRDefault="005506CA">
      <w:pPr>
        <w:pStyle w:val="TOC2"/>
        <w:rPr>
          <w:rFonts w:eastAsiaTheme="minorEastAsia"/>
          <w:noProof/>
        </w:rPr>
      </w:pPr>
      <w:hyperlink w:anchor="_Toc135990678" w:history="1">
        <w:r w:rsidR="00A82EF4" w:rsidRPr="005506CA">
          <w:rPr>
            <w:rStyle w:val="Hyperlink"/>
            <w:noProof/>
            <w:u w:val="none"/>
          </w:rPr>
          <w:t>4.6</w:t>
        </w:r>
        <w:r w:rsidR="00A82EF4" w:rsidRPr="005506CA">
          <w:rPr>
            <w:rFonts w:eastAsiaTheme="minorEastAsia"/>
            <w:noProof/>
          </w:rPr>
          <w:tab/>
        </w:r>
        <w:r w:rsidR="00A82EF4" w:rsidRPr="005506CA">
          <w:rPr>
            <w:rStyle w:val="Hyperlink"/>
            <w:noProof/>
            <w:u w:val="none"/>
          </w:rPr>
          <w:t>DAM Settlement</w:t>
        </w:r>
        <w:r w:rsidR="00A82EF4" w:rsidRPr="005506CA">
          <w:rPr>
            <w:noProof/>
            <w:webHidden/>
          </w:rPr>
          <w:tab/>
        </w:r>
        <w:r w:rsidR="00A82EF4" w:rsidRPr="005506CA">
          <w:rPr>
            <w:noProof/>
            <w:webHidden/>
          </w:rPr>
          <w:fldChar w:fldCharType="begin"/>
        </w:r>
        <w:r w:rsidR="00A82EF4" w:rsidRPr="005506CA">
          <w:rPr>
            <w:noProof/>
            <w:webHidden/>
          </w:rPr>
          <w:instrText xml:space="preserve"> PAGEREF _Toc135990678 \h </w:instrText>
        </w:r>
        <w:r w:rsidR="00A82EF4" w:rsidRPr="005506CA">
          <w:rPr>
            <w:noProof/>
            <w:webHidden/>
          </w:rPr>
        </w:r>
        <w:r w:rsidR="00A82EF4" w:rsidRPr="005506CA">
          <w:rPr>
            <w:noProof/>
            <w:webHidden/>
          </w:rPr>
          <w:fldChar w:fldCharType="separate"/>
        </w:r>
        <w:r w:rsidRPr="005506CA">
          <w:rPr>
            <w:noProof/>
            <w:webHidden/>
          </w:rPr>
          <w:t>4-105</w:t>
        </w:r>
        <w:r w:rsidR="00A82EF4" w:rsidRPr="005506CA">
          <w:rPr>
            <w:noProof/>
            <w:webHidden/>
          </w:rPr>
          <w:fldChar w:fldCharType="end"/>
        </w:r>
      </w:hyperlink>
    </w:p>
    <w:p w14:paraId="366EF268" w14:textId="6EC8F618" w:rsidR="00A82EF4" w:rsidRPr="005506CA" w:rsidRDefault="005506CA">
      <w:pPr>
        <w:pStyle w:val="TOC3"/>
        <w:rPr>
          <w:rFonts w:eastAsiaTheme="minorEastAsia"/>
          <w:i w:val="0"/>
          <w:iCs w:val="0"/>
          <w:noProof/>
        </w:rPr>
      </w:pPr>
      <w:hyperlink w:anchor="_Toc135990679" w:history="1">
        <w:r w:rsidR="00A82EF4" w:rsidRPr="005506CA">
          <w:rPr>
            <w:rStyle w:val="Hyperlink"/>
            <w:i w:val="0"/>
            <w:iCs w:val="0"/>
            <w:noProof/>
            <w:u w:val="none"/>
          </w:rPr>
          <w:t>4.6.1</w:t>
        </w:r>
        <w:r w:rsidR="00A82EF4" w:rsidRPr="005506CA">
          <w:rPr>
            <w:rFonts w:eastAsiaTheme="minorEastAsia"/>
            <w:i w:val="0"/>
            <w:iCs w:val="0"/>
            <w:noProof/>
          </w:rPr>
          <w:tab/>
        </w:r>
        <w:r w:rsidR="00A82EF4" w:rsidRPr="005506CA">
          <w:rPr>
            <w:rStyle w:val="Hyperlink"/>
            <w:i w:val="0"/>
            <w:iCs w:val="0"/>
            <w:noProof/>
            <w:u w:val="none"/>
          </w:rPr>
          <w:t>Day-Ahead Settlement Point Prices</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_Toc135990679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4-105</w:t>
        </w:r>
        <w:r w:rsidR="00A82EF4" w:rsidRPr="005506CA">
          <w:rPr>
            <w:i w:val="0"/>
            <w:iCs w:val="0"/>
            <w:noProof/>
            <w:webHidden/>
          </w:rPr>
          <w:fldChar w:fldCharType="end"/>
        </w:r>
      </w:hyperlink>
    </w:p>
    <w:p w14:paraId="595647A3" w14:textId="150DB2D5" w:rsidR="00A82EF4" w:rsidRPr="005506CA" w:rsidRDefault="005506CA" w:rsidP="00B3531E">
      <w:pPr>
        <w:pStyle w:val="TOC4"/>
        <w:rPr>
          <w:rFonts w:eastAsiaTheme="minorEastAsia"/>
          <w:noProof/>
          <w:sz w:val="20"/>
          <w:szCs w:val="20"/>
        </w:rPr>
      </w:pPr>
      <w:hyperlink w:anchor="_Toc135990680" w:history="1">
        <w:r w:rsidR="00A82EF4" w:rsidRPr="005506CA">
          <w:rPr>
            <w:rStyle w:val="Hyperlink"/>
            <w:noProof/>
            <w:sz w:val="20"/>
            <w:szCs w:val="20"/>
            <w:u w:val="none"/>
          </w:rPr>
          <w:t>4.6.1.1</w:t>
        </w:r>
        <w:r w:rsidR="00A82EF4" w:rsidRPr="005506CA">
          <w:rPr>
            <w:rFonts w:eastAsiaTheme="minorEastAsia"/>
            <w:noProof/>
            <w:sz w:val="20"/>
            <w:szCs w:val="20"/>
          </w:rPr>
          <w:tab/>
        </w:r>
        <w:r w:rsidR="00A82EF4" w:rsidRPr="005506CA">
          <w:rPr>
            <w:rStyle w:val="Hyperlink"/>
            <w:noProof/>
            <w:sz w:val="20"/>
            <w:szCs w:val="20"/>
            <w:u w:val="none"/>
          </w:rPr>
          <w:t>Day-Ahead Settlement Point Prices for Resource Nodes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_Toc135990680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4-105</w:t>
        </w:r>
        <w:r w:rsidR="00A82EF4" w:rsidRPr="005506CA">
          <w:rPr>
            <w:noProof/>
            <w:webHidden/>
            <w:sz w:val="20"/>
            <w:szCs w:val="20"/>
          </w:rPr>
          <w:fldChar w:fldCharType="end"/>
        </w:r>
      </w:hyperlink>
    </w:p>
    <w:p w14:paraId="5E07271B" w14:textId="10ED72EC" w:rsidR="00A82EF4" w:rsidRPr="005506CA" w:rsidRDefault="005506CA" w:rsidP="00B3531E">
      <w:pPr>
        <w:pStyle w:val="TOC4"/>
        <w:rPr>
          <w:rFonts w:eastAsiaTheme="minorEastAsia"/>
          <w:noProof/>
          <w:sz w:val="20"/>
          <w:szCs w:val="20"/>
        </w:rPr>
      </w:pPr>
      <w:hyperlink w:anchor="_Toc135990681" w:history="1">
        <w:r w:rsidR="00A82EF4" w:rsidRPr="005506CA">
          <w:rPr>
            <w:rStyle w:val="Hyperlink"/>
            <w:noProof/>
            <w:sz w:val="20"/>
            <w:szCs w:val="20"/>
            <w:u w:val="none"/>
          </w:rPr>
          <w:t>4.6.1.2</w:t>
        </w:r>
        <w:r w:rsidR="00A82EF4" w:rsidRPr="005506CA">
          <w:rPr>
            <w:rFonts w:eastAsiaTheme="minorEastAsia"/>
            <w:noProof/>
            <w:sz w:val="20"/>
            <w:szCs w:val="20"/>
          </w:rPr>
          <w:tab/>
        </w:r>
        <w:r w:rsidR="00A82EF4" w:rsidRPr="005506CA">
          <w:rPr>
            <w:rStyle w:val="Hyperlink"/>
            <w:noProof/>
            <w:sz w:val="20"/>
            <w:szCs w:val="20"/>
            <w:u w:val="none"/>
          </w:rPr>
          <w:t>Day-Ahead Settlement Point Prices for Load Zones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_Toc135990681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4-105</w:t>
        </w:r>
        <w:r w:rsidR="00A82EF4" w:rsidRPr="005506CA">
          <w:rPr>
            <w:noProof/>
            <w:webHidden/>
            <w:sz w:val="20"/>
            <w:szCs w:val="20"/>
          </w:rPr>
          <w:fldChar w:fldCharType="end"/>
        </w:r>
      </w:hyperlink>
    </w:p>
    <w:p w14:paraId="5374306B" w14:textId="6DD6EC9A" w:rsidR="00A82EF4" w:rsidRPr="005506CA" w:rsidRDefault="005506CA" w:rsidP="00B3531E">
      <w:pPr>
        <w:pStyle w:val="TOC4"/>
        <w:rPr>
          <w:rFonts w:eastAsiaTheme="minorEastAsia"/>
          <w:noProof/>
          <w:sz w:val="20"/>
          <w:szCs w:val="20"/>
        </w:rPr>
      </w:pPr>
      <w:hyperlink w:anchor="_Toc135990682" w:history="1">
        <w:r w:rsidR="00A82EF4" w:rsidRPr="005506CA">
          <w:rPr>
            <w:rStyle w:val="Hyperlink"/>
            <w:noProof/>
            <w:sz w:val="20"/>
            <w:szCs w:val="20"/>
            <w:u w:val="none"/>
          </w:rPr>
          <w:t>4.6.1.3</w:t>
        </w:r>
        <w:r w:rsidR="00A82EF4" w:rsidRPr="005506CA">
          <w:rPr>
            <w:rFonts w:eastAsiaTheme="minorEastAsia"/>
            <w:noProof/>
            <w:sz w:val="20"/>
            <w:szCs w:val="20"/>
          </w:rPr>
          <w:tab/>
        </w:r>
        <w:r w:rsidR="00A82EF4" w:rsidRPr="005506CA">
          <w:rPr>
            <w:rStyle w:val="Hyperlink"/>
            <w:noProof/>
            <w:sz w:val="20"/>
            <w:szCs w:val="20"/>
            <w:u w:val="none"/>
          </w:rPr>
          <w:t>Day-Ahead Settlement Point Prices for Hubs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_Toc135990682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4-106</w:t>
        </w:r>
        <w:r w:rsidR="00A82EF4" w:rsidRPr="005506CA">
          <w:rPr>
            <w:noProof/>
            <w:webHidden/>
            <w:sz w:val="20"/>
            <w:szCs w:val="20"/>
          </w:rPr>
          <w:fldChar w:fldCharType="end"/>
        </w:r>
      </w:hyperlink>
    </w:p>
    <w:p w14:paraId="2B724B25" w14:textId="08E9CA65" w:rsidR="00A82EF4" w:rsidRPr="005506CA" w:rsidRDefault="005506CA" w:rsidP="00B3531E">
      <w:pPr>
        <w:pStyle w:val="TOC4"/>
        <w:rPr>
          <w:rFonts w:eastAsiaTheme="minorEastAsia"/>
          <w:noProof/>
          <w:sz w:val="20"/>
          <w:szCs w:val="20"/>
        </w:rPr>
      </w:pPr>
      <w:hyperlink w:anchor="_Toc135990683" w:history="1">
        <w:r w:rsidR="00A82EF4" w:rsidRPr="005506CA">
          <w:rPr>
            <w:rStyle w:val="Hyperlink"/>
            <w:noProof/>
            <w:sz w:val="20"/>
            <w:szCs w:val="20"/>
            <w:u w:val="none"/>
          </w:rPr>
          <w:t>4.6.1.4</w:t>
        </w:r>
        <w:r w:rsidR="00A82EF4" w:rsidRPr="005506CA">
          <w:rPr>
            <w:rFonts w:eastAsiaTheme="minorEastAsia"/>
            <w:noProof/>
            <w:sz w:val="20"/>
            <w:szCs w:val="20"/>
          </w:rPr>
          <w:tab/>
        </w:r>
        <w:r w:rsidR="00A82EF4" w:rsidRPr="005506CA">
          <w:rPr>
            <w:rStyle w:val="Hyperlink"/>
            <w:noProof/>
            <w:sz w:val="20"/>
            <w:szCs w:val="20"/>
            <w:u w:val="none"/>
          </w:rPr>
          <w:t>Day-Ahead Settlement Point Prices at the Logical Resource Node for a Combined Cycle Generation Resource</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_Toc135990683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4-106</w:t>
        </w:r>
        <w:r w:rsidR="00A82EF4" w:rsidRPr="005506CA">
          <w:rPr>
            <w:noProof/>
            <w:webHidden/>
            <w:sz w:val="20"/>
            <w:szCs w:val="20"/>
          </w:rPr>
          <w:fldChar w:fldCharType="end"/>
        </w:r>
      </w:hyperlink>
    </w:p>
    <w:p w14:paraId="5AB98EDA" w14:textId="1CA3CA6A" w:rsidR="00A82EF4" w:rsidRPr="005506CA" w:rsidRDefault="005506CA">
      <w:pPr>
        <w:pStyle w:val="TOC3"/>
        <w:rPr>
          <w:rFonts w:eastAsiaTheme="minorEastAsia"/>
          <w:i w:val="0"/>
          <w:iCs w:val="0"/>
          <w:noProof/>
        </w:rPr>
      </w:pPr>
      <w:hyperlink w:anchor="_Toc135990684" w:history="1">
        <w:r w:rsidR="00A82EF4" w:rsidRPr="005506CA">
          <w:rPr>
            <w:rStyle w:val="Hyperlink"/>
            <w:i w:val="0"/>
            <w:iCs w:val="0"/>
            <w:noProof/>
            <w:u w:val="none"/>
          </w:rPr>
          <w:t>4.6.2</w:t>
        </w:r>
        <w:r w:rsidR="00A82EF4" w:rsidRPr="005506CA">
          <w:rPr>
            <w:rFonts w:eastAsiaTheme="minorEastAsia"/>
            <w:i w:val="0"/>
            <w:iCs w:val="0"/>
            <w:noProof/>
          </w:rPr>
          <w:tab/>
        </w:r>
        <w:r w:rsidR="00A82EF4" w:rsidRPr="005506CA">
          <w:rPr>
            <w:rStyle w:val="Hyperlink"/>
            <w:i w:val="0"/>
            <w:iCs w:val="0"/>
            <w:noProof/>
            <w:u w:val="none"/>
          </w:rPr>
          <w:t>Day-Ahead Energy and Make-Whole Settlement</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_Toc135990684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4-107</w:t>
        </w:r>
        <w:r w:rsidR="00A82EF4" w:rsidRPr="005506CA">
          <w:rPr>
            <w:i w:val="0"/>
            <w:iCs w:val="0"/>
            <w:noProof/>
            <w:webHidden/>
          </w:rPr>
          <w:fldChar w:fldCharType="end"/>
        </w:r>
      </w:hyperlink>
    </w:p>
    <w:p w14:paraId="1BAA14D1" w14:textId="4BAB4CB4" w:rsidR="00A82EF4" w:rsidRPr="005506CA" w:rsidRDefault="005506CA" w:rsidP="00B3531E">
      <w:pPr>
        <w:pStyle w:val="TOC4"/>
        <w:rPr>
          <w:rFonts w:eastAsiaTheme="minorEastAsia"/>
          <w:noProof/>
          <w:sz w:val="20"/>
          <w:szCs w:val="20"/>
        </w:rPr>
      </w:pPr>
      <w:hyperlink w:anchor="_Toc135990685" w:history="1">
        <w:r w:rsidR="00A82EF4" w:rsidRPr="005506CA">
          <w:rPr>
            <w:rStyle w:val="Hyperlink"/>
            <w:noProof/>
            <w:sz w:val="20"/>
            <w:szCs w:val="20"/>
            <w:u w:val="none"/>
          </w:rPr>
          <w:t>4.6.2.1</w:t>
        </w:r>
        <w:r w:rsidR="00A82EF4" w:rsidRPr="005506CA">
          <w:rPr>
            <w:rFonts w:eastAsiaTheme="minorEastAsia"/>
            <w:noProof/>
            <w:sz w:val="20"/>
            <w:szCs w:val="20"/>
          </w:rPr>
          <w:tab/>
        </w:r>
        <w:r w:rsidR="00A82EF4" w:rsidRPr="005506CA">
          <w:rPr>
            <w:rStyle w:val="Hyperlink"/>
            <w:noProof/>
            <w:sz w:val="20"/>
            <w:szCs w:val="20"/>
            <w:u w:val="none"/>
          </w:rPr>
          <w:t>Day-Ahead Energy Payment</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_Toc135990685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4-107</w:t>
        </w:r>
        <w:r w:rsidR="00A82EF4" w:rsidRPr="005506CA">
          <w:rPr>
            <w:noProof/>
            <w:webHidden/>
            <w:sz w:val="20"/>
            <w:szCs w:val="20"/>
          </w:rPr>
          <w:fldChar w:fldCharType="end"/>
        </w:r>
      </w:hyperlink>
    </w:p>
    <w:p w14:paraId="66ED64AC" w14:textId="5E47C577" w:rsidR="00A82EF4" w:rsidRPr="005506CA" w:rsidRDefault="005506CA" w:rsidP="00B3531E">
      <w:pPr>
        <w:pStyle w:val="TOC4"/>
        <w:rPr>
          <w:rFonts w:eastAsiaTheme="minorEastAsia"/>
          <w:noProof/>
          <w:sz w:val="20"/>
          <w:szCs w:val="20"/>
        </w:rPr>
      </w:pPr>
      <w:hyperlink w:anchor="_Toc135990686" w:history="1">
        <w:r w:rsidR="00A82EF4" w:rsidRPr="005506CA">
          <w:rPr>
            <w:rStyle w:val="Hyperlink"/>
            <w:noProof/>
            <w:sz w:val="20"/>
            <w:szCs w:val="20"/>
            <w:u w:val="none"/>
          </w:rPr>
          <w:t>4.6.2.2</w:t>
        </w:r>
        <w:r w:rsidR="00A82EF4" w:rsidRPr="005506CA">
          <w:rPr>
            <w:rFonts w:eastAsiaTheme="minorEastAsia"/>
            <w:noProof/>
            <w:sz w:val="20"/>
            <w:szCs w:val="20"/>
          </w:rPr>
          <w:tab/>
        </w:r>
        <w:r w:rsidR="00A82EF4" w:rsidRPr="005506CA">
          <w:rPr>
            <w:rStyle w:val="Hyperlink"/>
            <w:noProof/>
            <w:sz w:val="20"/>
            <w:szCs w:val="20"/>
            <w:u w:val="none"/>
          </w:rPr>
          <w:t>Day-Ahead Energy Charge</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_Toc135990686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4-109</w:t>
        </w:r>
        <w:r w:rsidR="00A82EF4" w:rsidRPr="005506CA">
          <w:rPr>
            <w:noProof/>
            <w:webHidden/>
            <w:sz w:val="20"/>
            <w:szCs w:val="20"/>
          </w:rPr>
          <w:fldChar w:fldCharType="end"/>
        </w:r>
      </w:hyperlink>
    </w:p>
    <w:p w14:paraId="3C3C1704" w14:textId="6269A09A" w:rsidR="00A82EF4" w:rsidRPr="005506CA" w:rsidRDefault="005506CA" w:rsidP="00B3531E">
      <w:pPr>
        <w:pStyle w:val="TOC4"/>
        <w:rPr>
          <w:rFonts w:eastAsiaTheme="minorEastAsia"/>
          <w:noProof/>
          <w:sz w:val="20"/>
          <w:szCs w:val="20"/>
        </w:rPr>
      </w:pPr>
      <w:hyperlink w:anchor="_Toc135990687" w:history="1">
        <w:r w:rsidR="00A82EF4" w:rsidRPr="005506CA">
          <w:rPr>
            <w:rStyle w:val="Hyperlink"/>
            <w:noProof/>
            <w:sz w:val="20"/>
            <w:szCs w:val="20"/>
            <w:u w:val="none"/>
          </w:rPr>
          <w:t>4.6.2.3</w:t>
        </w:r>
        <w:r w:rsidR="00A82EF4" w:rsidRPr="005506CA">
          <w:rPr>
            <w:rFonts w:eastAsiaTheme="minorEastAsia"/>
            <w:noProof/>
            <w:sz w:val="20"/>
            <w:szCs w:val="20"/>
          </w:rPr>
          <w:tab/>
        </w:r>
        <w:r w:rsidR="00A82EF4" w:rsidRPr="005506CA">
          <w:rPr>
            <w:rStyle w:val="Hyperlink"/>
            <w:noProof/>
            <w:sz w:val="20"/>
            <w:szCs w:val="20"/>
            <w:u w:val="none"/>
          </w:rPr>
          <w:t>Day-Ahead Make-Whole Settlements</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_Toc135990687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4-111</w:t>
        </w:r>
        <w:r w:rsidR="00A82EF4" w:rsidRPr="005506CA">
          <w:rPr>
            <w:noProof/>
            <w:webHidden/>
            <w:sz w:val="20"/>
            <w:szCs w:val="20"/>
          </w:rPr>
          <w:fldChar w:fldCharType="end"/>
        </w:r>
      </w:hyperlink>
    </w:p>
    <w:p w14:paraId="684BC9F2" w14:textId="3920AB2E" w:rsidR="00A82EF4" w:rsidRPr="005506CA" w:rsidRDefault="005506CA" w:rsidP="006D5105">
      <w:pPr>
        <w:pStyle w:val="TOC5"/>
        <w:rPr>
          <w:rFonts w:eastAsiaTheme="minorEastAsia"/>
          <w:i w:val="0"/>
          <w:sz w:val="20"/>
          <w:szCs w:val="20"/>
        </w:rPr>
      </w:pPr>
      <w:hyperlink w:anchor="_Toc135990688" w:history="1">
        <w:r w:rsidR="00A82EF4" w:rsidRPr="005506CA">
          <w:rPr>
            <w:rStyle w:val="Hyperlink"/>
            <w:i w:val="0"/>
            <w:sz w:val="20"/>
            <w:szCs w:val="20"/>
            <w:u w:val="none"/>
          </w:rPr>
          <w:t>4.6.2.3.1</w:t>
        </w:r>
        <w:r w:rsidR="00A82EF4" w:rsidRPr="005506CA">
          <w:rPr>
            <w:rFonts w:eastAsiaTheme="minorEastAsia"/>
            <w:i w:val="0"/>
            <w:sz w:val="20"/>
            <w:szCs w:val="20"/>
          </w:rPr>
          <w:tab/>
        </w:r>
        <w:r w:rsidR="00A82EF4" w:rsidRPr="005506CA">
          <w:rPr>
            <w:rStyle w:val="Hyperlink"/>
            <w:i w:val="0"/>
            <w:sz w:val="20"/>
            <w:szCs w:val="20"/>
            <w:u w:val="none"/>
          </w:rPr>
          <w:t>Day-Ahead Make-Whole Payment</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_Toc135990688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4-112</w:t>
        </w:r>
        <w:r w:rsidR="00A82EF4" w:rsidRPr="005506CA">
          <w:rPr>
            <w:i w:val="0"/>
            <w:webHidden/>
            <w:sz w:val="20"/>
            <w:szCs w:val="20"/>
          </w:rPr>
          <w:fldChar w:fldCharType="end"/>
        </w:r>
      </w:hyperlink>
    </w:p>
    <w:p w14:paraId="3E8F2C6B" w14:textId="404FF26F" w:rsidR="00A82EF4" w:rsidRPr="005506CA" w:rsidRDefault="005506CA" w:rsidP="006D5105">
      <w:pPr>
        <w:pStyle w:val="TOC5"/>
        <w:rPr>
          <w:rFonts w:eastAsiaTheme="minorEastAsia"/>
          <w:i w:val="0"/>
          <w:sz w:val="20"/>
          <w:szCs w:val="20"/>
        </w:rPr>
      </w:pPr>
      <w:hyperlink w:anchor="_Toc135990689" w:history="1">
        <w:r w:rsidR="00A82EF4" w:rsidRPr="005506CA">
          <w:rPr>
            <w:rStyle w:val="Hyperlink"/>
            <w:i w:val="0"/>
            <w:sz w:val="20"/>
            <w:szCs w:val="20"/>
            <w:u w:val="none"/>
          </w:rPr>
          <w:t>4.6.2.3.2</w:t>
        </w:r>
        <w:r w:rsidR="00A82EF4" w:rsidRPr="005506CA">
          <w:rPr>
            <w:rFonts w:eastAsiaTheme="minorEastAsia"/>
            <w:i w:val="0"/>
            <w:sz w:val="20"/>
            <w:szCs w:val="20"/>
          </w:rPr>
          <w:tab/>
        </w:r>
        <w:r w:rsidR="00A82EF4" w:rsidRPr="005506CA">
          <w:rPr>
            <w:rStyle w:val="Hyperlink"/>
            <w:i w:val="0"/>
            <w:sz w:val="20"/>
            <w:szCs w:val="20"/>
            <w:u w:val="none"/>
          </w:rPr>
          <w:t>Day-Ahead Make-Whole Charge</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_Toc135990689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4-118</w:t>
        </w:r>
        <w:r w:rsidR="00A82EF4" w:rsidRPr="005506CA">
          <w:rPr>
            <w:i w:val="0"/>
            <w:webHidden/>
            <w:sz w:val="20"/>
            <w:szCs w:val="20"/>
          </w:rPr>
          <w:fldChar w:fldCharType="end"/>
        </w:r>
      </w:hyperlink>
    </w:p>
    <w:p w14:paraId="15A7E71B" w14:textId="6FB4900A" w:rsidR="00A82EF4" w:rsidRPr="005506CA" w:rsidRDefault="005506CA">
      <w:pPr>
        <w:pStyle w:val="TOC3"/>
        <w:rPr>
          <w:rFonts w:eastAsiaTheme="minorEastAsia"/>
          <w:i w:val="0"/>
          <w:iCs w:val="0"/>
          <w:noProof/>
        </w:rPr>
      </w:pPr>
      <w:hyperlink w:anchor="_Toc135990690" w:history="1">
        <w:r w:rsidR="00A82EF4" w:rsidRPr="005506CA">
          <w:rPr>
            <w:rStyle w:val="Hyperlink"/>
            <w:i w:val="0"/>
            <w:iCs w:val="0"/>
            <w:noProof/>
            <w:u w:val="none"/>
          </w:rPr>
          <w:t>4.6.3</w:t>
        </w:r>
        <w:r w:rsidR="00A82EF4" w:rsidRPr="005506CA">
          <w:rPr>
            <w:rFonts w:eastAsiaTheme="minorEastAsia"/>
            <w:i w:val="0"/>
            <w:iCs w:val="0"/>
            <w:noProof/>
          </w:rPr>
          <w:tab/>
        </w:r>
        <w:r w:rsidR="00A82EF4" w:rsidRPr="005506CA">
          <w:rPr>
            <w:rStyle w:val="Hyperlink"/>
            <w:i w:val="0"/>
            <w:iCs w:val="0"/>
            <w:noProof/>
            <w:u w:val="none"/>
          </w:rPr>
          <w:t>Settlement for PTP Obligations Bought in DAM</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_Toc135990690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4-121</w:t>
        </w:r>
        <w:r w:rsidR="00A82EF4" w:rsidRPr="005506CA">
          <w:rPr>
            <w:i w:val="0"/>
            <w:iCs w:val="0"/>
            <w:noProof/>
            <w:webHidden/>
          </w:rPr>
          <w:fldChar w:fldCharType="end"/>
        </w:r>
      </w:hyperlink>
    </w:p>
    <w:p w14:paraId="6559AF4D" w14:textId="2DECF1E3" w:rsidR="00A82EF4" w:rsidRPr="005506CA" w:rsidRDefault="005506CA">
      <w:pPr>
        <w:pStyle w:val="TOC3"/>
        <w:rPr>
          <w:rFonts w:eastAsiaTheme="minorEastAsia"/>
          <w:i w:val="0"/>
          <w:iCs w:val="0"/>
          <w:noProof/>
        </w:rPr>
      </w:pPr>
      <w:hyperlink w:anchor="_Toc135990691" w:history="1">
        <w:r w:rsidR="00A82EF4" w:rsidRPr="005506CA">
          <w:rPr>
            <w:rStyle w:val="Hyperlink"/>
            <w:i w:val="0"/>
            <w:iCs w:val="0"/>
            <w:noProof/>
            <w:u w:val="none"/>
          </w:rPr>
          <w:t>4.6.4</w:t>
        </w:r>
        <w:r w:rsidR="00A82EF4" w:rsidRPr="005506CA">
          <w:rPr>
            <w:rFonts w:eastAsiaTheme="minorEastAsia"/>
            <w:i w:val="0"/>
            <w:iCs w:val="0"/>
            <w:noProof/>
          </w:rPr>
          <w:tab/>
        </w:r>
        <w:r w:rsidR="00A82EF4" w:rsidRPr="005506CA">
          <w:rPr>
            <w:rStyle w:val="Hyperlink"/>
            <w:i w:val="0"/>
            <w:iCs w:val="0"/>
            <w:noProof/>
            <w:u w:val="none"/>
          </w:rPr>
          <w:t>Settlement of Ancillary Services Procured in the DAM</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_Toc135990691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4-123</w:t>
        </w:r>
        <w:r w:rsidR="00A82EF4" w:rsidRPr="005506CA">
          <w:rPr>
            <w:i w:val="0"/>
            <w:iCs w:val="0"/>
            <w:noProof/>
            <w:webHidden/>
          </w:rPr>
          <w:fldChar w:fldCharType="end"/>
        </w:r>
      </w:hyperlink>
    </w:p>
    <w:p w14:paraId="3CA71B87" w14:textId="307B2219" w:rsidR="00A82EF4" w:rsidRPr="005506CA" w:rsidRDefault="005506CA" w:rsidP="00B3531E">
      <w:pPr>
        <w:pStyle w:val="TOC4"/>
        <w:rPr>
          <w:rFonts w:eastAsiaTheme="minorEastAsia"/>
          <w:noProof/>
          <w:sz w:val="20"/>
          <w:szCs w:val="20"/>
        </w:rPr>
      </w:pPr>
      <w:hyperlink w:anchor="_Toc135990692" w:history="1">
        <w:r w:rsidR="00A82EF4" w:rsidRPr="005506CA">
          <w:rPr>
            <w:rStyle w:val="Hyperlink"/>
            <w:noProof/>
            <w:sz w:val="20"/>
            <w:szCs w:val="20"/>
            <w:u w:val="none"/>
          </w:rPr>
          <w:t>4.6.4.1</w:t>
        </w:r>
        <w:r w:rsidR="00A82EF4" w:rsidRPr="005506CA">
          <w:rPr>
            <w:rFonts w:eastAsiaTheme="minorEastAsia"/>
            <w:noProof/>
            <w:sz w:val="20"/>
            <w:szCs w:val="20"/>
          </w:rPr>
          <w:tab/>
        </w:r>
        <w:r w:rsidR="00A82EF4" w:rsidRPr="005506CA">
          <w:rPr>
            <w:rStyle w:val="Hyperlink"/>
            <w:noProof/>
            <w:sz w:val="20"/>
            <w:szCs w:val="20"/>
            <w:u w:val="none"/>
          </w:rPr>
          <w:t>Payments for Ancillary Services Procured in the DAM</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_Toc135990692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4-123</w:t>
        </w:r>
        <w:r w:rsidR="00A82EF4" w:rsidRPr="005506CA">
          <w:rPr>
            <w:noProof/>
            <w:webHidden/>
            <w:sz w:val="20"/>
            <w:szCs w:val="20"/>
          </w:rPr>
          <w:fldChar w:fldCharType="end"/>
        </w:r>
      </w:hyperlink>
    </w:p>
    <w:p w14:paraId="71D7DBDD" w14:textId="0CF0B696" w:rsidR="00A82EF4" w:rsidRPr="005506CA" w:rsidRDefault="005506CA" w:rsidP="006D5105">
      <w:pPr>
        <w:pStyle w:val="TOC5"/>
        <w:rPr>
          <w:rFonts w:eastAsiaTheme="minorEastAsia"/>
          <w:i w:val="0"/>
          <w:sz w:val="20"/>
          <w:szCs w:val="20"/>
        </w:rPr>
      </w:pPr>
      <w:hyperlink w:anchor="_Toc135990693" w:history="1">
        <w:r w:rsidR="00A82EF4" w:rsidRPr="005506CA">
          <w:rPr>
            <w:rStyle w:val="Hyperlink"/>
            <w:i w:val="0"/>
            <w:sz w:val="20"/>
            <w:szCs w:val="20"/>
            <w:u w:val="none"/>
          </w:rPr>
          <w:t>4.6.4.1.1</w:t>
        </w:r>
        <w:r w:rsidR="00A82EF4" w:rsidRPr="005506CA">
          <w:rPr>
            <w:rFonts w:eastAsiaTheme="minorEastAsia"/>
            <w:i w:val="0"/>
            <w:sz w:val="20"/>
            <w:szCs w:val="20"/>
          </w:rPr>
          <w:tab/>
        </w:r>
        <w:r w:rsidR="00A82EF4" w:rsidRPr="005506CA">
          <w:rPr>
            <w:rStyle w:val="Hyperlink"/>
            <w:i w:val="0"/>
            <w:sz w:val="20"/>
            <w:szCs w:val="20"/>
            <w:u w:val="none"/>
          </w:rPr>
          <w:t>Regulation Up Service Payment</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_Toc135990693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4-123</w:t>
        </w:r>
        <w:r w:rsidR="00A82EF4" w:rsidRPr="005506CA">
          <w:rPr>
            <w:i w:val="0"/>
            <w:webHidden/>
            <w:sz w:val="20"/>
            <w:szCs w:val="20"/>
          </w:rPr>
          <w:fldChar w:fldCharType="end"/>
        </w:r>
      </w:hyperlink>
    </w:p>
    <w:p w14:paraId="011A949E" w14:textId="0718B01C" w:rsidR="00A82EF4" w:rsidRPr="005506CA" w:rsidRDefault="005506CA" w:rsidP="006D5105">
      <w:pPr>
        <w:pStyle w:val="TOC5"/>
        <w:rPr>
          <w:rFonts w:eastAsiaTheme="minorEastAsia"/>
          <w:i w:val="0"/>
          <w:sz w:val="20"/>
          <w:szCs w:val="20"/>
        </w:rPr>
      </w:pPr>
      <w:hyperlink w:anchor="_Toc135990694" w:history="1">
        <w:r w:rsidR="00A82EF4" w:rsidRPr="005506CA">
          <w:rPr>
            <w:rStyle w:val="Hyperlink"/>
            <w:i w:val="0"/>
            <w:sz w:val="20"/>
            <w:szCs w:val="20"/>
            <w:u w:val="none"/>
          </w:rPr>
          <w:t>4.6.4.1.2</w:t>
        </w:r>
        <w:r w:rsidR="00A82EF4" w:rsidRPr="005506CA">
          <w:rPr>
            <w:rFonts w:eastAsiaTheme="minorEastAsia"/>
            <w:i w:val="0"/>
            <w:sz w:val="20"/>
            <w:szCs w:val="20"/>
          </w:rPr>
          <w:tab/>
        </w:r>
        <w:r w:rsidR="00A82EF4" w:rsidRPr="005506CA">
          <w:rPr>
            <w:rStyle w:val="Hyperlink"/>
            <w:i w:val="0"/>
            <w:sz w:val="20"/>
            <w:szCs w:val="20"/>
            <w:u w:val="none"/>
          </w:rPr>
          <w:t>Regulation Down Service Payment</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_Toc135990694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4-124</w:t>
        </w:r>
        <w:r w:rsidR="00A82EF4" w:rsidRPr="005506CA">
          <w:rPr>
            <w:i w:val="0"/>
            <w:webHidden/>
            <w:sz w:val="20"/>
            <w:szCs w:val="20"/>
          </w:rPr>
          <w:fldChar w:fldCharType="end"/>
        </w:r>
      </w:hyperlink>
    </w:p>
    <w:p w14:paraId="73C41117" w14:textId="634AF3F2" w:rsidR="00A82EF4" w:rsidRPr="005506CA" w:rsidRDefault="005506CA" w:rsidP="006D5105">
      <w:pPr>
        <w:pStyle w:val="TOC5"/>
        <w:rPr>
          <w:rFonts w:eastAsiaTheme="minorEastAsia"/>
          <w:i w:val="0"/>
          <w:sz w:val="20"/>
          <w:szCs w:val="20"/>
        </w:rPr>
      </w:pPr>
      <w:hyperlink w:anchor="_Toc135990695" w:history="1">
        <w:r w:rsidR="00A82EF4" w:rsidRPr="005506CA">
          <w:rPr>
            <w:rStyle w:val="Hyperlink"/>
            <w:i w:val="0"/>
            <w:sz w:val="20"/>
            <w:szCs w:val="20"/>
            <w:u w:val="none"/>
          </w:rPr>
          <w:t>4.6.4.1.3</w:t>
        </w:r>
        <w:r w:rsidR="00A82EF4" w:rsidRPr="005506CA">
          <w:rPr>
            <w:rFonts w:eastAsiaTheme="minorEastAsia"/>
            <w:i w:val="0"/>
            <w:sz w:val="20"/>
            <w:szCs w:val="20"/>
          </w:rPr>
          <w:tab/>
        </w:r>
        <w:r w:rsidR="00A82EF4" w:rsidRPr="005506CA">
          <w:rPr>
            <w:rStyle w:val="Hyperlink"/>
            <w:i w:val="0"/>
            <w:sz w:val="20"/>
            <w:szCs w:val="20"/>
            <w:u w:val="none"/>
          </w:rPr>
          <w:t>Responsive Reserve Payment</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_Toc135990695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4-126</w:t>
        </w:r>
        <w:r w:rsidR="00A82EF4" w:rsidRPr="005506CA">
          <w:rPr>
            <w:i w:val="0"/>
            <w:webHidden/>
            <w:sz w:val="20"/>
            <w:szCs w:val="20"/>
          </w:rPr>
          <w:fldChar w:fldCharType="end"/>
        </w:r>
      </w:hyperlink>
    </w:p>
    <w:p w14:paraId="43D09931" w14:textId="1D18FD1B" w:rsidR="00A82EF4" w:rsidRPr="005506CA" w:rsidRDefault="005506CA" w:rsidP="006D5105">
      <w:pPr>
        <w:pStyle w:val="TOC5"/>
        <w:rPr>
          <w:rFonts w:eastAsiaTheme="minorEastAsia"/>
          <w:i w:val="0"/>
          <w:sz w:val="20"/>
          <w:szCs w:val="20"/>
        </w:rPr>
      </w:pPr>
      <w:hyperlink w:anchor="_Toc135990696" w:history="1">
        <w:r w:rsidR="00A82EF4" w:rsidRPr="005506CA">
          <w:rPr>
            <w:rStyle w:val="Hyperlink"/>
            <w:i w:val="0"/>
            <w:sz w:val="20"/>
            <w:szCs w:val="20"/>
            <w:u w:val="none"/>
          </w:rPr>
          <w:t>4.6.4.1.4</w:t>
        </w:r>
        <w:r w:rsidR="00A82EF4" w:rsidRPr="005506CA">
          <w:rPr>
            <w:rFonts w:eastAsiaTheme="minorEastAsia"/>
            <w:i w:val="0"/>
            <w:sz w:val="20"/>
            <w:szCs w:val="20"/>
          </w:rPr>
          <w:tab/>
        </w:r>
        <w:r w:rsidR="00A82EF4" w:rsidRPr="005506CA">
          <w:rPr>
            <w:rStyle w:val="Hyperlink"/>
            <w:i w:val="0"/>
            <w:sz w:val="20"/>
            <w:szCs w:val="20"/>
            <w:u w:val="none"/>
          </w:rPr>
          <w:t>Non-Spinning Reserve Service Payment</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_Toc135990696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4-127</w:t>
        </w:r>
        <w:r w:rsidR="00A82EF4" w:rsidRPr="005506CA">
          <w:rPr>
            <w:i w:val="0"/>
            <w:webHidden/>
            <w:sz w:val="20"/>
            <w:szCs w:val="20"/>
          </w:rPr>
          <w:fldChar w:fldCharType="end"/>
        </w:r>
      </w:hyperlink>
    </w:p>
    <w:p w14:paraId="3491B927" w14:textId="04549541" w:rsidR="00A82EF4" w:rsidRPr="005506CA" w:rsidRDefault="005506CA" w:rsidP="006D5105">
      <w:pPr>
        <w:pStyle w:val="TOC5"/>
        <w:rPr>
          <w:rFonts w:eastAsiaTheme="minorEastAsia"/>
          <w:i w:val="0"/>
          <w:sz w:val="20"/>
          <w:szCs w:val="20"/>
        </w:rPr>
      </w:pPr>
      <w:hyperlink w:anchor="_Toc135990697" w:history="1">
        <w:r w:rsidR="00A82EF4" w:rsidRPr="005506CA">
          <w:rPr>
            <w:rStyle w:val="Hyperlink"/>
            <w:i w:val="0"/>
            <w:sz w:val="20"/>
            <w:szCs w:val="20"/>
            <w:u w:val="none"/>
          </w:rPr>
          <w:t>4.6.4.1.5</w:t>
        </w:r>
        <w:r w:rsidR="00A82EF4" w:rsidRPr="005506CA">
          <w:rPr>
            <w:rFonts w:eastAsiaTheme="minorEastAsia"/>
            <w:i w:val="0"/>
            <w:sz w:val="20"/>
            <w:szCs w:val="20"/>
          </w:rPr>
          <w:tab/>
        </w:r>
        <w:r w:rsidR="00A82EF4" w:rsidRPr="005506CA">
          <w:rPr>
            <w:rStyle w:val="Hyperlink"/>
            <w:i w:val="0"/>
            <w:sz w:val="20"/>
            <w:szCs w:val="20"/>
            <w:u w:val="none"/>
          </w:rPr>
          <w:t xml:space="preserve"> ERCOT Contingency Reserve Service Payment</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_Toc135990697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4-129</w:t>
        </w:r>
        <w:r w:rsidR="00A82EF4" w:rsidRPr="005506CA">
          <w:rPr>
            <w:i w:val="0"/>
            <w:webHidden/>
            <w:sz w:val="20"/>
            <w:szCs w:val="20"/>
          </w:rPr>
          <w:fldChar w:fldCharType="end"/>
        </w:r>
      </w:hyperlink>
    </w:p>
    <w:p w14:paraId="5578EA87" w14:textId="1EEA91A3" w:rsidR="00A82EF4" w:rsidRPr="005506CA" w:rsidRDefault="005506CA" w:rsidP="00B3531E">
      <w:pPr>
        <w:pStyle w:val="TOC4"/>
        <w:rPr>
          <w:rFonts w:eastAsiaTheme="minorEastAsia"/>
          <w:noProof/>
          <w:sz w:val="20"/>
          <w:szCs w:val="20"/>
        </w:rPr>
      </w:pPr>
      <w:hyperlink w:anchor="_Toc135990698" w:history="1">
        <w:r w:rsidR="00A82EF4" w:rsidRPr="005506CA">
          <w:rPr>
            <w:rStyle w:val="Hyperlink"/>
            <w:noProof/>
            <w:sz w:val="20"/>
            <w:szCs w:val="20"/>
            <w:u w:val="none"/>
          </w:rPr>
          <w:t>4.6.4.2</w:t>
        </w:r>
        <w:r w:rsidR="00A82EF4" w:rsidRPr="005506CA">
          <w:rPr>
            <w:rFonts w:eastAsiaTheme="minorEastAsia"/>
            <w:noProof/>
            <w:sz w:val="20"/>
            <w:szCs w:val="20"/>
          </w:rPr>
          <w:tab/>
        </w:r>
        <w:r w:rsidR="00A82EF4" w:rsidRPr="005506CA">
          <w:rPr>
            <w:rStyle w:val="Hyperlink"/>
            <w:noProof/>
            <w:sz w:val="20"/>
            <w:szCs w:val="20"/>
            <w:u w:val="none"/>
          </w:rPr>
          <w:t>Charges for Ancillary Services Procurement in the DAM</w:t>
        </w:r>
        <w:r w:rsidR="00A82EF4" w:rsidRPr="005506CA">
          <w:rPr>
            <w:noProof/>
            <w:webHidden/>
            <w:sz w:val="20"/>
            <w:szCs w:val="20"/>
          </w:rPr>
          <w:tab/>
        </w:r>
        <w:r w:rsidR="00A82EF4" w:rsidRPr="005506CA">
          <w:rPr>
            <w:noProof/>
            <w:webHidden/>
            <w:sz w:val="20"/>
            <w:szCs w:val="20"/>
          </w:rPr>
          <w:fldChar w:fldCharType="begin"/>
        </w:r>
        <w:r w:rsidR="00A82EF4" w:rsidRPr="005506CA">
          <w:rPr>
            <w:noProof/>
            <w:webHidden/>
            <w:sz w:val="20"/>
            <w:szCs w:val="20"/>
          </w:rPr>
          <w:instrText xml:space="preserve"> PAGEREF _Toc135990698 \h </w:instrText>
        </w:r>
        <w:r w:rsidR="00A82EF4" w:rsidRPr="005506CA">
          <w:rPr>
            <w:noProof/>
            <w:webHidden/>
            <w:sz w:val="20"/>
            <w:szCs w:val="20"/>
          </w:rPr>
        </w:r>
        <w:r w:rsidR="00A82EF4" w:rsidRPr="005506CA">
          <w:rPr>
            <w:noProof/>
            <w:webHidden/>
            <w:sz w:val="20"/>
            <w:szCs w:val="20"/>
          </w:rPr>
          <w:fldChar w:fldCharType="separate"/>
        </w:r>
        <w:r w:rsidRPr="005506CA">
          <w:rPr>
            <w:noProof/>
            <w:webHidden/>
            <w:sz w:val="20"/>
            <w:szCs w:val="20"/>
          </w:rPr>
          <w:t>4-130</w:t>
        </w:r>
        <w:r w:rsidR="00A82EF4" w:rsidRPr="005506CA">
          <w:rPr>
            <w:noProof/>
            <w:webHidden/>
            <w:sz w:val="20"/>
            <w:szCs w:val="20"/>
          </w:rPr>
          <w:fldChar w:fldCharType="end"/>
        </w:r>
      </w:hyperlink>
    </w:p>
    <w:p w14:paraId="1ACA2353" w14:textId="07EC426C" w:rsidR="00A82EF4" w:rsidRPr="005506CA" w:rsidRDefault="005506CA" w:rsidP="006D5105">
      <w:pPr>
        <w:pStyle w:val="TOC5"/>
        <w:rPr>
          <w:rFonts w:eastAsiaTheme="minorEastAsia"/>
          <w:i w:val="0"/>
          <w:sz w:val="20"/>
          <w:szCs w:val="20"/>
        </w:rPr>
      </w:pPr>
      <w:hyperlink w:anchor="_Toc135990699" w:history="1">
        <w:r w:rsidR="00A82EF4" w:rsidRPr="005506CA">
          <w:rPr>
            <w:rStyle w:val="Hyperlink"/>
            <w:i w:val="0"/>
            <w:sz w:val="20"/>
            <w:szCs w:val="20"/>
            <w:u w:val="none"/>
          </w:rPr>
          <w:t>4.6.4.2.1</w:t>
        </w:r>
        <w:r w:rsidR="00A82EF4" w:rsidRPr="005506CA">
          <w:rPr>
            <w:rFonts w:eastAsiaTheme="minorEastAsia"/>
            <w:i w:val="0"/>
            <w:sz w:val="20"/>
            <w:szCs w:val="20"/>
          </w:rPr>
          <w:tab/>
        </w:r>
        <w:r w:rsidR="00A82EF4" w:rsidRPr="005506CA">
          <w:rPr>
            <w:rStyle w:val="Hyperlink"/>
            <w:i w:val="0"/>
            <w:sz w:val="20"/>
            <w:szCs w:val="20"/>
            <w:u w:val="none"/>
          </w:rPr>
          <w:t>Regulation Up Service Charge</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_Toc135990699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4-130</w:t>
        </w:r>
        <w:r w:rsidR="00A82EF4" w:rsidRPr="005506CA">
          <w:rPr>
            <w:i w:val="0"/>
            <w:webHidden/>
            <w:sz w:val="20"/>
            <w:szCs w:val="20"/>
          </w:rPr>
          <w:fldChar w:fldCharType="end"/>
        </w:r>
      </w:hyperlink>
    </w:p>
    <w:p w14:paraId="57B9D84E" w14:textId="1D657BEE" w:rsidR="00A82EF4" w:rsidRPr="005506CA" w:rsidRDefault="005506CA" w:rsidP="006D5105">
      <w:pPr>
        <w:pStyle w:val="TOC5"/>
        <w:rPr>
          <w:rFonts w:eastAsiaTheme="minorEastAsia"/>
          <w:i w:val="0"/>
          <w:sz w:val="20"/>
          <w:szCs w:val="20"/>
        </w:rPr>
      </w:pPr>
      <w:hyperlink w:anchor="_Toc135990700" w:history="1">
        <w:r w:rsidR="00A82EF4" w:rsidRPr="005506CA">
          <w:rPr>
            <w:rStyle w:val="Hyperlink"/>
            <w:i w:val="0"/>
            <w:sz w:val="20"/>
            <w:szCs w:val="20"/>
            <w:u w:val="none"/>
          </w:rPr>
          <w:t>4.6.4.2.2</w:t>
        </w:r>
        <w:r w:rsidR="00A82EF4" w:rsidRPr="005506CA">
          <w:rPr>
            <w:rFonts w:eastAsiaTheme="minorEastAsia"/>
            <w:i w:val="0"/>
            <w:sz w:val="20"/>
            <w:szCs w:val="20"/>
          </w:rPr>
          <w:tab/>
        </w:r>
        <w:r w:rsidR="00A82EF4" w:rsidRPr="005506CA">
          <w:rPr>
            <w:rStyle w:val="Hyperlink"/>
            <w:i w:val="0"/>
            <w:sz w:val="20"/>
            <w:szCs w:val="20"/>
            <w:u w:val="none"/>
          </w:rPr>
          <w:t>Regulation Down Service Charge</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_Toc135990700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4-132</w:t>
        </w:r>
        <w:r w:rsidR="00A82EF4" w:rsidRPr="005506CA">
          <w:rPr>
            <w:i w:val="0"/>
            <w:webHidden/>
            <w:sz w:val="20"/>
            <w:szCs w:val="20"/>
          </w:rPr>
          <w:fldChar w:fldCharType="end"/>
        </w:r>
      </w:hyperlink>
    </w:p>
    <w:p w14:paraId="0FAC082C" w14:textId="22B50CA9" w:rsidR="00A82EF4" w:rsidRPr="005506CA" w:rsidRDefault="005506CA" w:rsidP="006D5105">
      <w:pPr>
        <w:pStyle w:val="TOC5"/>
        <w:rPr>
          <w:rFonts w:eastAsiaTheme="minorEastAsia"/>
          <w:i w:val="0"/>
          <w:sz w:val="20"/>
          <w:szCs w:val="20"/>
        </w:rPr>
      </w:pPr>
      <w:hyperlink w:anchor="_Toc135990701" w:history="1">
        <w:r w:rsidR="00A82EF4" w:rsidRPr="005506CA">
          <w:rPr>
            <w:rStyle w:val="Hyperlink"/>
            <w:i w:val="0"/>
            <w:sz w:val="20"/>
            <w:szCs w:val="20"/>
            <w:u w:val="none"/>
          </w:rPr>
          <w:t>4.6.4.2.3</w:t>
        </w:r>
        <w:r w:rsidR="00A82EF4" w:rsidRPr="005506CA">
          <w:rPr>
            <w:rFonts w:eastAsiaTheme="minorEastAsia"/>
            <w:i w:val="0"/>
            <w:sz w:val="20"/>
            <w:szCs w:val="20"/>
          </w:rPr>
          <w:tab/>
        </w:r>
        <w:r w:rsidR="00A82EF4" w:rsidRPr="005506CA">
          <w:rPr>
            <w:rStyle w:val="Hyperlink"/>
            <w:i w:val="0"/>
            <w:sz w:val="20"/>
            <w:szCs w:val="20"/>
            <w:u w:val="none"/>
          </w:rPr>
          <w:t>Responsive Reserve Charge</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_Toc135990701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4-134</w:t>
        </w:r>
        <w:r w:rsidR="00A82EF4" w:rsidRPr="005506CA">
          <w:rPr>
            <w:i w:val="0"/>
            <w:webHidden/>
            <w:sz w:val="20"/>
            <w:szCs w:val="20"/>
          </w:rPr>
          <w:fldChar w:fldCharType="end"/>
        </w:r>
      </w:hyperlink>
    </w:p>
    <w:p w14:paraId="55C23FAC" w14:textId="6FABF249" w:rsidR="00A82EF4" w:rsidRPr="005506CA" w:rsidRDefault="005506CA" w:rsidP="006D5105">
      <w:pPr>
        <w:pStyle w:val="TOC5"/>
        <w:rPr>
          <w:rFonts w:eastAsiaTheme="minorEastAsia"/>
          <w:i w:val="0"/>
          <w:sz w:val="20"/>
          <w:szCs w:val="20"/>
        </w:rPr>
      </w:pPr>
      <w:hyperlink w:anchor="_Toc135990702" w:history="1">
        <w:r w:rsidR="00A82EF4" w:rsidRPr="005506CA">
          <w:rPr>
            <w:rStyle w:val="Hyperlink"/>
            <w:i w:val="0"/>
            <w:sz w:val="20"/>
            <w:szCs w:val="20"/>
            <w:u w:val="none"/>
          </w:rPr>
          <w:t>4.6.4.2.4</w:t>
        </w:r>
        <w:r w:rsidR="00A82EF4" w:rsidRPr="005506CA">
          <w:rPr>
            <w:rFonts w:eastAsiaTheme="minorEastAsia"/>
            <w:i w:val="0"/>
            <w:sz w:val="20"/>
            <w:szCs w:val="20"/>
          </w:rPr>
          <w:tab/>
        </w:r>
        <w:r w:rsidR="00A82EF4" w:rsidRPr="005506CA">
          <w:rPr>
            <w:rStyle w:val="Hyperlink"/>
            <w:i w:val="0"/>
            <w:sz w:val="20"/>
            <w:szCs w:val="20"/>
            <w:u w:val="none"/>
          </w:rPr>
          <w:t>Non-Spinning Reserve Service Charge</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_Toc135990702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4-136</w:t>
        </w:r>
        <w:r w:rsidR="00A82EF4" w:rsidRPr="005506CA">
          <w:rPr>
            <w:i w:val="0"/>
            <w:webHidden/>
            <w:sz w:val="20"/>
            <w:szCs w:val="20"/>
          </w:rPr>
          <w:fldChar w:fldCharType="end"/>
        </w:r>
      </w:hyperlink>
    </w:p>
    <w:p w14:paraId="18119276" w14:textId="646A898C" w:rsidR="00A82EF4" w:rsidRPr="005506CA" w:rsidRDefault="005506CA" w:rsidP="006D5105">
      <w:pPr>
        <w:pStyle w:val="TOC5"/>
        <w:rPr>
          <w:rFonts w:eastAsiaTheme="minorEastAsia"/>
          <w:i w:val="0"/>
          <w:sz w:val="20"/>
          <w:szCs w:val="20"/>
        </w:rPr>
      </w:pPr>
      <w:hyperlink w:anchor="_Toc135990703" w:history="1">
        <w:r w:rsidR="00A82EF4" w:rsidRPr="005506CA">
          <w:rPr>
            <w:rStyle w:val="Hyperlink"/>
            <w:i w:val="0"/>
            <w:sz w:val="20"/>
            <w:szCs w:val="20"/>
            <w:u w:val="none"/>
          </w:rPr>
          <w:t>4.6.4.2.5</w:t>
        </w:r>
        <w:r w:rsidR="00A82EF4" w:rsidRPr="005506CA">
          <w:rPr>
            <w:rFonts w:eastAsiaTheme="minorEastAsia"/>
            <w:i w:val="0"/>
            <w:sz w:val="20"/>
            <w:szCs w:val="20"/>
          </w:rPr>
          <w:tab/>
        </w:r>
        <w:r w:rsidR="00A82EF4" w:rsidRPr="005506CA">
          <w:rPr>
            <w:rStyle w:val="Hyperlink"/>
            <w:i w:val="0"/>
            <w:sz w:val="20"/>
            <w:szCs w:val="20"/>
            <w:u w:val="none"/>
          </w:rPr>
          <w:t xml:space="preserve"> ERCOT Contingency Reserve Service Charge</w:t>
        </w:r>
        <w:r w:rsidR="00A82EF4" w:rsidRPr="005506CA">
          <w:rPr>
            <w:i w:val="0"/>
            <w:webHidden/>
            <w:sz w:val="20"/>
            <w:szCs w:val="20"/>
          </w:rPr>
          <w:tab/>
        </w:r>
        <w:r w:rsidR="00A82EF4" w:rsidRPr="005506CA">
          <w:rPr>
            <w:i w:val="0"/>
            <w:webHidden/>
            <w:sz w:val="20"/>
            <w:szCs w:val="20"/>
          </w:rPr>
          <w:fldChar w:fldCharType="begin"/>
        </w:r>
        <w:r w:rsidR="00A82EF4" w:rsidRPr="005506CA">
          <w:rPr>
            <w:i w:val="0"/>
            <w:webHidden/>
            <w:sz w:val="20"/>
            <w:szCs w:val="20"/>
          </w:rPr>
          <w:instrText xml:space="preserve"> PAGEREF _Toc135990703 \h </w:instrText>
        </w:r>
        <w:r w:rsidR="00A82EF4" w:rsidRPr="005506CA">
          <w:rPr>
            <w:i w:val="0"/>
            <w:webHidden/>
            <w:sz w:val="20"/>
            <w:szCs w:val="20"/>
          </w:rPr>
        </w:r>
        <w:r w:rsidR="00A82EF4" w:rsidRPr="005506CA">
          <w:rPr>
            <w:i w:val="0"/>
            <w:webHidden/>
            <w:sz w:val="20"/>
            <w:szCs w:val="20"/>
          </w:rPr>
          <w:fldChar w:fldCharType="separate"/>
        </w:r>
        <w:r w:rsidRPr="005506CA">
          <w:rPr>
            <w:i w:val="0"/>
            <w:webHidden/>
            <w:sz w:val="20"/>
            <w:szCs w:val="20"/>
          </w:rPr>
          <w:t>4-138</w:t>
        </w:r>
        <w:r w:rsidR="00A82EF4" w:rsidRPr="005506CA">
          <w:rPr>
            <w:i w:val="0"/>
            <w:webHidden/>
            <w:sz w:val="20"/>
            <w:szCs w:val="20"/>
          </w:rPr>
          <w:fldChar w:fldCharType="end"/>
        </w:r>
      </w:hyperlink>
    </w:p>
    <w:p w14:paraId="752C7EB3" w14:textId="5F223A32" w:rsidR="00A82EF4" w:rsidRPr="005506CA" w:rsidRDefault="005506CA">
      <w:pPr>
        <w:pStyle w:val="TOC3"/>
        <w:rPr>
          <w:rFonts w:eastAsiaTheme="minorEastAsia"/>
          <w:i w:val="0"/>
          <w:iCs w:val="0"/>
          <w:noProof/>
        </w:rPr>
      </w:pPr>
      <w:hyperlink w:anchor="_Toc135990704" w:history="1">
        <w:r w:rsidR="00A82EF4" w:rsidRPr="005506CA">
          <w:rPr>
            <w:rStyle w:val="Hyperlink"/>
            <w:i w:val="0"/>
            <w:iCs w:val="0"/>
            <w:noProof/>
            <w:u w:val="none"/>
          </w:rPr>
          <w:t>4.6.5</w:t>
        </w:r>
        <w:r w:rsidR="00A82EF4" w:rsidRPr="005506CA">
          <w:rPr>
            <w:rFonts w:eastAsiaTheme="minorEastAsia"/>
            <w:i w:val="0"/>
            <w:iCs w:val="0"/>
            <w:noProof/>
          </w:rPr>
          <w:tab/>
        </w:r>
        <w:r w:rsidR="00A82EF4" w:rsidRPr="005506CA">
          <w:rPr>
            <w:rStyle w:val="Hyperlink"/>
            <w:i w:val="0"/>
            <w:iCs w:val="0"/>
            <w:noProof/>
            <w:u w:val="none"/>
          </w:rPr>
          <w:t>Calculation of “Average Incremental Energy Cost” (AIEC)</w:t>
        </w:r>
        <w:r w:rsidR="00A82EF4" w:rsidRPr="005506CA">
          <w:rPr>
            <w:i w:val="0"/>
            <w:iCs w:val="0"/>
            <w:noProof/>
            <w:webHidden/>
          </w:rPr>
          <w:tab/>
        </w:r>
        <w:r w:rsidR="00A82EF4" w:rsidRPr="005506CA">
          <w:rPr>
            <w:i w:val="0"/>
            <w:iCs w:val="0"/>
            <w:noProof/>
            <w:webHidden/>
          </w:rPr>
          <w:fldChar w:fldCharType="begin"/>
        </w:r>
        <w:r w:rsidR="00A82EF4" w:rsidRPr="005506CA">
          <w:rPr>
            <w:i w:val="0"/>
            <w:iCs w:val="0"/>
            <w:noProof/>
            <w:webHidden/>
          </w:rPr>
          <w:instrText xml:space="preserve"> PAGEREF _Toc135990704 \h </w:instrText>
        </w:r>
        <w:r w:rsidR="00A82EF4" w:rsidRPr="005506CA">
          <w:rPr>
            <w:i w:val="0"/>
            <w:iCs w:val="0"/>
            <w:noProof/>
            <w:webHidden/>
          </w:rPr>
        </w:r>
        <w:r w:rsidR="00A82EF4" w:rsidRPr="005506CA">
          <w:rPr>
            <w:i w:val="0"/>
            <w:iCs w:val="0"/>
            <w:noProof/>
            <w:webHidden/>
          </w:rPr>
          <w:fldChar w:fldCharType="separate"/>
        </w:r>
        <w:r w:rsidRPr="005506CA">
          <w:rPr>
            <w:i w:val="0"/>
            <w:iCs w:val="0"/>
            <w:noProof/>
            <w:webHidden/>
          </w:rPr>
          <w:t>4-140</w:t>
        </w:r>
        <w:r w:rsidR="00A82EF4" w:rsidRPr="005506CA">
          <w:rPr>
            <w:i w:val="0"/>
            <w:iCs w:val="0"/>
            <w:noProof/>
            <w:webHidden/>
          </w:rPr>
          <w:fldChar w:fldCharType="end"/>
        </w:r>
      </w:hyperlink>
    </w:p>
    <w:p w14:paraId="18AD648D" w14:textId="47057DF5" w:rsidR="00FF2129" w:rsidRDefault="00C32A61">
      <w:pPr>
        <w:rPr>
          <w:b/>
        </w:rPr>
        <w:sectPr w:rsidR="00FF2129" w:rsidSect="00C4728E">
          <w:headerReference w:type="default" r:id="rId10"/>
          <w:footerReference w:type="even" r:id="rId11"/>
          <w:footerReference w:type="default" r:id="rId12"/>
          <w:pgSz w:w="12240" w:h="15840"/>
          <w:pgMar w:top="1440" w:right="1440" w:bottom="1440" w:left="1440" w:header="720" w:footer="720" w:gutter="0"/>
          <w:cols w:space="720"/>
          <w:docGrid w:linePitch="360"/>
        </w:sectPr>
      </w:pPr>
      <w:r>
        <w:rPr>
          <w:bCs/>
          <w:i/>
        </w:rPr>
        <w:fldChar w:fldCharType="end"/>
      </w:r>
    </w:p>
    <w:p w14:paraId="4EF72C25" w14:textId="77777777" w:rsidR="00FF2129" w:rsidRDefault="00482EF3">
      <w:pPr>
        <w:pStyle w:val="Heading1"/>
        <w:tabs>
          <w:tab w:val="clear" w:pos="360"/>
          <w:tab w:val="num" w:pos="714"/>
        </w:tabs>
      </w:pPr>
      <w:bookmarkStart w:id="0" w:name="_Toc90197082"/>
      <w:bookmarkStart w:id="1" w:name="_Toc142108882"/>
      <w:bookmarkStart w:id="2" w:name="_Toc142113730"/>
      <w:bookmarkStart w:id="3" w:name="_Toc402345555"/>
      <w:bookmarkStart w:id="4" w:name="_Toc405383838"/>
      <w:bookmarkStart w:id="5" w:name="_Toc405536940"/>
      <w:bookmarkStart w:id="6" w:name="_Toc440871727"/>
      <w:bookmarkStart w:id="7" w:name="_Toc135990597"/>
      <w:r>
        <w:lastRenderedPageBreak/>
        <w:t xml:space="preserve">Day-Ahead </w:t>
      </w:r>
      <w:bookmarkEnd w:id="0"/>
      <w:r>
        <w:t>Operations</w:t>
      </w:r>
      <w:bookmarkEnd w:id="1"/>
      <w:bookmarkEnd w:id="2"/>
      <w:bookmarkEnd w:id="3"/>
      <w:bookmarkEnd w:id="4"/>
      <w:bookmarkEnd w:id="5"/>
      <w:bookmarkEnd w:id="6"/>
      <w:bookmarkEnd w:id="7"/>
    </w:p>
    <w:p w14:paraId="7B6566BF" w14:textId="77777777" w:rsidR="00FF2129" w:rsidRDefault="00482EF3" w:rsidP="004555CF">
      <w:pPr>
        <w:pStyle w:val="H2"/>
        <w:numPr>
          <w:ilvl w:val="0"/>
          <w:numId w:val="0"/>
        </w:numPr>
        <w:spacing w:before="480"/>
      </w:pPr>
      <w:bookmarkStart w:id="8" w:name="_Toc90197083"/>
      <w:bookmarkStart w:id="9" w:name="_Toc142108883"/>
      <w:bookmarkStart w:id="10" w:name="_Toc142113731"/>
      <w:bookmarkStart w:id="11" w:name="_Toc402345556"/>
      <w:bookmarkStart w:id="12" w:name="_Toc405383839"/>
      <w:bookmarkStart w:id="13" w:name="_Toc405536941"/>
      <w:bookmarkStart w:id="14" w:name="_Toc440871728"/>
      <w:bookmarkStart w:id="15" w:name="_Toc135990598"/>
      <w:r>
        <w:t>4.1</w:t>
      </w:r>
      <w:r>
        <w:tab/>
        <w:t>Introduction</w:t>
      </w:r>
      <w:bookmarkEnd w:id="8"/>
      <w:bookmarkEnd w:id="9"/>
      <w:bookmarkEnd w:id="10"/>
      <w:bookmarkEnd w:id="11"/>
      <w:bookmarkEnd w:id="12"/>
      <w:bookmarkEnd w:id="13"/>
      <w:bookmarkEnd w:id="14"/>
      <w:bookmarkEnd w:id="15"/>
      <w:r>
        <w:t xml:space="preserve"> </w:t>
      </w:r>
    </w:p>
    <w:p w14:paraId="7C23AF62" w14:textId="77777777" w:rsidR="00FF2129" w:rsidRDefault="00482EF3">
      <w:pPr>
        <w:pStyle w:val="BodyTextNumbered"/>
      </w:pPr>
      <w:r>
        <w:t>(1)</w:t>
      </w:r>
      <w:r>
        <w:tab/>
        <w:t xml:space="preserve">The Day-Ahead Market (DAM) is a daily, co-optimized market in the Day-Ahead for Ancillary Service capacity and forward financial energy </w:t>
      </w:r>
      <w:r w:rsidR="005D4DD6">
        <w:t xml:space="preserve">and congestion </w:t>
      </w:r>
      <w:r>
        <w:t xml:space="preserve">transactions.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90B65" w:rsidRPr="004B32CF" w14:paraId="3AB01D50" w14:textId="77777777" w:rsidTr="00B90B65">
        <w:trPr>
          <w:trHeight w:val="386"/>
        </w:trPr>
        <w:tc>
          <w:tcPr>
            <w:tcW w:w="9350" w:type="dxa"/>
            <w:shd w:val="pct12" w:color="auto" w:fill="auto"/>
          </w:tcPr>
          <w:p w14:paraId="2814B731" w14:textId="72AAED6F" w:rsidR="00B90B65" w:rsidRPr="004B32CF" w:rsidRDefault="00B90B65" w:rsidP="00B11AAC">
            <w:pPr>
              <w:spacing w:before="120" w:after="240"/>
              <w:rPr>
                <w:b/>
                <w:i/>
                <w:iCs/>
              </w:rPr>
            </w:pPr>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3DC49C61" w14:textId="3E2EFC14" w:rsidR="00B90B65" w:rsidRPr="004B32CF" w:rsidRDefault="00B90B65" w:rsidP="00B90B65">
            <w:pPr>
              <w:pStyle w:val="BodyTextNumbered"/>
            </w:pPr>
            <w:r>
              <w:t>(1)</w:t>
            </w:r>
            <w:r>
              <w:tab/>
              <w:t>The Day-Ahead Market (DAM) is a daily, co-optimized market in the Day-Ahead for forward financial energy, Ancillary Services, and congestion transactions.</w:t>
            </w:r>
          </w:p>
        </w:tc>
      </w:tr>
    </w:tbl>
    <w:p w14:paraId="000C4881" w14:textId="6160BECD" w:rsidR="00FF2129" w:rsidRDefault="00482EF3" w:rsidP="00F539C2">
      <w:pPr>
        <w:pStyle w:val="BodyTextNumbered"/>
        <w:spacing w:before="240"/>
      </w:pPr>
      <w:r>
        <w:t>(2)</w:t>
      </w:r>
      <w:r>
        <w:tab/>
        <w:t xml:space="preserve">Participation in the DAM is voluntary. </w:t>
      </w:r>
      <w:bookmarkStart w:id="16" w:name="_Toc90197084"/>
    </w:p>
    <w:p w14:paraId="724620C0" w14:textId="77777777" w:rsidR="00332E46" w:rsidRDefault="00482EF3">
      <w:pPr>
        <w:pStyle w:val="BodyTextNumbered"/>
      </w:pPr>
      <w:r>
        <w:t>(3)</w:t>
      </w:r>
      <w:r>
        <w:tab/>
        <w:t xml:space="preserve">DAM energy settlements use DAM Settlement Point Prices that are calculated for Resource Nodes, Load Zones, and Hubs for a one-hour Settlement Interval using the </w:t>
      </w:r>
      <w:r w:rsidR="00CD0BBF">
        <w:t>Locational Marginal Prices (</w:t>
      </w:r>
      <w:r>
        <w:t>LMPs</w:t>
      </w:r>
      <w:r w:rsidR="00CD0BBF">
        <w:t>)</w:t>
      </w:r>
      <w:r>
        <w:t xml:space="preserve"> from DAM.  In contrast, the Real-Time energy settlements use Real-Time Settlement Point Prices that are calculated for Resource Nodes, Load Zones, and Hubs for a 15-minute Settlement Interval.  </w:t>
      </w:r>
    </w:p>
    <w:p w14:paraId="0763662F" w14:textId="77777777" w:rsidR="006B60E2" w:rsidRDefault="006B60E2">
      <w:pPr>
        <w:pStyle w:val="BodyTextNumbered"/>
      </w:pPr>
      <w:r>
        <w:t>(4)</w:t>
      </w:r>
      <w:r>
        <w:tab/>
      </w:r>
      <w:r w:rsidRPr="00AC08D4">
        <w:t xml:space="preserve">To the extent </w:t>
      </w:r>
      <w:r>
        <w:t>that the ERCOT CEO or designee determines that Market Participant activities have</w:t>
      </w:r>
      <w:r w:rsidRPr="00AC08D4">
        <w:t xml:space="preserve"> produce</w:t>
      </w:r>
      <w:r>
        <w:t xml:space="preserve">d an outcome inconsistent with the efficient operation of the ERCOT administered markets as defined in </w:t>
      </w:r>
      <w:r w:rsidR="007D34B7">
        <w:t>subsection</w:t>
      </w:r>
      <w:r>
        <w:t xml:space="preserve"> (c)(2) of P.U.C. S</w:t>
      </w:r>
      <w:r w:rsidRPr="006B60E2">
        <w:rPr>
          <w:smallCaps/>
        </w:rPr>
        <w:t>ubst</w:t>
      </w:r>
      <w:r>
        <w:t>. R</w:t>
      </w:r>
      <w:r w:rsidR="007D34B7">
        <w:t>.</w:t>
      </w:r>
      <w:r>
        <w:t xml:space="preserve"> 25.503</w:t>
      </w:r>
      <w:r w:rsidRPr="00AC08D4">
        <w:t xml:space="preserve">, </w:t>
      </w:r>
      <w:r>
        <w:t xml:space="preserve">Oversight of Wholesale Market Participants, </w:t>
      </w:r>
      <w:r w:rsidRPr="00AC08D4">
        <w:t>ERCOT</w:t>
      </w:r>
      <w:r>
        <w:t xml:space="preserve"> may prohibit the activity by Notice for a period beginning on the date of the Notice and ending no later than 45 days after the date of the Notice.  ERCOT may issue subsequent Notices on the same activity.  The ERCOT CEO may deem any Nodal Protocol Revision Request (NPRR) designed to correct the activity or issues affecting the activity as Urgent pursuant to Section 21.5, Urgent </w:t>
      </w:r>
      <w:r w:rsidR="0030230F">
        <w:t xml:space="preserve">and Board Priority </w:t>
      </w:r>
      <w:r>
        <w:t>Nodal Protocol Revision Requests</w:t>
      </w:r>
      <w:r w:rsidR="00EA6AFC">
        <w:t xml:space="preserve"> and System Change Requests</w:t>
      </w:r>
      <w:r>
        <w:t>.</w:t>
      </w:r>
      <w:r w:rsidRPr="00AC08D4">
        <w:t xml:space="preserve">   </w:t>
      </w:r>
    </w:p>
    <w:p w14:paraId="0B53C0B7" w14:textId="77777777" w:rsidR="00FF2129" w:rsidRDefault="00482EF3" w:rsidP="004555CF">
      <w:pPr>
        <w:pStyle w:val="H3"/>
        <w:keepNext w:val="0"/>
        <w:spacing w:before="480"/>
      </w:pPr>
      <w:bookmarkStart w:id="17" w:name="_Toc142108884"/>
      <w:bookmarkStart w:id="18" w:name="_Toc142113732"/>
      <w:bookmarkStart w:id="19" w:name="_Toc402345557"/>
      <w:bookmarkStart w:id="20" w:name="_Toc405383840"/>
      <w:bookmarkStart w:id="21" w:name="_Toc405536942"/>
      <w:bookmarkStart w:id="22" w:name="_Toc440871729"/>
      <w:bookmarkStart w:id="23" w:name="_Toc135990599"/>
      <w:r>
        <w:t>4.1.1</w:t>
      </w:r>
      <w:r>
        <w:tab/>
        <w:t>Day-Ahead Timeline</w:t>
      </w:r>
      <w:bookmarkEnd w:id="16"/>
      <w:r>
        <w:t xml:space="preserve"> Summary</w:t>
      </w:r>
      <w:bookmarkEnd w:id="17"/>
      <w:bookmarkEnd w:id="18"/>
      <w:bookmarkEnd w:id="19"/>
      <w:bookmarkEnd w:id="20"/>
      <w:bookmarkEnd w:id="21"/>
      <w:bookmarkEnd w:id="22"/>
      <w:bookmarkEnd w:id="23"/>
    </w:p>
    <w:p w14:paraId="2714E354" w14:textId="77777777" w:rsidR="00FF2129" w:rsidRDefault="00885F47" w:rsidP="003C03CB">
      <w:pPr>
        <w:pStyle w:val="BodyText"/>
      </w:pPr>
      <w:r>
        <w:t>(1)</w:t>
      </w:r>
      <w:r>
        <w:tab/>
      </w:r>
      <w:r w:rsidR="00482EF3">
        <w:t xml:space="preserve">The figure below shows the major activities that </w:t>
      </w:r>
      <w:r w:rsidR="00482EF3">
        <w:rPr>
          <w:rStyle w:val="msoins0"/>
          <w:u w:val="none"/>
        </w:rPr>
        <w:t>occur</w:t>
      </w:r>
      <w:r w:rsidR="00482EF3">
        <w:t xml:space="preserve"> in the Day-Ahead:  </w:t>
      </w:r>
    </w:p>
    <w:p w14:paraId="6761E5DB" w14:textId="77777777" w:rsidR="003C03CB" w:rsidRDefault="003C03CB" w:rsidP="003C03CB">
      <w:pPr>
        <w:pStyle w:val="BodyText"/>
      </w:pPr>
    </w:p>
    <w:p w14:paraId="31BBE251" w14:textId="77777777" w:rsidR="003C03CB" w:rsidRDefault="003C03CB" w:rsidP="003C03CB">
      <w:pPr>
        <w:pStyle w:val="BodyText"/>
      </w:pPr>
    </w:p>
    <w:p w14:paraId="0FE61C83" w14:textId="77777777" w:rsidR="003C03CB" w:rsidRDefault="003C03CB" w:rsidP="003C03CB">
      <w:pPr>
        <w:pStyle w:val="BodyText"/>
      </w:pPr>
    </w:p>
    <w:p w14:paraId="09E09453" w14:textId="77777777" w:rsidR="003C03CB" w:rsidRDefault="003C03CB" w:rsidP="003C03CB">
      <w:pPr>
        <w:pStyle w:val="BodyText"/>
      </w:pPr>
    </w:p>
    <w:p w14:paraId="1A3318B3" w14:textId="77777777" w:rsidR="003C03CB" w:rsidRDefault="003C03CB" w:rsidP="003C03CB">
      <w:pPr>
        <w:pStyle w:val="BodyText"/>
      </w:pPr>
    </w:p>
    <w:p w14:paraId="35475AAD" w14:textId="77777777" w:rsidR="00FF2129" w:rsidRDefault="00DF6616" w:rsidP="006B60E2">
      <w:pPr>
        <w:pStyle w:val="BodyText"/>
        <w:rPr>
          <w:b/>
        </w:rPr>
      </w:pPr>
      <w:r>
        <w:rPr>
          <w:b/>
          <w:noProof/>
        </w:rPr>
        <w:lastRenderedPageBreak/>
        <w:drawing>
          <wp:anchor distT="0" distB="0" distL="114300" distR="114300" simplePos="0" relativeHeight="251663360" behindDoc="0" locked="0" layoutInCell="1" allowOverlap="1" wp14:anchorId="7C41FB22" wp14:editId="0A4C50D9">
            <wp:simplePos x="0" y="0"/>
            <wp:positionH relativeFrom="column">
              <wp:posOffset>-114300</wp:posOffset>
            </wp:positionH>
            <wp:positionV relativeFrom="paragraph">
              <wp:posOffset>15240</wp:posOffset>
            </wp:positionV>
            <wp:extent cx="6172200" cy="4000500"/>
            <wp:effectExtent l="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2200" cy="4000500"/>
                    </a:xfrm>
                    <a:prstGeom prst="rect">
                      <a:avLst/>
                    </a:prstGeom>
                    <a:noFill/>
                  </pic:spPr>
                </pic:pic>
              </a:graphicData>
            </a:graphic>
            <wp14:sizeRelH relativeFrom="page">
              <wp14:pctWidth>0</wp14:pctWidth>
            </wp14:sizeRelH>
            <wp14:sizeRelV relativeFrom="page">
              <wp14:pctHeight>0</wp14:pctHeight>
            </wp14:sizeRelV>
          </wp:anchor>
        </w:drawing>
      </w:r>
    </w:p>
    <w:p w14:paraId="0D6E7BE9" w14:textId="77777777" w:rsidR="00FF2129" w:rsidRDefault="00FF2129" w:rsidP="006B60E2">
      <w:pPr>
        <w:pStyle w:val="BodyText"/>
        <w:rPr>
          <w:b/>
        </w:rPr>
      </w:pPr>
    </w:p>
    <w:p w14:paraId="6294640C" w14:textId="77777777" w:rsidR="00FF2129" w:rsidRDefault="00FF2129" w:rsidP="006B60E2">
      <w:pPr>
        <w:pStyle w:val="BodyText"/>
        <w:rPr>
          <w:b/>
        </w:rPr>
      </w:pPr>
    </w:p>
    <w:p w14:paraId="71CF085B" w14:textId="77777777" w:rsidR="00FF2129" w:rsidRDefault="00FF2129" w:rsidP="006B60E2">
      <w:pPr>
        <w:pStyle w:val="BodyText"/>
        <w:rPr>
          <w:b/>
        </w:rPr>
      </w:pPr>
    </w:p>
    <w:p w14:paraId="2E808FC2" w14:textId="77777777" w:rsidR="00FF2129" w:rsidRDefault="00FF2129">
      <w:pPr>
        <w:pStyle w:val="BodyText"/>
        <w:rPr>
          <w:b/>
        </w:rPr>
      </w:pPr>
    </w:p>
    <w:p w14:paraId="1517D354" w14:textId="77777777" w:rsidR="00FF2129" w:rsidRDefault="00FF2129">
      <w:pPr>
        <w:pStyle w:val="BodyText"/>
      </w:pPr>
    </w:p>
    <w:p w14:paraId="4E130CCA" w14:textId="77777777" w:rsidR="00FF2129" w:rsidRDefault="00FF2129">
      <w:pPr>
        <w:pStyle w:val="H3"/>
        <w:keepNext w:val="0"/>
      </w:pPr>
      <w:bookmarkStart w:id="24" w:name="_Toc90197085"/>
      <w:bookmarkStart w:id="25" w:name="_Toc92524820"/>
      <w:bookmarkStart w:id="26" w:name="_Toc92525495"/>
      <w:bookmarkStart w:id="27" w:name="_Toc92525875"/>
    </w:p>
    <w:p w14:paraId="4BDE81F7" w14:textId="77777777" w:rsidR="00FF2129" w:rsidRDefault="00FF2129">
      <w:pPr>
        <w:pStyle w:val="H3"/>
        <w:keepNext w:val="0"/>
      </w:pPr>
    </w:p>
    <w:p w14:paraId="322CBFBE" w14:textId="77777777" w:rsidR="00FF2129" w:rsidRDefault="00FF2129">
      <w:pPr>
        <w:pStyle w:val="H3"/>
        <w:keepNext w:val="0"/>
      </w:pPr>
    </w:p>
    <w:p w14:paraId="79C49BC9" w14:textId="77777777" w:rsidR="00FF2129" w:rsidRDefault="00FF2129">
      <w:pPr>
        <w:pStyle w:val="H3"/>
        <w:keepNext w:val="0"/>
      </w:pPr>
    </w:p>
    <w:p w14:paraId="06995DF7" w14:textId="77777777" w:rsidR="00FF2129" w:rsidRDefault="00FF2129">
      <w:pPr>
        <w:pStyle w:val="H3"/>
        <w:keepNext w:val="0"/>
        <w:ind w:left="0" w:firstLine="0"/>
      </w:pPr>
    </w:p>
    <w:p w14:paraId="44B68E98" w14:textId="77777777" w:rsidR="00FF2129" w:rsidRDefault="00FF2129">
      <w:pPr>
        <w:pStyle w:val="H3"/>
        <w:keepNext w:val="0"/>
      </w:pPr>
    </w:p>
    <w:p w14:paraId="2A892A19" w14:textId="77777777" w:rsidR="006B60E2" w:rsidRDefault="006B60E2">
      <w:pPr>
        <w:pStyle w:val="H3"/>
      </w:pPr>
      <w:bookmarkStart w:id="28" w:name="_Toc142108885"/>
      <w:bookmarkStart w:id="29" w:name="_Toc142113733"/>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FE5685" w:rsidRPr="004B32CF" w14:paraId="5E3A1D3A" w14:textId="77777777" w:rsidTr="00B11AAC">
        <w:trPr>
          <w:trHeight w:val="386"/>
        </w:trPr>
        <w:tc>
          <w:tcPr>
            <w:tcW w:w="9350" w:type="dxa"/>
            <w:shd w:val="pct12" w:color="auto" w:fill="auto"/>
          </w:tcPr>
          <w:p w14:paraId="048C5636" w14:textId="03FD84F5" w:rsidR="00FE5685" w:rsidRPr="004B32CF" w:rsidRDefault="00FE5685" w:rsidP="00B11AAC">
            <w:pPr>
              <w:spacing w:before="120" w:after="240"/>
              <w:rPr>
                <w:b/>
                <w:i/>
                <w:iCs/>
              </w:rPr>
            </w:pPr>
            <w:bookmarkStart w:id="30" w:name="_Toc402345558"/>
            <w:bookmarkStart w:id="31" w:name="_Toc405383841"/>
            <w:bookmarkStart w:id="32" w:name="_Toc405536943"/>
            <w:bookmarkStart w:id="33" w:name="_Toc440871730"/>
            <w:r>
              <w:rPr>
                <w:b/>
                <w:i/>
                <w:iCs/>
              </w:rPr>
              <w:t>[NPRR1008:  Replace the figure</w:t>
            </w:r>
            <w:r w:rsidRPr="004B32CF">
              <w:rPr>
                <w:b/>
                <w:i/>
                <w:iCs/>
              </w:rPr>
              <w:t xml:space="preserve"> above with the following upon system implementation</w:t>
            </w:r>
            <w:r>
              <w:rPr>
                <w:b/>
                <w:i/>
                <w:iCs/>
              </w:rPr>
              <w:t xml:space="preserve"> of the Real-Time Co-Optimization (RTC) project</w:t>
            </w:r>
            <w:r w:rsidRPr="004B32CF">
              <w:rPr>
                <w:b/>
                <w:i/>
                <w:iCs/>
              </w:rPr>
              <w:t>:]</w:t>
            </w:r>
          </w:p>
          <w:p w14:paraId="16D40114" w14:textId="2C1019BD" w:rsidR="00FE5685" w:rsidRPr="004B32CF" w:rsidRDefault="00EF5A19" w:rsidP="00B11AAC">
            <w:pPr>
              <w:pStyle w:val="BodyTextNumbered"/>
            </w:pPr>
            <w:r>
              <w:rPr>
                <w:noProof/>
              </w:rPr>
              <w:lastRenderedPageBreak/>
              <w:drawing>
                <wp:inline distT="0" distB="0" distL="0" distR="0" wp14:anchorId="00B82C00" wp14:editId="347CA24A">
                  <wp:extent cx="5732780" cy="4007485"/>
                  <wp:effectExtent l="0" t="0" r="1270" b="0"/>
                  <wp:docPr id="34"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4007485"/>
                          </a:xfrm>
                          <a:prstGeom prst="rect">
                            <a:avLst/>
                          </a:prstGeom>
                          <a:noFill/>
                          <a:ln>
                            <a:noFill/>
                          </a:ln>
                        </pic:spPr>
                      </pic:pic>
                    </a:graphicData>
                  </a:graphic>
                </wp:inline>
              </w:drawing>
            </w:r>
          </w:p>
        </w:tc>
      </w:tr>
    </w:tbl>
    <w:p w14:paraId="6B20C27E" w14:textId="6D9D2251" w:rsidR="00FF2129" w:rsidRDefault="00482EF3" w:rsidP="004555CF">
      <w:pPr>
        <w:pStyle w:val="H3"/>
        <w:spacing w:before="480"/>
      </w:pPr>
      <w:bookmarkStart w:id="34" w:name="_Toc135990600"/>
      <w:r>
        <w:lastRenderedPageBreak/>
        <w:t>4.1.2</w:t>
      </w:r>
      <w:r>
        <w:tab/>
        <w:t>Day-Ahead Process and Timing Deviations</w:t>
      </w:r>
      <w:bookmarkEnd w:id="24"/>
      <w:bookmarkEnd w:id="25"/>
      <w:bookmarkEnd w:id="26"/>
      <w:bookmarkEnd w:id="27"/>
      <w:bookmarkEnd w:id="28"/>
      <w:bookmarkEnd w:id="29"/>
      <w:bookmarkEnd w:id="30"/>
      <w:bookmarkEnd w:id="31"/>
      <w:bookmarkEnd w:id="32"/>
      <w:bookmarkEnd w:id="33"/>
      <w:bookmarkEnd w:id="34"/>
    </w:p>
    <w:p w14:paraId="62D24B91" w14:textId="28BC0145" w:rsidR="00FF2129" w:rsidRDefault="00482EF3">
      <w:pPr>
        <w:pStyle w:val="BodyTextNumbered"/>
      </w:pPr>
      <w:r>
        <w:t>(1)</w:t>
      </w:r>
      <w:r>
        <w:tab/>
        <w:t xml:space="preserve">ERCOT may temporarily </w:t>
      </w:r>
      <w:r w:rsidR="00463331">
        <w:t>revise the DAM transaction deadline or the time for communicating DAM results when</w:t>
      </w:r>
      <w:r>
        <w:t xml:space="preserve"> necessary to ensure</w:t>
      </w:r>
      <w:r w:rsidR="00463331">
        <w:t>, to the greatest extent practicable, that the DAM clearing process completes</w:t>
      </w:r>
      <w:r>
        <w:t xml:space="preserve">.  In </w:t>
      </w:r>
      <w:r w:rsidR="00463331">
        <w:t>such an</w:t>
      </w:r>
      <w:r>
        <w:t xml:space="preserve"> event, ERCOT shall immediately issue a</w:t>
      </w:r>
      <w:r w:rsidR="00FC2A23">
        <w:t>n Advisory</w:t>
      </w:r>
      <w:r>
        <w:t xml:space="preserve"> and notify all </w:t>
      </w:r>
      <w:r w:rsidR="00CB4C0F">
        <w:t>Qualified Scheduling Entities (</w:t>
      </w:r>
      <w:r>
        <w:t>QSEs</w:t>
      </w:r>
      <w:r w:rsidR="00CB4C0F">
        <w:t>)</w:t>
      </w:r>
      <w:r>
        <w:t xml:space="preserve"> of the following:  </w:t>
      </w:r>
    </w:p>
    <w:p w14:paraId="38A9D3D1" w14:textId="77777777" w:rsidR="00FF2129" w:rsidRDefault="00482EF3">
      <w:pPr>
        <w:pStyle w:val="List"/>
        <w:ind w:left="1440"/>
      </w:pPr>
      <w:r>
        <w:t>(a)</w:t>
      </w:r>
      <w:r>
        <w:tab/>
        <w:t>Details of the affected timing and procedures;</w:t>
      </w:r>
    </w:p>
    <w:p w14:paraId="662FC01B" w14:textId="4F8984EA" w:rsidR="00FF2129" w:rsidRDefault="00482EF3">
      <w:pPr>
        <w:pStyle w:val="List"/>
        <w:ind w:left="1440"/>
      </w:pPr>
      <w:r>
        <w:t>(b)</w:t>
      </w:r>
      <w:r>
        <w:tab/>
        <w:t>Details of interim requirements</w:t>
      </w:r>
      <w:r w:rsidR="00463331">
        <w:t>, if any exist</w:t>
      </w:r>
      <w:r>
        <w:t>;</w:t>
      </w:r>
    </w:p>
    <w:p w14:paraId="50E9BB14" w14:textId="77777777" w:rsidR="00FF2129" w:rsidRDefault="00482EF3">
      <w:pPr>
        <w:pStyle w:val="List"/>
        <w:ind w:left="1440"/>
      </w:pPr>
      <w:r>
        <w:t>(c)</w:t>
      </w:r>
      <w:r>
        <w:tab/>
        <w:t>An estimate of the period for which the interim requirements apply; and</w:t>
      </w:r>
    </w:p>
    <w:p w14:paraId="31BABDFE" w14:textId="77777777" w:rsidR="00FF2129" w:rsidRDefault="00482EF3">
      <w:pPr>
        <w:pStyle w:val="List"/>
        <w:ind w:left="1440"/>
      </w:pPr>
      <w:r>
        <w:t>(d)</w:t>
      </w:r>
      <w:r>
        <w:tab/>
        <w:t>Reasons for the temporary variation.</w:t>
      </w:r>
    </w:p>
    <w:p w14:paraId="74F217EC" w14:textId="77777777" w:rsidR="00463331" w:rsidRDefault="00463331" w:rsidP="00463331">
      <w:pPr>
        <w:pStyle w:val="BodyTextNumbered"/>
      </w:pPr>
      <w:r>
        <w:t>(2)</w:t>
      </w:r>
      <w:r>
        <w:tab/>
        <w:t xml:space="preserve">Subject to the principles set forth in paragraph (3) below, ERCOT may omit any procedure or take any manual action necessary to ensure, to the greatest extent practicable, that the DAM clearing process completes by 1900 in the Day-Ahead.  Should ERCOT omit any such procedure or take any such manual action, ERCOT will issue a Market Notice no later than 1700 </w:t>
      </w:r>
      <w:r w:rsidRPr="009150E8">
        <w:t xml:space="preserve">Central Prevailing Time </w:t>
      </w:r>
      <w:r>
        <w:t xml:space="preserve">(CPT) on the next Business Day that details the omitted procedures or manual actions taken by ERCOT and </w:t>
      </w:r>
      <w:r>
        <w:lastRenderedPageBreak/>
        <w:t xml:space="preserve">ERCOT’s explanation as to why they were necessary.  If the manual action taken by ERCOT requires ERCOT to omit bids or offers submitted by a particular QSE, ERCOT will provide notification to that QSE prior to taking the manual action, so long as providing such notice will not delay completion of the DAM beyond 1900 in the Day-Ahead.  </w:t>
      </w:r>
    </w:p>
    <w:p w14:paraId="068CB1F9" w14:textId="77777777" w:rsidR="00463331" w:rsidRDefault="00463331" w:rsidP="00463331">
      <w:pPr>
        <w:pStyle w:val="BodyTextNumbered"/>
      </w:pPr>
      <w:r>
        <w:t>(3)</w:t>
      </w:r>
      <w:r>
        <w:tab/>
        <w:t xml:space="preserve">When omitting a procedure or taking a manual action under paragraph (2) above, ERCOT will act in accordance with the following principles:  </w:t>
      </w:r>
    </w:p>
    <w:p w14:paraId="5E944D09" w14:textId="77777777" w:rsidR="00463331" w:rsidRDefault="00463331" w:rsidP="00463331">
      <w:pPr>
        <w:pStyle w:val="BodyTextNumbered"/>
        <w:ind w:left="1440"/>
      </w:pPr>
      <w:r>
        <w:t>(a)</w:t>
      </w:r>
      <w:r>
        <w:tab/>
        <w:t>ERCOT will only act in cases in which it reasonably believes that intervention is necessary in order to complete DAM by 1900;</w:t>
      </w:r>
    </w:p>
    <w:p w14:paraId="7A5C3938" w14:textId="22C2D3D9" w:rsidR="00463331" w:rsidRDefault="00463331" w:rsidP="00463331">
      <w:pPr>
        <w:pStyle w:val="BodyTextNumbered"/>
        <w:ind w:left="1440"/>
      </w:pPr>
      <w:r>
        <w:t>(b)</w:t>
      </w:r>
      <w:r>
        <w:tab/>
        <w:t xml:space="preserve">ERCOT will seek to minimize impacts to Market Participants and will only remove transactions from the DAM as a last resort; </w:t>
      </w:r>
      <w:r w:rsidR="00A872AC">
        <w:t>w</w:t>
      </w:r>
      <w:r w:rsidRPr="00820FC6">
        <w:t>hen ERCOT believes a QSE’s transactions need to be removed, either in whole or in part, in order to complete the DAM clearing process, ERCOT will prioritize the removal in reverse order based on submittal time, where the QSE’s most recently submitted transactions are prioritized before the removal of the earliest submitted transactions; however, the number of transactions removed will be at ERCOT’s discretion, subject to the princip</w:t>
      </w:r>
      <w:r>
        <w:t xml:space="preserve">les set forth in this paragraph; </w:t>
      </w:r>
    </w:p>
    <w:p w14:paraId="3F0C0936" w14:textId="77777777" w:rsidR="00463331" w:rsidRDefault="00463331" w:rsidP="00463331">
      <w:pPr>
        <w:pStyle w:val="BodyTextNumbered"/>
        <w:ind w:left="1440"/>
      </w:pPr>
      <w:r>
        <w:t>(c)</w:t>
      </w:r>
      <w:r>
        <w:tab/>
        <w:t>Approval to act will be obtained from the applicable ERCOT executive or designee; and</w:t>
      </w:r>
    </w:p>
    <w:p w14:paraId="4BCA3DCC" w14:textId="77777777" w:rsidR="00463331" w:rsidRDefault="00463331" w:rsidP="00463331">
      <w:pPr>
        <w:pStyle w:val="BodyTextNumbered"/>
        <w:ind w:left="1440"/>
      </w:pPr>
      <w:r>
        <w:t>(d)</w:t>
      </w:r>
      <w:r>
        <w:tab/>
        <w:t>ERCOT will not publish a DAM in which no transmission constraints are evaluated.</w:t>
      </w:r>
    </w:p>
    <w:p w14:paraId="28B1AB81" w14:textId="58EB8E00" w:rsidR="00463331" w:rsidRPr="00AA5308" w:rsidRDefault="00463331" w:rsidP="00463331">
      <w:pPr>
        <w:pStyle w:val="BodyTextNumbered"/>
      </w:pPr>
      <w:r>
        <w:t>(4)</w:t>
      </w:r>
      <w:r>
        <w:tab/>
        <w:t>Should ERCOT omit a procedure or take manual action pursuant to paragraph (2) above, and a</w:t>
      </w:r>
      <w:r w:rsidRPr="00AA5308">
        <w:t xml:space="preserve"> Market Participant </w:t>
      </w:r>
      <w:r>
        <w:t>is</w:t>
      </w:r>
      <w:r w:rsidRPr="00AA5308">
        <w:t xml:space="preserve"> directly impacted by </w:t>
      </w:r>
      <w:r>
        <w:t>such ERCOT</w:t>
      </w:r>
      <w:r w:rsidRPr="00AA5308">
        <w:t xml:space="preserve"> action or omission</w:t>
      </w:r>
      <w:r>
        <w:t>,</w:t>
      </w:r>
      <w:r w:rsidRPr="00AA5308">
        <w:t xml:space="preserve"> </w:t>
      </w:r>
      <w:r>
        <w:t xml:space="preserve">the Market Participant </w:t>
      </w:r>
      <w:r w:rsidRPr="00AA5308">
        <w:t xml:space="preserve">may seek relief </w:t>
      </w:r>
      <w:r>
        <w:t xml:space="preserve">as specifically </w:t>
      </w:r>
      <w:r w:rsidRPr="00AA5308">
        <w:t xml:space="preserve">provided </w:t>
      </w:r>
      <w:r>
        <w:t>for under</w:t>
      </w:r>
      <w:r w:rsidRPr="00AA5308">
        <w:t xml:space="preserve"> Section 9.14.1</w:t>
      </w:r>
      <w:r>
        <w:t>0,</w:t>
      </w:r>
      <w:r w:rsidRPr="00AA5308">
        <w:t xml:space="preserve"> Settlement for Market Participants Impacted by Omitted Procedures or Manual Actions to Resolve the DAM</w:t>
      </w:r>
      <w:r>
        <w:t xml:space="preserve">.  A Market Participant will only be entitled relief upon ERCOT’s determination that ERCOT’s action or </w:t>
      </w:r>
      <w:r w:rsidRPr="00D96CC4">
        <w:t xml:space="preserve">omission </w:t>
      </w:r>
      <w:r w:rsidRPr="003E4AE8">
        <w:t xml:space="preserve">pursuant to </w:t>
      </w:r>
      <w:r>
        <w:t>paragraph (2) above</w:t>
      </w:r>
      <w:r w:rsidRPr="003E4AE8">
        <w:t xml:space="preserve"> was the sole cause of the Market Participant’s injury, and the monetary value of the direct impact can be accurately determined by ERCOT.</w:t>
      </w:r>
      <w:r w:rsidRPr="009E5CE1">
        <w:rPr>
          <w:rFonts w:ascii="Calibri" w:hAnsi="Calibri" w:cs="Calibri"/>
        </w:rPr>
        <w:t> </w:t>
      </w:r>
      <w:r>
        <w:rPr>
          <w:rFonts w:ascii="Calibri" w:hAnsi="Calibri" w:cs="Calibri"/>
        </w:rPr>
        <w:t xml:space="preserve"> </w:t>
      </w:r>
      <w:r>
        <w:t>Such relief is not available in the case that ERCOT aborts all or part of the Day-Ahead process.  A Market Participant may only seek relief due to ERCOT’s omission of a procedure or manual action under paragraph (2) above in the following circumstances</w:t>
      </w:r>
      <w:r w:rsidRPr="00AA5308">
        <w:t>:</w:t>
      </w:r>
    </w:p>
    <w:p w14:paraId="430D3906" w14:textId="77777777" w:rsidR="00463331" w:rsidRDefault="00463331" w:rsidP="00463331">
      <w:pPr>
        <w:pStyle w:val="BodyTextNumbered"/>
        <w:ind w:left="1440"/>
      </w:pPr>
      <w:r>
        <w:t>(a)</w:t>
      </w:r>
      <w:r>
        <w:tab/>
        <w:t xml:space="preserve">ERCOT removed the Market Participant’s bid(s) or offer(s); </w:t>
      </w:r>
    </w:p>
    <w:p w14:paraId="6D5167C1" w14:textId="77777777" w:rsidR="00463331" w:rsidRDefault="00463331" w:rsidP="00463331">
      <w:pPr>
        <w:pStyle w:val="BodyTextNumbered"/>
        <w:ind w:left="1440"/>
      </w:pPr>
      <w:r>
        <w:t>(b)</w:t>
      </w:r>
      <w:r>
        <w:tab/>
        <w:t>ERCOT failed to award the Market Participant’s bid(s) or offer(s); or</w:t>
      </w:r>
    </w:p>
    <w:p w14:paraId="67064960" w14:textId="77777777" w:rsidR="00463331" w:rsidRDefault="00463331" w:rsidP="00463331">
      <w:pPr>
        <w:pStyle w:val="BodyTextNumbered"/>
        <w:ind w:left="1440"/>
      </w:pPr>
      <w:r>
        <w:t>(c)</w:t>
      </w:r>
      <w:r>
        <w:tab/>
        <w:t>ERCOT de-energized the Market Participant’s Resource(s) in the base case.</w:t>
      </w:r>
    </w:p>
    <w:p w14:paraId="641776F0" w14:textId="252CA8CD" w:rsidR="00FF2129" w:rsidRDefault="00482EF3" w:rsidP="00463331">
      <w:pPr>
        <w:pStyle w:val="BodyTextNumbered"/>
        <w:rPr>
          <w:rStyle w:val="ListIntroductionChar"/>
        </w:rPr>
      </w:pPr>
      <w:r>
        <w:t>(</w:t>
      </w:r>
      <w:r w:rsidR="00463331">
        <w:t>5</w:t>
      </w:r>
      <w:r>
        <w:t>)</w:t>
      </w:r>
      <w:r>
        <w:tab/>
        <w:t>If ERCOT is unable to execute the Day-Ahead process</w:t>
      </w:r>
      <w:r w:rsidR="00463331" w:rsidRPr="00463331">
        <w:t xml:space="preserve"> </w:t>
      </w:r>
      <w:r w:rsidR="00463331">
        <w:t>prior to 1900 in the Day-Ahead</w:t>
      </w:r>
      <w:r>
        <w:t xml:space="preserve">, ERCOT may abort all or part of the Day-Ahead process and require all schedules and </w:t>
      </w:r>
      <w:r>
        <w:lastRenderedPageBreak/>
        <w:t xml:space="preserve">trades to be submitted in the Adjustment Period.  </w:t>
      </w:r>
      <w:r>
        <w:rPr>
          <w:rStyle w:val="msoins0"/>
          <w:u w:val="none"/>
        </w:rPr>
        <w:t xml:space="preserve">In that event, </w:t>
      </w:r>
      <w:r>
        <w:t>ERCOT shall</w:t>
      </w:r>
      <w:r w:rsidR="00FC2A23">
        <w:t xml:space="preserve"> issue a Watch</w:t>
      </w:r>
      <w:r>
        <w:t xml:space="preserve"> </w:t>
      </w:r>
      <w:r>
        <w:rPr>
          <w:rStyle w:val="ListIntroductionChar"/>
        </w:rPr>
        <w:t>and notify all QSEs of the following:</w:t>
      </w:r>
    </w:p>
    <w:p w14:paraId="733AC1D5" w14:textId="77777777" w:rsidR="00FF2129" w:rsidRDefault="00482EF3">
      <w:pPr>
        <w:pStyle w:val="List"/>
        <w:ind w:left="1440"/>
      </w:pPr>
      <w:r>
        <w:t>(a)</w:t>
      </w:r>
      <w:r>
        <w:tab/>
        <w:t>Details of the affected timing and procedures;</w:t>
      </w:r>
    </w:p>
    <w:p w14:paraId="302AF0C1" w14:textId="77777777" w:rsidR="00FF2129" w:rsidRDefault="00482EF3">
      <w:pPr>
        <w:pStyle w:val="List"/>
        <w:ind w:left="1440"/>
      </w:pPr>
      <w:r>
        <w:t>(b)</w:t>
      </w:r>
      <w:r>
        <w:tab/>
        <w:t>Details of any interim requirements</w:t>
      </w:r>
      <w:r w:rsidR="00321F21" w:rsidRPr="000C37F5">
        <w:t>, including the requirements described in Section 5.2.2.2</w:t>
      </w:r>
      <w:r w:rsidR="00321F21">
        <w:t xml:space="preserve">, </w:t>
      </w:r>
      <w:r w:rsidR="00321F21" w:rsidRPr="00196FF9">
        <w:t xml:space="preserve">RUC Process Timeline After </w:t>
      </w:r>
      <w:r w:rsidR="00321F21">
        <w:t>a</w:t>
      </w:r>
      <w:r w:rsidR="00321F21" w:rsidRPr="00196FF9">
        <w:t>n Aborted Day-Ahead</w:t>
      </w:r>
      <w:r w:rsidR="00321F21">
        <w:t xml:space="preserve"> Market</w:t>
      </w:r>
      <w:r>
        <w:t>;</w:t>
      </w:r>
    </w:p>
    <w:p w14:paraId="7A62F700" w14:textId="77777777" w:rsidR="00FF2129" w:rsidRDefault="00482EF3">
      <w:pPr>
        <w:pStyle w:val="List"/>
        <w:ind w:left="1440"/>
      </w:pPr>
      <w:r>
        <w:t>(c)</w:t>
      </w:r>
      <w:r>
        <w:tab/>
        <w:t>An estimate of the period for which the interim requirements apply; and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EF5A19" w:rsidRPr="004B32CF" w14:paraId="038C85C5" w14:textId="77777777" w:rsidTr="00B11AAC">
        <w:trPr>
          <w:trHeight w:val="386"/>
        </w:trPr>
        <w:tc>
          <w:tcPr>
            <w:tcW w:w="9350" w:type="dxa"/>
            <w:shd w:val="pct12" w:color="auto" w:fill="auto"/>
          </w:tcPr>
          <w:p w14:paraId="3E2A9B17" w14:textId="2A924289" w:rsidR="00EF5A19" w:rsidRPr="004B32CF" w:rsidRDefault="00EF5A19" w:rsidP="0048630F">
            <w:pPr>
              <w:spacing w:before="120" w:after="240"/>
            </w:pPr>
            <w:r>
              <w:rPr>
                <w:b/>
                <w:i/>
                <w:iCs/>
              </w:rPr>
              <w:t>[NPRR1008:  Delete items (b) and (c)</w:t>
            </w:r>
            <w:r w:rsidRPr="004B32CF">
              <w:rPr>
                <w:b/>
                <w:i/>
                <w:iCs/>
              </w:rPr>
              <w:t xml:space="preserve"> above</w:t>
            </w:r>
            <w:r w:rsidR="0048630F">
              <w:rPr>
                <w:b/>
                <w:i/>
                <w:iCs/>
              </w:rPr>
              <w:t xml:space="preserve"> </w:t>
            </w:r>
            <w:r w:rsidRPr="004B32CF">
              <w:rPr>
                <w:b/>
                <w:i/>
                <w:iCs/>
              </w:rPr>
              <w:t>upon system implementation</w:t>
            </w:r>
            <w:r>
              <w:rPr>
                <w:b/>
                <w:i/>
                <w:iCs/>
              </w:rPr>
              <w:t xml:space="preserve"> of the Real-Time Co-Optimization (RTC) project</w:t>
            </w:r>
            <w:r w:rsidR="0048630F" w:rsidRPr="004B32CF">
              <w:rPr>
                <w:b/>
                <w:i/>
                <w:iCs/>
              </w:rPr>
              <w:t xml:space="preserve"> </w:t>
            </w:r>
            <w:r w:rsidR="0048630F">
              <w:rPr>
                <w:b/>
                <w:i/>
                <w:iCs/>
              </w:rPr>
              <w:t>and renumber accordingly</w:t>
            </w:r>
            <w:r>
              <w:rPr>
                <w:b/>
                <w:i/>
                <w:iCs/>
              </w:rPr>
              <w:t>.]</w:t>
            </w:r>
          </w:p>
        </w:tc>
      </w:tr>
    </w:tbl>
    <w:p w14:paraId="41AAA181" w14:textId="7F720466" w:rsidR="00FF2129" w:rsidRDefault="00482EF3" w:rsidP="00F539C2">
      <w:pPr>
        <w:pStyle w:val="List"/>
        <w:spacing w:before="240"/>
        <w:ind w:left="1440"/>
      </w:pPr>
      <w:r>
        <w:t>(d)</w:t>
      </w:r>
      <w:r>
        <w:tab/>
        <w:t>Reasons for the temporary variation.</w:t>
      </w:r>
    </w:p>
    <w:p w14:paraId="4A0297EC" w14:textId="6FAB5803" w:rsidR="00FF2129" w:rsidRDefault="00482EF3">
      <w:pPr>
        <w:pStyle w:val="BodyTextNumbered"/>
      </w:pPr>
      <w:r>
        <w:t>(</w:t>
      </w:r>
      <w:r w:rsidR="00463331">
        <w:t>6</w:t>
      </w:r>
      <w:r>
        <w:t>)</w:t>
      </w:r>
      <w:r>
        <w:tab/>
        <w:t>If ERCOT is unable to operate the Adjustment Period process, then ERCOT may abort the Adjustment Period process and operate under its Operating Period procedures.</w:t>
      </w:r>
    </w:p>
    <w:p w14:paraId="608B0C34" w14:textId="77777777" w:rsidR="00FF2129" w:rsidRDefault="00482EF3" w:rsidP="004555CF">
      <w:pPr>
        <w:pStyle w:val="H2"/>
        <w:keepNext w:val="0"/>
        <w:widowControl w:val="0"/>
        <w:numPr>
          <w:ilvl w:val="0"/>
          <w:numId w:val="0"/>
        </w:numPr>
        <w:spacing w:before="480"/>
      </w:pPr>
      <w:bookmarkStart w:id="35" w:name="_Toc90197086"/>
      <w:bookmarkStart w:id="36" w:name="_Toc142108886"/>
      <w:bookmarkStart w:id="37" w:name="_Toc142113734"/>
      <w:bookmarkStart w:id="38" w:name="_Toc402345559"/>
      <w:bookmarkStart w:id="39" w:name="_Toc405383842"/>
      <w:bookmarkStart w:id="40" w:name="_Toc405536944"/>
      <w:bookmarkStart w:id="41" w:name="_Toc440871731"/>
      <w:bookmarkStart w:id="42" w:name="_Toc135990601"/>
      <w:r>
        <w:t>4.2</w:t>
      </w:r>
      <w:r>
        <w:tab/>
        <w:t>ERCOT Activities in the Day-Ahead</w:t>
      </w:r>
      <w:bookmarkEnd w:id="35"/>
      <w:bookmarkEnd w:id="36"/>
      <w:bookmarkEnd w:id="37"/>
      <w:bookmarkEnd w:id="38"/>
      <w:bookmarkEnd w:id="39"/>
      <w:bookmarkEnd w:id="40"/>
      <w:bookmarkEnd w:id="41"/>
      <w:bookmarkEnd w:id="42"/>
    </w:p>
    <w:p w14:paraId="51600E11" w14:textId="77777777" w:rsidR="00FF2129" w:rsidRDefault="00482EF3" w:rsidP="004555CF">
      <w:pPr>
        <w:pStyle w:val="H3"/>
        <w:spacing w:before="480"/>
      </w:pPr>
      <w:bookmarkStart w:id="43" w:name="_Toc90197087"/>
      <w:bookmarkStart w:id="44" w:name="_Toc142108887"/>
      <w:bookmarkStart w:id="45" w:name="_Toc142113735"/>
      <w:bookmarkStart w:id="46" w:name="_Toc402345560"/>
      <w:bookmarkStart w:id="47" w:name="_Toc405383843"/>
      <w:bookmarkStart w:id="48" w:name="_Toc405536945"/>
      <w:bookmarkStart w:id="49" w:name="_Toc440871732"/>
      <w:bookmarkStart w:id="50" w:name="_Toc135990602"/>
      <w:bookmarkStart w:id="51" w:name="_Toc90197092"/>
      <w:r>
        <w:t>4.2.1</w:t>
      </w:r>
      <w:r>
        <w:tab/>
        <w:t>Ancillary Service Plan</w:t>
      </w:r>
      <w:bookmarkEnd w:id="43"/>
      <w:r>
        <w:t xml:space="preserve"> and Ancillary Service Obligation</w:t>
      </w:r>
      <w:bookmarkEnd w:id="44"/>
      <w:bookmarkEnd w:id="45"/>
      <w:bookmarkEnd w:id="46"/>
      <w:bookmarkEnd w:id="47"/>
      <w:bookmarkEnd w:id="48"/>
      <w:bookmarkEnd w:id="49"/>
      <w:bookmarkEnd w:id="50"/>
    </w:p>
    <w:p w14:paraId="6D088095" w14:textId="77777777" w:rsidR="00FF2129" w:rsidRDefault="00482EF3" w:rsidP="004555CF">
      <w:pPr>
        <w:pStyle w:val="H4"/>
        <w:spacing w:before="480"/>
        <w:ind w:left="1267" w:hanging="1267"/>
      </w:pPr>
      <w:bookmarkStart w:id="52" w:name="_Toc92873917"/>
      <w:bookmarkStart w:id="53" w:name="_Toc142108888"/>
      <w:bookmarkStart w:id="54" w:name="_Toc142113736"/>
      <w:bookmarkStart w:id="55" w:name="_Toc402345561"/>
      <w:bookmarkStart w:id="56" w:name="_Toc405383844"/>
      <w:bookmarkStart w:id="57" w:name="_Toc405536946"/>
      <w:bookmarkStart w:id="58" w:name="_Toc440871733"/>
      <w:bookmarkStart w:id="59" w:name="_Toc135990603"/>
      <w:r>
        <w:t>4.2.1.1</w:t>
      </w:r>
      <w:r>
        <w:tab/>
        <w:t>Ancillary Service Plan</w:t>
      </w:r>
      <w:bookmarkEnd w:id="52"/>
      <w:bookmarkEnd w:id="53"/>
      <w:bookmarkEnd w:id="54"/>
      <w:bookmarkEnd w:id="55"/>
      <w:bookmarkEnd w:id="56"/>
      <w:bookmarkEnd w:id="57"/>
      <w:bookmarkEnd w:id="58"/>
      <w:bookmarkEnd w:id="59"/>
    </w:p>
    <w:p w14:paraId="7A39CF3C" w14:textId="33310F29" w:rsidR="00FF2129" w:rsidRDefault="00482EF3">
      <w:pPr>
        <w:pStyle w:val="BodyTextNumbered"/>
      </w:pPr>
      <w:r>
        <w:t>(1)</w:t>
      </w:r>
      <w:r>
        <w:tab/>
        <w:t xml:space="preserve">ERCOT shall analyze the expected Load conditions for the Operating Day and develop an Ancillary Service Plan that identifies the Ancillary Service MW necessary for each hour of the Operating Day.  The MW of each Ancillary Service required may vary from hour to hour depending on ERCOT System conditions.  ERCOT must post the Ancillary Service Plan to the </w:t>
      </w:r>
      <w:r w:rsidR="0066556B">
        <w:rPr>
          <w:iCs w:val="0"/>
          <w:szCs w:val="20"/>
        </w:rPr>
        <w:t>ERCOT website</w:t>
      </w:r>
      <w:r>
        <w:t xml:space="preserve"> by 0600 of the Day-Ahead.</w:t>
      </w:r>
    </w:p>
    <w:p w14:paraId="16D01B6C" w14:textId="58B9C4F7" w:rsidR="00FF2129" w:rsidRDefault="00482EF3">
      <w:pPr>
        <w:pStyle w:val="BodyTextNumbered"/>
      </w:pPr>
      <w:r>
        <w:t>(2)</w:t>
      </w:r>
      <w:r>
        <w:tab/>
        <w:t xml:space="preserve">If ERCOT determines that an Emergency Condition may exist that would adversely </w:t>
      </w:r>
      <w:r>
        <w:rPr>
          <w:rStyle w:val="msoins0"/>
          <w:u w:val="none"/>
        </w:rPr>
        <w:t xml:space="preserve">affect ERCOT </w:t>
      </w:r>
      <w:r>
        <w:t xml:space="preserve">System reliability, it may change the percentage of Load Resources that are allowed to provide </w:t>
      </w:r>
      <w:r w:rsidR="004550E0" w:rsidRPr="00FF1649">
        <w:t>ERCOT Contingency Reserve Service</w:t>
      </w:r>
      <w:r w:rsidR="004550E0" w:rsidRPr="00FF1649">
        <w:rPr>
          <w:iCs w:val="0"/>
        </w:rPr>
        <w:t xml:space="preserve"> (ECRS)</w:t>
      </w:r>
      <w:r w:rsidR="004550E0" w:rsidRPr="00FF1649">
        <w:rPr>
          <w:rStyle w:val="msoins0"/>
          <w:u w:val="none"/>
        </w:rPr>
        <w:t xml:space="preserve"> and </w:t>
      </w:r>
      <w:r>
        <w:rPr>
          <w:rStyle w:val="msoins0"/>
          <w:u w:val="none"/>
        </w:rPr>
        <w:t xml:space="preserve">Responsive Reserve </w:t>
      </w:r>
      <w:r w:rsidR="00D53D40">
        <w:rPr>
          <w:rStyle w:val="msoins0"/>
          <w:u w:val="none"/>
        </w:rPr>
        <w:t>(RRS)</w:t>
      </w:r>
      <w:r w:rsidR="00CD0BBF">
        <w:t xml:space="preserve"> </w:t>
      </w:r>
      <w:r>
        <w:t xml:space="preserve">from the monthly amounts determined previously, as described in Section 3.16, Standards for Determining Ancillary Service Quantities, and must post any change in the percentage to the </w:t>
      </w:r>
      <w:r w:rsidR="0066556B">
        <w:rPr>
          <w:iCs w:val="0"/>
          <w:szCs w:val="20"/>
        </w:rPr>
        <w:t>ERCOT website</w:t>
      </w:r>
      <w:r>
        <w:t xml:space="preserve"> by 0600 of the Day-Ahead.  </w:t>
      </w:r>
    </w:p>
    <w:p w14:paraId="325D55B5" w14:textId="77777777" w:rsidR="00FF2129" w:rsidRDefault="00482EF3" w:rsidP="00A56EA7">
      <w:pPr>
        <w:pStyle w:val="BodyTextNumbered"/>
      </w:pPr>
      <w:r>
        <w:t>(3)</w:t>
      </w:r>
      <w:r>
        <w:tab/>
        <w:t xml:space="preserve">ERCOT shall determine the total required amount of each Ancillary Service under Section 3.16, or use its operational judgment and experience to change the daily quantity of each required Ancillary Service.  </w:t>
      </w:r>
    </w:p>
    <w:p w14:paraId="41ADC431" w14:textId="77777777" w:rsidR="00FF2129" w:rsidRDefault="00482EF3">
      <w:pPr>
        <w:pStyle w:val="BodyTextNumbered"/>
      </w:pPr>
      <w:r>
        <w:t>(4)</w:t>
      </w:r>
      <w:r>
        <w:tab/>
        <w:t xml:space="preserve">ERCOT shall include in the Ancillary Service Plan enough capacity to automatically control frequency with the intent to meet North American Electric Reliability Corporation (NERC) </w:t>
      </w:r>
      <w:r w:rsidR="00CD0BBF">
        <w:t>Reliability S</w:t>
      </w:r>
      <w:r>
        <w:t>tandards.</w:t>
      </w:r>
    </w:p>
    <w:p w14:paraId="50586230" w14:textId="0AE5C3C4" w:rsidR="00EF5A19" w:rsidRDefault="00482EF3">
      <w:pPr>
        <w:pStyle w:val="BodyTextNumbered"/>
      </w:pPr>
      <w:r>
        <w:lastRenderedPageBreak/>
        <w:t>(</w:t>
      </w:r>
      <w:r w:rsidR="002E0760">
        <w:t>5</w:t>
      </w:r>
      <w:r>
        <w:t>)</w:t>
      </w:r>
      <w:r>
        <w:tab/>
        <w:t xml:space="preserve">Once specified by ERCOT for an hour and published on the </w:t>
      </w:r>
      <w:r w:rsidR="0066556B">
        <w:rPr>
          <w:iCs w:val="0"/>
          <w:szCs w:val="20"/>
        </w:rPr>
        <w:t>ERCOT website</w:t>
      </w:r>
      <w:r>
        <w:t xml:space="preserve">, Ancillary Service quantity requirements for an Operating Day may not be decreased.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EF5A19" w:rsidRPr="004B32CF" w14:paraId="37D321E2" w14:textId="77777777" w:rsidTr="00B11AAC">
        <w:trPr>
          <w:trHeight w:val="386"/>
        </w:trPr>
        <w:tc>
          <w:tcPr>
            <w:tcW w:w="9350" w:type="dxa"/>
            <w:shd w:val="pct12" w:color="auto" w:fill="auto"/>
          </w:tcPr>
          <w:p w14:paraId="69BB9D8F" w14:textId="287A6560" w:rsidR="00EF5A19" w:rsidRPr="004B32CF" w:rsidRDefault="00EF5A19" w:rsidP="00B11AAC">
            <w:pPr>
              <w:spacing w:before="120" w:after="240"/>
              <w:rPr>
                <w:b/>
                <w:i/>
                <w:iCs/>
              </w:rPr>
            </w:pPr>
            <w:r>
              <w:rPr>
                <w:b/>
                <w:i/>
                <w:iCs/>
              </w:rPr>
              <w:t>[NPRR1008:  Insert paragraph (6</w:t>
            </w:r>
            <w:r w:rsidRPr="004B32CF">
              <w:rPr>
                <w:b/>
                <w:i/>
                <w:iCs/>
              </w:rPr>
              <w:t xml:space="preserve">) </w:t>
            </w:r>
            <w:r>
              <w:rPr>
                <w:b/>
                <w:i/>
                <w:iCs/>
              </w:rPr>
              <w:t>below</w:t>
            </w:r>
            <w:r w:rsidRPr="004B32CF">
              <w:rPr>
                <w:b/>
                <w:i/>
                <w:iCs/>
              </w:rPr>
              <w:t xml:space="preserve"> upon system implementation</w:t>
            </w:r>
            <w:r>
              <w:rPr>
                <w:b/>
                <w:i/>
                <w:iCs/>
              </w:rPr>
              <w:t xml:space="preserve"> of the Real-Time Co-Optimization (RTC) project</w:t>
            </w:r>
            <w:r w:rsidRPr="004B32CF">
              <w:rPr>
                <w:b/>
                <w:i/>
                <w:iCs/>
              </w:rPr>
              <w:t>:]</w:t>
            </w:r>
          </w:p>
          <w:p w14:paraId="5D9853C9" w14:textId="1960A53E" w:rsidR="00EF5A19" w:rsidRPr="004B32CF" w:rsidRDefault="00EF5A19" w:rsidP="00EF5A19">
            <w:pPr>
              <w:pStyle w:val="BodyTextNumbered"/>
            </w:pPr>
            <w:r>
              <w:t>(6)</w:t>
            </w:r>
            <w:r>
              <w:tab/>
              <w:t xml:space="preserve">ERCOT shall create an Ancillary Service Demand Curve (ASDC) for each Ancillary Service as described in Section 4.4.12, </w:t>
            </w:r>
            <w:r w:rsidRPr="0064544B">
              <w:t>Determination of Ancillary Service Demand</w:t>
            </w:r>
            <w:r>
              <w:t xml:space="preserve"> Curves.  ERCOT must post the ASDCs to the ERCOT website by 0600 of the Day-Ahead.  If ERCOT changes the Ancillary Service Plan per Section 6.4.9.1.2, Changes to Operating Day Ancillary Service Plan, the ASDCs reflecting the change to the Ancillary Service Plan will be posted to the ERCOT website.</w:t>
            </w:r>
          </w:p>
        </w:tc>
      </w:tr>
    </w:tbl>
    <w:p w14:paraId="04E1B8EA" w14:textId="77777777" w:rsidR="00FF2129" w:rsidRDefault="00482EF3" w:rsidP="004555CF">
      <w:pPr>
        <w:pStyle w:val="H4"/>
        <w:spacing w:before="480"/>
        <w:ind w:left="1267" w:hanging="1267"/>
      </w:pPr>
      <w:bookmarkStart w:id="60" w:name="_Toc92873918"/>
      <w:bookmarkStart w:id="61" w:name="_Toc142108889"/>
      <w:bookmarkStart w:id="62" w:name="_Toc142113737"/>
      <w:bookmarkStart w:id="63" w:name="_Toc402345562"/>
      <w:bookmarkStart w:id="64" w:name="_Toc405383845"/>
      <w:bookmarkStart w:id="65" w:name="_Toc405536947"/>
      <w:bookmarkStart w:id="66" w:name="_Toc440871734"/>
      <w:bookmarkStart w:id="67" w:name="_Toc135990604"/>
      <w:r>
        <w:t>4.2.1.2</w:t>
      </w:r>
      <w:r>
        <w:tab/>
        <w:t>Ancillary Service Obligation</w:t>
      </w:r>
      <w:bookmarkEnd w:id="60"/>
      <w:r>
        <w:t xml:space="preserve"> Assignment and Notice</w:t>
      </w:r>
      <w:bookmarkEnd w:id="61"/>
      <w:bookmarkEnd w:id="62"/>
      <w:bookmarkEnd w:id="63"/>
      <w:bookmarkEnd w:id="64"/>
      <w:bookmarkEnd w:id="65"/>
      <w:bookmarkEnd w:id="66"/>
      <w:bookmarkEnd w:id="67"/>
    </w:p>
    <w:p w14:paraId="627F93F1" w14:textId="2E2A10CD" w:rsidR="00FF2129" w:rsidRDefault="0010155B">
      <w:pPr>
        <w:pStyle w:val="BodyTextNumbered"/>
      </w:pPr>
      <w:r>
        <w:t>(1)</w:t>
      </w:r>
      <w:r>
        <w:tab/>
        <w:t xml:space="preserve">ERCOT shall assign part of the Ancillary Service Plan quantity, by service, by hour, to each </w:t>
      </w:r>
      <w:r w:rsidR="00D15672">
        <w:t>Qualified Scheduling Entity (</w:t>
      </w:r>
      <w:r>
        <w:t>QSE</w:t>
      </w:r>
      <w:r w:rsidR="00D15672">
        <w:t>)</w:t>
      </w:r>
      <w:r>
        <w:t xml:space="preserve"> based on its Load Serving Entity (LSE) Load Ratio Shares (LRSs) (including the shares for Direct Current Tie (DC Tie) exports) aggregated by hour to the QSE level.  </w:t>
      </w:r>
      <w:r w:rsidR="00B075CB" w:rsidRPr="00D11690">
        <w:t>If the resultant QSE-level share is negative, the QSE’s share will be set to zero and all other QSE shares will be adjusted on a pro rata basis such that the sum of all shares is equal to one.</w:t>
      </w:r>
      <w:r w:rsidR="00B075CB">
        <w:t xml:space="preserve">  </w:t>
      </w:r>
      <w:r>
        <w:t xml:space="preserve">The resulting Ancillary Service quantity for each QSE, by service, by hour, is called its Ancillary Service Obligation.  ERCOT shall base the QSE Ancillary Service allocation on the QSE to LSE relationships for the operating date and on the hourly LSE LRSs from the Real-Time </w:t>
      </w:r>
      <w:r w:rsidR="00D15672">
        <w:t>M</w:t>
      </w:r>
      <w:r>
        <w:t xml:space="preserve">arket </w:t>
      </w:r>
      <w:r w:rsidR="00D15672">
        <w:t xml:space="preserve">(RTM) </w:t>
      </w:r>
      <w:r>
        <w:t>data used for Initial Settlement for the same hour and day of the week, for the most recent day for which Initial Settlement data is available, multiplied by the quantity of that service required in the Day-Ahead Ancillary Service Plan.  The Ancillary Service Obligation defined shall be adjusted based on the most current real time settlement and resettlement data for the Operating Day for which the Ancillary Service was procured.</w:t>
      </w:r>
      <w:r w:rsidR="00482EF3">
        <w:t xml:space="preserve"> </w:t>
      </w:r>
    </w:p>
    <w:p w14:paraId="535B6176" w14:textId="1DAD13D5" w:rsidR="00FF2129" w:rsidRDefault="00482EF3" w:rsidP="00381CB1">
      <w:pPr>
        <w:pStyle w:val="BodyTextNumbered"/>
      </w:pPr>
      <w:r>
        <w:t>(2)</w:t>
      </w:r>
      <w:r>
        <w:tab/>
        <w:t>By 0600 of the Day-Ahead, ERCOT shall notify each QSE of its Ancillary Service Obligation for each service and for each hour of the Operating Day.</w:t>
      </w:r>
    </w:p>
    <w:p w14:paraId="29717011" w14:textId="017B7F4E" w:rsidR="00182341" w:rsidRDefault="00482EF3" w:rsidP="00B96815">
      <w:pPr>
        <w:pStyle w:val="BodyTextNumbered"/>
      </w:pPr>
      <w:r>
        <w:t>(3)</w:t>
      </w:r>
      <w:r>
        <w:tab/>
        <w:t xml:space="preserve">By 0600 of the Day-Ahead, ERCOT shall post on the </w:t>
      </w:r>
      <w:r w:rsidR="00610CB6">
        <w:t>Market Information System (</w:t>
      </w:r>
      <w:r>
        <w:t>MIS</w:t>
      </w:r>
      <w:r w:rsidR="00610CB6">
        <w:t>)</w:t>
      </w:r>
      <w:r>
        <w:t xml:space="preserve"> Certified Area each QSE’s </w:t>
      </w:r>
      <w:r w:rsidR="005B59D5">
        <w:t>LRS</w:t>
      </w:r>
      <w:r>
        <w:t xml:space="preserve"> used for the Ancillary Service Obligation calculation.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182341" w:rsidRPr="004B32CF" w14:paraId="6920EAC8" w14:textId="77777777" w:rsidTr="00B11AAC">
        <w:trPr>
          <w:trHeight w:val="386"/>
        </w:trPr>
        <w:tc>
          <w:tcPr>
            <w:tcW w:w="9350" w:type="dxa"/>
            <w:shd w:val="pct12" w:color="auto" w:fill="auto"/>
          </w:tcPr>
          <w:p w14:paraId="7FE50A9F" w14:textId="5744C8C2" w:rsidR="00182341" w:rsidRPr="004B32CF" w:rsidRDefault="00182341" w:rsidP="00B11AAC">
            <w:pPr>
              <w:spacing w:before="120" w:after="240"/>
              <w:rPr>
                <w:b/>
                <w:i/>
                <w:iCs/>
              </w:rPr>
            </w:pPr>
            <w:r>
              <w:rPr>
                <w:b/>
                <w:i/>
                <w:iCs/>
              </w:rPr>
              <w:t xml:space="preserve">[NPRR1008:  Replace </w:t>
            </w:r>
            <w:r w:rsidR="00B96815">
              <w:rPr>
                <w:b/>
                <w:i/>
                <w:iCs/>
              </w:rPr>
              <w:t>Section 4.2.1.2</w:t>
            </w:r>
            <w:r w:rsidRPr="004B32CF">
              <w:rPr>
                <w:b/>
                <w:i/>
                <w:iCs/>
              </w:rPr>
              <w:t xml:space="preserve"> </w:t>
            </w:r>
            <w:r>
              <w:rPr>
                <w:b/>
                <w:i/>
                <w:iCs/>
              </w:rPr>
              <w:t>above with the following</w:t>
            </w:r>
            <w:r w:rsidRPr="004B32CF">
              <w:rPr>
                <w:b/>
                <w:i/>
                <w:iCs/>
              </w:rPr>
              <w:t xml:space="preserve"> upon system implementation</w:t>
            </w:r>
            <w:r>
              <w:rPr>
                <w:b/>
                <w:i/>
                <w:iCs/>
              </w:rPr>
              <w:t xml:space="preserve"> of the Real-Time Co-Optimization (RTC) project</w:t>
            </w:r>
            <w:r w:rsidRPr="004B32CF">
              <w:rPr>
                <w:b/>
                <w:i/>
                <w:iCs/>
              </w:rPr>
              <w:t>:]</w:t>
            </w:r>
          </w:p>
          <w:p w14:paraId="535602BB" w14:textId="77777777" w:rsidR="00B96815" w:rsidRDefault="00B96815" w:rsidP="00B96815">
            <w:pPr>
              <w:pStyle w:val="H4"/>
              <w:spacing w:before="480"/>
              <w:ind w:left="1267" w:hanging="1267"/>
            </w:pPr>
            <w:bookmarkStart w:id="68" w:name="_Toc60037941"/>
            <w:bookmarkStart w:id="69" w:name="_Toc65146084"/>
            <w:bookmarkStart w:id="70" w:name="_Toc68164998"/>
            <w:bookmarkStart w:id="71" w:name="_Toc135990605"/>
            <w:r>
              <w:t>4.2.1.2</w:t>
            </w:r>
            <w:r>
              <w:tab/>
              <w:t>Ancillary Service Obligation Assignment and Notice</w:t>
            </w:r>
            <w:bookmarkEnd w:id="68"/>
            <w:bookmarkEnd w:id="69"/>
            <w:bookmarkEnd w:id="70"/>
            <w:bookmarkEnd w:id="71"/>
          </w:p>
          <w:p w14:paraId="70D81762" w14:textId="1ED34A56" w:rsidR="00B96815" w:rsidRDefault="00B96815" w:rsidP="00B96815">
            <w:pPr>
              <w:pStyle w:val="BodyTextNumbered"/>
            </w:pPr>
            <w:r>
              <w:t>(1)</w:t>
            </w:r>
            <w:r>
              <w:tab/>
              <w:t xml:space="preserve">ERCOT shall assign part of the Ancillary Service Plan quantity, or total Ancillary Service procurement quantity, if different, by service, by hour, to each Qualified </w:t>
            </w:r>
            <w:r>
              <w:lastRenderedPageBreak/>
              <w:t xml:space="preserve">Scheduling Entity (QSE) based on its Load Serving Entity (LSE) Load Ratio Shares (LRSs) (including the shares for Direct Current Tie (DC Tie) exports) aggregated by hour to the QSE level.  </w:t>
            </w:r>
            <w:r w:rsidRPr="00D11690">
              <w:t>If the resultant QSE-level share is negative, the QSE’s share will be set to zero and all other QSE shares will be adjusted on a pro rata basis such that the sum of all shares is equal to one.</w:t>
            </w:r>
            <w:r>
              <w:t xml:space="preserve">  The resulting Ancillary Service quantity for each QSE, by service, by hour, is called its Ancillary Service Obligation.  ERCOT shall base the QSE Ancillary Service allocation on the QSE to LSE relationships for the operating date and on the hourly LSE LRSs from the Real-Time Market (RTM) data used for Initial Settlement for the same hour and day of the week, for the most recent day for which Initial Settlement data is available, multiplied by the quantity of that service required in the Day-Ahead Ancillary Service Plan.  The Ancillary Service Obligation defined shall be adjusted based on the most current real time settlement and resettlement data for the Operating Day for which the Ancillary Service was procured.</w:t>
            </w:r>
          </w:p>
          <w:p w14:paraId="61A9233C" w14:textId="2D05F7A0" w:rsidR="00B96815" w:rsidRDefault="00B96815" w:rsidP="00B96815">
            <w:pPr>
              <w:pStyle w:val="BodyTextNumbered"/>
            </w:pPr>
            <w:r>
              <w:t>(2)</w:t>
            </w:r>
            <w:r>
              <w:tab/>
              <w:t>By 0600 of the Day-Ahead, ERCOT shall notify each QSE of its advisory Ancillary Service Obligation for each service and for each hour of the Operating Day, based on the Ancillary Service Plan, as well as that QSE’s proportional limit for any Self-Arranged Ancillary Services as set forth in Section 3.16, Standards for Determining Ancillary Service Quantities.</w:t>
            </w:r>
          </w:p>
          <w:p w14:paraId="18D0E1C2" w14:textId="53D50EC2" w:rsidR="00182341" w:rsidRDefault="00182341" w:rsidP="00B96815">
            <w:pPr>
              <w:pStyle w:val="BodyTextNumbered"/>
            </w:pPr>
            <w:r>
              <w:t>(3)</w:t>
            </w:r>
            <w:r>
              <w:tab/>
              <w:t xml:space="preserve">By 0600 of the Day-Ahead, ERCOT shall post on the </w:t>
            </w:r>
            <w:r w:rsidR="00610CB6">
              <w:t>Market Information System (</w:t>
            </w:r>
            <w:r>
              <w:t>MIS</w:t>
            </w:r>
            <w:r w:rsidR="00610CB6">
              <w:t>)</w:t>
            </w:r>
            <w:r>
              <w:t xml:space="preserve"> Certified Area each QSE’s LRS used for both the advisory and final Ancillary Service Obligation calculations.</w:t>
            </w:r>
            <w:r w:rsidRPr="00502A53">
              <w:t xml:space="preserve"> </w:t>
            </w:r>
          </w:p>
          <w:p w14:paraId="207195FD" w14:textId="77777777" w:rsidR="00182341" w:rsidRDefault="00182341" w:rsidP="00182341">
            <w:pPr>
              <w:pStyle w:val="BodyTextNumbered"/>
            </w:pPr>
            <w:r>
              <w:t>(4)</w:t>
            </w:r>
            <w:r>
              <w:tab/>
            </w:r>
            <w:r w:rsidRPr="00E73990">
              <w:t>The minimum Ancillary Service Obligation quantity will be 0.1 MW and will apply to both advisory and final values.</w:t>
            </w:r>
          </w:p>
          <w:p w14:paraId="10D57CC9" w14:textId="7E8B92AD" w:rsidR="00182341" w:rsidRPr="004B32CF" w:rsidRDefault="00182341" w:rsidP="00182341">
            <w:pPr>
              <w:pStyle w:val="BodyTextNumbered"/>
            </w:pPr>
            <w:r>
              <w:t>(5)</w:t>
            </w:r>
            <w:r>
              <w:tab/>
            </w:r>
            <w:r w:rsidRPr="00FA54B0">
              <w:t xml:space="preserve">After DAM has published, ERCOT shall notify each QSE of its final Ancillary Service Obligation based on the </w:t>
            </w:r>
            <w:r>
              <w:t xml:space="preserve">total DAM Ancillary Service procurement quantity, comprised of </w:t>
            </w:r>
            <w:r w:rsidRPr="00FA54B0">
              <w:t xml:space="preserve">DAM Ancillary Service </w:t>
            </w:r>
            <w:r>
              <w:t>a</w:t>
            </w:r>
            <w:r w:rsidRPr="00FA54B0">
              <w:t>wards and Self-Arranged Ancillary Service Quantities for each service and for each hour</w:t>
            </w:r>
            <w:r>
              <w:t xml:space="preserve"> of the Operating Day.</w:t>
            </w:r>
          </w:p>
        </w:tc>
      </w:tr>
    </w:tbl>
    <w:p w14:paraId="472472E8" w14:textId="77777777" w:rsidR="00FF2129" w:rsidRDefault="00482EF3" w:rsidP="004555CF">
      <w:pPr>
        <w:pStyle w:val="H3"/>
        <w:spacing w:before="480"/>
      </w:pPr>
      <w:bookmarkStart w:id="72" w:name="_Toc90197089"/>
      <w:bookmarkStart w:id="73" w:name="_Toc142108890"/>
      <w:bookmarkStart w:id="74" w:name="_Toc142113738"/>
      <w:bookmarkStart w:id="75" w:name="_Toc402345563"/>
      <w:bookmarkStart w:id="76" w:name="_Toc405383846"/>
      <w:bookmarkStart w:id="77" w:name="_Toc405536948"/>
      <w:bookmarkStart w:id="78" w:name="_Toc440871735"/>
      <w:bookmarkStart w:id="79" w:name="_Toc135990606"/>
      <w:r>
        <w:lastRenderedPageBreak/>
        <w:t>4.2.2</w:t>
      </w:r>
      <w:r>
        <w:tab/>
        <w:t>Wind-Powered Generation Resource Production Potential</w:t>
      </w:r>
      <w:bookmarkEnd w:id="72"/>
      <w:bookmarkEnd w:id="73"/>
      <w:bookmarkEnd w:id="74"/>
      <w:bookmarkEnd w:id="75"/>
      <w:bookmarkEnd w:id="76"/>
      <w:bookmarkEnd w:id="77"/>
      <w:bookmarkEnd w:id="78"/>
      <w:bookmarkEnd w:id="79"/>
    </w:p>
    <w:p w14:paraId="5C590C04" w14:textId="2B93E137" w:rsidR="00FF2129" w:rsidRDefault="00482EF3">
      <w:pPr>
        <w:pStyle w:val="BodyTextNumbered"/>
      </w:pPr>
      <w:r>
        <w:t>(1)</w:t>
      </w:r>
      <w:r>
        <w:tab/>
      </w:r>
      <w:r w:rsidR="00104959">
        <w:t xml:space="preserve">ERCOT shall produce and update hourly a Short-Term Wind Power Forecast (STWPF) that provides a rolling 168-hour hourly forecast of wind production potential for each Wind-powered Generation Resource (WGR).  ERCOT shall produce and post to the </w:t>
      </w:r>
      <w:r w:rsidR="0066556B">
        <w:rPr>
          <w:iCs w:val="0"/>
          <w:szCs w:val="20"/>
        </w:rPr>
        <w:t>ERCOT website</w:t>
      </w:r>
      <w:r w:rsidR="00104959">
        <w:t xml:space="preserve"> every five minutes an Intra-Hour Wind Power Forecast (IHWPF) by wind region that provides a forecast of ERCOT-wide wind production potential for each five-minute interval over the next two hours from each forecast model.  The posting shall indicate which forecast model was being used by ERCOT for Generation To Be Dispatched (GTBD) calculation purposes.  ERCOT shall produce and update an hourly Total ERCOT Wind Power Forecast (TEWPF) providing a probability distribution of the hourly production potential from all wind-power in ERCOT for each of the next 168 hours.  Each Generation Entity that owns a WGR shall install and telemeter to ERCOT </w:t>
      </w:r>
      <w:r w:rsidR="00104959">
        <w:lastRenderedPageBreak/>
        <w:t>the site-specific meteorological information that ERCOT determines is necessary to produce the STWPF and TEWPF forecasts.  ERCOT shall establish procedures specifying the accuracy requirements of WGR meteorological information telemetry.</w:t>
      </w:r>
      <w:r>
        <w:rPr>
          <w:b/>
          <w:bCs/>
        </w:rP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226FF1D4" w14:textId="77777777" w:rsidTr="009540C4">
        <w:trPr>
          <w:trHeight w:val="386"/>
        </w:trPr>
        <w:tc>
          <w:tcPr>
            <w:tcW w:w="9350" w:type="dxa"/>
            <w:shd w:val="pct12" w:color="auto" w:fill="auto"/>
          </w:tcPr>
          <w:p w14:paraId="57FED526" w14:textId="08193448" w:rsidR="0051623E" w:rsidRPr="004B32CF" w:rsidRDefault="0051623E" w:rsidP="009540C4">
            <w:pPr>
              <w:spacing w:before="120" w:after="240"/>
              <w:rPr>
                <w:b/>
                <w:i/>
                <w:iCs/>
              </w:rPr>
            </w:pPr>
            <w:r>
              <w:rPr>
                <w:b/>
                <w:i/>
                <w:iCs/>
              </w:rPr>
              <w:t>[NPRR1029:  Replace paragraph (1</w:t>
            </w:r>
            <w:r w:rsidRPr="004B32CF">
              <w:rPr>
                <w:b/>
                <w:i/>
                <w:iCs/>
              </w:rPr>
              <w:t xml:space="preserve">) </w:t>
            </w:r>
            <w:r>
              <w:rPr>
                <w:b/>
                <w:i/>
                <w:iCs/>
              </w:rPr>
              <w:t>above with the following</w:t>
            </w:r>
            <w:r w:rsidRPr="004B32CF">
              <w:rPr>
                <w:b/>
                <w:i/>
                <w:iCs/>
              </w:rPr>
              <w:t xml:space="preserve"> upon system implementation:]</w:t>
            </w:r>
          </w:p>
          <w:p w14:paraId="6F54C755" w14:textId="33BF01AF" w:rsidR="0051623E" w:rsidRPr="004B32CF" w:rsidRDefault="0051623E" w:rsidP="0051623E">
            <w:pPr>
              <w:pStyle w:val="BodyTextNumbered"/>
            </w:pPr>
            <w:r>
              <w:t>(1)</w:t>
            </w:r>
            <w:r>
              <w:tab/>
              <w:t>ERCOT shall produce and update hourly a Short-Term Wind Power Forecast (STWPF) that provides a rolling 168-hour hourly forecast of wind production potential for each Wind-powered Generation Resource (WGR)</w:t>
            </w:r>
            <w:r w:rsidRPr="00EE66C8">
              <w:t xml:space="preserve"> and for </w:t>
            </w:r>
            <w:r>
              <w:t xml:space="preserve">each </w:t>
            </w:r>
            <w:r w:rsidRPr="00EE66C8">
              <w:t>wind generation component of a DC-Coupled Resource</w:t>
            </w:r>
            <w:r>
              <w:t xml:space="preserve">.  ERCOT shall produce and post to the </w:t>
            </w:r>
            <w:r w:rsidR="002310C0">
              <w:rPr>
                <w:iCs w:val="0"/>
                <w:szCs w:val="20"/>
              </w:rPr>
              <w:t>ERCOT website</w:t>
            </w:r>
            <w:r>
              <w:t xml:space="preserve"> every five minutes an Intra-Hour Wind Power Forecast (IHWPF) by wind region that provides a forecast of ERCOT-wide wind production potential for each five-minute interval over the next two hours from each forecast model.  The posting shall indicate which forecast model was being used by ERCOT for Generation To Be Dispatched (GTBD) calculation purposes.  ERCOT shall produce and update an hourly Total ERCOT Wind Power Forecast (TEWPF) providing a probability distribution of the hourly production potential from all wind-power in ERCOT for each of the next 168 hours.  </w:t>
            </w:r>
            <w:r w:rsidRPr="007346C2">
              <w:t xml:space="preserve">A Resource Entity with a WGR or DC-Coupled Resource </w:t>
            </w:r>
            <w:r>
              <w:t xml:space="preserve">that has a wind generation component </w:t>
            </w:r>
            <w:r w:rsidRPr="007346C2">
              <w:t>shall install equipment to enable telemetry of site-specific meteorological information</w:t>
            </w:r>
            <w:r>
              <w:t xml:space="preserve"> that ERCOT determines is necessary to produce the STWPF and TEWPF forecasts</w:t>
            </w:r>
            <w:r w:rsidRPr="007346C2">
              <w:t>, and the Resource Entity’s QSE shall telemeter such information and Resource status information to ERCOT</w:t>
            </w:r>
            <w:r>
              <w:t>.  ERCOT shall establish procedures specifying the accuracy requirements of meteorological information telemetry</w:t>
            </w:r>
            <w:r w:rsidRPr="00EE66C8">
              <w:t xml:space="preserve"> for WGRs and DC-Coupled Resources with a wind generation component</w:t>
            </w:r>
            <w:r>
              <w:t>.</w:t>
            </w:r>
          </w:p>
        </w:tc>
      </w:tr>
    </w:tbl>
    <w:p w14:paraId="2B542832" w14:textId="16C24C94" w:rsidR="00FF2129" w:rsidRDefault="00482EF3" w:rsidP="00F539C2">
      <w:pPr>
        <w:pStyle w:val="BodyTextNumbered"/>
        <w:spacing w:before="240"/>
      </w:pPr>
      <w:r>
        <w:t>(2)</w:t>
      </w:r>
      <w:r>
        <w:tab/>
        <w:t xml:space="preserve">ERCOT shall use the probabilistic TEWPF and select the forecast that the actual total ERCOT WGR production is expected to exceed </w:t>
      </w:r>
      <w:r w:rsidR="00111D2E">
        <w:t>50</w:t>
      </w:r>
      <w:r>
        <w:t>% of the time (</w:t>
      </w:r>
      <w:r w:rsidR="00111D2E">
        <w:t>5</w:t>
      </w:r>
      <w:r>
        <w:t xml:space="preserve">0% probability of exceedance forecast).  To produce the </w:t>
      </w:r>
      <w:r w:rsidR="00111D2E">
        <w:t xml:space="preserve">STWPF, </w:t>
      </w:r>
      <w:r>
        <w:t xml:space="preserve">ERCOT will allocate the TEWPF </w:t>
      </w:r>
      <w:r w:rsidR="00111D2E">
        <w:t>5</w:t>
      </w:r>
      <w:r>
        <w:t xml:space="preserve">0% probability of exceedance forecast to each WGR such that the sum of the individual </w:t>
      </w:r>
      <w:r w:rsidR="00111D2E">
        <w:t xml:space="preserve">STWPF </w:t>
      </w:r>
      <w:r>
        <w:t xml:space="preserve">forecasts equal the TEWPF forecast.  The updated </w:t>
      </w:r>
      <w:r w:rsidR="00111D2E">
        <w:t xml:space="preserve">STWPF </w:t>
      </w:r>
      <w:r>
        <w:t xml:space="preserve">forecasts for each hour for each WGR are to be used as input into each </w:t>
      </w:r>
      <w:r w:rsidR="00ED25C9">
        <w:t>Reliability Unit Commitment (</w:t>
      </w:r>
      <w:r>
        <w:t>RUC</w:t>
      </w:r>
      <w:r w:rsidR="00ED25C9">
        <w:t>)</w:t>
      </w:r>
      <w:r>
        <w:t xml:space="preserve"> process as per Section 5, Transmission Security Analysis and Reliability Unit Commitment.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1881E73D" w14:textId="77777777" w:rsidTr="009540C4">
        <w:trPr>
          <w:trHeight w:val="386"/>
        </w:trPr>
        <w:tc>
          <w:tcPr>
            <w:tcW w:w="9350" w:type="dxa"/>
            <w:shd w:val="pct12" w:color="auto" w:fill="auto"/>
          </w:tcPr>
          <w:p w14:paraId="1968E6BE" w14:textId="7BD79972" w:rsidR="0051623E" w:rsidRPr="004B32CF" w:rsidRDefault="0051623E" w:rsidP="009540C4">
            <w:pPr>
              <w:spacing w:before="120" w:after="240"/>
              <w:rPr>
                <w:b/>
                <w:i/>
                <w:iCs/>
              </w:rPr>
            </w:pPr>
            <w:r>
              <w:rPr>
                <w:b/>
                <w:i/>
                <w:iCs/>
              </w:rPr>
              <w:t>[NPRR1029:  Replace paragraph (2</w:t>
            </w:r>
            <w:r w:rsidRPr="004B32CF">
              <w:rPr>
                <w:b/>
                <w:i/>
                <w:iCs/>
              </w:rPr>
              <w:t xml:space="preserve">) </w:t>
            </w:r>
            <w:r>
              <w:rPr>
                <w:b/>
                <w:i/>
                <w:iCs/>
              </w:rPr>
              <w:t>above with the following</w:t>
            </w:r>
            <w:r w:rsidRPr="004B32CF">
              <w:rPr>
                <w:b/>
                <w:i/>
                <w:iCs/>
              </w:rPr>
              <w:t xml:space="preserve"> upon system implementation:]</w:t>
            </w:r>
          </w:p>
          <w:p w14:paraId="6868D360" w14:textId="5844B6DE" w:rsidR="0051623E" w:rsidRPr="0051623E" w:rsidRDefault="0051623E" w:rsidP="0051623E">
            <w:pPr>
              <w:spacing w:before="240" w:after="240"/>
              <w:ind w:left="720" w:hanging="720"/>
              <w:rPr>
                <w:iCs/>
              </w:rPr>
            </w:pPr>
            <w:r w:rsidRPr="00EE66C8">
              <w:rPr>
                <w:iCs/>
              </w:rPr>
              <w:t>(2)</w:t>
            </w:r>
            <w:r w:rsidRPr="00EE66C8">
              <w:rPr>
                <w:iCs/>
              </w:rPr>
              <w:tab/>
              <w:t xml:space="preserve">ERCOT shall use the probabilistic TEWPF and select the forecast that the actual total ERCOT production of WGRs and </w:t>
            </w:r>
            <w:r>
              <w:rPr>
                <w:iCs/>
              </w:rPr>
              <w:t xml:space="preserve">the </w:t>
            </w:r>
            <w:r w:rsidRPr="00EE66C8">
              <w:rPr>
                <w:iCs/>
              </w:rPr>
              <w:t>wind generation component</w:t>
            </w:r>
            <w:r>
              <w:rPr>
                <w:iCs/>
              </w:rPr>
              <w:t>s</w:t>
            </w:r>
            <w:r w:rsidRPr="00EE66C8">
              <w:rPr>
                <w:iCs/>
              </w:rPr>
              <w:t xml:space="preserve"> of </w:t>
            </w:r>
            <w:r>
              <w:rPr>
                <w:iCs/>
              </w:rPr>
              <w:t xml:space="preserve">all </w:t>
            </w:r>
            <w:r w:rsidRPr="00EE66C8">
              <w:rPr>
                <w:iCs/>
              </w:rPr>
              <w:t xml:space="preserve">DC-Coupled Resources is expected to exceed 50% of the time (50% probability of exceedance forecast).  To produce the STWPF, ERCOT will allocate the TEWPF 50% probability of exceedance forecast to each WGR and </w:t>
            </w:r>
            <w:r>
              <w:rPr>
                <w:iCs/>
              </w:rPr>
              <w:t xml:space="preserve">each </w:t>
            </w:r>
            <w:r w:rsidRPr="00EE66C8">
              <w:rPr>
                <w:iCs/>
              </w:rPr>
              <w:t xml:space="preserve">wind generation component of </w:t>
            </w:r>
            <w:r>
              <w:rPr>
                <w:iCs/>
              </w:rPr>
              <w:t xml:space="preserve">a </w:t>
            </w:r>
            <w:r w:rsidRPr="00EE66C8">
              <w:rPr>
                <w:iCs/>
              </w:rPr>
              <w:t xml:space="preserve">DC-Coupled Resource such that the sum of the individual STWPF forecasts equal the </w:t>
            </w:r>
            <w:r w:rsidRPr="00EE66C8">
              <w:rPr>
                <w:iCs/>
              </w:rPr>
              <w:lastRenderedPageBreak/>
              <w:t xml:space="preserve">TEWPF forecast.  The updated STWPF forecasts for each hour for each WGR and </w:t>
            </w:r>
            <w:r>
              <w:rPr>
                <w:iCs/>
              </w:rPr>
              <w:t xml:space="preserve">each </w:t>
            </w:r>
            <w:r w:rsidRPr="00EE66C8">
              <w:rPr>
                <w:iCs/>
              </w:rPr>
              <w:t xml:space="preserve">wind generation component of </w:t>
            </w:r>
            <w:r>
              <w:rPr>
                <w:iCs/>
              </w:rPr>
              <w:t xml:space="preserve">a </w:t>
            </w:r>
            <w:r w:rsidRPr="00EE66C8">
              <w:rPr>
                <w:iCs/>
              </w:rPr>
              <w:t>DC-Coupled Resource are to be used as input into each Reliability Unit Commitment (RUC) process as per Section 5, Transmission Security Analysis and Reliability Unit Commitment.</w:t>
            </w:r>
          </w:p>
        </w:tc>
      </w:tr>
    </w:tbl>
    <w:p w14:paraId="5696D4D7" w14:textId="3064E36B" w:rsidR="00FF2129" w:rsidRDefault="00482EF3" w:rsidP="00F539C2">
      <w:pPr>
        <w:pStyle w:val="BodyTextNumbered"/>
        <w:spacing w:before="240"/>
      </w:pPr>
      <w:r>
        <w:lastRenderedPageBreak/>
        <w:t>(3)</w:t>
      </w:r>
      <w:r>
        <w:tab/>
        <w:t xml:space="preserve">ERCOT shall produce the </w:t>
      </w:r>
      <w:r w:rsidR="00111D2E">
        <w:t>Wind-powered Generation Resource Production Potential (</w:t>
      </w:r>
      <w:r>
        <w:t>WGRPP</w:t>
      </w:r>
      <w:r w:rsidR="00111D2E">
        <w:t>)</w:t>
      </w:r>
      <w:r>
        <w:t xml:space="preserve"> forecasts using the information provided by WGR owners including WGR availability, meteorological information, and Supervisory Control and Data Acquisition (SCADA).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1007755B" w14:textId="77777777" w:rsidTr="009540C4">
        <w:trPr>
          <w:trHeight w:val="386"/>
        </w:trPr>
        <w:tc>
          <w:tcPr>
            <w:tcW w:w="9350" w:type="dxa"/>
            <w:shd w:val="pct12" w:color="auto" w:fill="auto"/>
          </w:tcPr>
          <w:p w14:paraId="716123D8" w14:textId="0D5403CE" w:rsidR="0051623E" w:rsidRPr="004B32CF" w:rsidRDefault="0051623E" w:rsidP="009540C4">
            <w:pPr>
              <w:spacing w:before="120" w:after="240"/>
              <w:rPr>
                <w:b/>
                <w:i/>
                <w:iCs/>
              </w:rPr>
            </w:pPr>
            <w:r>
              <w:rPr>
                <w:b/>
                <w:i/>
                <w:iCs/>
              </w:rPr>
              <w:t>[NPRR1029:  Replace paragraph (3</w:t>
            </w:r>
            <w:r w:rsidRPr="004B32CF">
              <w:rPr>
                <w:b/>
                <w:i/>
                <w:iCs/>
              </w:rPr>
              <w:t xml:space="preserve">) </w:t>
            </w:r>
            <w:r>
              <w:rPr>
                <w:b/>
                <w:i/>
                <w:iCs/>
              </w:rPr>
              <w:t>above with the following</w:t>
            </w:r>
            <w:r w:rsidRPr="004B32CF">
              <w:rPr>
                <w:b/>
                <w:i/>
                <w:iCs/>
              </w:rPr>
              <w:t xml:space="preserve"> upon system implementation:]</w:t>
            </w:r>
          </w:p>
          <w:p w14:paraId="36A917EB" w14:textId="3ED5C9E3" w:rsidR="0051623E" w:rsidRPr="0051623E" w:rsidRDefault="0051623E" w:rsidP="0051623E">
            <w:pPr>
              <w:spacing w:after="240"/>
              <w:ind w:left="720" w:hanging="720"/>
              <w:rPr>
                <w:iCs/>
              </w:rPr>
            </w:pPr>
            <w:r w:rsidRPr="00EE66C8">
              <w:rPr>
                <w:iCs/>
              </w:rPr>
              <w:t>(3)</w:t>
            </w:r>
            <w:r w:rsidRPr="00EE66C8">
              <w:rPr>
                <w:iCs/>
              </w:rPr>
              <w:tab/>
              <w:t xml:space="preserve">ERCOT shall produce the Wind-powered Generation Resource Production Potential (WGRPP) forecasts using the information provided by </w:t>
            </w:r>
            <w:r>
              <w:rPr>
                <w:iCs/>
              </w:rPr>
              <w:t>Resource Entities and QSEs representing</w:t>
            </w:r>
            <w:r w:rsidRPr="00EE66C8">
              <w:rPr>
                <w:iCs/>
              </w:rPr>
              <w:t xml:space="preserve"> WGRs and DC-Coupled Resources with wind generation components</w:t>
            </w:r>
            <w:r>
              <w:rPr>
                <w:iCs/>
              </w:rPr>
              <w:t>,</w:t>
            </w:r>
            <w:r w:rsidRPr="00EE66C8">
              <w:rPr>
                <w:iCs/>
              </w:rPr>
              <w:t xml:space="preserve"> including Resource availability, meteorological information, and Supervisory Control and Data Acquisition (SCADA).</w:t>
            </w:r>
          </w:p>
        </w:tc>
      </w:tr>
    </w:tbl>
    <w:p w14:paraId="7370224E" w14:textId="3E64D7EF" w:rsidR="00DA1665" w:rsidRPr="00553B2B" w:rsidRDefault="00DA1665" w:rsidP="00F539C2">
      <w:pPr>
        <w:pStyle w:val="BodyTextNumbered"/>
        <w:spacing w:before="240"/>
      </w:pPr>
      <w:r>
        <w:t>(</w:t>
      </w:r>
      <w:r w:rsidRPr="00553B2B">
        <w:t>4)</w:t>
      </w:r>
      <w:r w:rsidRPr="00553B2B">
        <w:tab/>
        <w:t xml:space="preserve">Each hour, ERCOT shall provide, through the Messaging System, the STWPF and WGRPP forecasts for each WGR to the QSE that represents that WGR and shall post each STWPF </w:t>
      </w:r>
      <w:r>
        <w:t xml:space="preserve">and WGRPP </w:t>
      </w:r>
      <w:r w:rsidRPr="00553B2B">
        <w:t>forecast on the MIS Certified Area.</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3B020D21" w14:textId="77777777" w:rsidTr="009540C4">
        <w:trPr>
          <w:trHeight w:val="386"/>
        </w:trPr>
        <w:tc>
          <w:tcPr>
            <w:tcW w:w="9350" w:type="dxa"/>
            <w:shd w:val="pct12" w:color="auto" w:fill="auto"/>
          </w:tcPr>
          <w:p w14:paraId="66AC1BE1" w14:textId="2B6808D4" w:rsidR="0051623E" w:rsidRPr="004B32CF" w:rsidRDefault="0051623E" w:rsidP="009540C4">
            <w:pPr>
              <w:spacing w:before="120" w:after="240"/>
              <w:rPr>
                <w:b/>
                <w:i/>
                <w:iCs/>
              </w:rPr>
            </w:pPr>
            <w:r>
              <w:rPr>
                <w:b/>
                <w:i/>
                <w:iCs/>
              </w:rPr>
              <w:t>[NPRR1029:  Replace paragraph (4</w:t>
            </w:r>
            <w:r w:rsidRPr="004B32CF">
              <w:rPr>
                <w:b/>
                <w:i/>
                <w:iCs/>
              </w:rPr>
              <w:t xml:space="preserve">) </w:t>
            </w:r>
            <w:r>
              <w:rPr>
                <w:b/>
                <w:i/>
                <w:iCs/>
              </w:rPr>
              <w:t>above with the following</w:t>
            </w:r>
            <w:r w:rsidRPr="004B32CF">
              <w:rPr>
                <w:b/>
                <w:i/>
                <w:iCs/>
              </w:rPr>
              <w:t xml:space="preserve"> upon system implementation:]</w:t>
            </w:r>
          </w:p>
          <w:p w14:paraId="73B67DB9" w14:textId="3EF33ABD" w:rsidR="0051623E" w:rsidRPr="0051623E" w:rsidRDefault="0051623E" w:rsidP="0051623E">
            <w:pPr>
              <w:spacing w:after="240"/>
              <w:ind w:left="720" w:hanging="720"/>
              <w:rPr>
                <w:iCs/>
              </w:rPr>
            </w:pPr>
            <w:r w:rsidRPr="00EE66C8">
              <w:rPr>
                <w:iCs/>
              </w:rPr>
              <w:t>(4)</w:t>
            </w:r>
            <w:r w:rsidRPr="00EE66C8">
              <w:rPr>
                <w:iCs/>
              </w:rPr>
              <w:tab/>
              <w:t xml:space="preserve">Each hour, ERCOT shall provide, through the Messaging System, the STWPF and WGRPP forecasts for each WGR and </w:t>
            </w:r>
            <w:r>
              <w:rPr>
                <w:iCs/>
              </w:rPr>
              <w:t xml:space="preserve">each </w:t>
            </w:r>
            <w:r w:rsidRPr="00EE66C8">
              <w:rPr>
                <w:iCs/>
              </w:rPr>
              <w:t xml:space="preserve">wind generation component of </w:t>
            </w:r>
            <w:r>
              <w:rPr>
                <w:iCs/>
              </w:rPr>
              <w:t xml:space="preserve">a </w:t>
            </w:r>
            <w:r w:rsidRPr="00EE66C8">
              <w:rPr>
                <w:iCs/>
              </w:rPr>
              <w:t>DC-Coupled Resource to the QSE that represents that WGR or DC-Coupled Resource and shall post each STWPF and WGRPP for</w:t>
            </w:r>
            <w:r>
              <w:rPr>
                <w:iCs/>
              </w:rPr>
              <w:t>ecast on the MIS Certified Area.</w:t>
            </w:r>
          </w:p>
        </w:tc>
      </w:tr>
    </w:tbl>
    <w:p w14:paraId="2FE10140" w14:textId="6333B87F" w:rsidR="00DA1665" w:rsidRDefault="00DA1665" w:rsidP="00F539C2">
      <w:pPr>
        <w:pStyle w:val="BodyTextNumbered"/>
        <w:spacing w:before="240"/>
      </w:pPr>
      <w:r w:rsidRPr="00553B2B">
        <w:t>(5)</w:t>
      </w:r>
      <w:r w:rsidRPr="00553B2B">
        <w:tab/>
        <w:t xml:space="preserve">Each hour, ERCOT shall post to the </w:t>
      </w:r>
      <w:r w:rsidR="0066556B">
        <w:rPr>
          <w:iCs w:val="0"/>
          <w:szCs w:val="20"/>
        </w:rPr>
        <w:t>ERCOT website</w:t>
      </w:r>
      <w:r>
        <w:t>,</w:t>
      </w:r>
      <w:r w:rsidRPr="00553B2B">
        <w:t xml:space="preserve"> on a system-wide and regional basis the hourly actual wind power production, STWPF, WGRPP, and aggregate Current Operating Plan (COP) High Sustained Limits (HSLs) for </w:t>
      </w:r>
      <w:r>
        <w:t>O</w:t>
      </w:r>
      <w:r w:rsidRPr="00553B2B">
        <w:t>n-</w:t>
      </w:r>
      <w:r>
        <w:t>L</w:t>
      </w:r>
      <w:r w:rsidRPr="00553B2B">
        <w:t xml:space="preserve">ine WGRs for a rolling historical 48-hour period. </w:t>
      </w:r>
      <w:r>
        <w:t xml:space="preserve"> </w:t>
      </w:r>
      <w:r w:rsidRPr="00553B2B">
        <w:t>The system-wide and regional STWPF</w:t>
      </w:r>
      <w:r>
        <w:t>,</w:t>
      </w:r>
      <w:r w:rsidRPr="00553B2B">
        <w:t xml:space="preserve"> WGRPP, and aggregate COP HSLs </w:t>
      </w:r>
      <w:r w:rsidRPr="00CA53C2">
        <w:t xml:space="preserve">for </w:t>
      </w:r>
      <w:r>
        <w:t>O</w:t>
      </w:r>
      <w:r w:rsidRPr="00CA53C2">
        <w:t>n-</w:t>
      </w:r>
      <w:r>
        <w:t>L</w:t>
      </w:r>
      <w:r w:rsidRPr="00CA53C2">
        <w:t xml:space="preserve">ine </w:t>
      </w:r>
      <w:r w:rsidRPr="00553B2B">
        <w:t xml:space="preserve">WGRs will also be posted for the rolling future </w:t>
      </w:r>
      <w:r w:rsidR="002E4A30">
        <w:t>168</w:t>
      </w:r>
      <w:r w:rsidRPr="00553B2B">
        <w:t xml:space="preserve">-hour period. </w:t>
      </w:r>
      <w:r>
        <w:t xml:space="preserve"> </w:t>
      </w:r>
      <w:r w:rsidRPr="00553B2B">
        <w:t>ERCOT shall retain the STWPF and WGRPP for each hour.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791D9D89" w14:textId="77777777" w:rsidTr="009540C4">
        <w:trPr>
          <w:trHeight w:val="386"/>
        </w:trPr>
        <w:tc>
          <w:tcPr>
            <w:tcW w:w="9350" w:type="dxa"/>
            <w:shd w:val="pct12" w:color="auto" w:fill="auto"/>
          </w:tcPr>
          <w:p w14:paraId="487075AF" w14:textId="1FA69587" w:rsidR="0051623E" w:rsidRPr="004B32CF" w:rsidRDefault="0051623E" w:rsidP="009540C4">
            <w:pPr>
              <w:spacing w:before="120" w:after="240"/>
              <w:rPr>
                <w:b/>
                <w:i/>
                <w:iCs/>
              </w:rPr>
            </w:pPr>
            <w:r>
              <w:rPr>
                <w:b/>
                <w:i/>
                <w:iCs/>
              </w:rPr>
              <w:t>[NPRR1029:  Replace paragraph (5</w:t>
            </w:r>
            <w:r w:rsidRPr="004B32CF">
              <w:rPr>
                <w:b/>
                <w:i/>
                <w:iCs/>
              </w:rPr>
              <w:t xml:space="preserve">) </w:t>
            </w:r>
            <w:r>
              <w:rPr>
                <w:b/>
                <w:i/>
                <w:iCs/>
              </w:rPr>
              <w:t>above with the following</w:t>
            </w:r>
            <w:r w:rsidRPr="004B32CF">
              <w:rPr>
                <w:b/>
                <w:i/>
                <w:iCs/>
              </w:rPr>
              <w:t xml:space="preserve"> upon system implementation:]</w:t>
            </w:r>
          </w:p>
          <w:p w14:paraId="1D5FA3DA" w14:textId="1A7298B9" w:rsidR="0051623E" w:rsidRPr="0051623E" w:rsidRDefault="0051623E" w:rsidP="0051623E">
            <w:pPr>
              <w:spacing w:after="240"/>
              <w:ind w:left="720" w:hanging="720"/>
              <w:rPr>
                <w:iCs/>
              </w:rPr>
            </w:pPr>
            <w:r>
              <w:rPr>
                <w:iCs/>
              </w:rPr>
              <w:lastRenderedPageBreak/>
              <w:t>(</w:t>
            </w:r>
            <w:r w:rsidRPr="00EE66C8">
              <w:rPr>
                <w:iCs/>
              </w:rPr>
              <w:t>5)</w:t>
            </w:r>
            <w:r w:rsidRPr="00EE66C8">
              <w:rPr>
                <w:iCs/>
              </w:rPr>
              <w:tab/>
              <w:t xml:space="preserve">Each hour, ERCOT shall post to the </w:t>
            </w:r>
            <w:r w:rsidR="0066556B">
              <w:rPr>
                <w:iCs/>
                <w:szCs w:val="20"/>
              </w:rPr>
              <w:t>ERCOT website</w:t>
            </w:r>
            <w:r w:rsidRPr="00EE66C8">
              <w:rPr>
                <w:iCs/>
              </w:rPr>
              <w:t>, on a system-wide and regional basis the hourly actual wind power production, STWPF, WGRPP, and aggregate Current Operating Plan (COP) High Sustained Limits (HSLs) for On-Line WGRs and</w:t>
            </w:r>
            <w:r>
              <w:rPr>
                <w:iCs/>
              </w:rPr>
              <w:t xml:space="preserve"> the wind generation components of</w:t>
            </w:r>
            <w:r w:rsidRPr="00EE66C8">
              <w:rPr>
                <w:iCs/>
              </w:rPr>
              <w:t xml:space="preserve"> DC-Coupled Resources for a rolling historical 48-hour period.  The system-wide and regional STWPF, WGRPP, and aggregate COP HSLs for On-Line WGRs and </w:t>
            </w:r>
            <w:r>
              <w:rPr>
                <w:iCs/>
              </w:rPr>
              <w:t>the wind generation components of</w:t>
            </w:r>
            <w:r w:rsidRPr="00EE66C8">
              <w:rPr>
                <w:iCs/>
              </w:rPr>
              <w:t xml:space="preserve"> DC-Coupled Resources will also be posted for the rolling future 168-hour period.  ERCOT shall retain the STWPF and WGRPP for each hour.</w:t>
            </w:r>
          </w:p>
        </w:tc>
      </w:tr>
    </w:tbl>
    <w:p w14:paraId="4131E11E" w14:textId="5239BED8" w:rsidR="00104959" w:rsidRDefault="00104959" w:rsidP="00F539C2">
      <w:pPr>
        <w:pStyle w:val="BodyTextNumbered"/>
        <w:spacing w:before="240"/>
      </w:pPr>
      <w:r>
        <w:lastRenderedPageBreak/>
        <w:t>(6)</w:t>
      </w:r>
      <w:r>
        <w:tab/>
        <w:t xml:space="preserve">Each hour, ERCOT shall post to the </w:t>
      </w:r>
      <w:r w:rsidR="0066556B">
        <w:rPr>
          <w:iCs w:val="0"/>
          <w:szCs w:val="20"/>
        </w:rPr>
        <w:t>ERCOT website</w:t>
      </w:r>
      <w:r w:rsidR="00B96815">
        <w:t xml:space="preserve"> </w:t>
      </w:r>
      <w:r>
        <w:t>t</w:t>
      </w:r>
      <w:r w:rsidRPr="00553B2B">
        <w:t xml:space="preserve">he </w:t>
      </w:r>
      <w:r>
        <w:t xml:space="preserve">hourly </w:t>
      </w:r>
      <w:r w:rsidRPr="00553B2B">
        <w:t>system-wide and regional STWPF</w:t>
      </w:r>
      <w:r>
        <w:t xml:space="preserve"> and</w:t>
      </w:r>
      <w:r w:rsidRPr="00553B2B">
        <w:t xml:space="preserve"> WGRPP </w:t>
      </w:r>
      <w:r>
        <w:t xml:space="preserve">values produced by each forecast model </w:t>
      </w:r>
      <w:r w:rsidRPr="00CA53C2">
        <w:t xml:space="preserve">for </w:t>
      </w:r>
      <w:r>
        <w:t>O</w:t>
      </w:r>
      <w:r w:rsidRPr="00CA53C2">
        <w:t>n-</w:t>
      </w:r>
      <w:r>
        <w:t>L</w:t>
      </w:r>
      <w:r w:rsidRPr="00CA53C2">
        <w:t xml:space="preserve">ine </w:t>
      </w:r>
      <w:r w:rsidRPr="00553B2B">
        <w:t>WGRs</w:t>
      </w:r>
      <w:r>
        <w:t xml:space="preserve"> </w:t>
      </w:r>
      <w:r w:rsidRPr="00553B2B">
        <w:t xml:space="preserve">for </w:t>
      </w:r>
      <w:r>
        <w:t xml:space="preserve">the rolling historical 48-hour period and </w:t>
      </w:r>
      <w:r w:rsidRPr="00553B2B">
        <w:t xml:space="preserve">the rolling future </w:t>
      </w:r>
      <w:r>
        <w:t>168</w:t>
      </w:r>
      <w:r w:rsidRPr="00553B2B">
        <w:t xml:space="preserve">-hour period. </w:t>
      </w:r>
      <w:r>
        <w:t xml:space="preserve"> ERCOT’s posting shall also indicate which forecast model it is using for each region to populate COPs.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5348902D" w14:textId="77777777" w:rsidTr="009540C4">
        <w:trPr>
          <w:trHeight w:val="386"/>
        </w:trPr>
        <w:tc>
          <w:tcPr>
            <w:tcW w:w="9350" w:type="dxa"/>
            <w:shd w:val="pct12" w:color="auto" w:fill="auto"/>
          </w:tcPr>
          <w:p w14:paraId="1C400F52" w14:textId="0F80F08B" w:rsidR="0051623E" w:rsidRPr="004B32CF" w:rsidRDefault="0051623E" w:rsidP="009540C4">
            <w:pPr>
              <w:spacing w:before="120" w:after="240"/>
              <w:rPr>
                <w:b/>
                <w:i/>
                <w:iCs/>
              </w:rPr>
            </w:pPr>
            <w:r>
              <w:rPr>
                <w:b/>
                <w:i/>
                <w:iCs/>
              </w:rPr>
              <w:t>[NPRR1029:  Replace paragraph (</w:t>
            </w:r>
            <w:r w:rsidR="00B96815">
              <w:rPr>
                <w:b/>
                <w:i/>
                <w:iCs/>
              </w:rPr>
              <w:t>6</w:t>
            </w:r>
            <w:r w:rsidRPr="004B32CF">
              <w:rPr>
                <w:b/>
                <w:i/>
                <w:iCs/>
              </w:rPr>
              <w:t xml:space="preserve">) </w:t>
            </w:r>
            <w:r>
              <w:rPr>
                <w:b/>
                <w:i/>
                <w:iCs/>
              </w:rPr>
              <w:t>above with the following</w:t>
            </w:r>
            <w:r w:rsidRPr="004B32CF">
              <w:rPr>
                <w:b/>
                <w:i/>
                <w:iCs/>
              </w:rPr>
              <w:t xml:space="preserve"> upon system implementation:]</w:t>
            </w:r>
          </w:p>
          <w:p w14:paraId="60987189" w14:textId="6A33F31F" w:rsidR="0051623E" w:rsidRPr="0051623E" w:rsidRDefault="0051623E" w:rsidP="009540C4">
            <w:pPr>
              <w:spacing w:after="240"/>
              <w:ind w:left="720" w:hanging="720"/>
              <w:rPr>
                <w:iCs/>
              </w:rPr>
            </w:pPr>
            <w:r w:rsidRPr="00EE66C8">
              <w:rPr>
                <w:iCs/>
              </w:rPr>
              <w:t>(6)</w:t>
            </w:r>
            <w:r w:rsidRPr="00EE66C8">
              <w:rPr>
                <w:iCs/>
              </w:rPr>
              <w:tab/>
              <w:t xml:space="preserve">Each hour, ERCOT shall post to the </w:t>
            </w:r>
            <w:r w:rsidR="0066556B">
              <w:rPr>
                <w:iCs/>
                <w:szCs w:val="20"/>
              </w:rPr>
              <w:t>ERCOT website</w:t>
            </w:r>
            <w:r w:rsidRPr="00EE66C8">
              <w:rPr>
                <w:iCs/>
              </w:rPr>
              <w:t xml:space="preserve"> the hourly system-wide and regional STWPF and WGRPP values produced by each forecast model for On-Line WGRs and </w:t>
            </w:r>
            <w:r>
              <w:rPr>
                <w:iCs/>
              </w:rPr>
              <w:t xml:space="preserve">the wind generation components of </w:t>
            </w:r>
            <w:r w:rsidRPr="00EE66C8">
              <w:rPr>
                <w:iCs/>
              </w:rPr>
              <w:t>DC-Coupled Resources for the rolling historical 48-hour period and the rolling future 168-hour period.  ERCOT’s posting shall also indicate which forecast model it is using for each region to populate COPs.</w:t>
            </w:r>
          </w:p>
        </w:tc>
      </w:tr>
    </w:tbl>
    <w:p w14:paraId="15EF6DD0" w14:textId="26DC070F" w:rsidR="00362439" w:rsidRDefault="00DA1665" w:rsidP="00F539C2">
      <w:pPr>
        <w:pStyle w:val="BodyTextNumbered"/>
        <w:spacing w:before="240"/>
      </w:pPr>
      <w:r w:rsidRPr="004E2A45">
        <w:t>(</w:t>
      </w:r>
      <w:r w:rsidR="00104959">
        <w:t>7</w:t>
      </w:r>
      <w:r w:rsidRPr="004E2A45">
        <w:t>)</w:t>
      </w:r>
      <w:r w:rsidRPr="004E2A45">
        <w:tab/>
        <w:t xml:space="preserve">Every five minutes, ERCOT shall post to the </w:t>
      </w:r>
      <w:r w:rsidR="0066556B">
        <w:rPr>
          <w:iCs w:val="0"/>
          <w:szCs w:val="20"/>
        </w:rPr>
        <w:t>ERCOT website</w:t>
      </w:r>
      <w:r w:rsidRPr="004E2A45">
        <w:t>, on a system-wide and regional basis, five-minute actual wind power production for a rolling historical 60-minute period.</w:t>
      </w:r>
    </w:p>
    <w:p w14:paraId="1D547DBC" w14:textId="77777777" w:rsidR="006A478F" w:rsidRDefault="006A478F" w:rsidP="006A478F">
      <w:pPr>
        <w:pStyle w:val="H3"/>
        <w:spacing w:before="480"/>
      </w:pPr>
      <w:bookmarkStart w:id="80" w:name="_Toc440871736"/>
      <w:bookmarkStart w:id="81" w:name="_Toc135990607"/>
      <w:r>
        <w:t>4.2.3</w:t>
      </w:r>
      <w:r>
        <w:tab/>
        <w:t>PhotoVoltaic Generation Resource Production Potential</w:t>
      </w:r>
      <w:bookmarkEnd w:id="80"/>
      <w:bookmarkEnd w:id="81"/>
    </w:p>
    <w:p w14:paraId="4D685F7A" w14:textId="1ED0517A" w:rsidR="006A478F" w:rsidRDefault="006A478F" w:rsidP="006A478F">
      <w:pPr>
        <w:pStyle w:val="BodyTextNumbered"/>
      </w:pPr>
      <w:r>
        <w:t>(1)</w:t>
      </w:r>
      <w:r>
        <w:tab/>
        <w:t xml:space="preserve">ERCOT shall produce and update hourly a Short-Term PhotoVoltaic Power Forecast (STPPF) that provides a rolling 168-hour hourly forecast of PhotoVoltaic production potential for each PhotoVoltaic Generation Resource (PVGR).  </w:t>
      </w:r>
      <w:r w:rsidR="002503CB">
        <w:t>ERCOT shall produce and post</w:t>
      </w:r>
      <w:r w:rsidR="00F80425">
        <w:t xml:space="preserve"> to the ERCOT website every five minutes an Intra-Hour PhotoVoltaic Power Forecast (IHPPF) by PhotoVoltaic region that provides a forecast of ERCOT-wide PhotoVoltaic production potential for each five-minute interval over the next two hours from each forecast model.  The posting shall indicate which forecast model was being used by ERCOT for </w:t>
      </w:r>
      <w:r w:rsidR="00F80425" w:rsidRPr="00D04CD0">
        <w:t>GTBD</w:t>
      </w:r>
      <w:r w:rsidR="00F80425">
        <w:t xml:space="preserve"> calculation purposes</w:t>
      </w:r>
      <w:r w:rsidR="002503CB">
        <w:t xml:space="preserve">.  </w:t>
      </w:r>
      <w:r>
        <w:t xml:space="preserve">ERCOT shall produce and update an hourly Total ERCOT PhotoVoltaic Power Forecast (TEPPF) providing a probability distribution of the hourly production potential from all </w:t>
      </w:r>
      <w:r w:rsidRPr="004900F8">
        <w:t>PhotoVoltaic Generation Resources</w:t>
      </w:r>
      <w:r>
        <w:t xml:space="preserve"> in ERCOT for each of the next 168 hours.  Each Generation Entity that owns a PVGR shall install and telemeter to ERCOT the site-specific meteorological information that ERCOT determines is necessary to produce the STPPF and TEPPF forecasts.  </w:t>
      </w:r>
      <w:r>
        <w:lastRenderedPageBreak/>
        <w:t>ERCOT shall establish procedures specifying the accuracy requirements of PVGR meteorological information telemetry.</w:t>
      </w:r>
      <w:r>
        <w:rPr>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D3BF7" w:rsidRPr="004B32CF" w14:paraId="7C9644E7" w14:textId="77777777" w:rsidTr="0037215C">
        <w:trPr>
          <w:trHeight w:val="386"/>
        </w:trPr>
        <w:tc>
          <w:tcPr>
            <w:tcW w:w="9350" w:type="dxa"/>
            <w:shd w:val="pct12" w:color="auto" w:fill="auto"/>
          </w:tcPr>
          <w:p w14:paraId="38239E6B" w14:textId="7C57911C" w:rsidR="00AD3BF7" w:rsidRPr="004B32CF" w:rsidRDefault="00AD3BF7" w:rsidP="0037215C">
            <w:pPr>
              <w:spacing w:before="120" w:after="240"/>
              <w:rPr>
                <w:b/>
                <w:i/>
                <w:iCs/>
              </w:rPr>
            </w:pPr>
            <w:r>
              <w:rPr>
                <w:b/>
                <w:i/>
                <w:iCs/>
              </w:rPr>
              <w:t>[</w:t>
            </w:r>
            <w:r w:rsidR="0051623E">
              <w:rPr>
                <w:b/>
                <w:i/>
                <w:iCs/>
              </w:rPr>
              <w:t>NPRR1029</w:t>
            </w:r>
            <w:r>
              <w:rPr>
                <w:b/>
                <w:i/>
                <w:iCs/>
              </w:rPr>
              <w:t>:  Replace paragraph (1</w:t>
            </w:r>
            <w:r w:rsidRPr="004B32CF">
              <w:rPr>
                <w:b/>
                <w:i/>
                <w:iCs/>
              </w:rPr>
              <w:t xml:space="preserve">) </w:t>
            </w:r>
            <w:r>
              <w:rPr>
                <w:b/>
                <w:i/>
                <w:iCs/>
              </w:rPr>
              <w:t>above with the following</w:t>
            </w:r>
            <w:r w:rsidRPr="004B32CF">
              <w:rPr>
                <w:b/>
                <w:i/>
                <w:iCs/>
              </w:rPr>
              <w:t xml:space="preserve"> upon system implementation:]</w:t>
            </w:r>
          </w:p>
          <w:p w14:paraId="49813335" w14:textId="31B81BB3" w:rsidR="00AD3BF7" w:rsidRPr="004B32CF" w:rsidRDefault="00AD3BF7" w:rsidP="0051623E">
            <w:pPr>
              <w:pStyle w:val="BodyTextNumbered"/>
            </w:pPr>
            <w:r>
              <w:t>(1)</w:t>
            </w:r>
            <w:r>
              <w:tab/>
              <w:t>ERCOT shall produce and update hourly a Short-Term PhotoVoltaic Power Forecast (STPPF) that provides a rolling 168-hour hourly forecast of PhotoVoltaic</w:t>
            </w:r>
            <w:r w:rsidR="0051623E">
              <w:t xml:space="preserve"> (PV)</w:t>
            </w:r>
            <w:r>
              <w:t xml:space="preserve"> production potential for each PhotoVoltaic Generation Resource (PVGR)</w:t>
            </w:r>
            <w:r w:rsidR="0051623E" w:rsidRPr="00EE66C8">
              <w:t xml:space="preserve"> and for the PV component of each DC-Coupled Resource</w:t>
            </w:r>
            <w:r>
              <w:t xml:space="preserve">.  ERCOT shall produce and post to the </w:t>
            </w:r>
            <w:r w:rsidR="0066556B">
              <w:rPr>
                <w:iCs w:val="0"/>
                <w:szCs w:val="20"/>
              </w:rPr>
              <w:t>ERCOT website</w:t>
            </w:r>
            <w:r>
              <w:t xml:space="preserve"> every five minutes an Intra-Hour PhotoVoltaic Power Forecast (IHPPF) by PhotoVoltaic region that provides a forecast of ERCOT-wide PhotoVoltaic production potential for each five-minute interval over the next two hours from each forecast model.  The posting shall indicate which forecast model was being used by ERCOT for GTBD calculation purposes.  ERCOT shall produce and update an hourly Total ERCOT PhotoVoltaic Power Forecast (TEPPF) providing a probability distribution of the hourly production potential from all </w:t>
            </w:r>
            <w:r w:rsidRPr="004900F8">
              <w:t>PhotoVoltaic Generation Resources</w:t>
            </w:r>
            <w:r w:rsidR="0051623E" w:rsidRPr="00EE66C8">
              <w:t xml:space="preserve"> and </w:t>
            </w:r>
            <w:r w:rsidR="0051623E">
              <w:t xml:space="preserve">the </w:t>
            </w:r>
            <w:r w:rsidR="0051623E" w:rsidRPr="00EE66C8">
              <w:t>PV component</w:t>
            </w:r>
            <w:r w:rsidR="0051623E">
              <w:t>s</w:t>
            </w:r>
            <w:r w:rsidR="0051623E" w:rsidRPr="00EE66C8">
              <w:t xml:space="preserve"> of all DC-Coupled Resources</w:t>
            </w:r>
            <w:r>
              <w:t xml:space="preserve"> in ERCOT for each of the next 168 hours.  </w:t>
            </w:r>
            <w:r w:rsidR="0051623E" w:rsidRPr="007346C2">
              <w:t xml:space="preserve">A Resource Entity with a </w:t>
            </w:r>
            <w:r w:rsidR="0051623E">
              <w:t>PV</w:t>
            </w:r>
            <w:r w:rsidR="0051623E" w:rsidRPr="007346C2">
              <w:t xml:space="preserve">GR or DC-Coupled Resource </w:t>
            </w:r>
            <w:r w:rsidR="0051623E">
              <w:t xml:space="preserve">that has a PV component </w:t>
            </w:r>
            <w:r w:rsidR="0051623E" w:rsidRPr="007346C2">
              <w:t>shall install equipment to enable telemetry of site-specific meteorological information</w:t>
            </w:r>
            <w:r w:rsidR="0051623E">
              <w:t xml:space="preserve"> that ERCOT determines is necessary to produce the STPPF and TEPPF forecasts</w:t>
            </w:r>
            <w:r w:rsidR="0051623E" w:rsidRPr="007346C2">
              <w:t>, and the Resource Entity’s QSE shall telemeter such information and Resource status information to ERCOT</w:t>
            </w:r>
            <w:r>
              <w:t>.  ERCOT shall establish procedures specifying the accuracy requirements of meteorological information telemetry</w:t>
            </w:r>
            <w:r w:rsidR="0051623E" w:rsidRPr="00EE66C8">
              <w:t xml:space="preserve"> for PVGRs and DC-Coupled Resources with a PV component</w:t>
            </w:r>
            <w:r>
              <w:t>.</w:t>
            </w:r>
            <w:r>
              <w:rPr>
                <w:b/>
                <w:bCs/>
              </w:rPr>
              <w:t xml:space="preserve"> </w:t>
            </w:r>
          </w:p>
        </w:tc>
      </w:tr>
    </w:tbl>
    <w:p w14:paraId="2BDE4B27" w14:textId="77777777" w:rsidR="006A478F" w:rsidRDefault="006A478F" w:rsidP="00A21944">
      <w:pPr>
        <w:pStyle w:val="BodyTextNumbered"/>
        <w:spacing w:before="240"/>
      </w:pPr>
      <w:r>
        <w:t>(2)</w:t>
      </w:r>
      <w:r>
        <w:tab/>
        <w:t xml:space="preserve">ERCOT shall use the probabilistic TEPPF and select the forecast that the actual total ERCOT PVGR production is expected to exceed 50% of the time (50% probability of exceedance forecast).  To produce the STPPF, ERCOT will allocate the TEPPF 50% probability of exceedance forecast to each PVGR such that the sum of the individual STPPF forecasts equal the TEPPF forecast.  The updated STPPF forecasts for each hour for each PVGR are to be used as input into each RUC process as per Section 5, Transmission Security Analysis and Reliability Unit Commitment.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013738D4" w14:textId="77777777" w:rsidTr="009540C4">
        <w:trPr>
          <w:trHeight w:val="386"/>
        </w:trPr>
        <w:tc>
          <w:tcPr>
            <w:tcW w:w="9350" w:type="dxa"/>
            <w:shd w:val="pct12" w:color="auto" w:fill="auto"/>
          </w:tcPr>
          <w:p w14:paraId="74F33FD3" w14:textId="43991662" w:rsidR="0051623E" w:rsidRPr="004B32CF" w:rsidRDefault="0051623E" w:rsidP="009540C4">
            <w:pPr>
              <w:spacing w:before="120" w:after="240"/>
              <w:rPr>
                <w:b/>
                <w:i/>
                <w:iCs/>
              </w:rPr>
            </w:pPr>
            <w:r>
              <w:rPr>
                <w:b/>
                <w:i/>
                <w:iCs/>
              </w:rPr>
              <w:t>[NPRR1029:  Replace paragraph (2</w:t>
            </w:r>
            <w:r w:rsidRPr="004B32CF">
              <w:rPr>
                <w:b/>
                <w:i/>
                <w:iCs/>
              </w:rPr>
              <w:t xml:space="preserve">) </w:t>
            </w:r>
            <w:r>
              <w:rPr>
                <w:b/>
                <w:i/>
                <w:iCs/>
              </w:rPr>
              <w:t>above with the following</w:t>
            </w:r>
            <w:r w:rsidRPr="004B32CF">
              <w:rPr>
                <w:b/>
                <w:i/>
                <w:iCs/>
              </w:rPr>
              <w:t xml:space="preserve"> upon system implementation:]</w:t>
            </w:r>
          </w:p>
          <w:p w14:paraId="32E473B2" w14:textId="11E04402" w:rsidR="0051623E" w:rsidRPr="0051623E" w:rsidRDefault="0051623E" w:rsidP="0051623E">
            <w:pPr>
              <w:spacing w:before="240" w:after="240"/>
              <w:ind w:left="720" w:hanging="720"/>
              <w:rPr>
                <w:iCs/>
              </w:rPr>
            </w:pPr>
            <w:r w:rsidRPr="00EE66C8">
              <w:rPr>
                <w:iCs/>
              </w:rPr>
              <w:t>(2)</w:t>
            </w:r>
            <w:r w:rsidRPr="00EE66C8">
              <w:rPr>
                <w:iCs/>
              </w:rPr>
              <w:tab/>
              <w:t xml:space="preserve">ERCOT shall use the probabilistic TEPPF and select the forecast that the actual total ERCOT production of PVGRs and </w:t>
            </w:r>
            <w:r>
              <w:rPr>
                <w:iCs/>
              </w:rPr>
              <w:t xml:space="preserve">the </w:t>
            </w:r>
            <w:r w:rsidRPr="00EE66C8">
              <w:rPr>
                <w:iCs/>
              </w:rPr>
              <w:t>PV component</w:t>
            </w:r>
            <w:r>
              <w:rPr>
                <w:iCs/>
              </w:rPr>
              <w:t>s</w:t>
            </w:r>
            <w:r w:rsidRPr="00EE66C8">
              <w:rPr>
                <w:iCs/>
              </w:rPr>
              <w:t xml:space="preserve"> of DC-Coupled Resources is expected to exceed 50% of the time (50% probability of exceedance forecast).  To produce the STPPF, ERCOT will allocate the TEPPF 50% probability of exceedance forecast to each PVGR and </w:t>
            </w:r>
            <w:r>
              <w:rPr>
                <w:iCs/>
              </w:rPr>
              <w:t xml:space="preserve">each </w:t>
            </w:r>
            <w:r w:rsidRPr="00EE66C8">
              <w:rPr>
                <w:iCs/>
              </w:rPr>
              <w:t xml:space="preserve">PV component of </w:t>
            </w:r>
            <w:r>
              <w:rPr>
                <w:iCs/>
              </w:rPr>
              <w:t>a</w:t>
            </w:r>
            <w:r w:rsidRPr="00EE66C8">
              <w:rPr>
                <w:iCs/>
              </w:rPr>
              <w:t xml:space="preserve"> DC-Coupled Resource such that the sum of the individual STPPF forecasts equal the TEPPF forecast.  The updated STPPF forecasts for each hour for each PVGR and </w:t>
            </w:r>
            <w:r>
              <w:rPr>
                <w:iCs/>
              </w:rPr>
              <w:t xml:space="preserve">each </w:t>
            </w:r>
            <w:r w:rsidRPr="00EE66C8">
              <w:rPr>
                <w:iCs/>
              </w:rPr>
              <w:t xml:space="preserve">PV component of </w:t>
            </w:r>
            <w:r>
              <w:rPr>
                <w:iCs/>
              </w:rPr>
              <w:t>a</w:t>
            </w:r>
            <w:r w:rsidRPr="00EE66C8">
              <w:rPr>
                <w:iCs/>
              </w:rPr>
              <w:t xml:space="preserve"> DC-</w:t>
            </w:r>
            <w:r w:rsidRPr="00EE66C8">
              <w:rPr>
                <w:iCs/>
              </w:rPr>
              <w:lastRenderedPageBreak/>
              <w:t>Coupled Resource are to be used as input into each RUC process as per Section 5, Transmission Security Analysis and Reliability Unit Commitment.</w:t>
            </w:r>
          </w:p>
        </w:tc>
      </w:tr>
    </w:tbl>
    <w:p w14:paraId="09F5ED1D" w14:textId="12CD7A57" w:rsidR="006A478F" w:rsidRDefault="006A478F" w:rsidP="00F539C2">
      <w:pPr>
        <w:pStyle w:val="BodyTextNumbered"/>
        <w:spacing w:before="240"/>
      </w:pPr>
      <w:r>
        <w:lastRenderedPageBreak/>
        <w:t>(3)</w:t>
      </w:r>
      <w:r>
        <w:tab/>
        <w:t xml:space="preserve">ERCOT shall produce the PhotoVoltaic Generation Resource Production Potential (PVGRPP) forecasts using the information provided by PVGR owners including PVGR availability, meteorological information, and SCADA.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3E4EF599" w14:textId="77777777" w:rsidTr="009540C4">
        <w:trPr>
          <w:trHeight w:val="386"/>
        </w:trPr>
        <w:tc>
          <w:tcPr>
            <w:tcW w:w="9350" w:type="dxa"/>
            <w:shd w:val="pct12" w:color="auto" w:fill="auto"/>
          </w:tcPr>
          <w:p w14:paraId="0EBDE17C" w14:textId="30489083" w:rsidR="0051623E" w:rsidRPr="004B32CF" w:rsidRDefault="0051623E" w:rsidP="009540C4">
            <w:pPr>
              <w:spacing w:before="120" w:after="240"/>
              <w:rPr>
                <w:b/>
                <w:i/>
                <w:iCs/>
              </w:rPr>
            </w:pPr>
            <w:r>
              <w:rPr>
                <w:b/>
                <w:i/>
                <w:iCs/>
              </w:rPr>
              <w:t>[NPRR1029:  Replace paragraph (3</w:t>
            </w:r>
            <w:r w:rsidRPr="004B32CF">
              <w:rPr>
                <w:b/>
                <w:i/>
                <w:iCs/>
              </w:rPr>
              <w:t xml:space="preserve">) </w:t>
            </w:r>
            <w:r>
              <w:rPr>
                <w:b/>
                <w:i/>
                <w:iCs/>
              </w:rPr>
              <w:t>above with the following</w:t>
            </w:r>
            <w:r w:rsidRPr="004B32CF">
              <w:rPr>
                <w:b/>
                <w:i/>
                <w:iCs/>
              </w:rPr>
              <w:t xml:space="preserve"> upon system implementation:]</w:t>
            </w:r>
          </w:p>
          <w:p w14:paraId="25801915" w14:textId="209E4E5A" w:rsidR="0051623E" w:rsidRPr="0051623E" w:rsidRDefault="0051623E" w:rsidP="00F539C2">
            <w:pPr>
              <w:spacing w:after="240"/>
              <w:ind w:left="720" w:hanging="720"/>
              <w:rPr>
                <w:iCs/>
              </w:rPr>
            </w:pPr>
            <w:r w:rsidRPr="00EE66C8">
              <w:rPr>
                <w:iCs/>
              </w:rPr>
              <w:t>(3)</w:t>
            </w:r>
            <w:r w:rsidRPr="00EE66C8">
              <w:rPr>
                <w:iCs/>
              </w:rPr>
              <w:tab/>
              <w:t>ERCOT shall produce the PhotoVoltaic Generation Resource Production Potential (PVGRPP) forecasts using the information provided by owners of PVGRs and DC-Coupled Resources with a PV component including Resource availability, meteorological information, and SCADA.</w:t>
            </w:r>
          </w:p>
        </w:tc>
      </w:tr>
    </w:tbl>
    <w:p w14:paraId="3A963220" w14:textId="483DCC24" w:rsidR="006A478F" w:rsidRPr="00553B2B" w:rsidRDefault="006A478F" w:rsidP="00F539C2">
      <w:pPr>
        <w:pStyle w:val="BodyTextNumbered"/>
        <w:spacing w:before="240"/>
      </w:pPr>
      <w:r>
        <w:t>(</w:t>
      </w:r>
      <w:r w:rsidRPr="00553B2B">
        <w:t>4)</w:t>
      </w:r>
      <w:r w:rsidRPr="00553B2B">
        <w:tab/>
        <w:t>Each hour, ERCOT shall provide, through the Messaging System, the ST</w:t>
      </w:r>
      <w:r>
        <w:t>P</w:t>
      </w:r>
      <w:r w:rsidRPr="00553B2B">
        <w:t xml:space="preserve">PF and </w:t>
      </w:r>
      <w:r>
        <w:t>PV</w:t>
      </w:r>
      <w:r w:rsidRPr="00553B2B">
        <w:t xml:space="preserve">GRPP forecasts for each </w:t>
      </w:r>
      <w:r>
        <w:t>PV</w:t>
      </w:r>
      <w:r w:rsidRPr="00553B2B">
        <w:t xml:space="preserve">GR to the QSE that represents that </w:t>
      </w:r>
      <w:r>
        <w:t>PV</w:t>
      </w:r>
      <w:r w:rsidRPr="00553B2B">
        <w:t>GR and shall post each ST</w:t>
      </w:r>
      <w:r>
        <w:t>P</w:t>
      </w:r>
      <w:r w:rsidRPr="00553B2B">
        <w:t xml:space="preserve">PF </w:t>
      </w:r>
      <w:r>
        <w:t xml:space="preserve">and PVGRPP </w:t>
      </w:r>
      <w:r w:rsidRPr="00553B2B">
        <w:t>forecast on the MIS Certified Area.</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7E5DE8B0" w14:textId="77777777" w:rsidTr="009540C4">
        <w:trPr>
          <w:trHeight w:val="386"/>
        </w:trPr>
        <w:tc>
          <w:tcPr>
            <w:tcW w:w="9350" w:type="dxa"/>
            <w:shd w:val="pct12" w:color="auto" w:fill="auto"/>
          </w:tcPr>
          <w:p w14:paraId="1C2DC444" w14:textId="29F7E950" w:rsidR="0051623E" w:rsidRPr="004B32CF" w:rsidRDefault="0051623E" w:rsidP="009540C4">
            <w:pPr>
              <w:spacing w:before="120" w:after="240"/>
              <w:rPr>
                <w:b/>
                <w:i/>
                <w:iCs/>
              </w:rPr>
            </w:pPr>
            <w:r>
              <w:rPr>
                <w:b/>
                <w:i/>
                <w:iCs/>
              </w:rPr>
              <w:t>[NPRR1029:  Replace paragraph (4</w:t>
            </w:r>
            <w:r w:rsidRPr="004B32CF">
              <w:rPr>
                <w:b/>
                <w:i/>
                <w:iCs/>
              </w:rPr>
              <w:t xml:space="preserve">) </w:t>
            </w:r>
            <w:r>
              <w:rPr>
                <w:b/>
                <w:i/>
                <w:iCs/>
              </w:rPr>
              <w:t>above with the following</w:t>
            </w:r>
            <w:r w:rsidRPr="004B32CF">
              <w:rPr>
                <w:b/>
                <w:i/>
                <w:iCs/>
              </w:rPr>
              <w:t xml:space="preserve"> upon system implementation:]</w:t>
            </w:r>
          </w:p>
          <w:p w14:paraId="22CF1B7A" w14:textId="180876D8" w:rsidR="0051623E" w:rsidRPr="0051623E" w:rsidRDefault="0051623E" w:rsidP="0051623E">
            <w:pPr>
              <w:spacing w:after="240"/>
              <w:ind w:left="720" w:hanging="720"/>
              <w:rPr>
                <w:iCs/>
              </w:rPr>
            </w:pPr>
            <w:r w:rsidRPr="00EE66C8">
              <w:rPr>
                <w:iCs/>
              </w:rPr>
              <w:t>(4)</w:t>
            </w:r>
            <w:r w:rsidRPr="00EE66C8">
              <w:rPr>
                <w:iCs/>
              </w:rPr>
              <w:tab/>
              <w:t xml:space="preserve">Each hour, ERCOT shall provide, through the Messaging System, the STPPF and PVGRPP forecasts for each PVGR and </w:t>
            </w:r>
            <w:r>
              <w:rPr>
                <w:iCs/>
              </w:rPr>
              <w:t xml:space="preserve">each </w:t>
            </w:r>
            <w:r w:rsidRPr="00EE66C8">
              <w:rPr>
                <w:iCs/>
              </w:rPr>
              <w:t>DC-Coupled Resource with a PV component to the QSE that represents that PVGR or DC-Coupled Resource and shall post each STPPF and PVGRPP for</w:t>
            </w:r>
            <w:r>
              <w:rPr>
                <w:iCs/>
              </w:rPr>
              <w:t>ecast on the MIS Certified Area.</w:t>
            </w:r>
          </w:p>
        </w:tc>
      </w:tr>
    </w:tbl>
    <w:p w14:paraId="295B25AE" w14:textId="7F0B7CE9" w:rsidR="0051623E" w:rsidRDefault="006A478F" w:rsidP="0051623E">
      <w:pPr>
        <w:pStyle w:val="BodyTextNumbered"/>
        <w:spacing w:before="240"/>
      </w:pPr>
      <w:r w:rsidRPr="00553B2B">
        <w:t>(5)</w:t>
      </w:r>
      <w:r w:rsidRPr="00553B2B">
        <w:tab/>
      </w:r>
      <w:r>
        <w:t xml:space="preserve">After the aggregated ERCOT PVGR capacity reaches one </w:t>
      </w:r>
      <w:r w:rsidRPr="00276F88">
        <w:t>GW</w:t>
      </w:r>
      <w:r>
        <w:t xml:space="preserve"> and the maximum PVGR capacity ratio of a single PVGR over the total ERCOT installed PVGR capacity is at or below 60%, e</w:t>
      </w:r>
      <w:r w:rsidRPr="00553B2B">
        <w:t xml:space="preserve">ach hour ERCOT shall post to the </w:t>
      </w:r>
      <w:r w:rsidR="002310C0">
        <w:rPr>
          <w:iCs w:val="0"/>
          <w:szCs w:val="20"/>
        </w:rPr>
        <w:t>ERCOT website</w:t>
      </w:r>
      <w:r>
        <w:t>,</w:t>
      </w:r>
      <w:r w:rsidRPr="00553B2B">
        <w:t xml:space="preserve"> on a system-wide basis the hourly actual </w:t>
      </w:r>
      <w:r>
        <w:t>PhotoVoltaic (PV)</w:t>
      </w:r>
      <w:r w:rsidRPr="00553B2B">
        <w:t xml:space="preserve"> power production, ST</w:t>
      </w:r>
      <w:r>
        <w:t>P</w:t>
      </w:r>
      <w:r w:rsidRPr="00553B2B">
        <w:t xml:space="preserve">PF, </w:t>
      </w:r>
      <w:r>
        <w:t>PV</w:t>
      </w:r>
      <w:r w:rsidRPr="00553B2B">
        <w:t xml:space="preserve">GRPP, and aggregate COP HSLs for </w:t>
      </w:r>
      <w:r>
        <w:t>O</w:t>
      </w:r>
      <w:r w:rsidRPr="00553B2B">
        <w:t>n-</w:t>
      </w:r>
      <w:r>
        <w:t>L</w:t>
      </w:r>
      <w:r w:rsidRPr="00553B2B">
        <w:t xml:space="preserve">ine </w:t>
      </w:r>
      <w:r>
        <w:t>PV</w:t>
      </w:r>
      <w:r w:rsidRPr="00553B2B">
        <w:t xml:space="preserve">GRs for a rolling historical 48-hour period. </w:t>
      </w:r>
      <w:r>
        <w:t xml:space="preserve"> </w:t>
      </w:r>
      <w:r w:rsidRPr="00553B2B">
        <w:t>The system-wide ST</w:t>
      </w:r>
      <w:r>
        <w:t>P</w:t>
      </w:r>
      <w:r w:rsidRPr="00553B2B">
        <w:t>PF</w:t>
      </w:r>
      <w:r>
        <w:t>,</w:t>
      </w:r>
      <w:r w:rsidRPr="00553B2B">
        <w:t xml:space="preserve"> </w:t>
      </w:r>
      <w:r>
        <w:t>PV</w:t>
      </w:r>
      <w:r w:rsidRPr="00553B2B">
        <w:t xml:space="preserve">GRPP, and aggregate COP HSLs </w:t>
      </w:r>
      <w:r w:rsidRPr="00CA53C2">
        <w:t xml:space="preserve">for </w:t>
      </w:r>
      <w:r>
        <w:t>O</w:t>
      </w:r>
      <w:r w:rsidRPr="00CA53C2">
        <w:t>n-</w:t>
      </w:r>
      <w:r>
        <w:t>L</w:t>
      </w:r>
      <w:r w:rsidRPr="00CA53C2">
        <w:t xml:space="preserve">ine </w:t>
      </w:r>
      <w:r>
        <w:t>PV</w:t>
      </w:r>
      <w:r w:rsidRPr="00553B2B">
        <w:t xml:space="preserve">GRs will also be posted for the rolling future </w:t>
      </w:r>
      <w:r>
        <w:t>168</w:t>
      </w:r>
      <w:r w:rsidRPr="00553B2B">
        <w:t xml:space="preserve">-hour period. </w:t>
      </w:r>
      <w:r>
        <w:t xml:space="preserve"> </w:t>
      </w:r>
      <w:r w:rsidRPr="00553B2B">
        <w:t>ERCOT shall retain the ST</w:t>
      </w:r>
      <w:r>
        <w:t>P</w:t>
      </w:r>
      <w:r w:rsidRPr="00553B2B">
        <w:t xml:space="preserve">PF and </w:t>
      </w:r>
      <w:r>
        <w:t>PV</w:t>
      </w:r>
      <w:r w:rsidRPr="00553B2B">
        <w:t>GRPP for each hour.</w:t>
      </w:r>
      <w:r>
        <w:t xml:space="preserve"> However, ERCOT shall post this information no later than June 1, 2016.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623E" w:rsidRPr="004B32CF" w14:paraId="4E13AF02" w14:textId="77777777" w:rsidTr="009540C4">
        <w:trPr>
          <w:trHeight w:val="386"/>
        </w:trPr>
        <w:tc>
          <w:tcPr>
            <w:tcW w:w="9350" w:type="dxa"/>
            <w:shd w:val="pct12" w:color="auto" w:fill="auto"/>
          </w:tcPr>
          <w:p w14:paraId="28C14CF8" w14:textId="4BB0A565" w:rsidR="0051623E" w:rsidRPr="004B32CF" w:rsidRDefault="0051623E" w:rsidP="009540C4">
            <w:pPr>
              <w:spacing w:before="120" w:after="240"/>
              <w:rPr>
                <w:b/>
                <w:i/>
                <w:iCs/>
              </w:rPr>
            </w:pPr>
            <w:r>
              <w:rPr>
                <w:b/>
                <w:i/>
                <w:iCs/>
              </w:rPr>
              <w:t>[NPRR1029:  Replace paragraph (</w:t>
            </w:r>
            <w:r w:rsidR="00E41DBF">
              <w:rPr>
                <w:b/>
                <w:i/>
                <w:iCs/>
              </w:rPr>
              <w:t>5</w:t>
            </w:r>
            <w:r w:rsidRPr="004B32CF">
              <w:rPr>
                <w:b/>
                <w:i/>
                <w:iCs/>
              </w:rPr>
              <w:t xml:space="preserve">) </w:t>
            </w:r>
            <w:r>
              <w:rPr>
                <w:b/>
                <w:i/>
                <w:iCs/>
              </w:rPr>
              <w:t>above with the following</w:t>
            </w:r>
            <w:r w:rsidRPr="004B32CF">
              <w:rPr>
                <w:b/>
                <w:i/>
                <w:iCs/>
              </w:rPr>
              <w:t xml:space="preserve"> upon system implementation:]</w:t>
            </w:r>
          </w:p>
          <w:p w14:paraId="1AB287E2" w14:textId="026D59A0" w:rsidR="0051623E" w:rsidRPr="0051623E" w:rsidRDefault="00E41DBF" w:rsidP="004C665B">
            <w:pPr>
              <w:spacing w:after="240"/>
              <w:ind w:left="720" w:hanging="720"/>
              <w:rPr>
                <w:iCs/>
              </w:rPr>
            </w:pPr>
            <w:r>
              <w:rPr>
                <w:iCs/>
              </w:rPr>
              <w:t>(</w:t>
            </w:r>
            <w:r w:rsidRPr="00EE66C8">
              <w:rPr>
                <w:iCs/>
              </w:rPr>
              <w:t>5)</w:t>
            </w:r>
            <w:r w:rsidRPr="00EE66C8">
              <w:rPr>
                <w:iCs/>
              </w:rPr>
              <w:tab/>
            </w:r>
            <w:r>
              <w:rPr>
                <w:iCs/>
              </w:rPr>
              <w:t>E</w:t>
            </w:r>
            <w:r w:rsidRPr="00EE66C8">
              <w:rPr>
                <w:iCs/>
              </w:rPr>
              <w:t xml:space="preserve">ach hour ERCOT shall post to the </w:t>
            </w:r>
            <w:r w:rsidR="002310C0">
              <w:rPr>
                <w:iCs/>
                <w:szCs w:val="20"/>
              </w:rPr>
              <w:t>ERCOT website</w:t>
            </w:r>
            <w:r w:rsidRPr="00EE66C8">
              <w:rPr>
                <w:iCs/>
              </w:rPr>
              <w:t xml:space="preserve">, on a system-wide basis the hourly actual PhotoVoltaic (PV) power production, STPPF, PVGRPP, and aggregate </w:t>
            </w:r>
            <w:r w:rsidRPr="00EE66C8">
              <w:rPr>
                <w:iCs/>
              </w:rPr>
              <w:lastRenderedPageBreak/>
              <w:t xml:space="preserve">COP HSLs for On-Line PVGRs and </w:t>
            </w:r>
            <w:r>
              <w:rPr>
                <w:iCs/>
              </w:rPr>
              <w:t xml:space="preserve">PV components of </w:t>
            </w:r>
            <w:r w:rsidRPr="00EE66C8">
              <w:rPr>
                <w:iCs/>
              </w:rPr>
              <w:t xml:space="preserve">DC-Coupled Resources for a rolling historical 48-hour period.  The system-wide STPPF, PVGRPP, and aggregate COP HSLs for On-Line PVGRs and </w:t>
            </w:r>
            <w:r>
              <w:rPr>
                <w:iCs/>
              </w:rPr>
              <w:t xml:space="preserve">PV components of </w:t>
            </w:r>
            <w:r w:rsidRPr="00EE66C8">
              <w:rPr>
                <w:iCs/>
              </w:rPr>
              <w:t>DC-Coupled Resources</w:t>
            </w:r>
            <w:r w:rsidR="004C665B">
              <w:rPr>
                <w:iCs/>
              </w:rPr>
              <w:t xml:space="preserve"> </w:t>
            </w:r>
            <w:r>
              <w:rPr>
                <w:iCs/>
              </w:rPr>
              <w:t>shall</w:t>
            </w:r>
            <w:r w:rsidRPr="00EE66C8">
              <w:rPr>
                <w:iCs/>
              </w:rPr>
              <w:t xml:space="preserve"> also be posted for the r</w:t>
            </w:r>
            <w:r>
              <w:rPr>
                <w:iCs/>
              </w:rPr>
              <w:t>olling future 168-hour period.</w:t>
            </w:r>
          </w:p>
        </w:tc>
      </w:tr>
    </w:tbl>
    <w:p w14:paraId="605260A7" w14:textId="088BEE06" w:rsidR="0051623E" w:rsidRDefault="002503CB" w:rsidP="002503CB">
      <w:pPr>
        <w:pStyle w:val="BodyTextNumbered"/>
        <w:spacing w:before="240"/>
      </w:pPr>
      <w:r>
        <w:lastRenderedPageBreak/>
        <w:t>(6)</w:t>
      </w:r>
      <w:r>
        <w:tab/>
        <w:t xml:space="preserve">Each hour, ERCOT shall post to </w:t>
      </w:r>
      <w:r w:rsidR="00BF3FC5">
        <w:t xml:space="preserve">the ERCOT website the </w:t>
      </w:r>
      <w:r>
        <w:t>hourly system-wide and regional STP</w:t>
      </w:r>
      <w:r w:rsidRPr="00553B2B">
        <w:t>PF</w:t>
      </w:r>
      <w:r>
        <w:t xml:space="preserve"> and PVG</w:t>
      </w:r>
      <w:r w:rsidRPr="00553B2B">
        <w:t xml:space="preserve">RPP </w:t>
      </w:r>
      <w:r>
        <w:t xml:space="preserve">values produced by each forecast model </w:t>
      </w:r>
      <w:r w:rsidRPr="00CA53C2">
        <w:t xml:space="preserve">for </w:t>
      </w:r>
      <w:r>
        <w:t>O</w:t>
      </w:r>
      <w:r w:rsidRPr="00CA53C2">
        <w:t>n-</w:t>
      </w:r>
      <w:r>
        <w:t>L</w:t>
      </w:r>
      <w:r w:rsidRPr="00CA53C2">
        <w:t xml:space="preserve">ine </w:t>
      </w:r>
      <w:r>
        <w:t>PV</w:t>
      </w:r>
      <w:r w:rsidRPr="00553B2B">
        <w:t>GRs</w:t>
      </w:r>
      <w:r>
        <w:t xml:space="preserve"> for the rolling historical 48-hour period and</w:t>
      </w:r>
      <w:r w:rsidRPr="00553B2B">
        <w:t xml:space="preserve"> the rolling future </w:t>
      </w:r>
      <w:r>
        <w:t>168</w:t>
      </w:r>
      <w:r w:rsidRPr="00553B2B">
        <w:t>-hour period.</w:t>
      </w:r>
      <w:r>
        <w:t xml:space="preserve">  ERCOT’s posting shall also indicate which forecast model it is using for each region to populate COPs.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D3BF7" w:rsidRPr="004B32CF" w14:paraId="4F9FF4B8" w14:textId="77777777" w:rsidTr="0037215C">
        <w:trPr>
          <w:trHeight w:val="386"/>
        </w:trPr>
        <w:tc>
          <w:tcPr>
            <w:tcW w:w="9350" w:type="dxa"/>
            <w:shd w:val="pct12" w:color="auto" w:fill="auto"/>
          </w:tcPr>
          <w:p w14:paraId="3D6A3619" w14:textId="6A0B32B7" w:rsidR="00AD3BF7" w:rsidRPr="004B32CF" w:rsidRDefault="00AD3BF7" w:rsidP="0037215C">
            <w:pPr>
              <w:spacing w:before="120" w:after="240"/>
              <w:rPr>
                <w:b/>
                <w:i/>
                <w:iCs/>
              </w:rPr>
            </w:pPr>
            <w:r>
              <w:rPr>
                <w:b/>
                <w:i/>
                <w:iCs/>
              </w:rPr>
              <w:t>[</w:t>
            </w:r>
            <w:r w:rsidR="00E41DBF">
              <w:rPr>
                <w:b/>
                <w:i/>
                <w:iCs/>
              </w:rPr>
              <w:t>NPRR1029</w:t>
            </w:r>
            <w:r>
              <w:rPr>
                <w:b/>
                <w:i/>
                <w:iCs/>
              </w:rPr>
              <w:t xml:space="preserve">:  </w:t>
            </w:r>
            <w:r w:rsidR="002503CB">
              <w:rPr>
                <w:b/>
                <w:i/>
                <w:iCs/>
              </w:rPr>
              <w:t>Replace</w:t>
            </w:r>
            <w:r w:rsidR="00E41DBF">
              <w:rPr>
                <w:b/>
                <w:i/>
                <w:iCs/>
              </w:rPr>
              <w:t xml:space="preserve"> </w:t>
            </w:r>
            <w:r>
              <w:rPr>
                <w:b/>
                <w:i/>
                <w:iCs/>
              </w:rPr>
              <w:t>paragraph (6</w:t>
            </w:r>
            <w:r w:rsidRPr="004B32CF">
              <w:rPr>
                <w:b/>
                <w:i/>
                <w:iCs/>
              </w:rPr>
              <w:t xml:space="preserve">) </w:t>
            </w:r>
            <w:r w:rsidR="002503CB">
              <w:rPr>
                <w:b/>
                <w:i/>
                <w:iCs/>
              </w:rPr>
              <w:t>above with the following</w:t>
            </w:r>
            <w:r w:rsidRPr="004B32CF">
              <w:rPr>
                <w:b/>
                <w:i/>
                <w:iCs/>
              </w:rPr>
              <w:t xml:space="preserve"> upon system implementation:]</w:t>
            </w:r>
          </w:p>
          <w:p w14:paraId="2EAA2025" w14:textId="76C40382" w:rsidR="00AD3BF7" w:rsidRPr="004B32CF" w:rsidRDefault="00AD3BF7" w:rsidP="0037215C">
            <w:pPr>
              <w:pStyle w:val="BodyTextNumbered"/>
            </w:pPr>
            <w:r>
              <w:t>(6)</w:t>
            </w:r>
            <w:r>
              <w:tab/>
              <w:t xml:space="preserve">Each hour, ERCOT shall post to the </w:t>
            </w:r>
            <w:r w:rsidR="002310C0">
              <w:rPr>
                <w:iCs w:val="0"/>
                <w:szCs w:val="20"/>
              </w:rPr>
              <w:t>ERCOT website</w:t>
            </w:r>
            <w:r>
              <w:t xml:space="preserve"> the hourly system-wide and regional STP</w:t>
            </w:r>
            <w:r w:rsidRPr="00553B2B">
              <w:t>PF</w:t>
            </w:r>
            <w:r>
              <w:t xml:space="preserve"> and PVG</w:t>
            </w:r>
            <w:r w:rsidRPr="00553B2B">
              <w:t xml:space="preserve">RPP </w:t>
            </w:r>
            <w:r>
              <w:t xml:space="preserve">values produced by each forecast model </w:t>
            </w:r>
            <w:r w:rsidRPr="00CA53C2">
              <w:t xml:space="preserve">for </w:t>
            </w:r>
            <w:r>
              <w:t>O</w:t>
            </w:r>
            <w:r w:rsidRPr="00CA53C2">
              <w:t>n-</w:t>
            </w:r>
            <w:r>
              <w:t>L</w:t>
            </w:r>
            <w:r w:rsidRPr="00CA53C2">
              <w:t xml:space="preserve">ine </w:t>
            </w:r>
            <w:r>
              <w:t>PV</w:t>
            </w:r>
            <w:r w:rsidRPr="00553B2B">
              <w:t>GRs</w:t>
            </w:r>
            <w:r>
              <w:t xml:space="preserve"> </w:t>
            </w:r>
            <w:r w:rsidR="00E41DBF" w:rsidRPr="00EE66C8">
              <w:t>and DC-Coupled Resources with a PV component</w:t>
            </w:r>
            <w:r w:rsidR="00E41DBF">
              <w:t xml:space="preserve"> </w:t>
            </w:r>
            <w:r>
              <w:t>for the rolling historical 48-hour period and</w:t>
            </w:r>
            <w:r w:rsidRPr="00553B2B">
              <w:t xml:space="preserve"> the rolling future </w:t>
            </w:r>
            <w:r>
              <w:t>168</w:t>
            </w:r>
            <w:r w:rsidRPr="00553B2B">
              <w:t>-hour period.</w:t>
            </w:r>
            <w:r>
              <w:t xml:space="preserve">  ERCOT’s posting shall also indicate which forecast model it is using for each region to populate COPs.</w:t>
            </w:r>
          </w:p>
        </w:tc>
      </w:tr>
    </w:tbl>
    <w:p w14:paraId="467C2969" w14:textId="4AA58945" w:rsidR="006A478F" w:rsidRDefault="006A478F" w:rsidP="00A21944">
      <w:pPr>
        <w:pStyle w:val="BodyTextNumbered"/>
        <w:spacing w:before="240"/>
      </w:pPr>
      <w:r w:rsidRPr="004E2A45">
        <w:t>(</w:t>
      </w:r>
      <w:r w:rsidR="002503CB">
        <w:t>7</w:t>
      </w:r>
      <w:r w:rsidRPr="004E2A45">
        <w:t>)</w:t>
      </w:r>
      <w:r w:rsidRPr="004E2A45">
        <w:tab/>
      </w:r>
      <w:r>
        <w:t>After the aggregated ERCOT PVGR capacity reaches one GW and the maximum PVGR capacity ratio of a single PVGR over the total ERCOT installed PVGR capacity is at or below 60%,</w:t>
      </w:r>
      <w:r w:rsidRPr="004E2A45">
        <w:t xml:space="preserve"> </w:t>
      </w:r>
      <w:r>
        <w:t>e</w:t>
      </w:r>
      <w:r w:rsidRPr="004E2A45">
        <w:t xml:space="preserve">very five minutes, ERCOT shall post to the </w:t>
      </w:r>
      <w:r w:rsidR="002310C0">
        <w:rPr>
          <w:iCs w:val="0"/>
          <w:szCs w:val="20"/>
        </w:rPr>
        <w:t>ERCOT website</w:t>
      </w:r>
      <w:r w:rsidRPr="004E2A45">
        <w:t xml:space="preserve">, on a system-wide basis, five-minute actual </w:t>
      </w:r>
      <w:r>
        <w:t>PV</w:t>
      </w:r>
      <w:r w:rsidRPr="004E2A45">
        <w:t xml:space="preserve"> power production for a rolling historical 60-minute period.</w:t>
      </w:r>
      <w:r>
        <w:t xml:space="preserve"> However, ERCOT shall post this information no later than June 1, 2016.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E41DBF" w:rsidRPr="004B32CF" w14:paraId="3E72A329" w14:textId="77777777" w:rsidTr="009540C4">
        <w:trPr>
          <w:trHeight w:val="386"/>
        </w:trPr>
        <w:tc>
          <w:tcPr>
            <w:tcW w:w="9350" w:type="dxa"/>
            <w:shd w:val="pct12" w:color="auto" w:fill="auto"/>
          </w:tcPr>
          <w:p w14:paraId="38BBB164" w14:textId="4B900065" w:rsidR="00E41DBF" w:rsidRPr="004B32CF" w:rsidRDefault="00E41DBF" w:rsidP="009540C4">
            <w:pPr>
              <w:spacing w:before="120" w:after="240"/>
              <w:rPr>
                <w:b/>
                <w:i/>
                <w:iCs/>
              </w:rPr>
            </w:pPr>
            <w:bookmarkStart w:id="82" w:name="_Toc90197090"/>
            <w:bookmarkStart w:id="83" w:name="_Toc142108891"/>
            <w:bookmarkStart w:id="84" w:name="_Toc142113739"/>
            <w:bookmarkStart w:id="85" w:name="_Toc402345565"/>
            <w:bookmarkStart w:id="86" w:name="_Toc405383848"/>
            <w:bookmarkStart w:id="87" w:name="_Toc405536950"/>
            <w:bookmarkStart w:id="88" w:name="_Toc440871737"/>
            <w:r>
              <w:rPr>
                <w:b/>
                <w:i/>
                <w:iCs/>
              </w:rPr>
              <w:t>[NPRR1029:  Replace paragraph (</w:t>
            </w:r>
            <w:r w:rsidR="002503CB">
              <w:rPr>
                <w:b/>
                <w:i/>
                <w:iCs/>
              </w:rPr>
              <w:t>7</w:t>
            </w:r>
            <w:r w:rsidRPr="004B32CF">
              <w:rPr>
                <w:b/>
                <w:i/>
                <w:iCs/>
              </w:rPr>
              <w:t xml:space="preserve">) </w:t>
            </w:r>
            <w:r>
              <w:rPr>
                <w:b/>
                <w:i/>
                <w:iCs/>
              </w:rPr>
              <w:t>above with the following</w:t>
            </w:r>
            <w:r w:rsidRPr="004B32CF">
              <w:rPr>
                <w:b/>
                <w:i/>
                <w:iCs/>
              </w:rPr>
              <w:t xml:space="preserve"> upon system implementation:]</w:t>
            </w:r>
          </w:p>
          <w:p w14:paraId="13910B7E" w14:textId="6E6C04D8" w:rsidR="00E41DBF" w:rsidRPr="0051623E" w:rsidRDefault="00E41DBF" w:rsidP="00E41DBF">
            <w:pPr>
              <w:spacing w:before="240" w:after="240"/>
              <w:ind w:left="720" w:hanging="720"/>
              <w:rPr>
                <w:iCs/>
              </w:rPr>
            </w:pPr>
            <w:r>
              <w:rPr>
                <w:iCs/>
              </w:rPr>
              <w:t>(</w:t>
            </w:r>
            <w:r w:rsidR="00BF3FC5">
              <w:rPr>
                <w:iCs/>
              </w:rPr>
              <w:t>7</w:t>
            </w:r>
            <w:r w:rsidRPr="00EE66C8">
              <w:rPr>
                <w:iCs/>
              </w:rPr>
              <w:t>)</w:t>
            </w:r>
            <w:r w:rsidRPr="00EE66C8">
              <w:rPr>
                <w:iCs/>
              </w:rPr>
              <w:tab/>
            </w:r>
            <w:r>
              <w:rPr>
                <w:iCs/>
              </w:rPr>
              <w:t>E</w:t>
            </w:r>
            <w:r w:rsidRPr="00EE66C8">
              <w:rPr>
                <w:iCs/>
              </w:rPr>
              <w:t xml:space="preserve">very five minutes, ERCOT shall post to the </w:t>
            </w:r>
            <w:r w:rsidR="002310C0">
              <w:rPr>
                <w:iCs/>
                <w:szCs w:val="20"/>
              </w:rPr>
              <w:t>ERCOT website</w:t>
            </w:r>
            <w:r w:rsidRPr="00EE66C8">
              <w:rPr>
                <w:iCs/>
              </w:rPr>
              <w:t>, on a system-wide basis, five-minute actual PV power production</w:t>
            </w:r>
            <w:r>
              <w:rPr>
                <w:iCs/>
              </w:rPr>
              <w:t xml:space="preserve"> from all PVGRs and PV components of DC-Coupled Resources</w:t>
            </w:r>
            <w:r w:rsidRPr="00EE66C8">
              <w:rPr>
                <w:iCs/>
              </w:rPr>
              <w:t xml:space="preserve"> for a rolli</w:t>
            </w:r>
            <w:r>
              <w:rPr>
                <w:iCs/>
              </w:rPr>
              <w:t>ng historical 60-minute period.</w:t>
            </w:r>
          </w:p>
        </w:tc>
      </w:tr>
    </w:tbl>
    <w:p w14:paraId="244D7092" w14:textId="77777777" w:rsidR="00FF2129" w:rsidRDefault="00482EF3" w:rsidP="004555CF">
      <w:pPr>
        <w:pStyle w:val="H3"/>
        <w:spacing w:before="480"/>
      </w:pPr>
      <w:bookmarkStart w:id="89" w:name="_Toc135990608"/>
      <w:r>
        <w:t>4.2.</w:t>
      </w:r>
      <w:r w:rsidR="006A478F">
        <w:t>4</w:t>
      </w:r>
      <w:r>
        <w:tab/>
        <w:t xml:space="preserve">Posting </w:t>
      </w:r>
      <w:r w:rsidR="00F40BEF">
        <w:t xml:space="preserve">Secure </w:t>
      </w:r>
      <w:r>
        <w:t>Forecasted ERCOT System Conditions</w:t>
      </w:r>
      <w:bookmarkEnd w:id="82"/>
      <w:bookmarkEnd w:id="83"/>
      <w:bookmarkEnd w:id="84"/>
      <w:bookmarkEnd w:id="85"/>
      <w:bookmarkEnd w:id="86"/>
      <w:bookmarkEnd w:id="87"/>
      <w:bookmarkEnd w:id="88"/>
      <w:bookmarkEnd w:id="89"/>
    </w:p>
    <w:p w14:paraId="49E45932" w14:textId="77777777" w:rsidR="00FF2129" w:rsidRDefault="003C38B0" w:rsidP="008E0462">
      <w:pPr>
        <w:pStyle w:val="BodyText"/>
        <w:ind w:left="720" w:hanging="720"/>
      </w:pPr>
      <w:r>
        <w:t>(1)</w:t>
      </w:r>
      <w:r>
        <w:tab/>
      </w:r>
      <w:r w:rsidR="00482EF3">
        <w:t>No later than 0600 in the Day-Ahead, ERCOT shall post on the MIS Secure Area, and make available for download, the following information for the Operating Day:</w:t>
      </w:r>
    </w:p>
    <w:p w14:paraId="583EA9EE" w14:textId="77777777" w:rsidR="00A45A3D" w:rsidRDefault="00A45A3D" w:rsidP="00A45A3D">
      <w:pPr>
        <w:pStyle w:val="List"/>
        <w:ind w:left="1440"/>
      </w:pPr>
      <w:r>
        <w:t>(a)</w:t>
      </w:r>
      <w:r>
        <w:tab/>
        <w:t>For each update of the Network Operations Model, the Redacted Network Operations Model in the Common Information Model (CIM) format</w:t>
      </w:r>
      <w:r w:rsidRPr="009369AC">
        <w:t xml:space="preserve"> and the companion version of Network Operations Model (unredacted) will be posted to </w:t>
      </w:r>
      <w:r w:rsidRPr="009369AC">
        <w:lastRenderedPageBreak/>
        <w:t xml:space="preserve">the MIS Certified Area for </w:t>
      </w:r>
      <w:r>
        <w:t>Transmission Service Providers (</w:t>
      </w:r>
      <w:r w:rsidRPr="009369AC">
        <w:t>TSPs</w:t>
      </w:r>
      <w:r>
        <w:t>) as described in paragraph (</w:t>
      </w:r>
      <w:r w:rsidR="00E7722F">
        <w:t>9</w:t>
      </w:r>
      <w:r>
        <w:t xml:space="preserve">) of Section 3.10.4, ERCOT Responsibilities; </w:t>
      </w:r>
    </w:p>
    <w:p w14:paraId="7709F656" w14:textId="77777777" w:rsidR="00EE1822" w:rsidRDefault="00A45A3D" w:rsidP="002E4827">
      <w:pPr>
        <w:pStyle w:val="List"/>
        <w:ind w:left="1440"/>
      </w:pPr>
      <w:r w:rsidRPr="009369AC">
        <w:t>(b)</w:t>
      </w:r>
      <w:r w:rsidRPr="009369AC">
        <w:tab/>
      </w:r>
      <w:r>
        <w:t xml:space="preserve">For each update of the Network Operations Model, differences </w:t>
      </w:r>
      <w:r w:rsidRPr="009369AC">
        <w:t>between the posted Redacted Network Operations Model and the previous Redacted Network Operations Model</w:t>
      </w:r>
      <w:r>
        <w:t xml:space="preserve"> as described in paragraph (4) of Section 3.10.4</w:t>
      </w:r>
      <w:r w:rsidRPr="009369AC">
        <w:t>;</w:t>
      </w:r>
    </w:p>
    <w:p w14:paraId="543C2A24" w14:textId="77777777" w:rsidR="00FF2129" w:rsidRDefault="00482EF3" w:rsidP="00D40401">
      <w:pPr>
        <w:pStyle w:val="List"/>
        <w:ind w:left="1440"/>
      </w:pPr>
      <w:r>
        <w:t>(</w:t>
      </w:r>
      <w:r w:rsidR="005F5118">
        <w:t>c</w:t>
      </w:r>
      <w:r>
        <w:t>)</w:t>
      </w:r>
      <w:r>
        <w:tab/>
        <w:t xml:space="preserve">Load Profiles for non-Interval Data Recorder (IDR) metered Customers; </w:t>
      </w:r>
    </w:p>
    <w:p w14:paraId="23298C4F" w14:textId="77777777" w:rsidR="00FF2129" w:rsidRDefault="00482EF3" w:rsidP="002E4827">
      <w:pPr>
        <w:pStyle w:val="List"/>
        <w:ind w:left="1440"/>
        <w:rPr>
          <w:rStyle w:val="msoins0"/>
          <w:u w:val="none"/>
        </w:rPr>
      </w:pPr>
      <w:r>
        <w:t>(</w:t>
      </w:r>
      <w:r w:rsidR="005F5118">
        <w:t>d</w:t>
      </w:r>
      <w:r>
        <w:t>)</w:t>
      </w:r>
      <w:r>
        <w:tab/>
      </w:r>
      <w:r>
        <w:rPr>
          <w:rStyle w:val="msoins0"/>
          <w:u w:val="none"/>
        </w:rPr>
        <w:t>Distribution Loss Factors (DLFs) and</w:t>
      </w:r>
      <w:r>
        <w:t xml:space="preserve"> </w:t>
      </w:r>
      <w:r>
        <w:rPr>
          <w:rStyle w:val="msoins0"/>
          <w:u w:val="none"/>
        </w:rPr>
        <w:t>forecasted</w:t>
      </w:r>
      <w:r>
        <w:t xml:space="preserve"> ERCOT-wide Transmission Loss Factors (TLFs)</w:t>
      </w:r>
      <w:r>
        <w:rPr>
          <w:rStyle w:val="msoins0"/>
          <w:u w:val="none"/>
        </w:rPr>
        <w:t xml:space="preserve">, as described in Section 13.3, Distribution Losses, and Section 13.2, Transmission Losses, </w:t>
      </w:r>
      <w:r>
        <w:t>for each Settlement Interval of the Operating Day</w:t>
      </w:r>
      <w:r>
        <w:rPr>
          <w:rStyle w:val="msoins0"/>
          <w:u w:val="none"/>
        </w:rPr>
        <w:t>;</w:t>
      </w:r>
    </w:p>
    <w:p w14:paraId="0BF87564" w14:textId="77777777" w:rsidR="00306A05" w:rsidRDefault="00306A05" w:rsidP="00C7742B">
      <w:pPr>
        <w:pStyle w:val="List"/>
        <w:ind w:left="1440"/>
        <w:rPr>
          <w:rStyle w:val="msoins0"/>
          <w:u w:val="none"/>
        </w:rPr>
      </w:pPr>
      <w:r>
        <w:rPr>
          <w:rStyle w:val="msoins0"/>
          <w:u w:val="none"/>
        </w:rPr>
        <w:t>(</w:t>
      </w:r>
      <w:r w:rsidR="005F5118">
        <w:rPr>
          <w:rStyle w:val="msoins0"/>
          <w:u w:val="none"/>
        </w:rPr>
        <w:t>e</w:t>
      </w:r>
      <w:r>
        <w:rPr>
          <w:rStyle w:val="msoins0"/>
          <w:u w:val="none"/>
        </w:rPr>
        <w:t>)</w:t>
      </w:r>
      <w:r>
        <w:rPr>
          <w:rStyle w:val="msoins0"/>
          <w:u w:val="none"/>
        </w:rPr>
        <w:tab/>
        <w:t xml:space="preserve">A current list of Electrically Similar Settlement Points produced from the 0600 </w:t>
      </w:r>
      <w:r w:rsidR="00C557AA">
        <w:rPr>
          <w:rStyle w:val="msoins0"/>
          <w:u w:val="none"/>
        </w:rPr>
        <w:t>Day-Ahead Market (</w:t>
      </w:r>
      <w:r>
        <w:rPr>
          <w:rStyle w:val="msoins0"/>
          <w:u w:val="none"/>
        </w:rPr>
        <w:t>DAM</w:t>
      </w:r>
      <w:r w:rsidR="00C557AA">
        <w:rPr>
          <w:rStyle w:val="msoins0"/>
          <w:u w:val="none"/>
        </w:rPr>
        <w:t>)</w:t>
      </w:r>
      <w:r>
        <w:rPr>
          <w:rStyle w:val="msoins0"/>
          <w:u w:val="none"/>
        </w:rPr>
        <w:t xml:space="preserve"> study that support that creation of Power </w:t>
      </w:r>
      <w:r w:rsidRPr="004A6A11">
        <w:t>System Simulator for Engineering (</w:t>
      </w:r>
      <w:r w:rsidRPr="004A6A11">
        <w:rPr>
          <w:rStyle w:val="msoins0"/>
          <w:u w:val="none"/>
        </w:rPr>
        <w:t>PSS/E) files</w:t>
      </w:r>
      <w:r w:rsidR="00D93B2E">
        <w:rPr>
          <w:rStyle w:val="msoins0"/>
          <w:u w:val="none"/>
        </w:rPr>
        <w:t>;</w:t>
      </w:r>
    </w:p>
    <w:p w14:paraId="55BC23C4" w14:textId="77777777" w:rsidR="00306A05" w:rsidRDefault="00306A05" w:rsidP="00306A05">
      <w:pPr>
        <w:pStyle w:val="List"/>
        <w:ind w:left="1440"/>
      </w:pPr>
      <w:r>
        <w:rPr>
          <w:rStyle w:val="msoins0"/>
          <w:u w:val="none"/>
        </w:rPr>
        <w:t>(</w:t>
      </w:r>
      <w:r w:rsidR="005F5118">
        <w:rPr>
          <w:rStyle w:val="msoins0"/>
          <w:u w:val="none"/>
        </w:rPr>
        <w:t>f</w:t>
      </w:r>
      <w:r>
        <w:rPr>
          <w:rStyle w:val="msoins0"/>
          <w:u w:val="none"/>
        </w:rPr>
        <w:t>)</w:t>
      </w:r>
      <w:r>
        <w:rPr>
          <w:rStyle w:val="msoins0"/>
          <w:u w:val="none"/>
        </w:rPr>
        <w:tab/>
      </w:r>
      <w:r w:rsidRPr="00423E2F">
        <w:t>A daily version of the Network Operations Model in a PSS/E format that has been exported from the Market Management System prior to 0600 representing the next Operating Day in hourly files, inclusive of:</w:t>
      </w:r>
    </w:p>
    <w:p w14:paraId="2DB4F703" w14:textId="77777777" w:rsidR="00306A05" w:rsidRPr="00423E2F" w:rsidRDefault="00306A05" w:rsidP="00306A05">
      <w:pPr>
        <w:pStyle w:val="List2"/>
        <w:spacing w:after="240"/>
        <w:ind w:left="2160" w:hanging="720"/>
      </w:pPr>
      <w:r w:rsidRPr="00423E2F">
        <w:t>(i)</w:t>
      </w:r>
      <w:r w:rsidRPr="00423E2F">
        <w:tab/>
        <w:t xml:space="preserve">Outages from the Outage Scheduler implemented in the hourly PSS/E files; </w:t>
      </w:r>
    </w:p>
    <w:p w14:paraId="1274FBA5" w14:textId="77777777" w:rsidR="00306A05" w:rsidRPr="00423E2F" w:rsidRDefault="00306A05" w:rsidP="00306A05">
      <w:pPr>
        <w:pStyle w:val="List2"/>
        <w:spacing w:after="240"/>
        <w:ind w:left="2160" w:hanging="720"/>
      </w:pPr>
      <w:r w:rsidRPr="00423E2F">
        <w:t>(ii)</w:t>
      </w:r>
      <w:r w:rsidRPr="00423E2F">
        <w:tab/>
        <w:t>All bus shunt MW and MVAr set to zero;</w:t>
      </w:r>
    </w:p>
    <w:p w14:paraId="2CE69C58" w14:textId="77777777" w:rsidR="00306A05" w:rsidRDefault="00306A05" w:rsidP="00306A05">
      <w:pPr>
        <w:pStyle w:val="List"/>
        <w:ind w:left="2160"/>
      </w:pPr>
      <w:r w:rsidRPr="00423E2F">
        <w:t>(ii</w:t>
      </w:r>
      <w:r w:rsidRPr="0090364F">
        <w:t>i</w:t>
      </w:r>
      <w:r w:rsidRPr="00423E2F">
        <w:t>)</w:t>
      </w:r>
      <w:r w:rsidRPr="00423E2F">
        <w:tab/>
        <w:t>All Load MW and MVAr set to zero;</w:t>
      </w:r>
    </w:p>
    <w:p w14:paraId="2608A6AD" w14:textId="77777777" w:rsidR="00306A05" w:rsidRPr="00423E2F" w:rsidRDefault="00306A05" w:rsidP="00306A05">
      <w:pPr>
        <w:pStyle w:val="List2"/>
        <w:spacing w:after="240"/>
        <w:ind w:left="2160" w:hanging="720"/>
      </w:pPr>
      <w:r w:rsidRPr="00423E2F">
        <w:t>(</w:t>
      </w:r>
      <w:r w:rsidRPr="0090364F">
        <w:t>iv</w:t>
      </w:r>
      <w:r w:rsidRPr="00423E2F">
        <w:t>)</w:t>
      </w:r>
      <w:r w:rsidRPr="00423E2F">
        <w:tab/>
        <w:t>All generation MW and MVAr set to zero;</w:t>
      </w:r>
      <w:r w:rsidR="00961223">
        <w:t xml:space="preserve"> and</w:t>
      </w:r>
    </w:p>
    <w:p w14:paraId="34EEF1FF" w14:textId="77777777" w:rsidR="00306A05" w:rsidRDefault="00306A05" w:rsidP="00306A05">
      <w:pPr>
        <w:pStyle w:val="List"/>
        <w:ind w:left="2160"/>
      </w:pPr>
      <w:r w:rsidRPr="00423E2F">
        <w:t>(</w:t>
      </w:r>
      <w:r w:rsidRPr="0090364F">
        <w:t>v</w:t>
      </w:r>
      <w:r w:rsidRPr="00423E2F">
        <w:t>)</w:t>
      </w:r>
      <w:r w:rsidRPr="00423E2F">
        <w:tab/>
        <w:t>Slack bus used in the DAM shall be represented at the same bus in each case</w:t>
      </w:r>
      <w:r w:rsidR="00D93B2E">
        <w:t>; and</w:t>
      </w:r>
    </w:p>
    <w:p w14:paraId="4DC6917D" w14:textId="77777777" w:rsidR="00306A05" w:rsidRPr="00423E2F" w:rsidRDefault="00306A05" w:rsidP="00306A05">
      <w:pPr>
        <w:spacing w:after="240"/>
        <w:ind w:left="1440" w:hanging="720"/>
      </w:pPr>
      <w:r>
        <w:t>(</w:t>
      </w:r>
      <w:r w:rsidR="005F5118">
        <w:t>g</w:t>
      </w:r>
      <w:r w:rsidRPr="00423E2F">
        <w:t>)</w:t>
      </w:r>
      <w:r w:rsidRPr="00423E2F">
        <w:tab/>
        <w:t xml:space="preserve">A daily version of supporting files for the PSS/E files supporting the Network Operations Model that has been exported from the </w:t>
      </w:r>
      <w:r w:rsidRPr="00AA7918">
        <w:t>Market Management System</w:t>
      </w:r>
      <w:r w:rsidRPr="00423E2F">
        <w:t xml:space="preserve"> prior to 0600, inclusive of:</w:t>
      </w:r>
    </w:p>
    <w:p w14:paraId="55C837AF" w14:textId="77777777" w:rsidR="00306A05" w:rsidRPr="00423E2F" w:rsidRDefault="00306A05" w:rsidP="00306A05">
      <w:pPr>
        <w:pStyle w:val="List2"/>
        <w:spacing w:after="240"/>
        <w:ind w:left="2160" w:hanging="720"/>
      </w:pPr>
      <w:r w:rsidRPr="00423E2F">
        <w:t>(i)</w:t>
      </w:r>
      <w:r w:rsidRPr="00423E2F">
        <w:tab/>
        <w:t>Contingency definition corresponding to each hourly PSS/E file;</w:t>
      </w:r>
    </w:p>
    <w:p w14:paraId="7D0D1527" w14:textId="77777777" w:rsidR="00306A05" w:rsidRPr="00423E2F" w:rsidRDefault="00306A05" w:rsidP="00306A05">
      <w:pPr>
        <w:pStyle w:val="List2"/>
        <w:spacing w:after="240"/>
        <w:ind w:left="2160" w:hanging="720"/>
      </w:pPr>
      <w:r w:rsidRPr="00423E2F">
        <w:t>(ii)</w:t>
      </w:r>
      <w:r w:rsidRPr="00423E2F">
        <w:tab/>
        <w:t xml:space="preserve">Generator mapping data corresponding to each hourly PSS/E file; </w:t>
      </w:r>
    </w:p>
    <w:p w14:paraId="79F17E8A" w14:textId="77777777" w:rsidR="00306A05" w:rsidRPr="00423E2F" w:rsidRDefault="00306A05" w:rsidP="00306A05">
      <w:pPr>
        <w:pStyle w:val="List2"/>
        <w:spacing w:after="240"/>
        <w:ind w:left="2160" w:hanging="720"/>
      </w:pPr>
      <w:r w:rsidRPr="00423E2F">
        <w:t>(iii)</w:t>
      </w:r>
      <w:r w:rsidRPr="00423E2F">
        <w:tab/>
        <w:t>Mapping of all Resource Nodes and DC Tie Load Zone to the hourly PSS/E file including Private Use Network Settlement Points.  This file of hourly data will also include the base case energization status of Resource Node and DC</w:t>
      </w:r>
      <w:r>
        <w:t xml:space="preserve"> </w:t>
      </w:r>
      <w:r w:rsidRPr="00423E2F">
        <w:t xml:space="preserve">Tie Load Zone reflecting Settlement Points available for </w:t>
      </w:r>
      <w:r>
        <w:t>DAM clearing process;</w:t>
      </w:r>
    </w:p>
    <w:p w14:paraId="40905A43" w14:textId="77777777" w:rsidR="00306A05" w:rsidRPr="00423E2F" w:rsidRDefault="00306A05" w:rsidP="00306A05">
      <w:pPr>
        <w:pStyle w:val="List2"/>
        <w:spacing w:after="240"/>
        <w:ind w:left="2160" w:hanging="720"/>
      </w:pPr>
      <w:r w:rsidRPr="00423E2F">
        <w:lastRenderedPageBreak/>
        <w:t>(iv)</w:t>
      </w:r>
      <w:r w:rsidRPr="00423E2F">
        <w:tab/>
        <w:t xml:space="preserve">Load mapping data corresponding to each hourly PSS/E case necessary to model all Load Zone energy transactions in the DAM; </w:t>
      </w:r>
    </w:p>
    <w:p w14:paraId="7CE385FE" w14:textId="77777777" w:rsidR="00306A05" w:rsidRPr="00423E2F" w:rsidRDefault="00306A05" w:rsidP="00306A05">
      <w:pPr>
        <w:pStyle w:val="List2"/>
        <w:spacing w:after="240"/>
        <w:ind w:left="2160" w:hanging="720"/>
      </w:pPr>
      <w:r w:rsidRPr="00423E2F">
        <w:t>(v)</w:t>
      </w:r>
      <w:r w:rsidRPr="00423E2F">
        <w:tab/>
        <w:t>Transmission line mapping data corresponding to each hourly PSS/E files;</w:t>
      </w:r>
    </w:p>
    <w:p w14:paraId="3F985051" w14:textId="77777777" w:rsidR="00306A05" w:rsidRPr="00423E2F" w:rsidRDefault="00306A05" w:rsidP="00306A05">
      <w:pPr>
        <w:pStyle w:val="List2"/>
        <w:spacing w:after="240"/>
        <w:ind w:left="2160" w:hanging="720"/>
      </w:pPr>
      <w:r w:rsidRPr="00423E2F">
        <w:t>(vi)</w:t>
      </w:r>
      <w:r w:rsidRPr="00423E2F">
        <w:tab/>
        <w:t>Transformer mapping data corresponding to each hourly PSS/E files;</w:t>
      </w:r>
      <w:r>
        <w:t xml:space="preserve"> </w:t>
      </w:r>
      <w:r w:rsidRPr="0090364F">
        <w:t>and</w:t>
      </w:r>
      <w:r>
        <w:t xml:space="preserve"> </w:t>
      </w:r>
    </w:p>
    <w:p w14:paraId="514E14C2" w14:textId="77777777" w:rsidR="00F40BEF" w:rsidRDefault="00306A05" w:rsidP="004555CF">
      <w:pPr>
        <w:pStyle w:val="List"/>
        <w:ind w:left="2160"/>
        <w:rPr>
          <w:rStyle w:val="msoins0"/>
          <w:u w:val="none"/>
        </w:rPr>
      </w:pPr>
      <w:r w:rsidRPr="00423E2F">
        <w:t>(vii)</w:t>
      </w:r>
      <w:r w:rsidRPr="00423E2F">
        <w:tab/>
        <w:t>Hub mapping data corresponding to each hourly PSS/E case necessary to model all Hub energy transactions in the DAM.</w:t>
      </w:r>
      <w:r w:rsidDel="00306A05">
        <w:rPr>
          <w:rStyle w:val="msoins0"/>
          <w:u w:val="none"/>
        </w:rPr>
        <w:t xml:space="preserve"> </w:t>
      </w:r>
    </w:p>
    <w:p w14:paraId="3B7F2E71" w14:textId="77777777" w:rsidR="0080717A" w:rsidRPr="00306A05" w:rsidRDefault="0080717A" w:rsidP="004555CF">
      <w:pPr>
        <w:pStyle w:val="H3"/>
        <w:spacing w:before="480"/>
        <w:outlineLvl w:val="3"/>
        <w:rPr>
          <w:i w:val="0"/>
        </w:rPr>
      </w:pPr>
      <w:bookmarkStart w:id="90" w:name="_Toc402345566"/>
      <w:bookmarkStart w:id="91" w:name="_Toc405383849"/>
      <w:bookmarkStart w:id="92" w:name="_Toc405536951"/>
      <w:bookmarkStart w:id="93" w:name="_Toc440871738"/>
      <w:bookmarkStart w:id="94" w:name="_Toc135990609"/>
      <w:bookmarkStart w:id="95" w:name="_Toc142108892"/>
      <w:bookmarkStart w:id="96" w:name="_Toc142113740"/>
      <w:bookmarkEnd w:id="51"/>
      <w:r w:rsidRPr="00306A05">
        <w:rPr>
          <w:i w:val="0"/>
        </w:rPr>
        <w:t>4.2.</w:t>
      </w:r>
      <w:r w:rsidR="006A478F">
        <w:rPr>
          <w:i w:val="0"/>
        </w:rPr>
        <w:t>4</w:t>
      </w:r>
      <w:r w:rsidRPr="00306A05">
        <w:rPr>
          <w:i w:val="0"/>
        </w:rPr>
        <w:t>.1</w:t>
      </w:r>
      <w:r w:rsidRPr="00306A05">
        <w:rPr>
          <w:i w:val="0"/>
        </w:rPr>
        <w:tab/>
        <w:t>Posting Public Forecasted ERCOT System Conditions</w:t>
      </w:r>
      <w:bookmarkEnd w:id="90"/>
      <w:bookmarkEnd w:id="91"/>
      <w:bookmarkEnd w:id="92"/>
      <w:bookmarkEnd w:id="93"/>
      <w:bookmarkEnd w:id="94"/>
    </w:p>
    <w:p w14:paraId="19258855" w14:textId="785279D9" w:rsidR="0080717A" w:rsidRPr="00306807" w:rsidRDefault="003C38B0" w:rsidP="008E0462">
      <w:pPr>
        <w:pStyle w:val="BodyText"/>
        <w:ind w:left="720" w:hanging="720"/>
      </w:pPr>
      <w:r>
        <w:t>(1)</w:t>
      </w:r>
      <w:r>
        <w:tab/>
      </w:r>
      <w:r w:rsidR="0080717A" w:rsidRPr="00306807">
        <w:t xml:space="preserve">No later than 0600 in the Day-Ahead, ERCOT shall post on the </w:t>
      </w:r>
      <w:r w:rsidR="002310C0">
        <w:rPr>
          <w:iCs w:val="0"/>
          <w:szCs w:val="20"/>
        </w:rPr>
        <w:t>ERCOT website</w:t>
      </w:r>
      <w:r w:rsidR="0080717A" w:rsidRPr="00306807">
        <w:t>, and make available for download, the following information for the Operating Day:</w:t>
      </w:r>
    </w:p>
    <w:p w14:paraId="4FEBF234" w14:textId="77777777" w:rsidR="0080717A" w:rsidRPr="004A6A11" w:rsidRDefault="0080717A" w:rsidP="0080717A">
      <w:pPr>
        <w:pStyle w:val="List"/>
        <w:ind w:left="1440"/>
      </w:pPr>
      <w:r w:rsidRPr="004A6A11">
        <w:t>(a)</w:t>
      </w:r>
      <w:r w:rsidRPr="004A6A11">
        <w:tab/>
        <w:t xml:space="preserve">Weather assumptions used by ERCOT to forecast ERCOT System conditions and used in the Dynamic Rating Processor;  </w:t>
      </w:r>
    </w:p>
    <w:p w14:paraId="29B7A01D" w14:textId="77777777" w:rsidR="0080717A" w:rsidRPr="004A6A11" w:rsidRDefault="0080717A" w:rsidP="0080717A">
      <w:pPr>
        <w:pStyle w:val="List"/>
        <w:ind w:left="1440"/>
      </w:pPr>
      <w:r w:rsidRPr="004A6A11">
        <w:t>(b)</w:t>
      </w:r>
      <w:r w:rsidRPr="004A6A11">
        <w:tab/>
      </w:r>
      <w:r w:rsidR="00B13140" w:rsidRPr="004A6A11">
        <w:t>ERCOT System, Weather Zone, Load Zone</w:t>
      </w:r>
      <w:r w:rsidR="00B13140">
        <w:t>, and Study Area</w:t>
      </w:r>
      <w:r w:rsidR="00B13140" w:rsidRPr="004A6A11">
        <w:t xml:space="preserve"> Load forecasts for the next seven days, by hour, and a message on update indicating any changes to the forecasts by means of the Messaging System;</w:t>
      </w:r>
    </w:p>
    <w:p w14:paraId="04864F9B" w14:textId="77777777" w:rsidR="0080717A" w:rsidRPr="004A6A11" w:rsidRDefault="0080717A" w:rsidP="00A95825">
      <w:pPr>
        <w:pStyle w:val="List"/>
        <w:ind w:left="1440"/>
        <w:rPr>
          <w:rStyle w:val="msoins0"/>
          <w:u w:val="none"/>
        </w:rPr>
      </w:pPr>
      <w:r w:rsidRPr="004A6A11">
        <w:rPr>
          <w:rStyle w:val="msoins0"/>
          <w:u w:val="none"/>
        </w:rPr>
        <w:t>(c)</w:t>
      </w:r>
      <w:r w:rsidRPr="004A6A11">
        <w:rPr>
          <w:rStyle w:val="msoins0"/>
          <w:u w:val="none"/>
        </w:rPr>
        <w:tab/>
        <w:t xml:space="preserve">A current list of all Settlement Points that may be used for market processes and transactions;  </w:t>
      </w:r>
    </w:p>
    <w:p w14:paraId="2FA8A355" w14:textId="77777777" w:rsidR="0080717A" w:rsidRPr="004A6A11" w:rsidRDefault="0080717A" w:rsidP="0080717A">
      <w:pPr>
        <w:spacing w:after="240"/>
        <w:ind w:left="1440" w:hanging="720"/>
        <w:rPr>
          <w:rStyle w:val="msoins0"/>
          <w:u w:val="none"/>
        </w:rPr>
      </w:pPr>
      <w:r w:rsidRPr="004A6A11">
        <w:rPr>
          <w:rStyle w:val="msoins0"/>
          <w:u w:val="none"/>
        </w:rPr>
        <w:t>(d)</w:t>
      </w:r>
      <w:r w:rsidRPr="004A6A11">
        <w:rPr>
          <w:rStyle w:val="msoins0"/>
          <w:u w:val="none"/>
        </w:rPr>
        <w:tab/>
        <w:t>A mapping of Settlement Points to Electrical Buses in the Network Operations Model;</w:t>
      </w:r>
    </w:p>
    <w:p w14:paraId="738ECC4B" w14:textId="77777777" w:rsidR="00F963A9" w:rsidRDefault="0080717A" w:rsidP="00721CB9">
      <w:pPr>
        <w:pStyle w:val="List"/>
        <w:ind w:left="1440"/>
      </w:pPr>
      <w:r w:rsidRPr="004A6A11">
        <w:rPr>
          <w:rStyle w:val="msoins0"/>
          <w:u w:val="none"/>
        </w:rPr>
        <w:t>(e)</w:t>
      </w:r>
      <w:r w:rsidRPr="004A6A11">
        <w:rPr>
          <w:rStyle w:val="msoins0"/>
          <w:u w:val="none"/>
        </w:rPr>
        <w:tab/>
        <w:t xml:space="preserve">A list of transmission constraints that have a high probability of binding in the </w:t>
      </w:r>
      <w:r w:rsidR="0069612F">
        <w:rPr>
          <w:rStyle w:val="msoins0"/>
          <w:u w:val="none"/>
        </w:rPr>
        <w:t>Security-Constrained Economic Dispatch (</w:t>
      </w:r>
      <w:r>
        <w:rPr>
          <w:rStyle w:val="msoins0"/>
          <w:u w:val="none"/>
        </w:rPr>
        <w:t>SCED</w:t>
      </w:r>
      <w:r w:rsidR="0069612F">
        <w:rPr>
          <w:rStyle w:val="msoins0"/>
          <w:u w:val="none"/>
        </w:rPr>
        <w:t>)</w:t>
      </w:r>
      <w:r w:rsidRPr="004A6A11">
        <w:rPr>
          <w:rStyle w:val="msoins0"/>
          <w:u w:val="none"/>
        </w:rPr>
        <w:t xml:space="preserve"> or DAM; </w:t>
      </w:r>
      <w:r w:rsidR="00EB662A">
        <w:rPr>
          <w:rStyle w:val="msoins0"/>
          <w:u w:val="none"/>
        </w:rPr>
        <w:t>and</w:t>
      </w:r>
    </w:p>
    <w:p w14:paraId="48403FF9" w14:textId="77777777" w:rsidR="00B6455F" w:rsidRDefault="00B6455F" w:rsidP="00B221AB">
      <w:pPr>
        <w:pStyle w:val="List"/>
        <w:ind w:left="1440"/>
      </w:pPr>
      <w:r>
        <w:t>(</w:t>
      </w:r>
      <w:r w:rsidR="00EB662A">
        <w:t>f</w:t>
      </w:r>
      <w:r>
        <w:t>)</w:t>
      </w:r>
      <w:r>
        <w:tab/>
      </w:r>
      <w:r w:rsidRPr="00527341">
        <w:t>A mapping of any Electrical Bus to another Electrical Bus for purposes of heuristic pricing as described in paragra</w:t>
      </w:r>
      <w:r>
        <w:t xml:space="preserve">ph (8) of </w:t>
      </w:r>
      <w:r w:rsidRPr="00527341">
        <w:t>Section 4.5.1</w:t>
      </w:r>
      <w:r>
        <w:t>,</w:t>
      </w:r>
      <w:r w:rsidRPr="00527341">
        <w:t xml:space="preserve"> DAM Clearing Process, and </w:t>
      </w:r>
      <w:r>
        <w:t xml:space="preserve">Section </w:t>
      </w:r>
      <w:r w:rsidRPr="00527341">
        <w:t>6.6.1</w:t>
      </w:r>
      <w:r>
        <w:t>,</w:t>
      </w:r>
      <w:r w:rsidRPr="00527341">
        <w:t xml:space="preserve"> Real-Time Settlement Point Prices.</w:t>
      </w:r>
    </w:p>
    <w:p w14:paraId="3BC5BB35" w14:textId="77777777" w:rsidR="00104959" w:rsidRPr="00CF3C40" w:rsidRDefault="00104959" w:rsidP="009101CD">
      <w:pPr>
        <w:pStyle w:val="H3"/>
        <w:spacing w:before="480"/>
        <w:rPr>
          <w:b w:val="0"/>
          <w:i w:val="0"/>
        </w:rPr>
      </w:pPr>
      <w:bookmarkStart w:id="97" w:name="_Toc135990610"/>
      <w:r>
        <w:t>4.2.5</w:t>
      </w:r>
      <w:r w:rsidRPr="00CF3C40">
        <w:tab/>
        <w:t>Notice of New Types of Forecasts</w:t>
      </w:r>
      <w:bookmarkEnd w:id="97"/>
    </w:p>
    <w:p w14:paraId="3C67ADD1" w14:textId="2BABB0A7" w:rsidR="00104959" w:rsidRDefault="00104959" w:rsidP="00104959">
      <w:pPr>
        <w:pStyle w:val="BodyTextNumbered"/>
      </w:pPr>
      <w:r>
        <w:t>(1)</w:t>
      </w:r>
      <w:r>
        <w:tab/>
        <w:t>Before using any new type of forecast for any operational purpose, ERCOT shall issue a Market Notice stating ERCOT’s intention to use that new type of forecast and shall sponsor a Nodal Protocol Revision Request (NPRR) to propose requirements for posting data for the new type of forecast.</w:t>
      </w:r>
    </w:p>
    <w:p w14:paraId="609933A6" w14:textId="33998056" w:rsidR="00FF2129" w:rsidRDefault="00482EF3" w:rsidP="009101CD">
      <w:pPr>
        <w:pStyle w:val="H3"/>
        <w:spacing w:before="480"/>
      </w:pPr>
      <w:bookmarkStart w:id="98" w:name="_Toc402345567"/>
      <w:bookmarkStart w:id="99" w:name="_Toc405383850"/>
      <w:bookmarkStart w:id="100" w:name="_Toc405536952"/>
      <w:bookmarkStart w:id="101" w:name="_Toc440871739"/>
      <w:bookmarkStart w:id="102" w:name="_Toc135990611"/>
      <w:r>
        <w:t>4.2.</w:t>
      </w:r>
      <w:r w:rsidR="00104959">
        <w:t>6</w:t>
      </w:r>
      <w:r>
        <w:tab/>
        <w:t>ERCOT Notice of Validation Rules for the Day-Ahead</w:t>
      </w:r>
      <w:bookmarkEnd w:id="95"/>
      <w:bookmarkEnd w:id="96"/>
      <w:bookmarkEnd w:id="98"/>
      <w:bookmarkEnd w:id="99"/>
      <w:bookmarkEnd w:id="100"/>
      <w:bookmarkEnd w:id="101"/>
      <w:bookmarkEnd w:id="102"/>
    </w:p>
    <w:p w14:paraId="705F42DD" w14:textId="77777777" w:rsidR="00FF2129" w:rsidRDefault="002E0760" w:rsidP="00C73E78">
      <w:pPr>
        <w:pStyle w:val="BodyTextNumbered"/>
      </w:pPr>
      <w:r>
        <w:t>(1)</w:t>
      </w:r>
      <w:r>
        <w:tab/>
      </w:r>
      <w:r w:rsidR="00482EF3">
        <w:t xml:space="preserve">ERCOT shall provide each QSE with the information necessary to pre-validate </w:t>
      </w:r>
      <w:r w:rsidR="00482EF3">
        <w:rPr>
          <w:rStyle w:val="msoins0"/>
          <w:u w:val="none"/>
        </w:rPr>
        <w:t>its</w:t>
      </w:r>
      <w:r w:rsidR="00482EF3">
        <w:t xml:space="preserve"> data for DAM, including publishing validation rules for offers, bids</w:t>
      </w:r>
      <w:r w:rsidR="00C353E0">
        <w:t>,</w:t>
      </w:r>
      <w:r w:rsidR="00482EF3">
        <w:t xml:space="preserve"> and trades</w:t>
      </w:r>
      <w:r w:rsidR="00C353E0">
        <w:t>.</w:t>
      </w:r>
    </w:p>
    <w:p w14:paraId="11951724" w14:textId="77777777" w:rsidR="00FF2129" w:rsidRDefault="00482EF3" w:rsidP="002E4A30">
      <w:pPr>
        <w:pStyle w:val="H2"/>
        <w:numPr>
          <w:ilvl w:val="0"/>
          <w:numId w:val="0"/>
        </w:numPr>
        <w:spacing w:before="480"/>
      </w:pPr>
      <w:bookmarkStart w:id="103" w:name="_Toc90197094"/>
      <w:bookmarkStart w:id="104" w:name="_Toc142108893"/>
      <w:bookmarkStart w:id="105" w:name="_Toc142113741"/>
      <w:bookmarkStart w:id="106" w:name="_Toc402345568"/>
      <w:bookmarkStart w:id="107" w:name="_Toc405383851"/>
      <w:bookmarkStart w:id="108" w:name="_Toc405536953"/>
      <w:bookmarkStart w:id="109" w:name="_Toc440871740"/>
      <w:bookmarkStart w:id="110" w:name="_Toc135990612"/>
      <w:r>
        <w:lastRenderedPageBreak/>
        <w:t>4.3</w:t>
      </w:r>
      <w:r>
        <w:tab/>
        <w:t>QSE Activities and Responsibilities in the Day-Ahead</w:t>
      </w:r>
      <w:bookmarkEnd w:id="103"/>
      <w:bookmarkEnd w:id="104"/>
      <w:bookmarkEnd w:id="105"/>
      <w:bookmarkEnd w:id="106"/>
      <w:bookmarkEnd w:id="107"/>
      <w:bookmarkEnd w:id="108"/>
      <w:bookmarkEnd w:id="109"/>
      <w:bookmarkEnd w:id="110"/>
    </w:p>
    <w:p w14:paraId="1FA5877D" w14:textId="77777777" w:rsidR="00FF2129" w:rsidRDefault="00482EF3">
      <w:pPr>
        <w:pStyle w:val="BodyTextNumbered"/>
      </w:pPr>
      <w:r>
        <w:t>(1)</w:t>
      </w:r>
      <w:r>
        <w:tab/>
        <w:t xml:space="preserve">During the Day-Ahead, a </w:t>
      </w:r>
      <w:r w:rsidR="00F077D8">
        <w:t>Qualified Scheduling Entity (</w:t>
      </w:r>
      <w:r>
        <w:t>QSE</w:t>
      </w:r>
      <w:r w:rsidR="00F077D8">
        <w:t>)</w:t>
      </w:r>
      <w:r>
        <w:t xml:space="preserve">: </w:t>
      </w:r>
    </w:p>
    <w:p w14:paraId="2C4B7DDC" w14:textId="77777777" w:rsidR="00FF2129" w:rsidRDefault="00482EF3">
      <w:pPr>
        <w:pStyle w:val="List"/>
        <w:ind w:left="1440"/>
      </w:pPr>
      <w:r>
        <w:t>(a)</w:t>
      </w:r>
      <w:r>
        <w:tab/>
        <w:t xml:space="preserve">Must submit its </w:t>
      </w:r>
      <w:r w:rsidR="00D35DCF">
        <w:t>Current Operating Plan (</w:t>
      </w:r>
      <w:r>
        <w:t>COP</w:t>
      </w:r>
      <w:r w:rsidR="00D35DCF">
        <w:t>)</w:t>
      </w:r>
      <w:r>
        <w:t xml:space="preserve"> and update its COP as required in Section 3.9, Current Operating Plan (COP);</w:t>
      </w:r>
      <w:r w:rsidR="00F077D8">
        <w:t xml:space="preserve"> and</w:t>
      </w:r>
    </w:p>
    <w:p w14:paraId="67282448" w14:textId="2B0D70AD" w:rsidR="00FF2129" w:rsidRDefault="000C362C">
      <w:pPr>
        <w:pStyle w:val="List"/>
        <w:ind w:left="1440"/>
      </w:pPr>
      <w:r>
        <w:t>(b)</w:t>
      </w:r>
      <w:r>
        <w:tab/>
        <w:t>May submit Three-Part Supply Offers, Day-Ahead Market (DAM) Energy-Only Offers, DAM Energy Bids, Energy Trades, Self-Schedules, Capacity Trades, Direct Current Tie</w:t>
      </w:r>
      <w:r w:rsidR="00B96815">
        <w:t xml:space="preserve"> (DC Tie)</w:t>
      </w:r>
      <w:r>
        <w:t xml:space="preserve"> Schedules, Ancillary Service Offers, Ancillary Service Trades, Self-Arranged Ancillary Service Quantities, and Point-to-Point (PTP) Obligation bids as specified in this Section.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182341" w:rsidRPr="004B32CF" w14:paraId="0409250D" w14:textId="77777777" w:rsidTr="00B11AAC">
        <w:trPr>
          <w:trHeight w:val="386"/>
        </w:trPr>
        <w:tc>
          <w:tcPr>
            <w:tcW w:w="9350" w:type="dxa"/>
            <w:shd w:val="pct12" w:color="auto" w:fill="auto"/>
          </w:tcPr>
          <w:p w14:paraId="3BA98C62" w14:textId="3795E023" w:rsidR="00182341" w:rsidRPr="004B32CF" w:rsidRDefault="00182341" w:rsidP="00B11AAC">
            <w:pPr>
              <w:spacing w:before="120" w:after="240"/>
              <w:rPr>
                <w:b/>
                <w:i/>
                <w:iCs/>
              </w:rPr>
            </w:pPr>
            <w:r>
              <w:rPr>
                <w:b/>
                <w:i/>
                <w:iCs/>
              </w:rPr>
              <w:t>[NPRR1008</w:t>
            </w:r>
            <w:r w:rsidR="0016783B">
              <w:rPr>
                <w:b/>
                <w:i/>
                <w:iCs/>
              </w:rPr>
              <w:t xml:space="preserve"> and NPRR1014</w:t>
            </w:r>
            <w:r>
              <w:rPr>
                <w:b/>
                <w:i/>
                <w:iCs/>
              </w:rPr>
              <w:t xml:space="preserve">:  Replace </w:t>
            </w:r>
            <w:r w:rsidR="0016783B">
              <w:rPr>
                <w:b/>
                <w:i/>
                <w:iCs/>
              </w:rPr>
              <w:t xml:space="preserve">applicable portions of </w:t>
            </w:r>
            <w:r>
              <w:rPr>
                <w:b/>
                <w:i/>
                <w:iCs/>
              </w:rPr>
              <w:t>paragraph (b</w:t>
            </w:r>
            <w:r w:rsidRPr="004B32CF">
              <w:rPr>
                <w:b/>
                <w:i/>
                <w:iCs/>
              </w:rPr>
              <w:t xml:space="preserve">) </w:t>
            </w:r>
            <w:r>
              <w:rPr>
                <w:b/>
                <w:i/>
                <w:iCs/>
              </w:rPr>
              <w:t>above with the following</w:t>
            </w:r>
            <w:r w:rsidRPr="004B32CF">
              <w:rPr>
                <w:b/>
                <w:i/>
                <w:iCs/>
              </w:rPr>
              <w:t xml:space="preserve"> upon system implementation</w:t>
            </w:r>
            <w:r>
              <w:rPr>
                <w:b/>
                <w:i/>
                <w:iCs/>
              </w:rPr>
              <w:t xml:space="preserve"> of the Real-Time Co-Optimization (RTC) project</w:t>
            </w:r>
            <w:r w:rsidR="0016783B">
              <w:rPr>
                <w:b/>
                <w:i/>
                <w:iCs/>
              </w:rPr>
              <w:t xml:space="preserve"> for NPRR1008; o</w:t>
            </w:r>
            <w:r w:rsidR="001B5D93">
              <w:rPr>
                <w:b/>
                <w:i/>
                <w:iCs/>
              </w:rPr>
              <w:t xml:space="preserve">r upon system implementation </w:t>
            </w:r>
            <w:r w:rsidR="00B96815">
              <w:rPr>
                <w:b/>
                <w:i/>
                <w:iCs/>
              </w:rPr>
              <w:t xml:space="preserve">for </w:t>
            </w:r>
            <w:r w:rsidR="0016783B">
              <w:rPr>
                <w:b/>
                <w:i/>
                <w:iCs/>
              </w:rPr>
              <w:t>NPRR1014</w:t>
            </w:r>
            <w:r w:rsidRPr="004B32CF">
              <w:rPr>
                <w:b/>
                <w:i/>
                <w:iCs/>
              </w:rPr>
              <w:t>:]</w:t>
            </w:r>
          </w:p>
          <w:p w14:paraId="727B6CC8" w14:textId="3C75699D" w:rsidR="00182341" w:rsidRPr="004B32CF" w:rsidRDefault="00182341" w:rsidP="00B96815">
            <w:pPr>
              <w:pStyle w:val="List"/>
              <w:ind w:left="1440"/>
            </w:pPr>
            <w:r>
              <w:t>(b)</w:t>
            </w:r>
            <w:r>
              <w:tab/>
              <w:t>May submit Three-Part Supply Offers, Day-Ahead Market (DAM) Energy-Only Offers, DAM Energy Bids,</w:t>
            </w:r>
            <w:r w:rsidR="0016783B" w:rsidRPr="00A552C3">
              <w:t xml:space="preserve"> Energy Bid/Offer Curves, </w:t>
            </w:r>
            <w:r>
              <w:t xml:space="preserve">Energy Trades, Self-Schedules, Capacity Trades, Direct Current </w:t>
            </w:r>
            <w:r w:rsidR="00B96815">
              <w:t xml:space="preserve">Tie (DC Tie) </w:t>
            </w:r>
            <w:r>
              <w:t>Schedules, Resource-Specific Ancillary Service Offers,</w:t>
            </w:r>
            <w:r w:rsidRPr="004F3898">
              <w:t xml:space="preserve"> </w:t>
            </w:r>
            <w:r>
              <w:t>DAM Ancillary Service Only Offers, Ancillary Service Trades, Self-Arranged Ancillary Service Quantities, and Point-to-Point (PTP) Obligation bids as specified in this Section.</w:t>
            </w:r>
          </w:p>
        </w:tc>
      </w:tr>
    </w:tbl>
    <w:p w14:paraId="0A04C350" w14:textId="72F908F9" w:rsidR="00FF2129" w:rsidRDefault="00482EF3" w:rsidP="00F539C2">
      <w:pPr>
        <w:pStyle w:val="BodyTextNumbered"/>
        <w:spacing w:before="240"/>
      </w:pPr>
      <w:r>
        <w:t>(2)</w:t>
      </w:r>
      <w:r>
        <w:tab/>
        <w:t xml:space="preserve">By 0600 in the Day-Ahead, each QSE representing </w:t>
      </w:r>
      <w:r w:rsidR="00D35DCF">
        <w:t>Reliability Must-Run (</w:t>
      </w:r>
      <w:r>
        <w:t>RMR</w:t>
      </w:r>
      <w:r w:rsidR="00D35DCF">
        <w:t>)</w:t>
      </w:r>
      <w:r>
        <w:t xml:space="preserve"> Units</w:t>
      </w:r>
      <w:r w:rsidR="008D59FD">
        <w:t>, Firm Fuel Supply Service (FFSS) Resources (FFSSR</w:t>
      </w:r>
      <w:r w:rsidR="0058035F">
        <w:t>s</w:t>
      </w:r>
      <w:r w:rsidR="008D59FD">
        <w:t>),</w:t>
      </w:r>
      <w:r>
        <w:t xml:space="preserve"> or Black Start Resources shall submit </w:t>
      </w:r>
      <w:r w:rsidR="00630B9C">
        <w:t xml:space="preserve">its </w:t>
      </w:r>
      <w:r w:rsidR="002328FC">
        <w:t xml:space="preserve">Availability Plan </w:t>
      </w:r>
      <w:r>
        <w:t>to ERCOT indicating availability of RMR Units</w:t>
      </w:r>
      <w:r w:rsidR="008D59FD">
        <w:t>, FFSSRs,</w:t>
      </w:r>
      <w:r>
        <w:t xml:space="preserve"> and Black Start Resources for the Operating Day and any other information that ERCOT may need to evaluate use of the units. </w:t>
      </w:r>
    </w:p>
    <w:p w14:paraId="73C58FC7" w14:textId="77777777" w:rsidR="00FF2129" w:rsidRDefault="00482EF3" w:rsidP="00C25768">
      <w:pPr>
        <w:pStyle w:val="H2"/>
        <w:numPr>
          <w:ilvl w:val="0"/>
          <w:numId w:val="0"/>
        </w:numPr>
      </w:pPr>
      <w:bookmarkStart w:id="111" w:name="_Toc92873922"/>
      <w:bookmarkStart w:id="112" w:name="_Toc142108894"/>
      <w:bookmarkStart w:id="113" w:name="_Toc142113742"/>
      <w:bookmarkStart w:id="114" w:name="_Toc402345569"/>
      <w:bookmarkStart w:id="115" w:name="_Toc405383852"/>
      <w:bookmarkStart w:id="116" w:name="_Toc405536954"/>
      <w:bookmarkStart w:id="117" w:name="_Toc440871741"/>
      <w:bookmarkStart w:id="118" w:name="_Toc135990613"/>
      <w:bookmarkStart w:id="119" w:name="_Toc90197125"/>
      <w:r>
        <w:t>4.4</w:t>
      </w:r>
      <w:r>
        <w:tab/>
        <w:t>Inputs into DAM and Other Trades</w:t>
      </w:r>
      <w:bookmarkEnd w:id="111"/>
      <w:bookmarkEnd w:id="112"/>
      <w:bookmarkEnd w:id="113"/>
      <w:bookmarkEnd w:id="114"/>
      <w:bookmarkEnd w:id="115"/>
      <w:bookmarkEnd w:id="116"/>
      <w:bookmarkEnd w:id="117"/>
      <w:bookmarkEnd w:id="118"/>
    </w:p>
    <w:p w14:paraId="7D29BC93" w14:textId="77777777" w:rsidR="00FF2129" w:rsidRDefault="00482EF3" w:rsidP="004555CF">
      <w:pPr>
        <w:pStyle w:val="H3"/>
        <w:spacing w:before="480"/>
      </w:pPr>
      <w:bookmarkStart w:id="120" w:name="_Toc92873923"/>
      <w:bookmarkStart w:id="121" w:name="_Toc142108895"/>
      <w:bookmarkStart w:id="122" w:name="_Toc142113743"/>
      <w:bookmarkStart w:id="123" w:name="_Toc402345570"/>
      <w:bookmarkStart w:id="124" w:name="_Toc405383853"/>
      <w:bookmarkStart w:id="125" w:name="_Toc405536955"/>
      <w:bookmarkStart w:id="126" w:name="_Toc440871742"/>
      <w:bookmarkStart w:id="127" w:name="_Toc135990614"/>
      <w:bookmarkStart w:id="128" w:name="_Toc90197168"/>
      <w:r>
        <w:t>4.4.1</w:t>
      </w:r>
      <w:r>
        <w:tab/>
        <w:t>Capacity Trades</w:t>
      </w:r>
      <w:bookmarkEnd w:id="120"/>
      <w:bookmarkEnd w:id="121"/>
      <w:bookmarkEnd w:id="122"/>
      <w:bookmarkEnd w:id="123"/>
      <w:bookmarkEnd w:id="124"/>
      <w:bookmarkEnd w:id="125"/>
      <w:bookmarkEnd w:id="126"/>
      <w:bookmarkEnd w:id="127"/>
      <w:r>
        <w:t xml:space="preserve"> </w:t>
      </w:r>
    </w:p>
    <w:p w14:paraId="45345A33" w14:textId="77777777" w:rsidR="00FF2129" w:rsidRDefault="00482EF3">
      <w:pPr>
        <w:pStyle w:val="BodyTextNumbered"/>
      </w:pPr>
      <w:r>
        <w:t>(1)</w:t>
      </w:r>
      <w:r>
        <w:tab/>
        <w:t xml:space="preserve">A Capacity Trade is the information for a Qualified Scheduling Entity (QSE)-to-QSE transaction that transfers financial responsibility for capacity between a buyer and a seller. </w:t>
      </w:r>
    </w:p>
    <w:p w14:paraId="047527AE" w14:textId="77777777" w:rsidR="00FF2129" w:rsidRDefault="00482EF3">
      <w:pPr>
        <w:pStyle w:val="BodyTextNumbered"/>
      </w:pPr>
      <w:r>
        <w:t>(2)</w:t>
      </w:r>
      <w:r>
        <w:tab/>
        <w:t>A Capacity Trade for hours in the Operating Day that is reported to ERCOT before 1430 in the Day-Ahead creates:</w:t>
      </w:r>
    </w:p>
    <w:p w14:paraId="1D7FE6D3" w14:textId="77777777" w:rsidR="00FF2129" w:rsidRDefault="00482EF3">
      <w:pPr>
        <w:pStyle w:val="List"/>
        <w:ind w:left="1440"/>
      </w:pPr>
      <w:r>
        <w:t>(a)</w:t>
      </w:r>
      <w:r>
        <w:tab/>
        <w:t>A capacity supply in the Day-Ahead Reliability Unit Commitment (DRUC) process for the buyer; and</w:t>
      </w:r>
    </w:p>
    <w:p w14:paraId="4EC6F15C" w14:textId="77777777" w:rsidR="00FF2129" w:rsidRDefault="00482EF3">
      <w:pPr>
        <w:pStyle w:val="List"/>
        <w:ind w:left="1440"/>
      </w:pPr>
      <w:r>
        <w:t>(b)</w:t>
      </w:r>
      <w:r>
        <w:tab/>
        <w:t xml:space="preserve">A capacity obligation in the DRUC process for the seller. </w:t>
      </w:r>
    </w:p>
    <w:p w14:paraId="412645EA" w14:textId="77777777" w:rsidR="00FF2129" w:rsidRDefault="00482EF3">
      <w:pPr>
        <w:pStyle w:val="BodyTextNumbered"/>
      </w:pPr>
      <w:r>
        <w:lastRenderedPageBreak/>
        <w:t>(3)</w:t>
      </w:r>
      <w:r>
        <w:tab/>
        <w:t>A Capacity Trade submitted at or after 1430 in the Day-Ahead for the Operating Day creates a capacity supply or obligation in any Hourly Reliability Unit Commitment (HRUC) processes executed after the Capacity Trade is reported to ERCOT.  Capacity Trades submitted after the DRUC snapshot are considered in the Adjustment Period snapshot.</w:t>
      </w:r>
    </w:p>
    <w:p w14:paraId="745506A2" w14:textId="77777777" w:rsidR="00FF2129" w:rsidRDefault="00482EF3">
      <w:pPr>
        <w:pStyle w:val="BodyTextNumbered"/>
      </w:pPr>
      <w:r>
        <w:t>(4)</w:t>
      </w:r>
      <w:r>
        <w:tab/>
        <w:t>As soon as practicable, ERCOT shall notify each QSE through the Messaging System of any of its Capacity Trades that are invalid Capacity Trades.  The QSE may correct and resubmit any invalid Capacity Trade within the appropriate market timeline.</w:t>
      </w:r>
    </w:p>
    <w:p w14:paraId="7CEC72E1" w14:textId="77777777" w:rsidR="00FF2129" w:rsidRDefault="00482EF3" w:rsidP="004555CF">
      <w:pPr>
        <w:pStyle w:val="H4"/>
        <w:spacing w:before="480"/>
        <w:ind w:left="1267" w:hanging="1267"/>
      </w:pPr>
      <w:bookmarkStart w:id="129" w:name="_Toc92873924"/>
      <w:bookmarkStart w:id="130" w:name="_Toc142108896"/>
      <w:bookmarkStart w:id="131" w:name="_Toc142113744"/>
      <w:bookmarkStart w:id="132" w:name="_Toc402345571"/>
      <w:bookmarkStart w:id="133" w:name="_Toc405383854"/>
      <w:bookmarkStart w:id="134" w:name="_Toc405536956"/>
      <w:bookmarkStart w:id="135" w:name="_Toc440871743"/>
      <w:bookmarkStart w:id="136" w:name="_Toc135990615"/>
      <w:r>
        <w:t>4.4.1.1</w:t>
      </w:r>
      <w:r>
        <w:tab/>
        <w:t>Capacity Trade Criteria</w:t>
      </w:r>
      <w:bookmarkEnd w:id="129"/>
      <w:bookmarkEnd w:id="130"/>
      <w:bookmarkEnd w:id="131"/>
      <w:bookmarkEnd w:id="132"/>
      <w:bookmarkEnd w:id="133"/>
      <w:bookmarkEnd w:id="134"/>
      <w:bookmarkEnd w:id="135"/>
      <w:bookmarkEnd w:id="136"/>
    </w:p>
    <w:p w14:paraId="16000FA9" w14:textId="77777777" w:rsidR="00FF2129" w:rsidRDefault="00482EF3">
      <w:pPr>
        <w:pStyle w:val="BodyTextNumbered"/>
      </w:pPr>
      <w:r>
        <w:t>(1)</w:t>
      </w:r>
      <w:r>
        <w:tab/>
        <w:t>A Capacity Trade must be submitted by a QSE and must include the following:</w:t>
      </w:r>
    </w:p>
    <w:p w14:paraId="1B658BDB" w14:textId="77777777" w:rsidR="00FF2129" w:rsidRDefault="00482EF3">
      <w:pPr>
        <w:pStyle w:val="List"/>
        <w:ind w:left="1440"/>
      </w:pPr>
      <w:r>
        <w:t>(a)</w:t>
      </w:r>
      <w:r>
        <w:tab/>
        <w:t>The buying QSE;</w:t>
      </w:r>
    </w:p>
    <w:p w14:paraId="21B312A6" w14:textId="77777777" w:rsidR="00FF2129" w:rsidRDefault="00482EF3">
      <w:pPr>
        <w:pStyle w:val="List"/>
        <w:ind w:left="1440"/>
      </w:pPr>
      <w:r>
        <w:t>(b)</w:t>
      </w:r>
      <w:r>
        <w:tab/>
        <w:t>The selling QSE;</w:t>
      </w:r>
    </w:p>
    <w:p w14:paraId="6DDF25B8" w14:textId="77777777" w:rsidR="00FF2129" w:rsidRDefault="00482EF3">
      <w:pPr>
        <w:pStyle w:val="List"/>
        <w:ind w:left="1440"/>
      </w:pPr>
      <w:r>
        <w:t>(c)</w:t>
      </w:r>
      <w:r>
        <w:tab/>
        <w:t>The quantity in MW; and</w:t>
      </w:r>
    </w:p>
    <w:p w14:paraId="24B7059F" w14:textId="77777777" w:rsidR="00FF2129" w:rsidRDefault="00482EF3">
      <w:pPr>
        <w:pStyle w:val="List"/>
        <w:ind w:left="1440"/>
      </w:pPr>
      <w:r>
        <w:t>(d)</w:t>
      </w:r>
      <w:r>
        <w:tab/>
        <w:t xml:space="preserve">The first hour and last hour of the trade.   </w:t>
      </w:r>
    </w:p>
    <w:p w14:paraId="1C5F6F51" w14:textId="77777777" w:rsidR="00FF2129" w:rsidRDefault="00482EF3">
      <w:pPr>
        <w:pStyle w:val="BodyTextNumbered"/>
      </w:pPr>
      <w:r>
        <w:t>(2)</w:t>
      </w:r>
      <w:r>
        <w:tab/>
        <w:t>A Capacity Trade must be confirmed by both the buyer and seller to be considered valid.</w:t>
      </w:r>
    </w:p>
    <w:p w14:paraId="143E4601" w14:textId="77777777" w:rsidR="00FF2129" w:rsidRDefault="00482EF3" w:rsidP="004555CF">
      <w:pPr>
        <w:pStyle w:val="H4"/>
        <w:spacing w:before="480"/>
        <w:ind w:left="1267" w:hanging="1267"/>
      </w:pPr>
      <w:bookmarkStart w:id="137" w:name="_Toc92873925"/>
      <w:bookmarkStart w:id="138" w:name="_Toc142108897"/>
      <w:bookmarkStart w:id="139" w:name="_Toc142113745"/>
      <w:bookmarkStart w:id="140" w:name="_Toc402345572"/>
      <w:bookmarkStart w:id="141" w:name="_Toc405383855"/>
      <w:bookmarkStart w:id="142" w:name="_Toc405536957"/>
      <w:bookmarkStart w:id="143" w:name="_Toc440871744"/>
      <w:bookmarkStart w:id="144" w:name="_Toc135990616"/>
      <w:r>
        <w:t>4.4.1.2</w:t>
      </w:r>
      <w:r>
        <w:tab/>
        <w:t>Capacity Trade Validation</w:t>
      </w:r>
      <w:bookmarkEnd w:id="137"/>
      <w:bookmarkEnd w:id="138"/>
      <w:bookmarkEnd w:id="139"/>
      <w:bookmarkEnd w:id="140"/>
      <w:bookmarkEnd w:id="141"/>
      <w:bookmarkEnd w:id="142"/>
      <w:bookmarkEnd w:id="143"/>
      <w:bookmarkEnd w:id="144"/>
    </w:p>
    <w:p w14:paraId="34104418" w14:textId="77777777" w:rsidR="00FF2129" w:rsidRDefault="00482EF3">
      <w:pPr>
        <w:pStyle w:val="BodyTextNumbered"/>
      </w:pPr>
      <w:r>
        <w:t>(1)</w:t>
      </w:r>
      <w:r>
        <w:tab/>
        <w:t>A validated Capacity Trade is a Capacity Trade that ERCOT has determined meets the criteria listed in Section 4.4.1.1, Capacity Trade Criteria.  Only one confirmed Capacity Trade is allowed for the same buying and selling QSEs for each hour.</w:t>
      </w:r>
    </w:p>
    <w:p w14:paraId="6F111B3E" w14:textId="77777777" w:rsidR="00BF54F1" w:rsidRDefault="00EC5548" w:rsidP="00BF54F1">
      <w:pPr>
        <w:pStyle w:val="BodyTextNumbered"/>
      </w:pPr>
      <w:r w:rsidRPr="009D114C">
        <w:rPr>
          <w:iCs w:val="0"/>
        </w:rPr>
        <w:t>(2)</w:t>
      </w:r>
      <w:r w:rsidRPr="009D114C">
        <w:rPr>
          <w:iCs w:val="0"/>
        </w:rPr>
        <w:tab/>
        <w:t>When a Capacity Trade is reported to ERCOT, ERCOT shall notify both the buying and selling QSEs by using the Messaging System, if available, and on the Market Information System (MIS) Certified Area.  ERCOT shall also post to the MIS Certified Area any unconfirmed Capacity Trades for QSEs on an hourly basis for all remaining hours of the current Operating Day and all hours of the next Operating Day.</w:t>
      </w:r>
      <w:r w:rsidR="00482EF3">
        <w:t xml:space="preserve"> </w:t>
      </w:r>
    </w:p>
    <w:p w14:paraId="7E4F0125" w14:textId="77777777" w:rsidR="00FF2129" w:rsidRDefault="00482EF3" w:rsidP="004555CF">
      <w:pPr>
        <w:pStyle w:val="BodyTextNumbered"/>
      </w:pPr>
      <w:r>
        <w:t>(3)</w:t>
      </w:r>
      <w:r>
        <w:tab/>
        <w:t xml:space="preserve">ERCOT shall continuously validate Capacity Trades and continuously display on the MIS Certified Area information that allows any QSE named in a Capacity Trade to view confirmed and unconfirmed Capacity Trades. </w:t>
      </w:r>
    </w:p>
    <w:p w14:paraId="37EBF0BD" w14:textId="77777777" w:rsidR="00FF2129" w:rsidRDefault="00482EF3">
      <w:pPr>
        <w:pStyle w:val="BodyTextNumbered"/>
      </w:pPr>
      <w:r>
        <w:t>(4)</w:t>
      </w:r>
      <w:r>
        <w:tab/>
        <w:t xml:space="preserve">The QSE that first reports the Capacity Trade to ERCOT is deemed to have confirmed the Capacity Trade unless it subsequently affirmatively rejects it.  The QSE that first reports a Capacity Trade may reject, edit, or delete a Capacity Trade that its counterpart has not confirmed.  The counterpart is deemed to have confirmed the Capacity Trade when it submits to ERCOT an identical Capacity Trade.  After both the buyer and seller have confirmed a Capacity Trade, either party may reject it at any time, but the rejection </w:t>
      </w:r>
      <w:r>
        <w:lastRenderedPageBreak/>
        <w:t>is effective only for any ERCOT Settlement process for which the deadline for reporting Capacity Trades has not yet passed.</w:t>
      </w:r>
    </w:p>
    <w:p w14:paraId="717F45B8" w14:textId="77777777" w:rsidR="00FF2129" w:rsidRDefault="00482EF3" w:rsidP="004555CF">
      <w:pPr>
        <w:pStyle w:val="H3"/>
        <w:spacing w:before="480"/>
      </w:pPr>
      <w:bookmarkStart w:id="145" w:name="_Toc92873926"/>
      <w:bookmarkStart w:id="146" w:name="_Toc142108898"/>
      <w:bookmarkStart w:id="147" w:name="_Toc142113746"/>
      <w:bookmarkStart w:id="148" w:name="_Toc402345573"/>
      <w:bookmarkStart w:id="149" w:name="_Toc405383856"/>
      <w:bookmarkStart w:id="150" w:name="_Toc405536958"/>
      <w:bookmarkStart w:id="151" w:name="_Toc440871745"/>
      <w:bookmarkStart w:id="152" w:name="_Toc135990617"/>
      <w:r>
        <w:t>4.4.2</w:t>
      </w:r>
      <w:r>
        <w:tab/>
        <w:t>Energy Trades</w:t>
      </w:r>
      <w:bookmarkEnd w:id="145"/>
      <w:bookmarkEnd w:id="146"/>
      <w:bookmarkEnd w:id="147"/>
      <w:bookmarkEnd w:id="148"/>
      <w:bookmarkEnd w:id="149"/>
      <w:bookmarkEnd w:id="150"/>
      <w:bookmarkEnd w:id="151"/>
      <w:bookmarkEnd w:id="152"/>
    </w:p>
    <w:p w14:paraId="3AA2937D" w14:textId="77777777" w:rsidR="00FF2129" w:rsidRDefault="00482EF3">
      <w:pPr>
        <w:pStyle w:val="BodyTextNumbered"/>
      </w:pPr>
      <w:r>
        <w:t>(1)</w:t>
      </w:r>
      <w:r>
        <w:tab/>
        <w:t xml:space="preserve">An Energy Trade is the information for a QSE-to-QSE transaction that transfers financial responsibility for energy at a Settlement Point between a buyer and a seller. </w:t>
      </w:r>
    </w:p>
    <w:p w14:paraId="0A00EEC4" w14:textId="77777777" w:rsidR="00FF2129" w:rsidRDefault="00482EF3">
      <w:pPr>
        <w:pStyle w:val="BodyTextNumbered"/>
      </w:pPr>
      <w:r>
        <w:t>(2)</w:t>
      </w:r>
      <w:r>
        <w:tab/>
        <w:t>An Energy Trade for hours in the Operating Day that is reported to ERCOT before 1430 in the Day-Ahead creates a capacity supply or obligation in the DRUC process.  Energy Trades submitted after 1430 in the Day-Ahead for the Operating Day create a capacity supply or obligation in any HRUC processes executed after the Energy Trade is reported to ERCOT.  Energy Trades submitted after the DRUC snapshot are considered in the Adjustment Period.</w:t>
      </w:r>
    </w:p>
    <w:p w14:paraId="60D48C33" w14:textId="77777777" w:rsidR="00FF2129" w:rsidRDefault="00482EF3">
      <w:pPr>
        <w:pStyle w:val="BodyTextNumbered"/>
      </w:pPr>
      <w:r>
        <w:t>(3)</w:t>
      </w:r>
      <w:r>
        <w:tab/>
        <w:t xml:space="preserve">An Energy Trade may be submitted for any Settlement Interval within an Operating Day before 1430 of the following day. </w:t>
      </w:r>
      <w:r w:rsidR="0012130D">
        <w:t xml:space="preserve"> </w:t>
      </w:r>
    </w:p>
    <w:p w14:paraId="551366CE" w14:textId="77777777" w:rsidR="00FF2129" w:rsidRDefault="00482EF3">
      <w:pPr>
        <w:pStyle w:val="BodyTextNumbered"/>
      </w:pPr>
      <w:r>
        <w:t>(4)</w:t>
      </w:r>
      <w:r>
        <w:tab/>
        <w:t xml:space="preserve">As soon as practicable, ERCOT shall notify each QSE through the Messaging System of any of its Energy Trades that are invalid Energy Trades.  The QSE may correct and resubmit any invalid Energy Trade within the appropriate market timeline. </w:t>
      </w:r>
      <w:bookmarkStart w:id="153" w:name="_Toc92873927"/>
    </w:p>
    <w:p w14:paraId="645BC45A" w14:textId="77777777" w:rsidR="00FF2129" w:rsidRDefault="00482EF3" w:rsidP="004555CF">
      <w:pPr>
        <w:pStyle w:val="H4"/>
        <w:spacing w:before="480"/>
        <w:ind w:left="1267" w:hanging="1267"/>
      </w:pPr>
      <w:bookmarkStart w:id="154" w:name="_Toc142108899"/>
      <w:bookmarkStart w:id="155" w:name="_Toc142113747"/>
      <w:bookmarkStart w:id="156" w:name="_Toc402345574"/>
      <w:bookmarkStart w:id="157" w:name="_Toc405383857"/>
      <w:bookmarkStart w:id="158" w:name="_Toc405536959"/>
      <w:bookmarkStart w:id="159" w:name="_Toc440871746"/>
      <w:bookmarkStart w:id="160" w:name="_Toc135990618"/>
      <w:r>
        <w:t>4.4.2.1</w:t>
      </w:r>
      <w:r>
        <w:tab/>
        <w:t>Energy Trade Criteria</w:t>
      </w:r>
      <w:bookmarkEnd w:id="153"/>
      <w:bookmarkEnd w:id="154"/>
      <w:bookmarkEnd w:id="155"/>
      <w:bookmarkEnd w:id="156"/>
      <w:bookmarkEnd w:id="157"/>
      <w:bookmarkEnd w:id="158"/>
      <w:bookmarkEnd w:id="159"/>
      <w:bookmarkEnd w:id="160"/>
    </w:p>
    <w:p w14:paraId="2F889088" w14:textId="77777777" w:rsidR="00FF2129" w:rsidRDefault="00482EF3">
      <w:pPr>
        <w:pStyle w:val="BodyTextNumbered"/>
      </w:pPr>
      <w:r>
        <w:t>(1)</w:t>
      </w:r>
      <w:r>
        <w:tab/>
        <w:t>Each Energy Trade must be reported by a QSE and must include the following information:</w:t>
      </w:r>
    </w:p>
    <w:p w14:paraId="251D7119" w14:textId="77777777" w:rsidR="00FF2129" w:rsidRDefault="00482EF3">
      <w:pPr>
        <w:pStyle w:val="List"/>
        <w:ind w:left="1440"/>
      </w:pPr>
      <w:r>
        <w:t>(a)</w:t>
      </w:r>
      <w:r>
        <w:tab/>
        <w:t>The buying QSE;</w:t>
      </w:r>
    </w:p>
    <w:p w14:paraId="75888EB1" w14:textId="77777777" w:rsidR="00FF2129" w:rsidRDefault="00482EF3">
      <w:pPr>
        <w:pStyle w:val="List"/>
        <w:ind w:left="1440"/>
      </w:pPr>
      <w:r>
        <w:t>(b)</w:t>
      </w:r>
      <w:r>
        <w:tab/>
        <w:t>The selling QSE;</w:t>
      </w:r>
    </w:p>
    <w:p w14:paraId="12D70880" w14:textId="77777777" w:rsidR="00FF2129" w:rsidRDefault="00482EF3">
      <w:pPr>
        <w:pStyle w:val="List"/>
        <w:ind w:left="1440"/>
      </w:pPr>
      <w:r>
        <w:t>(c)</w:t>
      </w:r>
      <w:r>
        <w:tab/>
        <w:t xml:space="preserve">The quantity of MW for each 15-minute Settlement Interval of the trade; </w:t>
      </w:r>
    </w:p>
    <w:p w14:paraId="5E6DD510" w14:textId="77777777" w:rsidR="00FF2129" w:rsidRDefault="00482EF3">
      <w:pPr>
        <w:pStyle w:val="List"/>
        <w:ind w:left="1440"/>
      </w:pPr>
      <w:r>
        <w:t>(d)</w:t>
      </w:r>
      <w:r>
        <w:tab/>
        <w:t>The first and last 15-minute Settlement Intervals of the trade; and</w:t>
      </w:r>
    </w:p>
    <w:p w14:paraId="3693BA5A" w14:textId="77777777" w:rsidR="00FF2129" w:rsidRDefault="00482EF3">
      <w:pPr>
        <w:pStyle w:val="List"/>
        <w:ind w:left="1440"/>
      </w:pPr>
      <w:r>
        <w:t>(e)</w:t>
      </w:r>
      <w:r>
        <w:tab/>
        <w:t>The Settlement Point of the trade.</w:t>
      </w:r>
    </w:p>
    <w:p w14:paraId="5C60EBFB" w14:textId="77777777" w:rsidR="00FF2129" w:rsidRDefault="00482EF3">
      <w:pPr>
        <w:pStyle w:val="BodyTextNumbered"/>
      </w:pPr>
      <w:r>
        <w:t>(2)</w:t>
      </w:r>
      <w:r>
        <w:tab/>
        <w:t>An Energy Trade must be confirmed by both the buyer and seller to be considered valid.</w:t>
      </w:r>
    </w:p>
    <w:p w14:paraId="0D49DB7F" w14:textId="77777777" w:rsidR="00FF2129" w:rsidRDefault="00482EF3" w:rsidP="004555CF">
      <w:pPr>
        <w:pStyle w:val="H4"/>
        <w:tabs>
          <w:tab w:val="left" w:pos="1080"/>
        </w:tabs>
        <w:spacing w:before="480"/>
        <w:ind w:left="1267" w:hanging="1267"/>
      </w:pPr>
      <w:bookmarkStart w:id="161" w:name="_Toc92873928"/>
      <w:bookmarkStart w:id="162" w:name="_Toc142108900"/>
      <w:bookmarkStart w:id="163" w:name="_Toc142113748"/>
      <w:bookmarkStart w:id="164" w:name="_Toc402345575"/>
      <w:bookmarkStart w:id="165" w:name="_Toc405383858"/>
      <w:bookmarkStart w:id="166" w:name="_Toc405536960"/>
      <w:bookmarkStart w:id="167" w:name="_Toc440871747"/>
      <w:bookmarkStart w:id="168" w:name="_Toc135990619"/>
      <w:r>
        <w:t>4.4.2.2</w:t>
      </w:r>
      <w:r>
        <w:rPr>
          <w:iCs/>
          <w:szCs w:val="26"/>
        </w:rPr>
        <w:tab/>
      </w:r>
      <w:r>
        <w:t>Energy Trade Validation</w:t>
      </w:r>
      <w:bookmarkEnd w:id="161"/>
      <w:bookmarkEnd w:id="162"/>
      <w:bookmarkEnd w:id="163"/>
      <w:bookmarkEnd w:id="164"/>
      <w:bookmarkEnd w:id="165"/>
      <w:bookmarkEnd w:id="166"/>
      <w:bookmarkEnd w:id="167"/>
      <w:bookmarkEnd w:id="168"/>
    </w:p>
    <w:p w14:paraId="65764C69" w14:textId="77777777" w:rsidR="00FF2129" w:rsidRDefault="00482EF3">
      <w:pPr>
        <w:pStyle w:val="BodyTextNumbered"/>
      </w:pPr>
      <w:r>
        <w:t>(1)</w:t>
      </w:r>
      <w:r>
        <w:tab/>
        <w:t>A validated Energy Trade is an Energy Trade that ERCOT has determined meets the criteria listed in Section 4.4.2.1, Energy Trade Criteria.  Only one confirmed Energy Trade is allowed for the same buying and selling QSEs at the same Settlement Point for each 15-minute Settlement Interval.</w:t>
      </w:r>
    </w:p>
    <w:p w14:paraId="065E379B" w14:textId="77777777" w:rsidR="00FF2129" w:rsidRDefault="00EC5548">
      <w:pPr>
        <w:pStyle w:val="BodyTextNumbered"/>
      </w:pPr>
      <w:r w:rsidRPr="009D114C">
        <w:rPr>
          <w:iCs w:val="0"/>
        </w:rPr>
        <w:lastRenderedPageBreak/>
        <w:t>(2)</w:t>
      </w:r>
      <w:r w:rsidRPr="009D114C">
        <w:rPr>
          <w:iCs w:val="0"/>
        </w:rPr>
        <w:tab/>
        <w:t>When an Energy Trade is reported to ERCOT, ERCOT shall notify both the buying and selling QSEs by using the Messaging System</w:t>
      </w:r>
      <w:r w:rsidR="00495A0C">
        <w:rPr>
          <w:iCs w:val="0"/>
        </w:rPr>
        <w:t>,</w:t>
      </w:r>
      <w:r w:rsidRPr="009D114C">
        <w:rPr>
          <w:iCs w:val="0"/>
        </w:rPr>
        <w:t xml:space="preserve"> if available</w:t>
      </w:r>
      <w:r w:rsidR="00495A0C">
        <w:rPr>
          <w:iCs w:val="0"/>
        </w:rPr>
        <w:t>,</w:t>
      </w:r>
      <w:r w:rsidRPr="009D114C">
        <w:rPr>
          <w:iCs w:val="0"/>
        </w:rPr>
        <w:t xml:space="preserve"> and the MIS Certified Area.  ERCOT shall also post to the MIS Certified Area any unconfirmed Energy Trades for QSEs on an hourly basis for all remaining hours of the current Operating Day and all hours of the next Operating Day.</w:t>
      </w:r>
      <w:r w:rsidR="00482EF3">
        <w:t xml:space="preserve">  </w:t>
      </w:r>
    </w:p>
    <w:p w14:paraId="6787F884" w14:textId="77777777" w:rsidR="00FF2129" w:rsidRDefault="00482EF3" w:rsidP="004555CF">
      <w:pPr>
        <w:pStyle w:val="BodyTextNumbered"/>
      </w:pPr>
      <w:r>
        <w:t>(3)</w:t>
      </w:r>
      <w:r>
        <w:tab/>
        <w:t xml:space="preserve">ERCOT shall continuously validate Energy Trades and continuously display on the MIS Certified Area information that allows any QSE named in an Energy Trade to view confirmed and unconfirmed Energy Trades.  </w:t>
      </w:r>
    </w:p>
    <w:p w14:paraId="6655DD88" w14:textId="77777777" w:rsidR="00FF2129" w:rsidRDefault="00482EF3">
      <w:pPr>
        <w:pStyle w:val="BodyTextNumbered"/>
      </w:pPr>
      <w:r>
        <w:t>(4)</w:t>
      </w:r>
      <w:r>
        <w:tab/>
        <w:t>The QSE that first reports the Energy Trade to ERCOT is considered to have confirmed the Energy Trade unless it subsequently affirmatively rejects it.  The QSE that first reports an Energy Trade may reject, edit, or delete an Energy Trade that its counterpart has not confirmed.  The counterpart is deemed to have confirmed the Energy Trade when it submits an identical Energy Trade.  After both the buyer and seller have confirmed an Energy Trade, either party may reject it at any time, but the rejection is effective only for any ERCOT process for which the deadline for reporting Energy Trades has not yet passed.</w:t>
      </w:r>
    </w:p>
    <w:p w14:paraId="072094BC" w14:textId="77777777" w:rsidR="00FF2129" w:rsidRDefault="00482EF3" w:rsidP="004555CF">
      <w:pPr>
        <w:pStyle w:val="H3"/>
        <w:spacing w:before="480"/>
      </w:pPr>
      <w:bookmarkStart w:id="169" w:name="_Toc142108901"/>
      <w:bookmarkStart w:id="170" w:name="_Toc142113749"/>
      <w:bookmarkStart w:id="171" w:name="_Toc402345576"/>
      <w:bookmarkStart w:id="172" w:name="_Toc405383859"/>
      <w:bookmarkStart w:id="173" w:name="_Toc405536961"/>
      <w:bookmarkStart w:id="174" w:name="_Toc440871748"/>
      <w:bookmarkStart w:id="175" w:name="_Toc135990620"/>
      <w:bookmarkStart w:id="176" w:name="_Toc92873929"/>
      <w:r>
        <w:t>4.4.3</w:t>
      </w:r>
      <w:r>
        <w:tab/>
        <w:t>Self-Schedules</w:t>
      </w:r>
      <w:bookmarkEnd w:id="169"/>
      <w:bookmarkEnd w:id="170"/>
      <w:bookmarkEnd w:id="171"/>
      <w:bookmarkEnd w:id="172"/>
      <w:bookmarkEnd w:id="173"/>
      <w:bookmarkEnd w:id="174"/>
      <w:bookmarkEnd w:id="175"/>
    </w:p>
    <w:p w14:paraId="07F69A1C" w14:textId="77777777" w:rsidR="00FF2129" w:rsidRDefault="00482EF3">
      <w:pPr>
        <w:pStyle w:val="BodyTextNumbered"/>
      </w:pPr>
      <w:bookmarkStart w:id="177" w:name="_Toc142108902"/>
      <w:r>
        <w:t>(1)</w:t>
      </w:r>
      <w:r>
        <w:tab/>
        <w:t>A Self-Schedule is the information that a QSE submits for Real-Time Settlement that specifies the amount of the QSE’s energy supply at a specified source Settlement Point to be used to meet the QSE’s energy obligation at a specified sink Settlement Point.</w:t>
      </w:r>
      <w:bookmarkEnd w:id="177"/>
    </w:p>
    <w:p w14:paraId="1A82E54A" w14:textId="77777777" w:rsidR="00FF2129" w:rsidRDefault="00482EF3">
      <w:pPr>
        <w:pStyle w:val="BodyTextNumbered"/>
      </w:pPr>
      <w:bookmarkStart w:id="178" w:name="_Toc142108903"/>
      <w:r>
        <w:t>(2)</w:t>
      </w:r>
      <w:r>
        <w:tab/>
        <w:t>A Self-Schedule may be submitted for any Settlement Interval before the end of the Adjustment Period for that Settlement Interval.</w:t>
      </w:r>
      <w:bookmarkEnd w:id="178"/>
    </w:p>
    <w:p w14:paraId="2AA2F571" w14:textId="77777777" w:rsidR="00FF2129" w:rsidRDefault="00482EF3">
      <w:pPr>
        <w:pStyle w:val="BodyTextNumbered"/>
      </w:pPr>
      <w:bookmarkStart w:id="179" w:name="_Toc142108904"/>
      <w:r>
        <w:t>(3)</w:t>
      </w:r>
      <w:r>
        <w:tab/>
        <w:t>As soon as practicable, ERCOT shall notify the QSE through the Messaging System of any of its Self-Schedules that are invalid Self-Schedules.  The QSE may correct and resubmit any invalid Self-Schedule within the appropriate market timeline.</w:t>
      </w:r>
      <w:bookmarkEnd w:id="179"/>
    </w:p>
    <w:p w14:paraId="48AEB44F" w14:textId="77777777" w:rsidR="00FF2129" w:rsidRDefault="00482EF3" w:rsidP="004555CF">
      <w:pPr>
        <w:pStyle w:val="H4"/>
        <w:tabs>
          <w:tab w:val="left" w:pos="1080"/>
        </w:tabs>
        <w:spacing w:before="480"/>
        <w:ind w:left="1267" w:hanging="1267"/>
      </w:pPr>
      <w:bookmarkStart w:id="180" w:name="_Toc142108905"/>
      <w:bookmarkStart w:id="181" w:name="_Toc142113750"/>
      <w:bookmarkStart w:id="182" w:name="_Toc402345577"/>
      <w:bookmarkStart w:id="183" w:name="_Toc405383860"/>
      <w:bookmarkStart w:id="184" w:name="_Toc405536962"/>
      <w:bookmarkStart w:id="185" w:name="_Toc440871749"/>
      <w:bookmarkStart w:id="186" w:name="_Toc135990621"/>
      <w:r>
        <w:t>4.4.3.1</w:t>
      </w:r>
      <w:r>
        <w:rPr>
          <w:iCs/>
          <w:szCs w:val="26"/>
        </w:rPr>
        <w:tab/>
      </w:r>
      <w:r>
        <w:t>Self-Schedule Criteria</w:t>
      </w:r>
      <w:bookmarkEnd w:id="180"/>
      <w:bookmarkEnd w:id="181"/>
      <w:bookmarkEnd w:id="182"/>
      <w:bookmarkEnd w:id="183"/>
      <w:bookmarkEnd w:id="184"/>
      <w:bookmarkEnd w:id="185"/>
      <w:bookmarkEnd w:id="186"/>
    </w:p>
    <w:p w14:paraId="714826BE" w14:textId="77777777" w:rsidR="00FF2129" w:rsidRDefault="00482EF3">
      <w:pPr>
        <w:pStyle w:val="BodyTextNumbered"/>
      </w:pPr>
      <w:r>
        <w:t>(1)</w:t>
      </w:r>
      <w:r>
        <w:tab/>
        <w:t>Each Self-Schedule must be reported by a QSE and must include the following information:</w:t>
      </w:r>
    </w:p>
    <w:p w14:paraId="78034460" w14:textId="77777777" w:rsidR="00FF2129" w:rsidRDefault="00482EF3">
      <w:pPr>
        <w:pStyle w:val="BodyText"/>
        <w:ind w:left="1440" w:hanging="720"/>
      </w:pPr>
      <w:r>
        <w:t>(a)</w:t>
      </w:r>
      <w:r>
        <w:tab/>
        <w:t>The name of the QSE;</w:t>
      </w:r>
    </w:p>
    <w:p w14:paraId="306312BC" w14:textId="77777777" w:rsidR="00FF2129" w:rsidRDefault="00482EF3">
      <w:pPr>
        <w:pStyle w:val="BodyText"/>
        <w:ind w:left="1440" w:hanging="720"/>
      </w:pPr>
      <w:r>
        <w:t>(b)</w:t>
      </w:r>
      <w:r>
        <w:tab/>
        <w:t>The quantity of MW for each 15-minute Settlement Interval of the schedule;</w:t>
      </w:r>
    </w:p>
    <w:p w14:paraId="63D27383" w14:textId="77777777" w:rsidR="00FF2129" w:rsidRDefault="00482EF3">
      <w:pPr>
        <w:pStyle w:val="BodyText"/>
        <w:ind w:left="1440" w:hanging="720"/>
      </w:pPr>
      <w:r>
        <w:t>(c)</w:t>
      </w:r>
      <w:r>
        <w:tab/>
        <w:t>The first and last 15-minute Settlement Intervals of the schedule;</w:t>
      </w:r>
    </w:p>
    <w:p w14:paraId="1BA651CB" w14:textId="77777777" w:rsidR="00FF2129" w:rsidRDefault="00482EF3">
      <w:pPr>
        <w:pStyle w:val="BodyText"/>
        <w:ind w:left="1440" w:hanging="720"/>
      </w:pPr>
      <w:r>
        <w:t>(d)</w:t>
      </w:r>
      <w:r>
        <w:tab/>
        <w:t>The source Settlement Point of the schedule; and</w:t>
      </w:r>
    </w:p>
    <w:p w14:paraId="569C8D1F" w14:textId="77777777" w:rsidR="00FF2129" w:rsidRDefault="00482EF3">
      <w:pPr>
        <w:pStyle w:val="BodyText"/>
        <w:ind w:left="1440" w:hanging="720"/>
      </w:pPr>
      <w:r>
        <w:t>(e)</w:t>
      </w:r>
      <w:r>
        <w:tab/>
        <w:t>The sink Settlement Point of the schedule.</w:t>
      </w:r>
    </w:p>
    <w:p w14:paraId="4EDEB6D4" w14:textId="77777777" w:rsidR="00FF2129" w:rsidRDefault="00482EF3" w:rsidP="004555CF">
      <w:pPr>
        <w:pStyle w:val="H4"/>
        <w:tabs>
          <w:tab w:val="left" w:pos="1080"/>
        </w:tabs>
        <w:spacing w:before="480"/>
        <w:ind w:left="1267" w:hanging="1267"/>
      </w:pPr>
      <w:bookmarkStart w:id="187" w:name="_Toc142108906"/>
      <w:bookmarkStart w:id="188" w:name="_Toc142113751"/>
      <w:bookmarkStart w:id="189" w:name="_Toc402345578"/>
      <w:bookmarkStart w:id="190" w:name="_Toc405383861"/>
      <w:bookmarkStart w:id="191" w:name="_Toc405536963"/>
      <w:bookmarkStart w:id="192" w:name="_Toc440871750"/>
      <w:bookmarkStart w:id="193" w:name="_Toc135990622"/>
      <w:r>
        <w:lastRenderedPageBreak/>
        <w:t>4.4.3.2</w:t>
      </w:r>
      <w:r>
        <w:rPr>
          <w:iCs/>
          <w:szCs w:val="26"/>
        </w:rPr>
        <w:tab/>
      </w:r>
      <w:r>
        <w:t>Self-Schedule Validation</w:t>
      </w:r>
      <w:bookmarkEnd w:id="187"/>
      <w:bookmarkEnd w:id="188"/>
      <w:bookmarkEnd w:id="189"/>
      <w:bookmarkEnd w:id="190"/>
      <w:bookmarkEnd w:id="191"/>
      <w:bookmarkEnd w:id="192"/>
      <w:bookmarkEnd w:id="193"/>
    </w:p>
    <w:p w14:paraId="5118B151" w14:textId="77777777" w:rsidR="00FF2129" w:rsidRDefault="00482EF3">
      <w:pPr>
        <w:pStyle w:val="BodyTextNumbered"/>
      </w:pPr>
      <w:r>
        <w:t>(1)</w:t>
      </w:r>
      <w:r>
        <w:tab/>
        <w:t>A validated Self-Schedule is a Self-Schedule that ERCOT has determined meets the criteria listed in Section 4.4.3.1, Self-Schedule Criteria.</w:t>
      </w:r>
    </w:p>
    <w:p w14:paraId="3B574326" w14:textId="77777777" w:rsidR="00FF2129" w:rsidRDefault="00482EF3">
      <w:pPr>
        <w:pStyle w:val="BodyTextNumbered"/>
      </w:pPr>
      <w:bookmarkStart w:id="194" w:name="_Toc142108907"/>
      <w:bookmarkStart w:id="195" w:name="_Toc142113752"/>
      <w:bookmarkStart w:id="196" w:name="_Toc142113844"/>
      <w:r>
        <w:t>(2)</w:t>
      </w:r>
      <w:r>
        <w:tab/>
        <w:t>ERCOT shall continuously validate Self-Schedules and continuously display on the MIS Secure Area information that allows the QSE named in a Self-Schedule to view validated Self-Schedules.</w:t>
      </w:r>
      <w:bookmarkEnd w:id="194"/>
      <w:bookmarkEnd w:id="195"/>
      <w:bookmarkEnd w:id="196"/>
    </w:p>
    <w:p w14:paraId="1DB7D0AA" w14:textId="77777777" w:rsidR="00FF2129" w:rsidRDefault="00482EF3" w:rsidP="004555CF">
      <w:pPr>
        <w:pStyle w:val="H3"/>
        <w:spacing w:before="480"/>
      </w:pPr>
      <w:bookmarkStart w:id="197" w:name="_Toc142108908"/>
      <w:bookmarkStart w:id="198" w:name="_Toc142113753"/>
      <w:bookmarkStart w:id="199" w:name="_Toc402345579"/>
      <w:bookmarkStart w:id="200" w:name="_Toc405383862"/>
      <w:bookmarkStart w:id="201" w:name="_Toc405536964"/>
      <w:bookmarkStart w:id="202" w:name="_Toc440871751"/>
      <w:bookmarkStart w:id="203" w:name="_Toc135990623"/>
      <w:r>
        <w:t>4.4.4</w:t>
      </w:r>
      <w:r>
        <w:tab/>
        <w:t>DC Tie Schedules</w:t>
      </w:r>
      <w:bookmarkEnd w:id="176"/>
      <w:bookmarkEnd w:id="197"/>
      <w:bookmarkEnd w:id="198"/>
      <w:bookmarkEnd w:id="199"/>
      <w:bookmarkEnd w:id="200"/>
      <w:bookmarkEnd w:id="201"/>
      <w:bookmarkEnd w:id="202"/>
      <w:bookmarkEnd w:id="203"/>
    </w:p>
    <w:p w14:paraId="2FCCC4A7" w14:textId="77777777" w:rsidR="00FF2129" w:rsidRDefault="00482EF3">
      <w:pPr>
        <w:pStyle w:val="BodyTextNumbered"/>
      </w:pPr>
      <w:r>
        <w:t>(1)</w:t>
      </w:r>
      <w:r>
        <w:tab/>
      </w:r>
      <w:r w:rsidR="00D95A0A">
        <w:t xml:space="preserve">All schedules between the ERCOT Control Area and a non-ERCOT Control Area(s) over Direct Current Tie(s) (DC Ties(s)), </w:t>
      </w:r>
      <w:r>
        <w:t xml:space="preserve">must be implemented under these Protocols, any applicable North American Electric Reliability Corporation (NERC) </w:t>
      </w:r>
      <w:r w:rsidR="00D95A0A">
        <w:t xml:space="preserve">Reliability Standards, North American Energy Standards Board (NAESB) Practice Standards, </w:t>
      </w:r>
      <w:r>
        <w:t xml:space="preserve">and operating agreements between ERCOT and </w:t>
      </w:r>
      <w:r w:rsidR="00D95A0A">
        <w:t>the Comision Federal de Electricidad (CFE)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8C16C1" w:rsidRPr="004B32CF" w14:paraId="47FAD1D9" w14:textId="77777777" w:rsidTr="003E20B9">
        <w:trPr>
          <w:trHeight w:val="386"/>
        </w:trPr>
        <w:tc>
          <w:tcPr>
            <w:tcW w:w="9350" w:type="dxa"/>
            <w:shd w:val="pct12" w:color="auto" w:fill="auto"/>
          </w:tcPr>
          <w:p w14:paraId="5DA10BAA" w14:textId="2E192FF5" w:rsidR="008C16C1" w:rsidRPr="004B32CF" w:rsidRDefault="008C16C1" w:rsidP="003E20B9">
            <w:pPr>
              <w:spacing w:before="120" w:after="240"/>
              <w:rPr>
                <w:b/>
                <w:i/>
                <w:iCs/>
              </w:rPr>
            </w:pPr>
            <w:r>
              <w:rPr>
                <w:b/>
                <w:i/>
                <w:iCs/>
              </w:rPr>
              <w:t>[NPRR857:  Replace paragraph (1</w:t>
            </w:r>
            <w:r w:rsidRPr="004B32CF">
              <w:rPr>
                <w:b/>
                <w:i/>
                <w:iCs/>
              </w:rPr>
              <w:t>) above with the following upon system implementation</w:t>
            </w:r>
            <w:r w:rsidR="008D2F9B">
              <w:rPr>
                <w:b/>
                <w:i/>
                <w:iCs/>
              </w:rPr>
              <w:t xml:space="preserve"> and </w:t>
            </w:r>
            <w:r w:rsidR="008D2F9B" w:rsidRPr="004E45F9">
              <w:rPr>
                <w:b/>
                <w:i/>
                <w:iCs/>
              </w:rPr>
              <w:t xml:space="preserve">satisfying the following conditions: </w:t>
            </w:r>
            <w:r w:rsidR="008D2F9B">
              <w:rPr>
                <w:b/>
                <w:i/>
                <w:iCs/>
              </w:rPr>
              <w:t xml:space="preserve"> </w:t>
            </w:r>
            <w:r w:rsidR="008D2F9B" w:rsidRPr="004E45F9">
              <w:rPr>
                <w:b/>
                <w:i/>
                <w:iCs/>
              </w:rPr>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0649602A" w14:textId="77777777" w:rsidR="008C16C1" w:rsidRPr="004B32CF" w:rsidRDefault="008C16C1" w:rsidP="003E20B9">
            <w:pPr>
              <w:pStyle w:val="BodyTextNumbered"/>
            </w:pPr>
            <w:r w:rsidRPr="00E55E72">
              <w:rPr>
                <w:iCs w:val="0"/>
              </w:rPr>
              <w:t>(1)</w:t>
            </w:r>
            <w:r w:rsidRPr="00E55E72">
              <w:rPr>
                <w:iCs w:val="0"/>
              </w:rPr>
              <w:tab/>
              <w:t>All Direct Current Tie (DC Tie) Schedules between the ERCOT Control Area and a non-ERCOT Control Area(s) must be implemented in accordance with these Protocols, any applicable North American Electric Reliability Corporation (NERC) Reliability Standards, North American Energy Standards Board (NAESB) Practice Standards, and operating agreements between ERCOT and the appropriate operating authority for the non-ERCOT Control Area.</w:t>
            </w:r>
          </w:p>
        </w:tc>
      </w:tr>
    </w:tbl>
    <w:p w14:paraId="7C513A36" w14:textId="77777777" w:rsidR="00FF2129" w:rsidRDefault="00482EF3" w:rsidP="001D1935">
      <w:pPr>
        <w:pStyle w:val="BodyTextNumbered"/>
        <w:spacing w:before="240"/>
      </w:pPr>
      <w:r>
        <w:t>(</w:t>
      </w:r>
      <w:r w:rsidR="00D95A0A">
        <w:t>2</w:t>
      </w:r>
      <w:r>
        <w:t>)</w:t>
      </w:r>
      <w:r>
        <w:tab/>
        <w:t xml:space="preserve">A DC Tie Schedule for hours in the Operating Day </w:t>
      </w:r>
      <w:r w:rsidR="00D95A0A">
        <w:t xml:space="preserve">corresponding to an Electronic Tag (e-Tag) </w:t>
      </w:r>
      <w:r>
        <w:t xml:space="preserve">that is reported to ERCOT before 1430 in the Day-Ahead creates a capacity supply for the equivalent Resource or an obligation for the equivalent Load of the DC Tie in the DRUC process.  DC Tie Schedules </w:t>
      </w:r>
      <w:r w:rsidR="00D95A0A">
        <w:t xml:space="preserve">corresponding to e-Tags approved </w:t>
      </w:r>
      <w:r>
        <w:t xml:space="preserve">after 1430 in the Day-Ahead for the Operating Day create a capacity supply or obligation in any applicable HRUC processes.  DC Tie Schedules </w:t>
      </w:r>
      <w:r w:rsidR="00D95A0A">
        <w:t xml:space="preserve">corresponding to e-Tags approved </w:t>
      </w:r>
      <w:r>
        <w:t>after the Reliability Unit Commitment (RUC) snapshot are considered in the Adjustment Period snapshot in accordance with the market timeline.</w:t>
      </w:r>
    </w:p>
    <w:p w14:paraId="5333154A" w14:textId="77777777" w:rsidR="00FF2129" w:rsidRDefault="00482EF3">
      <w:pPr>
        <w:pStyle w:val="BodyTextNumbered"/>
      </w:pPr>
      <w:r>
        <w:t>(</w:t>
      </w:r>
      <w:r w:rsidR="00D95A0A">
        <w:t>3</w:t>
      </w:r>
      <w:r>
        <w:t>)</w:t>
      </w:r>
      <w:r>
        <w:tab/>
        <w:t>A QSE that is an importer into ERCOT through a DC Tie in a Settlement Interval under a</w:t>
      </w:r>
      <w:r w:rsidR="00D95A0A">
        <w:t>n approved e-Tag</w:t>
      </w:r>
      <w:r>
        <w:t xml:space="preserve"> must be treated as a Resource at that DC Tie Settlement Point for that Settlement Interval.</w:t>
      </w:r>
      <w:r>
        <w:rPr>
          <w:highlight w:val="yellow"/>
        </w:rPr>
        <w:t xml:space="preserve"> </w:t>
      </w:r>
    </w:p>
    <w:p w14:paraId="69C49278" w14:textId="00688BF0" w:rsidR="00FF2129" w:rsidRDefault="00482EF3">
      <w:pPr>
        <w:pStyle w:val="BodyTextNumbered"/>
      </w:pPr>
      <w:r>
        <w:lastRenderedPageBreak/>
        <w:t>(</w:t>
      </w:r>
      <w:r w:rsidR="00D95A0A">
        <w:t>4</w:t>
      </w:r>
      <w:r>
        <w:t>)</w:t>
      </w:r>
      <w:r>
        <w:tab/>
        <w:t>A QSE that is an exporter from ERCOT through a DC Tie in a Settlement Interval under a</w:t>
      </w:r>
      <w:r w:rsidR="00D95A0A">
        <w:t>n approved e-Tag</w:t>
      </w:r>
      <w:r>
        <w:t xml:space="preserve"> must be treated as a Load at the DC Tie Settlement Point for that Settlement Interval and is responsible for allocated Transmission Losses, Unaccounted for Energy (UFE)</w:t>
      </w:r>
      <w:r w:rsidR="0065446E">
        <w:t>,</w:t>
      </w:r>
      <w:r>
        <w:t xml:space="preserve"> System Administration Fee, and any other applicable ERCOT fees.</w:t>
      </w:r>
    </w:p>
    <w:p w14:paraId="3533F696" w14:textId="7ACA9197" w:rsidR="007913EE" w:rsidRDefault="00482EF3" w:rsidP="00A342B9">
      <w:pPr>
        <w:pStyle w:val="BodyTextNumbered"/>
        <w:rPr>
          <w:bCs/>
          <w:iCs w:val="0"/>
          <w:szCs w:val="26"/>
        </w:rPr>
      </w:pPr>
      <w:r>
        <w:t>(</w:t>
      </w:r>
      <w:r w:rsidR="00D95A0A">
        <w:t>5</w:t>
      </w:r>
      <w:r>
        <w:t>)</w:t>
      </w:r>
      <w:r>
        <w:tab/>
      </w:r>
      <w:r w:rsidR="00CC672E" w:rsidRPr="00D51F51">
        <w:rPr>
          <w:bCs/>
          <w:iCs w:val="0"/>
          <w:szCs w:val="26"/>
          <w:lang w:val="x-none" w:eastAsia="x-none"/>
        </w:rPr>
        <w:t xml:space="preserve">ERCOT shall approve any e-Tag that does not exceed the </w:t>
      </w:r>
      <w:r w:rsidR="00CC672E" w:rsidRPr="00D51F51">
        <w:rPr>
          <w:bCs/>
          <w:iCs w:val="0"/>
          <w:szCs w:val="26"/>
          <w:lang w:eastAsia="x-none"/>
        </w:rPr>
        <w:t>available physical capacity of the</w:t>
      </w:r>
      <w:r w:rsidR="00CC672E" w:rsidRPr="00D51F51">
        <w:rPr>
          <w:bCs/>
          <w:iCs w:val="0"/>
          <w:szCs w:val="26"/>
          <w:lang w:val="x-none" w:eastAsia="x-none"/>
        </w:rPr>
        <w:t xml:space="preserve"> DC Tie</w:t>
      </w:r>
      <w:r w:rsidR="00CC672E" w:rsidRPr="00D51F51">
        <w:rPr>
          <w:bCs/>
          <w:iCs w:val="0"/>
          <w:szCs w:val="26"/>
          <w:lang w:eastAsia="x-none"/>
        </w:rPr>
        <w:t xml:space="preserve"> and any limits supplied the non-ERCOT Control Area</w:t>
      </w:r>
      <w:r w:rsidR="00CC672E" w:rsidRPr="00D51F51">
        <w:rPr>
          <w:bCs/>
          <w:iCs w:val="0"/>
          <w:szCs w:val="26"/>
          <w:lang w:val="x-none" w:eastAsia="x-none"/>
        </w:rPr>
        <w:t xml:space="preserve"> for the time period for which the e-Tag is requested</w:t>
      </w:r>
      <w:r w:rsidR="00CC672E" w:rsidRPr="00D51F51">
        <w:rPr>
          <w:bCs/>
          <w:iCs w:val="0"/>
          <w:szCs w:val="26"/>
          <w:lang w:eastAsia="x-none"/>
        </w:rPr>
        <w:t xml:space="preserve"> unless a DC Tie Curtailment Notice is in effect for the particular DC Tie for which the e-Tag request is made</w:t>
      </w:r>
      <w:r w:rsidR="00CC672E" w:rsidRPr="00D51F51">
        <w:rPr>
          <w:bCs/>
          <w:iCs w:val="0"/>
          <w:szCs w:val="26"/>
          <w:lang w:val="x-none" w:eastAsia="x-none"/>
        </w:rPr>
        <w:t>.</w:t>
      </w:r>
      <w:r w:rsidR="00CC672E" w:rsidRPr="00D51F51">
        <w:rPr>
          <w:bCs/>
          <w:iCs w:val="0"/>
          <w:szCs w:val="26"/>
          <w:lang w:eastAsia="x-none"/>
        </w:rPr>
        <w:t xml:space="preserve">  While a DC Tie Curtailment Notice is in effect, ERCOT will deny any additional e-Tag requests that would exacerbate the transmission security violations that led to that DC Tie Curtailment Notice.</w:t>
      </w:r>
      <w:r w:rsidR="00CC672E">
        <w:rPr>
          <w:bCs/>
          <w:iCs w:val="0"/>
          <w:szCs w:val="26"/>
          <w:lang w:eastAsia="x-none"/>
        </w:rPr>
        <w:t xml:space="preserve">  Notwithstanding the foregoing, </w:t>
      </w:r>
      <w:r w:rsidR="00CC672E" w:rsidRPr="00E049F4">
        <w:rPr>
          <w:bCs/>
          <w:iCs w:val="0"/>
          <w:szCs w:val="26"/>
        </w:rPr>
        <w:t>ERCOT shall deny or curtail any e-Tag over any of the DC Ties if necessary to avoid causing any Entity in the ERCOT Region that is not a “public utility” as defined in the Federal Power Act</w:t>
      </w:r>
      <w:r w:rsidR="00CC672E">
        <w:rPr>
          <w:bCs/>
          <w:iCs w:val="0"/>
          <w:szCs w:val="26"/>
        </w:rPr>
        <w:t xml:space="preserve"> (FPA)</w:t>
      </w:r>
      <w:r w:rsidR="00CC672E" w:rsidRPr="00E049F4">
        <w:rPr>
          <w:bCs/>
          <w:iCs w:val="0"/>
          <w:szCs w:val="26"/>
        </w:rPr>
        <w:t xml:space="preserve">, including ERCOT, to become such a public utility.  If ERCOT determines that it is necessary to deny or curtail e-Tags </w:t>
      </w:r>
      <w:r w:rsidR="00CC672E">
        <w:rPr>
          <w:bCs/>
          <w:iCs w:val="0"/>
          <w:szCs w:val="26"/>
        </w:rPr>
        <w:t>in order to prevent any Entity from becoming a “public utility</w:t>
      </w:r>
      <w:r w:rsidR="00CC672E" w:rsidRPr="00E049F4">
        <w:rPr>
          <w:bCs/>
          <w:iCs w:val="0"/>
          <w:szCs w:val="26"/>
        </w:rPr>
        <w:t>,</w:t>
      </w:r>
      <w:r w:rsidR="00CC672E">
        <w:rPr>
          <w:bCs/>
          <w:iCs w:val="0"/>
          <w:szCs w:val="26"/>
        </w:rPr>
        <w:t>”</w:t>
      </w:r>
      <w:r w:rsidR="00CC672E" w:rsidRPr="00E049F4">
        <w:rPr>
          <w:bCs/>
          <w:iCs w:val="0"/>
          <w:szCs w:val="26"/>
        </w:rPr>
        <w:t xml:space="preserve"> it shall provide notice of that determination by posting an operations message to the </w:t>
      </w:r>
      <w:r w:rsidR="002310C0">
        <w:rPr>
          <w:iCs w:val="0"/>
          <w:szCs w:val="20"/>
        </w:rPr>
        <w:t>ERCOT website</w:t>
      </w:r>
      <w:r w:rsidR="00CC672E" w:rsidRPr="00E049F4">
        <w:rPr>
          <w:bCs/>
          <w:iCs w:val="0"/>
          <w:szCs w:val="26"/>
        </w:rPr>
        <w:t xml:space="preserve"> and issuing a Market Notice.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F18AD" w:rsidRPr="004B32CF" w14:paraId="4F52DD2D" w14:textId="77777777" w:rsidTr="00B11AAC">
        <w:trPr>
          <w:trHeight w:val="386"/>
        </w:trPr>
        <w:tc>
          <w:tcPr>
            <w:tcW w:w="9350" w:type="dxa"/>
            <w:shd w:val="pct12" w:color="auto" w:fill="auto"/>
          </w:tcPr>
          <w:p w14:paraId="20C4FA7D" w14:textId="5B2F6082" w:rsidR="00AF18AD" w:rsidRPr="004B32CF" w:rsidRDefault="00AF18AD" w:rsidP="00B11AAC">
            <w:pPr>
              <w:spacing w:before="120" w:after="240"/>
              <w:rPr>
                <w:b/>
                <w:i/>
                <w:iCs/>
              </w:rPr>
            </w:pPr>
            <w:r>
              <w:rPr>
                <w:b/>
                <w:i/>
                <w:iCs/>
              </w:rPr>
              <w:t>[NPRR999:  Replace paragraph (5</w:t>
            </w:r>
            <w:r w:rsidRPr="004B32CF">
              <w:rPr>
                <w:b/>
                <w:i/>
                <w:iCs/>
              </w:rPr>
              <w:t xml:space="preserve">) above with the following upon </w:t>
            </w:r>
            <w:r>
              <w:rPr>
                <w:b/>
                <w:i/>
                <w:iCs/>
              </w:rPr>
              <w:t>project</w:t>
            </w:r>
            <w:r w:rsidRPr="004B32CF">
              <w:rPr>
                <w:b/>
                <w:i/>
                <w:iCs/>
              </w:rPr>
              <w:t xml:space="preserve"> implementation</w:t>
            </w:r>
            <w:r>
              <w:rPr>
                <w:b/>
                <w:i/>
                <w:iCs/>
              </w:rPr>
              <w:t xml:space="preserve"> of the </w:t>
            </w:r>
            <w:r w:rsidRPr="00AF18AD">
              <w:rPr>
                <w:b/>
                <w:i/>
                <w:iCs/>
              </w:rPr>
              <w:t>In</w:t>
            </w:r>
            <w:r>
              <w:rPr>
                <w:b/>
                <w:i/>
                <w:iCs/>
              </w:rPr>
              <w:t>tra-Hour Variability (iCAT) Tool</w:t>
            </w:r>
            <w:r w:rsidRPr="004B32CF">
              <w:rPr>
                <w:b/>
                <w:i/>
                <w:iCs/>
              </w:rPr>
              <w:t>:]</w:t>
            </w:r>
          </w:p>
          <w:p w14:paraId="3FCA4F59" w14:textId="69611308" w:rsidR="00AF18AD" w:rsidRPr="00AF18AD" w:rsidRDefault="00AF18AD" w:rsidP="00AF18AD">
            <w:pPr>
              <w:pStyle w:val="BodyTextNumbered"/>
              <w:rPr>
                <w:bCs/>
                <w:iCs w:val="0"/>
                <w:szCs w:val="26"/>
              </w:rPr>
            </w:pPr>
            <w:r>
              <w:t>(5)</w:t>
            </w:r>
            <w:r>
              <w:tab/>
            </w:r>
            <w:r w:rsidRPr="00D51F51">
              <w:rPr>
                <w:bCs/>
                <w:szCs w:val="26"/>
                <w:lang w:val="x-none" w:eastAsia="x-none"/>
              </w:rPr>
              <w:t xml:space="preserve">ERCOT shall approve any e-Tag that does not exceed the </w:t>
            </w:r>
            <w:r w:rsidRPr="00D51F51">
              <w:rPr>
                <w:bCs/>
                <w:szCs w:val="26"/>
                <w:lang w:eastAsia="x-none"/>
              </w:rPr>
              <w:t>available physical capacity of the</w:t>
            </w:r>
            <w:r w:rsidRPr="00D51F51">
              <w:rPr>
                <w:bCs/>
                <w:szCs w:val="26"/>
                <w:lang w:val="x-none" w:eastAsia="x-none"/>
              </w:rPr>
              <w:t xml:space="preserve"> DC Tie</w:t>
            </w:r>
            <w:r>
              <w:rPr>
                <w:bCs/>
                <w:szCs w:val="26"/>
                <w:lang w:eastAsia="x-none"/>
              </w:rPr>
              <w:t>, system ramping capability,</w:t>
            </w:r>
            <w:r w:rsidRPr="00D51F51">
              <w:rPr>
                <w:bCs/>
                <w:szCs w:val="26"/>
                <w:lang w:eastAsia="x-none"/>
              </w:rPr>
              <w:t xml:space="preserve"> and any limits supplied </w:t>
            </w:r>
            <w:r>
              <w:rPr>
                <w:bCs/>
                <w:szCs w:val="26"/>
                <w:lang w:eastAsia="x-none"/>
              </w:rPr>
              <w:t xml:space="preserve">by </w:t>
            </w:r>
            <w:r w:rsidRPr="00D51F51">
              <w:rPr>
                <w:bCs/>
                <w:szCs w:val="26"/>
                <w:lang w:eastAsia="x-none"/>
              </w:rPr>
              <w:t>the non-ERCOT Control Area</w:t>
            </w:r>
            <w:r w:rsidRPr="00D51F51">
              <w:rPr>
                <w:bCs/>
                <w:szCs w:val="26"/>
                <w:lang w:val="x-none" w:eastAsia="x-none"/>
              </w:rPr>
              <w:t xml:space="preserve"> for the time period for which the e-Tag is requested</w:t>
            </w:r>
            <w:r w:rsidRPr="00D51F51">
              <w:rPr>
                <w:bCs/>
                <w:szCs w:val="26"/>
                <w:lang w:eastAsia="x-none"/>
              </w:rPr>
              <w:t xml:space="preserve"> unless a DC Tie Curtailment Notice is in effect for the particular DC Tie for which the e-Tag request is made</w:t>
            </w:r>
            <w:r>
              <w:rPr>
                <w:bCs/>
                <w:szCs w:val="26"/>
                <w:lang w:eastAsia="x-none"/>
              </w:rPr>
              <w:t>; otherwise, ERCOT shall deny the e-Tag</w:t>
            </w:r>
            <w:r w:rsidRPr="00D51F51">
              <w:rPr>
                <w:bCs/>
                <w:szCs w:val="26"/>
                <w:lang w:val="x-none" w:eastAsia="x-none"/>
              </w:rPr>
              <w:t>.</w:t>
            </w:r>
            <w:r w:rsidRPr="00D51F51">
              <w:rPr>
                <w:bCs/>
                <w:szCs w:val="26"/>
                <w:lang w:eastAsia="x-none"/>
              </w:rPr>
              <w:t xml:space="preserve">  While a DC Tie Curtailment Notice is in effect, ERCOT will deny any additional e-Tag requests that would exacerbate the transmission security violations that led to that DC Tie Curtailment Notice.</w:t>
            </w:r>
            <w:r>
              <w:rPr>
                <w:bCs/>
                <w:szCs w:val="26"/>
                <w:lang w:eastAsia="x-none"/>
              </w:rPr>
              <w:t xml:space="preserve">  Notwithstanding the foregoing, </w:t>
            </w:r>
            <w:r w:rsidRPr="00E049F4">
              <w:rPr>
                <w:bCs/>
                <w:szCs w:val="26"/>
              </w:rPr>
              <w:t>ERCOT shall deny or curtail any e-Tag over any of the DC Ties if necessary to avoid causing any Entity in the ERCOT Region that is not a “public utility” as defined in the Federal Power Act</w:t>
            </w:r>
            <w:r>
              <w:rPr>
                <w:bCs/>
                <w:szCs w:val="26"/>
              </w:rPr>
              <w:t xml:space="preserve"> (FPA)</w:t>
            </w:r>
            <w:r w:rsidRPr="00E049F4">
              <w:rPr>
                <w:bCs/>
                <w:szCs w:val="26"/>
              </w:rPr>
              <w:t xml:space="preserve">, including ERCOT, to become such a public utility.  If ERCOT determines that it is necessary to deny or curtail e-Tags </w:t>
            </w:r>
            <w:r>
              <w:rPr>
                <w:bCs/>
                <w:szCs w:val="26"/>
              </w:rPr>
              <w:t>in order to prevent any Entity from becoming a “public utility</w:t>
            </w:r>
            <w:r w:rsidRPr="00E049F4">
              <w:rPr>
                <w:bCs/>
                <w:szCs w:val="26"/>
              </w:rPr>
              <w:t>,</w:t>
            </w:r>
            <w:r>
              <w:rPr>
                <w:bCs/>
                <w:szCs w:val="26"/>
              </w:rPr>
              <w:t>”</w:t>
            </w:r>
            <w:r w:rsidRPr="00E049F4">
              <w:rPr>
                <w:bCs/>
                <w:szCs w:val="26"/>
              </w:rPr>
              <w:t xml:space="preserve"> it shall provide notice of that determination by posting an operations message to the </w:t>
            </w:r>
            <w:r w:rsidR="002310C0">
              <w:rPr>
                <w:iCs w:val="0"/>
                <w:szCs w:val="20"/>
              </w:rPr>
              <w:t>ERCOT website</w:t>
            </w:r>
            <w:r w:rsidRPr="00E049F4">
              <w:rPr>
                <w:bCs/>
                <w:szCs w:val="26"/>
              </w:rPr>
              <w:t xml:space="preserve"> and issuing a Market Notice.</w:t>
            </w:r>
          </w:p>
        </w:tc>
      </w:tr>
    </w:tbl>
    <w:p w14:paraId="2587AF09" w14:textId="33734F2B" w:rsidR="00D95A0A" w:rsidRDefault="007913EE" w:rsidP="00DA217D">
      <w:pPr>
        <w:pStyle w:val="BodyTextNumbered"/>
        <w:spacing w:before="240"/>
      </w:pPr>
      <w:r>
        <w:t>(6)</w:t>
      </w:r>
      <w:r>
        <w:tab/>
      </w:r>
      <w:r w:rsidR="00482EF3">
        <w:t xml:space="preserve">ERCOT shall </w:t>
      </w:r>
      <w:r w:rsidR="00D95A0A">
        <w:t>perform schedule confirmation</w:t>
      </w:r>
      <w:r w:rsidR="00482EF3">
        <w:t xml:space="preserve"> with the applicable non-ERCOT Control Area</w:t>
      </w:r>
      <w:r w:rsidR="00D95A0A">
        <w:t>(s)</w:t>
      </w:r>
      <w:r w:rsidR="00482EF3">
        <w:t xml:space="preserve"> and shall coordinate the approval process for the </w:t>
      </w:r>
      <w:r w:rsidR="00D95A0A">
        <w:t>e-T</w:t>
      </w:r>
      <w:r w:rsidR="00482EF3">
        <w:t>ags for the ERCOT Control Area.</w:t>
      </w:r>
      <w:r w:rsidR="00D95A0A">
        <w:t xml:space="preserve">  An e-Tag for a schedule across a DC Tie is considered approved if:</w:t>
      </w:r>
    </w:p>
    <w:p w14:paraId="6152BE3D" w14:textId="77777777" w:rsidR="002577DA" w:rsidRDefault="00D95A0A">
      <w:pPr>
        <w:pStyle w:val="BodyTextNumbered"/>
        <w:ind w:left="1440"/>
      </w:pPr>
      <w:r>
        <w:t>(a)</w:t>
      </w:r>
      <w:r>
        <w:tab/>
        <w:t>All Control Areas and Transmission Service Providers (TSPs) with approval rights approve the e-Tag (active approval); 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8C16C1" w:rsidRPr="004B32CF" w14:paraId="265814DC" w14:textId="77777777" w:rsidTr="003E20B9">
        <w:trPr>
          <w:trHeight w:val="386"/>
        </w:trPr>
        <w:tc>
          <w:tcPr>
            <w:tcW w:w="9350" w:type="dxa"/>
            <w:shd w:val="pct12" w:color="auto" w:fill="auto"/>
          </w:tcPr>
          <w:p w14:paraId="3E591F6C" w14:textId="38A136E5" w:rsidR="008C16C1" w:rsidRPr="004B32CF" w:rsidRDefault="008C16C1" w:rsidP="003E20B9">
            <w:pPr>
              <w:spacing w:before="120" w:after="240"/>
              <w:rPr>
                <w:b/>
                <w:i/>
                <w:iCs/>
              </w:rPr>
            </w:pPr>
            <w:r>
              <w:rPr>
                <w:b/>
                <w:i/>
                <w:iCs/>
              </w:rPr>
              <w:lastRenderedPageBreak/>
              <w:t>[NPRR857:  Replace paragraph (a</w:t>
            </w:r>
            <w:r w:rsidRPr="004B32CF">
              <w:rPr>
                <w:b/>
                <w:i/>
                <w:iCs/>
              </w:rPr>
              <w:t>) above with the following upon system implementation</w:t>
            </w:r>
            <w:r w:rsidR="008D2F9B">
              <w:rPr>
                <w:b/>
                <w:i/>
                <w:iCs/>
              </w:rPr>
              <w:t xml:space="preserve"> and </w:t>
            </w:r>
            <w:r w:rsidR="008D2F9B" w:rsidRPr="004E45F9">
              <w:rPr>
                <w:b/>
                <w:i/>
                <w:iCs/>
              </w:rPr>
              <w:t xml:space="preserve">satisfying the following conditions: </w:t>
            </w:r>
            <w:r w:rsidR="008D2F9B">
              <w:rPr>
                <w:b/>
                <w:i/>
                <w:iCs/>
              </w:rPr>
              <w:t xml:space="preserve"> </w:t>
            </w:r>
            <w:r w:rsidR="008D2F9B" w:rsidRPr="004E45F9">
              <w:rPr>
                <w:b/>
                <w:i/>
                <w:iCs/>
              </w:rPr>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7C175656" w14:textId="77777777" w:rsidR="008C16C1" w:rsidRPr="008C16C1" w:rsidRDefault="008C16C1" w:rsidP="008C16C1">
            <w:pPr>
              <w:spacing w:after="240"/>
              <w:ind w:left="1440" w:hanging="720"/>
              <w:rPr>
                <w:iCs/>
              </w:rPr>
            </w:pPr>
            <w:r w:rsidRPr="00E55E72">
              <w:rPr>
                <w:iCs/>
              </w:rPr>
              <w:t>(a)</w:t>
            </w:r>
            <w:r w:rsidRPr="00E55E72">
              <w:rPr>
                <w:iCs/>
              </w:rPr>
              <w:tab/>
              <w:t>All Control Areas and Direct Current Tie Operators (DCTOs) with approval rights approve the e-Tag (active approval); or</w:t>
            </w:r>
          </w:p>
        </w:tc>
      </w:tr>
    </w:tbl>
    <w:p w14:paraId="1C24F9E4" w14:textId="77777777" w:rsidR="002577DA" w:rsidRDefault="00D95A0A" w:rsidP="001D1935">
      <w:pPr>
        <w:pStyle w:val="BodyTextNumbered"/>
        <w:spacing w:before="240"/>
        <w:ind w:left="1440"/>
        <w:rPr>
          <w:rStyle w:val="BodyTextCharChar"/>
        </w:rPr>
      </w:pPr>
      <w:r>
        <w:t>(b)</w:t>
      </w:r>
      <w:r>
        <w:tab/>
      </w:r>
      <w:r w:rsidRPr="006523FB">
        <w:t xml:space="preserve">No Entity with approval rights over the </w:t>
      </w:r>
      <w:r>
        <w:t>e-T</w:t>
      </w:r>
      <w:r w:rsidRPr="006523FB">
        <w:t>ag has denied it, and the approval time window has ended (passive approval).</w:t>
      </w:r>
    </w:p>
    <w:p w14:paraId="51935B9F" w14:textId="77777777" w:rsidR="00FF2129" w:rsidRDefault="00482EF3">
      <w:pPr>
        <w:pStyle w:val="BodyTextNumbered"/>
      </w:pPr>
      <w:r>
        <w:t>(</w:t>
      </w:r>
      <w:r w:rsidR="007913EE">
        <w:t>7</w:t>
      </w:r>
      <w:r>
        <w:t>)</w:t>
      </w:r>
      <w:r>
        <w:tab/>
        <w:t>Using the DC Tie Schedule information</w:t>
      </w:r>
      <w:r w:rsidR="00D95A0A">
        <w:t xml:space="preserve"> corresponding to e-Tags</w:t>
      </w:r>
      <w:r>
        <w:t xml:space="preserve"> submitted by QSEs, ERCOT shall update and maintain a Current Operating Plan (COP) for each DC Tie for which the aggregated DC Tie Schedules for that tie show a net export out of ERCOT for the applicable interval.  When the net energy schedule for a DC Tie indicates an export, ERCOT shall treat the DC Tie as an Off-Line Resource and set the High Sustained Limit (HSL) and Low Sustained Limit (LSL) for that DC Tie Resource to zero.  ERCOT shall monitor the associated Resource Status telemetry during the Operating Period.  When the net energy schedule for a DC Tie shows a net import, the Resource HSL, High Ancillary Service Limit (HASL) and LSL must be set appropriately, considering the resulting net import.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182341" w:rsidRPr="004B32CF" w14:paraId="154FC373" w14:textId="77777777" w:rsidTr="00B11AAC">
        <w:trPr>
          <w:trHeight w:val="386"/>
        </w:trPr>
        <w:tc>
          <w:tcPr>
            <w:tcW w:w="9350" w:type="dxa"/>
            <w:shd w:val="pct12" w:color="auto" w:fill="auto"/>
          </w:tcPr>
          <w:p w14:paraId="7B7C2BDF" w14:textId="2F1C7F47" w:rsidR="00182341" w:rsidRPr="004B32CF" w:rsidRDefault="00182341" w:rsidP="00B11AAC">
            <w:pPr>
              <w:spacing w:before="120" w:after="240"/>
              <w:rPr>
                <w:b/>
                <w:i/>
                <w:iCs/>
              </w:rPr>
            </w:pPr>
            <w:r>
              <w:rPr>
                <w:b/>
                <w:i/>
                <w:iCs/>
              </w:rPr>
              <w:t>[NPRR1008:  Replace paragraph (7</w:t>
            </w:r>
            <w:r w:rsidRPr="004B32CF">
              <w:rPr>
                <w:b/>
                <w:i/>
                <w:iCs/>
              </w:rPr>
              <w:t xml:space="preserve">) </w:t>
            </w:r>
            <w:r>
              <w:rPr>
                <w:b/>
                <w:i/>
                <w:iCs/>
              </w:rPr>
              <w:t>above with the following</w:t>
            </w:r>
            <w:r w:rsidRPr="004B32CF">
              <w:rPr>
                <w:b/>
                <w:i/>
                <w:iCs/>
              </w:rPr>
              <w:t xml:space="preserve"> upon system implementation</w:t>
            </w:r>
            <w:r>
              <w:rPr>
                <w:b/>
                <w:i/>
                <w:iCs/>
              </w:rPr>
              <w:t xml:space="preserve"> of the Real-Time Co-Optimization (RTC) project</w:t>
            </w:r>
            <w:r w:rsidRPr="004B32CF">
              <w:rPr>
                <w:b/>
                <w:i/>
                <w:iCs/>
              </w:rPr>
              <w:t>:]</w:t>
            </w:r>
          </w:p>
          <w:p w14:paraId="65AC1287" w14:textId="22483052" w:rsidR="00182341" w:rsidRPr="004B32CF" w:rsidRDefault="00182341" w:rsidP="00182341">
            <w:pPr>
              <w:pStyle w:val="BodyTextNumbered"/>
            </w:pPr>
            <w:r>
              <w:t>(7)</w:t>
            </w:r>
            <w:r>
              <w:tab/>
              <w:t>Using the DC Tie Schedule information corresponding to e-Tags submitted by QSEs, ERCOT shall update and maintain a Current Operating Plan (COP) for each DC Tie for which the aggregated DC Tie Schedules for that tie show a net export out of ERCOT for the applicable interval.  When the net energy schedule for a DC Tie indicates an export, ERCOT shall treat the DC Tie as an Off-Line Resource and set the High Sustained Limit (HSL) and Low Sustained Limit (LSL) for that DC Tie Resource to zero.  ERCOT shall monitor the associated Resource Status telemetry during the Operating Period.  When the net energy schedule for a DC Tie shows a net import, the Resource HSL and LSL must be set appropriately, considering the resulting net import.</w:t>
            </w:r>
          </w:p>
        </w:tc>
      </w:tr>
    </w:tbl>
    <w:p w14:paraId="1D2EBAA8" w14:textId="047D00F7" w:rsidR="00FF2129" w:rsidRDefault="00482EF3" w:rsidP="00F539C2">
      <w:pPr>
        <w:pStyle w:val="BodyTextNumbered"/>
        <w:spacing w:before="240"/>
      </w:pPr>
      <w:r>
        <w:t>(</w:t>
      </w:r>
      <w:r w:rsidR="007913EE">
        <w:t>8</w:t>
      </w:r>
      <w:r>
        <w:t>)</w:t>
      </w:r>
      <w:r>
        <w:tab/>
        <w:t xml:space="preserve">A QSE </w:t>
      </w:r>
      <w:r w:rsidR="00D95A0A">
        <w:t xml:space="preserve">exporting from ERCOT and/or importing to ERCOT through </w:t>
      </w:r>
      <w:r>
        <w:t>a DC Tie shall:</w:t>
      </w:r>
    </w:p>
    <w:p w14:paraId="24BB74FB" w14:textId="77777777" w:rsidR="00FF2129" w:rsidRDefault="00482EF3">
      <w:pPr>
        <w:pStyle w:val="BodyText"/>
        <w:ind w:left="1440" w:hanging="720"/>
      </w:pPr>
      <w:r>
        <w:t>(a)</w:t>
      </w:r>
      <w:r>
        <w:tab/>
        <w:t>Secure and maintain a</w:t>
      </w:r>
      <w:r w:rsidR="00C52A18">
        <w:t>n e-Tag</w:t>
      </w:r>
      <w:r>
        <w:t xml:space="preserve"> service to submit </w:t>
      </w:r>
      <w:r w:rsidR="00C52A18">
        <w:t>e-Tags</w:t>
      </w:r>
      <w:r>
        <w:t xml:space="preserve"> and monitor </w:t>
      </w:r>
      <w:r w:rsidR="00C52A18">
        <w:t>e-Tag</w:t>
      </w:r>
      <w:r>
        <w:t xml:space="preserve"> status according to NERC requirements;</w:t>
      </w:r>
    </w:p>
    <w:p w14:paraId="468392A1" w14:textId="77777777" w:rsidR="00FF2129" w:rsidRDefault="00482EF3">
      <w:pPr>
        <w:pStyle w:val="BodyText"/>
        <w:ind w:left="1440" w:hanging="720"/>
      </w:pPr>
      <w:r>
        <w:t>(b)</w:t>
      </w:r>
      <w:r>
        <w:tab/>
        <w:t xml:space="preserve">Submit </w:t>
      </w:r>
      <w:r w:rsidR="00C52A18">
        <w:t>e-Tags</w:t>
      </w:r>
      <w:r>
        <w:t xml:space="preserve"> for all proposed transactions; and</w:t>
      </w:r>
    </w:p>
    <w:p w14:paraId="409D1556" w14:textId="77777777" w:rsidR="00C52A18" w:rsidRDefault="00482EF3" w:rsidP="00C52A18">
      <w:pPr>
        <w:pStyle w:val="BodyText"/>
        <w:ind w:left="1440" w:hanging="720"/>
      </w:pPr>
      <w:r>
        <w:lastRenderedPageBreak/>
        <w:t>(c)</w:t>
      </w:r>
      <w:r>
        <w:tab/>
        <w:t xml:space="preserve">Implement backup procedures in case of </w:t>
      </w:r>
      <w:r w:rsidR="00C52A18">
        <w:t>e-Tag</w:t>
      </w:r>
      <w:r>
        <w:t xml:space="preserve"> service failure.  </w:t>
      </w:r>
    </w:p>
    <w:p w14:paraId="65485ED4" w14:textId="77777777" w:rsidR="00E6258C" w:rsidRDefault="00E6258C" w:rsidP="00E6258C">
      <w:pPr>
        <w:pStyle w:val="BodyText"/>
        <w:spacing w:before="240"/>
        <w:ind w:left="720" w:hanging="720"/>
      </w:pPr>
      <w:r w:rsidRPr="00251E81">
        <w:t>(</w:t>
      </w:r>
      <w:r w:rsidR="007913EE">
        <w:t>9</w:t>
      </w:r>
      <w:r w:rsidRPr="00251E81">
        <w:t>)</w:t>
      </w:r>
      <w:r w:rsidRPr="00251E81">
        <w:tab/>
      </w:r>
      <w:r w:rsidRPr="00C1273E">
        <w:t xml:space="preserve">ERCOT shall post </w:t>
      </w:r>
      <w:r>
        <w:t xml:space="preserve">a notice to </w:t>
      </w:r>
      <w:r w:rsidRPr="00C1273E">
        <w:t>the MIS</w:t>
      </w:r>
      <w:r>
        <w:t xml:space="preserve"> Certified Area when </w:t>
      </w:r>
      <w:r w:rsidRPr="00846072">
        <w:t>a confirmed e-Tag is downloaded, cancelled, or curtailed by ERCOT’s systems</w:t>
      </w:r>
      <w:r>
        <w:t>.</w:t>
      </w:r>
    </w:p>
    <w:p w14:paraId="246ADC02" w14:textId="77777777" w:rsidR="00175FCD" w:rsidRDefault="00C52A18" w:rsidP="00450218">
      <w:pPr>
        <w:pStyle w:val="BodyText"/>
        <w:ind w:left="720" w:hanging="720"/>
      </w:pPr>
      <w:r w:rsidRPr="00251E81">
        <w:t>(</w:t>
      </w:r>
      <w:r w:rsidR="007913EE">
        <w:t>10</w:t>
      </w:r>
      <w:r w:rsidRPr="00251E81">
        <w:t>)</w:t>
      </w:r>
      <w:r w:rsidRPr="00251E81">
        <w:tab/>
      </w:r>
      <w:r>
        <w:t>ERCOT shall use the DC Tie e-Tag MW amounts for Settlement.  The DC Tie operator shall communicate deratings of the DC Ties to ERCOT and other affected regions and all parties shall agree to any adjusted or curtailed e-Tag amounts.</w:t>
      </w:r>
      <w:r w:rsidR="00175FC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8C16C1" w:rsidRPr="004B32CF" w14:paraId="75ABFA88" w14:textId="77777777" w:rsidTr="003E20B9">
        <w:trPr>
          <w:trHeight w:val="386"/>
        </w:trPr>
        <w:tc>
          <w:tcPr>
            <w:tcW w:w="9350" w:type="dxa"/>
            <w:shd w:val="pct12" w:color="auto" w:fill="auto"/>
          </w:tcPr>
          <w:p w14:paraId="32870F45" w14:textId="5FF89132" w:rsidR="008C16C1" w:rsidRPr="004B32CF" w:rsidRDefault="008C16C1" w:rsidP="003E20B9">
            <w:pPr>
              <w:spacing w:before="120" w:after="240"/>
              <w:rPr>
                <w:b/>
                <w:i/>
                <w:iCs/>
              </w:rPr>
            </w:pPr>
            <w:r>
              <w:rPr>
                <w:b/>
                <w:i/>
                <w:iCs/>
              </w:rPr>
              <w:t>[NPRR857:  Replace paragraph (10</w:t>
            </w:r>
            <w:r w:rsidRPr="004B32CF">
              <w:rPr>
                <w:b/>
                <w:i/>
                <w:iCs/>
              </w:rPr>
              <w:t>) above with the following upon system implementation</w:t>
            </w:r>
            <w:r w:rsidR="008D2F9B">
              <w:rPr>
                <w:b/>
                <w:i/>
                <w:iCs/>
              </w:rPr>
              <w:t xml:space="preserve"> and </w:t>
            </w:r>
            <w:r w:rsidR="008D2F9B" w:rsidRPr="004E45F9">
              <w:rPr>
                <w:b/>
                <w:i/>
                <w:iCs/>
              </w:rPr>
              <w:t xml:space="preserve">satisfying the following conditions: </w:t>
            </w:r>
            <w:r w:rsidR="008D2F9B">
              <w:rPr>
                <w:b/>
                <w:i/>
                <w:iCs/>
              </w:rPr>
              <w:t xml:space="preserve"> </w:t>
            </w:r>
            <w:r w:rsidR="008D2F9B" w:rsidRPr="004E45F9">
              <w:rPr>
                <w:b/>
                <w:i/>
                <w:iCs/>
              </w:rPr>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sidRPr="004B32CF">
              <w:rPr>
                <w:b/>
                <w:i/>
                <w:iCs/>
              </w:rPr>
              <w:t>:]</w:t>
            </w:r>
          </w:p>
          <w:p w14:paraId="02619C0B" w14:textId="77777777" w:rsidR="008C16C1" w:rsidRPr="008C16C1" w:rsidRDefault="008C16C1" w:rsidP="008C16C1">
            <w:pPr>
              <w:spacing w:after="240"/>
              <w:ind w:left="720" w:hanging="720"/>
              <w:rPr>
                <w:iCs/>
              </w:rPr>
            </w:pPr>
            <w:r w:rsidRPr="00E55E72">
              <w:rPr>
                <w:iCs/>
              </w:rPr>
              <w:t>(10)</w:t>
            </w:r>
            <w:r w:rsidRPr="00E55E72">
              <w:rPr>
                <w:iCs/>
              </w:rPr>
              <w:tab/>
              <w:t>ERCOT shall use the DC Tie e-Tag MW amounts for Settlement.  The DCTO shall communicate deratings of the DC Ties to ERCOT and other affected regions and all parties shall agree to any adjusted or curtailed e-Tag amounts.</w:t>
            </w:r>
            <w:r>
              <w:rPr>
                <w:iCs/>
              </w:rPr>
              <w:t xml:space="preserve"> </w:t>
            </w:r>
          </w:p>
        </w:tc>
      </w:tr>
    </w:tbl>
    <w:p w14:paraId="61B71783" w14:textId="77777777" w:rsidR="00716EA4" w:rsidRDefault="00716EA4" w:rsidP="001D1935">
      <w:pPr>
        <w:spacing w:before="240" w:after="240"/>
        <w:ind w:left="720" w:hanging="720"/>
        <w:rPr>
          <w:iCs/>
          <w:szCs w:val="20"/>
        </w:rPr>
      </w:pPr>
      <w:r>
        <w:rPr>
          <w:iCs/>
          <w:szCs w:val="20"/>
        </w:rPr>
        <w:t>(</w:t>
      </w:r>
      <w:r w:rsidR="00E6258C">
        <w:rPr>
          <w:iCs/>
          <w:szCs w:val="20"/>
        </w:rPr>
        <w:t>1</w:t>
      </w:r>
      <w:r w:rsidR="007913EE">
        <w:rPr>
          <w:iCs/>
          <w:szCs w:val="20"/>
        </w:rPr>
        <w:t>1</w:t>
      </w:r>
      <w:r>
        <w:rPr>
          <w:iCs/>
          <w:szCs w:val="20"/>
        </w:rPr>
        <w:t>)</w:t>
      </w:r>
      <w:r>
        <w:rPr>
          <w:iCs/>
          <w:szCs w:val="20"/>
        </w:rPr>
        <w:tab/>
      </w:r>
      <w:r w:rsidR="00CC672E" w:rsidRPr="00D51F51">
        <w:rPr>
          <w:iCs/>
          <w:szCs w:val="20"/>
        </w:rPr>
        <w:t>DC Tie Load is considered as Load for daily and hourly reliability studies, and settled as Adjusted Metered Load (AML).  DC Tie Load is curtailed prior to other Load on the ERCOT System as described below</w:t>
      </w:r>
      <w:r w:rsidR="00CC672E" w:rsidRPr="00D51F51">
        <w:t xml:space="preserve">, </w:t>
      </w:r>
      <w:r w:rsidR="00CC672E" w:rsidRPr="00D51F51">
        <w:rPr>
          <w:iCs/>
          <w:szCs w:val="20"/>
        </w:rPr>
        <w:t xml:space="preserve">and during Energy Emergency Alert (EEA) events as set forth in Section </w:t>
      </w:r>
      <w:r w:rsidR="00CC672E" w:rsidRPr="00D51F51">
        <w:t>6.5.9.4.2, EEA Levels</w:t>
      </w:r>
      <w:r w:rsidR="00CC672E">
        <w:rPr>
          <w:iCs/>
          <w:szCs w:val="20"/>
        </w:rPr>
        <w:t>.</w:t>
      </w:r>
      <w:r>
        <w:rPr>
          <w:iCs/>
          <w:szCs w:val="20"/>
        </w:rPr>
        <w:t xml:space="preserve">  </w:t>
      </w:r>
    </w:p>
    <w:p w14:paraId="480DE0EB" w14:textId="77777777" w:rsidR="00CC672E" w:rsidRPr="00D51F51" w:rsidRDefault="00716EA4" w:rsidP="00CC672E">
      <w:pPr>
        <w:spacing w:before="120" w:after="120"/>
        <w:ind w:left="720" w:hanging="720"/>
        <w:rPr>
          <w:iCs/>
          <w:szCs w:val="20"/>
        </w:rPr>
      </w:pPr>
      <w:r>
        <w:rPr>
          <w:iCs/>
          <w:szCs w:val="20"/>
        </w:rPr>
        <w:t>(1</w:t>
      </w:r>
      <w:r w:rsidR="007913EE">
        <w:rPr>
          <w:iCs/>
          <w:szCs w:val="20"/>
        </w:rPr>
        <w:t>2</w:t>
      </w:r>
      <w:r>
        <w:rPr>
          <w:iCs/>
          <w:szCs w:val="20"/>
        </w:rPr>
        <w:t>)</w:t>
      </w:r>
      <w:r>
        <w:rPr>
          <w:iCs/>
          <w:szCs w:val="20"/>
        </w:rPr>
        <w:tab/>
      </w:r>
      <w:r w:rsidR="00CC672E" w:rsidRPr="00D51F51">
        <w:rPr>
          <w:iCs/>
          <w:szCs w:val="20"/>
        </w:rPr>
        <w:t>DC Tie Load shall neither be curtailed by ERCOT during the Adjustment Period, nor for more than one hour at a time, except for the purpose of maintaining reliability, or as indicated in paragraphs (13), (14)</w:t>
      </w:r>
      <w:r w:rsidR="00CC672E">
        <w:rPr>
          <w:iCs/>
          <w:szCs w:val="20"/>
        </w:rPr>
        <w:t>, (15),</w:t>
      </w:r>
      <w:r w:rsidR="00CC672E" w:rsidRPr="00D51F51">
        <w:rPr>
          <w:iCs/>
          <w:szCs w:val="20"/>
        </w:rPr>
        <w:t xml:space="preserve"> and (1</w:t>
      </w:r>
      <w:r w:rsidR="00CC672E">
        <w:rPr>
          <w:iCs/>
          <w:szCs w:val="20"/>
        </w:rPr>
        <w:t>6</w:t>
      </w:r>
      <w:r w:rsidR="00CC672E" w:rsidRPr="00D51F51">
        <w:rPr>
          <w:iCs/>
          <w:szCs w:val="20"/>
        </w:rPr>
        <w:t xml:space="preserve">) below. </w:t>
      </w:r>
    </w:p>
    <w:p w14:paraId="577A7987" w14:textId="4C23F8B1" w:rsidR="00CC672E" w:rsidRPr="00D51F51" w:rsidRDefault="00CC672E" w:rsidP="00CC672E">
      <w:pPr>
        <w:spacing w:after="240"/>
        <w:ind w:left="720" w:hanging="720"/>
        <w:rPr>
          <w:iCs/>
          <w:szCs w:val="20"/>
          <w:lang w:eastAsia="x-none"/>
        </w:rPr>
      </w:pPr>
      <w:r w:rsidRPr="00D51F51">
        <w:rPr>
          <w:iCs/>
          <w:szCs w:val="20"/>
          <w:lang w:eastAsia="x-none"/>
        </w:rPr>
        <w:t>(13)</w:t>
      </w:r>
      <w:r w:rsidRPr="00D51F51">
        <w:rPr>
          <w:iCs/>
          <w:szCs w:val="20"/>
          <w:lang w:eastAsia="x-none"/>
        </w:rPr>
        <w:tab/>
        <w:t xml:space="preserve">If a system operator in a non-ERCOT Control Area requests curtailment of a DC Tie Schedule due to an actual or anticipated emergency in its Control Area, ERCOT may curtail the DC Tie Schedule.  If the DC Tie Schedule is curtailed, ERCOT shall post a DC Tie Curtailment Notice to the </w:t>
      </w:r>
      <w:r w:rsidR="002310C0">
        <w:rPr>
          <w:iCs/>
          <w:szCs w:val="20"/>
        </w:rPr>
        <w:t>ERCOT website</w:t>
      </w:r>
      <w:r w:rsidRPr="00D51F51">
        <w:rPr>
          <w:iCs/>
          <w:szCs w:val="20"/>
          <w:lang w:eastAsia="x-none"/>
        </w:rPr>
        <w:t xml:space="preserve"> as soon as practicable.</w:t>
      </w:r>
    </w:p>
    <w:p w14:paraId="109507F0" w14:textId="45CD1702" w:rsidR="00CC672E" w:rsidRPr="00D51F51" w:rsidRDefault="00CC672E" w:rsidP="00CC672E">
      <w:pPr>
        <w:spacing w:after="240"/>
        <w:ind w:left="720" w:hanging="720"/>
        <w:rPr>
          <w:szCs w:val="20"/>
          <w:lang w:eastAsia="x-none"/>
        </w:rPr>
      </w:pPr>
      <w:r w:rsidRPr="00D51F51">
        <w:rPr>
          <w:iCs/>
          <w:szCs w:val="20"/>
          <w:lang w:eastAsia="x-none"/>
        </w:rPr>
        <w:t>(14)</w:t>
      </w:r>
      <w:r w:rsidRPr="00D51F51">
        <w:rPr>
          <w:iCs/>
          <w:szCs w:val="20"/>
          <w:lang w:eastAsia="x-none"/>
        </w:rPr>
        <w:tab/>
        <w:t xml:space="preserve">If a DC Tie experiences an Outage, ERCOT may curtail DC Tie Schedules that are, or that are expected to be, affected by the Outage based on system conditions and expected restoration time of the Outage.  ERCOT shall post a </w:t>
      </w:r>
      <w:r w:rsidRPr="00D51F51">
        <w:rPr>
          <w:szCs w:val="20"/>
          <w:lang w:eastAsia="x-none"/>
        </w:rPr>
        <w:t xml:space="preserve">DC Tie Curtailment Notice </w:t>
      </w:r>
      <w:r w:rsidRPr="00D51F51">
        <w:rPr>
          <w:szCs w:val="20"/>
          <w:lang w:val="x-none" w:eastAsia="x-none"/>
        </w:rPr>
        <w:t xml:space="preserve">to the </w:t>
      </w:r>
      <w:r w:rsidR="002310C0">
        <w:rPr>
          <w:iCs/>
          <w:szCs w:val="20"/>
        </w:rPr>
        <w:t>ERCOT website</w:t>
      </w:r>
      <w:r w:rsidRPr="00D51F51">
        <w:rPr>
          <w:szCs w:val="20"/>
          <w:lang w:eastAsia="x-none"/>
        </w:rPr>
        <w:t xml:space="preserve"> </w:t>
      </w:r>
      <w:r w:rsidRPr="00D51F51">
        <w:rPr>
          <w:iCs/>
          <w:szCs w:val="20"/>
          <w:lang w:eastAsia="x-none"/>
        </w:rPr>
        <w:t>as soon as practicable.  Updated DC Tie limits shall be posted as required in paragraph (1) of Section 3.10.7.7, DC Tie Limits.</w:t>
      </w:r>
    </w:p>
    <w:p w14:paraId="405E3823" w14:textId="1D67E3B7" w:rsidR="00CC672E" w:rsidRDefault="00CC672E" w:rsidP="00CC672E">
      <w:pPr>
        <w:spacing w:after="240"/>
        <w:ind w:left="720" w:hanging="720"/>
        <w:rPr>
          <w:szCs w:val="20"/>
          <w:lang w:val="x-none" w:eastAsia="x-none"/>
        </w:rPr>
      </w:pPr>
      <w:r w:rsidRPr="00D51F51">
        <w:rPr>
          <w:iCs/>
          <w:szCs w:val="20"/>
          <w:lang w:eastAsia="x-none"/>
        </w:rPr>
        <w:t>(15)</w:t>
      </w:r>
      <w:r w:rsidRPr="00D51F51">
        <w:rPr>
          <w:iCs/>
          <w:szCs w:val="20"/>
          <w:lang w:eastAsia="x-none"/>
        </w:rPr>
        <w:tab/>
        <w:t xml:space="preserve">If </w:t>
      </w:r>
      <w:r w:rsidRPr="00D51F51">
        <w:rPr>
          <w:szCs w:val="20"/>
          <w:lang w:val="x-none" w:eastAsia="x-none"/>
        </w:rPr>
        <w:t xml:space="preserve">market-based congestion management techniques embedded in </w:t>
      </w:r>
      <w:r>
        <w:rPr>
          <w:szCs w:val="20"/>
          <w:lang w:eastAsia="x-none"/>
        </w:rPr>
        <w:t>Security-Constrained Economic Dispatch (</w:t>
      </w:r>
      <w:r w:rsidRPr="00D51F51">
        <w:rPr>
          <w:szCs w:val="20"/>
          <w:lang w:val="x-none" w:eastAsia="x-none"/>
        </w:rPr>
        <w:t>SCED</w:t>
      </w:r>
      <w:r>
        <w:rPr>
          <w:szCs w:val="20"/>
          <w:lang w:eastAsia="x-none"/>
        </w:rPr>
        <w:t>)</w:t>
      </w:r>
      <w:r w:rsidRPr="00D51F51">
        <w:rPr>
          <w:szCs w:val="20"/>
          <w:lang w:val="x-none" w:eastAsia="x-none"/>
        </w:rPr>
        <w:t xml:space="preserve"> as specified in these Protocols will not be adequate to resolve one or more transmission </w:t>
      </w:r>
      <w:r w:rsidRPr="00D51F51">
        <w:rPr>
          <w:iCs/>
          <w:szCs w:val="20"/>
          <w:lang w:eastAsia="x-none"/>
        </w:rPr>
        <w:t>security</w:t>
      </w:r>
      <w:r w:rsidRPr="00D51F51">
        <w:rPr>
          <w:szCs w:val="20"/>
          <w:lang w:val="x-none" w:eastAsia="x-none"/>
        </w:rPr>
        <w:t xml:space="preserve"> violations</w:t>
      </w:r>
      <w:r w:rsidRPr="00D51F51">
        <w:rPr>
          <w:szCs w:val="20"/>
          <w:lang w:eastAsia="x-none"/>
        </w:rPr>
        <w:t xml:space="preserve"> that would be fully or partially resolved by the curtailment of DC Tie Load</w:t>
      </w:r>
      <w:r w:rsidRPr="00D51F51">
        <w:rPr>
          <w:szCs w:val="20"/>
          <w:lang w:val="x-none" w:eastAsia="x-none"/>
        </w:rPr>
        <w:t xml:space="preserve"> and, in ERCOT’s judgment, no approved </w:t>
      </w:r>
      <w:r>
        <w:rPr>
          <w:szCs w:val="20"/>
          <w:lang w:eastAsia="x-none"/>
        </w:rPr>
        <w:t>Constraint Management Plan (</w:t>
      </w:r>
      <w:r w:rsidRPr="00D51F51">
        <w:rPr>
          <w:szCs w:val="20"/>
          <w:lang w:val="x-none" w:eastAsia="x-none"/>
        </w:rPr>
        <w:t>CMP</w:t>
      </w:r>
      <w:r>
        <w:rPr>
          <w:szCs w:val="20"/>
          <w:lang w:eastAsia="x-none"/>
        </w:rPr>
        <w:t>)</w:t>
      </w:r>
      <w:r w:rsidRPr="00D51F51">
        <w:rPr>
          <w:szCs w:val="20"/>
          <w:lang w:val="x-none" w:eastAsia="x-none"/>
        </w:rPr>
        <w:t xml:space="preserve"> is adequate to resolve those violations, ERCOT may </w:t>
      </w:r>
      <w:r w:rsidRPr="00D51F51">
        <w:rPr>
          <w:szCs w:val="20"/>
          <w:lang w:val="x-none" w:eastAsia="x-none"/>
        </w:rPr>
        <w:lastRenderedPageBreak/>
        <w:t xml:space="preserve">instruct Resources to change output and, if still necessary, curtail DC Tie Load </w:t>
      </w:r>
      <w:r w:rsidRPr="00D51F51">
        <w:rPr>
          <w:iCs/>
          <w:szCs w:val="20"/>
          <w:lang w:eastAsia="x-none"/>
        </w:rPr>
        <w:t>to</w:t>
      </w:r>
      <w:r w:rsidRPr="00D51F51">
        <w:rPr>
          <w:iCs/>
          <w:szCs w:val="20"/>
          <w:lang w:val="x-none" w:eastAsia="x-none"/>
        </w:rPr>
        <w:t xml:space="preserve"> maintain reliability</w:t>
      </w:r>
      <w:r w:rsidRPr="00D51F51">
        <w:rPr>
          <w:szCs w:val="20"/>
          <w:lang w:eastAsia="x-none"/>
        </w:rPr>
        <w:t xml:space="preserve"> and </w:t>
      </w:r>
      <w:r w:rsidRPr="00D51F51">
        <w:rPr>
          <w:iCs/>
          <w:szCs w:val="20"/>
          <w:lang w:eastAsia="x-none"/>
        </w:rPr>
        <w:t xml:space="preserve">shall post a </w:t>
      </w:r>
      <w:r w:rsidRPr="00D51F51">
        <w:rPr>
          <w:szCs w:val="20"/>
          <w:lang w:eastAsia="x-none"/>
        </w:rPr>
        <w:t xml:space="preserve">DC Tie Curtailment Notice </w:t>
      </w:r>
      <w:r w:rsidRPr="00D51F51">
        <w:rPr>
          <w:szCs w:val="20"/>
          <w:lang w:val="x-none" w:eastAsia="x-none"/>
        </w:rPr>
        <w:t xml:space="preserve">to the </w:t>
      </w:r>
      <w:r w:rsidR="002310C0">
        <w:rPr>
          <w:iCs/>
          <w:szCs w:val="20"/>
        </w:rPr>
        <w:t>ERCOT website</w:t>
      </w:r>
      <w:r w:rsidRPr="00D51F51">
        <w:rPr>
          <w:szCs w:val="20"/>
          <w:lang w:eastAsia="x-none"/>
        </w:rPr>
        <w:t xml:space="preserve"> </w:t>
      </w:r>
      <w:r w:rsidRPr="00D51F51">
        <w:rPr>
          <w:iCs/>
          <w:szCs w:val="20"/>
          <w:lang w:eastAsia="x-none"/>
        </w:rPr>
        <w:t xml:space="preserve">as soon as practicable.  </w:t>
      </w:r>
      <w:r w:rsidRPr="00D51F51">
        <w:rPr>
          <w:szCs w:val="20"/>
          <w:lang w:val="x-none" w:eastAsia="x-none"/>
        </w:rPr>
        <w:t xml:space="preserve">The quantity of DC Tie Load to be curtailed shall be the minimum required to </w:t>
      </w:r>
      <w:r w:rsidRPr="00D51F51">
        <w:rPr>
          <w:szCs w:val="20"/>
          <w:lang w:eastAsia="x-none"/>
        </w:rPr>
        <w:t>resolve</w:t>
      </w:r>
      <w:r w:rsidRPr="00D51F51">
        <w:rPr>
          <w:szCs w:val="20"/>
          <w:lang w:val="x-none" w:eastAsia="x-none"/>
        </w:rPr>
        <w:t xml:space="preserve"> the constraint(s) </w:t>
      </w:r>
      <w:r w:rsidRPr="00D51F51">
        <w:rPr>
          <w:szCs w:val="20"/>
          <w:lang w:eastAsia="x-none"/>
        </w:rPr>
        <w:t>after the other remediation actions described above have been taken</w:t>
      </w:r>
      <w:r w:rsidRPr="00D51F51">
        <w:rPr>
          <w:szCs w:val="20"/>
          <w:lang w:val="x-none" w:eastAsia="x-none"/>
        </w:rPr>
        <w:t>.</w:t>
      </w:r>
    </w:p>
    <w:p w14:paraId="799C6829" w14:textId="77777777" w:rsidR="00716EA4" w:rsidRDefault="00CC672E" w:rsidP="00663278">
      <w:pPr>
        <w:pStyle w:val="BodyText"/>
        <w:ind w:left="720" w:hanging="720"/>
        <w:rPr>
          <w:bCs/>
          <w:iCs w:val="0"/>
          <w:szCs w:val="26"/>
        </w:rPr>
      </w:pPr>
      <w:r>
        <w:rPr>
          <w:szCs w:val="20"/>
          <w:lang w:eastAsia="x-none"/>
        </w:rPr>
        <w:t>(16)</w:t>
      </w:r>
      <w:r>
        <w:rPr>
          <w:szCs w:val="20"/>
          <w:lang w:eastAsia="x-none"/>
        </w:rPr>
        <w:tab/>
        <w:t xml:space="preserve">ERCOT may curtail DC Tie Schedules as necessary to ensure </w:t>
      </w:r>
      <w:r w:rsidRPr="00E049F4">
        <w:rPr>
          <w:iCs w:val="0"/>
          <w:szCs w:val="20"/>
        </w:rPr>
        <w:t xml:space="preserve">that </w:t>
      </w:r>
      <w:r w:rsidRPr="00E049F4">
        <w:rPr>
          <w:bCs/>
          <w:iCs w:val="0"/>
          <w:szCs w:val="26"/>
        </w:rPr>
        <w:t xml:space="preserve">any Entity in the ERCOT Region that is not a “public utility” as defined in the </w:t>
      </w:r>
      <w:r>
        <w:rPr>
          <w:bCs/>
          <w:iCs w:val="0"/>
          <w:szCs w:val="26"/>
        </w:rPr>
        <w:t>FPA</w:t>
      </w:r>
      <w:r w:rsidRPr="00E049F4">
        <w:rPr>
          <w:bCs/>
          <w:iCs w:val="0"/>
          <w:szCs w:val="26"/>
        </w:rPr>
        <w:t>, including ERCOT, does not become such a public utility</w:t>
      </w:r>
      <w:r>
        <w:rPr>
          <w:bCs/>
          <w:iCs w:val="0"/>
          <w:szCs w:val="26"/>
        </w:rP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F7371" w:rsidRPr="004B32CF" w14:paraId="49A34A83" w14:textId="77777777" w:rsidTr="007F7371">
        <w:trPr>
          <w:trHeight w:val="386"/>
        </w:trPr>
        <w:tc>
          <w:tcPr>
            <w:tcW w:w="9350" w:type="dxa"/>
            <w:shd w:val="pct12" w:color="auto" w:fill="auto"/>
          </w:tcPr>
          <w:p w14:paraId="0F5E8CA2" w14:textId="5E24FDD9" w:rsidR="007F7371" w:rsidRPr="004B32CF" w:rsidRDefault="007F7371" w:rsidP="000517D7">
            <w:pPr>
              <w:spacing w:before="120" w:after="240"/>
              <w:rPr>
                <w:b/>
                <w:i/>
                <w:iCs/>
              </w:rPr>
            </w:pPr>
            <w:r>
              <w:rPr>
                <w:b/>
                <w:i/>
                <w:iCs/>
              </w:rPr>
              <w:t>[NPRR1034:  Insert paragraph (17</w:t>
            </w:r>
            <w:r w:rsidRPr="004B32CF">
              <w:rPr>
                <w:b/>
                <w:i/>
                <w:iCs/>
              </w:rPr>
              <w:t xml:space="preserve">) </w:t>
            </w:r>
            <w:r>
              <w:rPr>
                <w:b/>
                <w:i/>
                <w:iCs/>
              </w:rPr>
              <w:t xml:space="preserve">below </w:t>
            </w:r>
            <w:r w:rsidRPr="004B32CF">
              <w:rPr>
                <w:b/>
                <w:i/>
                <w:iCs/>
              </w:rPr>
              <w:t>upon system implementation</w:t>
            </w:r>
            <w:r w:rsidR="008D2F9B">
              <w:rPr>
                <w:b/>
                <w:i/>
                <w:iCs/>
              </w:rPr>
              <w:t xml:space="preserve"> and satisfying</w:t>
            </w:r>
            <w:r w:rsidR="008D2F9B" w:rsidRPr="00623CF4">
              <w:rPr>
                <w:b/>
                <w:i/>
                <w:iCs/>
              </w:rPr>
              <w:t xml:space="preserve"> the following conditions: </w:t>
            </w:r>
            <w:r w:rsidR="008D2F9B">
              <w:rPr>
                <w:b/>
                <w:i/>
                <w:iCs/>
              </w:rPr>
              <w:t xml:space="preserve"> </w:t>
            </w:r>
            <w:r w:rsidR="008D2F9B" w:rsidRPr="00623CF4">
              <w:rPr>
                <w:b/>
                <w:i/>
                <w:iCs/>
              </w:rPr>
              <w:t xml:space="preserve">(1) Southern Cross Transmission LLC (Southern Cross) provides ERCOT with funds to cover the entire estimated cost of the project; and (2) Southern Cross has signed an interconnection agreement with a Transmission Service Provider (TSP) and the TSP gives ERCOT written notice that Southern Cross has provided it with: </w:t>
            </w:r>
            <w:r w:rsidR="008D2F9B">
              <w:rPr>
                <w:b/>
                <w:i/>
                <w:iCs/>
              </w:rPr>
              <w:t xml:space="preserve"> </w:t>
            </w:r>
            <w:r w:rsidR="008D2F9B" w:rsidRPr="00623CF4">
              <w:rPr>
                <w:b/>
                <w:i/>
                <w:iCs/>
              </w:rPr>
              <w:t>(a) Notice to proceed with the construction of the interconnection; and (b) The financial security required to fund the interconnection facilities</w:t>
            </w:r>
            <w:r w:rsidR="008D2F9B">
              <w:rPr>
                <w:b/>
                <w:i/>
                <w:iCs/>
              </w:rPr>
              <w:t>;</w:t>
            </w:r>
            <w:r>
              <w:rPr>
                <w:b/>
                <w:i/>
                <w:iCs/>
              </w:rPr>
              <w:t xml:space="preserve"> and renumber accordingly</w:t>
            </w:r>
            <w:r w:rsidRPr="004B32CF">
              <w:rPr>
                <w:b/>
                <w:i/>
                <w:iCs/>
              </w:rPr>
              <w:t>:]</w:t>
            </w:r>
          </w:p>
          <w:p w14:paraId="3945E65D" w14:textId="0B1C03F0" w:rsidR="007F7371" w:rsidRPr="007F7371" w:rsidRDefault="007F7371" w:rsidP="007F7371">
            <w:pPr>
              <w:pStyle w:val="BodyText"/>
              <w:ind w:left="720" w:hanging="720"/>
              <w:rPr>
                <w:bCs/>
                <w:szCs w:val="26"/>
              </w:rPr>
            </w:pPr>
            <w:r>
              <w:rPr>
                <w:bCs/>
                <w:szCs w:val="26"/>
              </w:rPr>
              <w:t>(17)</w:t>
            </w:r>
            <w:r>
              <w:rPr>
                <w:bCs/>
                <w:szCs w:val="26"/>
              </w:rPr>
              <w:tab/>
              <w:t>ERCOT may curtail DC Tie Schedules on a DC Tie on a last-in-first-out basis when ERCOT determines that one or more DC Tie Schedules on that DC Tie would exceed a limit established pursuant to paragraph (1) of Section 4.4.4.4, Frequency-Based Limits on DC Tie Imports or Exports.</w:t>
            </w:r>
          </w:p>
        </w:tc>
      </w:tr>
    </w:tbl>
    <w:p w14:paraId="19CDE9AA" w14:textId="5D0316A2" w:rsidR="00A872AC" w:rsidRPr="00B24716" w:rsidRDefault="00A872AC" w:rsidP="005C00D3">
      <w:pPr>
        <w:spacing w:before="240" w:after="240"/>
        <w:ind w:left="720" w:hanging="720"/>
        <w:rPr>
          <w:bCs/>
          <w:szCs w:val="26"/>
        </w:rPr>
      </w:pPr>
      <w:r w:rsidRPr="00B24716">
        <w:rPr>
          <w:bCs/>
          <w:szCs w:val="26"/>
        </w:rPr>
        <w:t>(17)</w:t>
      </w:r>
      <w:r w:rsidRPr="00B24716">
        <w:rPr>
          <w:bCs/>
          <w:szCs w:val="26"/>
        </w:rPr>
        <w:tab/>
        <w:t xml:space="preserve">Market Participants shall not engage in DC Tie export transactions that are reasonably expected to be uneconomic in consideration of all costs and revenues associated with the transaction, excluding </w:t>
      </w:r>
      <w:r>
        <w:rPr>
          <w:bCs/>
          <w:szCs w:val="26"/>
        </w:rPr>
        <w:t>Congestion Revenue Right (</w:t>
      </w:r>
      <w:r w:rsidRPr="00B24716">
        <w:rPr>
          <w:bCs/>
          <w:szCs w:val="26"/>
        </w:rPr>
        <w:t>CRR</w:t>
      </w:r>
      <w:r>
        <w:rPr>
          <w:bCs/>
          <w:szCs w:val="26"/>
        </w:rPr>
        <w:t>)</w:t>
      </w:r>
      <w:r w:rsidRPr="00B24716">
        <w:rPr>
          <w:bCs/>
          <w:szCs w:val="26"/>
        </w:rPr>
        <w:t xml:space="preserve"> Auction Revenue Distribution (CARD) and CRR Balancing Account (CRRBA) allocations.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872AC" w:rsidRPr="00B24716" w14:paraId="44BCF227" w14:textId="77777777" w:rsidTr="00B11AAC">
        <w:trPr>
          <w:trHeight w:val="386"/>
        </w:trPr>
        <w:tc>
          <w:tcPr>
            <w:tcW w:w="9350" w:type="dxa"/>
            <w:shd w:val="pct12" w:color="auto" w:fill="auto"/>
          </w:tcPr>
          <w:p w14:paraId="0B89E904" w14:textId="77777777" w:rsidR="00A872AC" w:rsidRPr="00B24716" w:rsidRDefault="00A872AC" w:rsidP="00B11AAC">
            <w:pPr>
              <w:spacing w:before="120" w:after="240"/>
              <w:rPr>
                <w:b/>
                <w:i/>
                <w:iCs/>
              </w:rPr>
            </w:pPr>
            <w:r w:rsidRPr="00B24716">
              <w:rPr>
                <w:b/>
                <w:i/>
                <w:iCs/>
              </w:rPr>
              <w:t>[NPRR1030:  Delete paragraph (17) above upon system implementation.]</w:t>
            </w:r>
          </w:p>
        </w:tc>
      </w:tr>
    </w:tbl>
    <w:p w14:paraId="0054D7BF" w14:textId="77777777" w:rsidR="00FF2129" w:rsidRDefault="00482EF3" w:rsidP="001D1935">
      <w:pPr>
        <w:pStyle w:val="H4"/>
        <w:spacing w:before="480"/>
        <w:ind w:left="1267" w:hanging="1267"/>
      </w:pPr>
      <w:bookmarkStart w:id="204" w:name="_Toc92873930"/>
      <w:bookmarkStart w:id="205" w:name="_Toc142108909"/>
      <w:bookmarkStart w:id="206" w:name="_Toc142113754"/>
      <w:bookmarkStart w:id="207" w:name="_Toc402345580"/>
      <w:bookmarkStart w:id="208" w:name="_Toc405383863"/>
      <w:bookmarkStart w:id="209" w:name="_Toc405536965"/>
      <w:bookmarkStart w:id="210" w:name="_Toc440871752"/>
      <w:bookmarkStart w:id="211" w:name="_Toc135990624"/>
      <w:r>
        <w:t>4.4.4.1</w:t>
      </w:r>
      <w:r>
        <w:tab/>
        <w:t>DC Tie Schedule Criteria</w:t>
      </w:r>
      <w:bookmarkEnd w:id="204"/>
      <w:bookmarkEnd w:id="205"/>
      <w:bookmarkEnd w:id="206"/>
      <w:bookmarkEnd w:id="207"/>
      <w:bookmarkEnd w:id="208"/>
      <w:bookmarkEnd w:id="209"/>
      <w:bookmarkEnd w:id="210"/>
      <w:bookmarkEnd w:id="211"/>
    </w:p>
    <w:p w14:paraId="51E56EC3" w14:textId="77777777" w:rsidR="002577DA" w:rsidRDefault="002E0760" w:rsidP="00C73E78">
      <w:pPr>
        <w:pStyle w:val="BodyText"/>
        <w:ind w:left="720" w:hanging="720"/>
      </w:pPr>
      <w:r>
        <w:t>(1)</w:t>
      </w:r>
      <w:r>
        <w:tab/>
      </w:r>
      <w:r w:rsidR="00482EF3">
        <w:t xml:space="preserve">Each DC Tie Schedule must </w:t>
      </w:r>
      <w:r w:rsidR="00C52A18">
        <w:t xml:space="preserve">correspond to an implemented e-Tag and </w:t>
      </w:r>
      <w:r w:rsidR="00482EF3">
        <w:t xml:space="preserve">include the following </w:t>
      </w:r>
      <w:r w:rsidR="00482EF3" w:rsidRPr="002E0760">
        <w:rPr>
          <w:iCs w:val="0"/>
          <w:szCs w:val="20"/>
        </w:rPr>
        <w:t>information</w:t>
      </w:r>
      <w:r w:rsidR="00482EF3">
        <w:t xml:space="preserve">: </w:t>
      </w:r>
    </w:p>
    <w:p w14:paraId="69D70768" w14:textId="77777777" w:rsidR="00FF2129" w:rsidRDefault="00482EF3">
      <w:pPr>
        <w:pStyle w:val="List"/>
        <w:ind w:left="1440"/>
      </w:pPr>
      <w:r>
        <w:t>(a)</w:t>
      </w:r>
      <w:r>
        <w:tab/>
        <w:t xml:space="preserve">The QSE </w:t>
      </w:r>
      <w:r w:rsidR="00C52A18">
        <w:t xml:space="preserve">ERCOT identifier </w:t>
      </w:r>
      <w:r>
        <w:t>or non-ERCOT Control Area buying the energy;</w:t>
      </w:r>
    </w:p>
    <w:p w14:paraId="7943FD77" w14:textId="77777777" w:rsidR="00FF2129" w:rsidRDefault="00482EF3">
      <w:pPr>
        <w:pStyle w:val="List"/>
        <w:ind w:left="1440"/>
      </w:pPr>
      <w:r>
        <w:t>(b)</w:t>
      </w:r>
      <w:r>
        <w:tab/>
        <w:t xml:space="preserve">The QSE </w:t>
      </w:r>
      <w:r w:rsidR="00C52A18">
        <w:t xml:space="preserve">ERCOT identifier </w:t>
      </w:r>
      <w:r>
        <w:t>or non-ERCOT Control Area selling the energy;</w:t>
      </w:r>
    </w:p>
    <w:p w14:paraId="405FB285" w14:textId="77777777" w:rsidR="00FF2129" w:rsidRDefault="00482EF3">
      <w:pPr>
        <w:pStyle w:val="List"/>
        <w:ind w:left="1440"/>
      </w:pPr>
      <w:r>
        <w:t>(c)</w:t>
      </w:r>
      <w:r>
        <w:tab/>
      </w:r>
      <w:r w:rsidR="00C52A18">
        <w:t>T</w:t>
      </w:r>
      <w:r>
        <w:t>he DC Tie Settlement Point</w:t>
      </w:r>
      <w:r w:rsidR="00C52A18">
        <w:t xml:space="preserve"> name</w:t>
      </w:r>
      <w:r>
        <w:t>;</w:t>
      </w:r>
    </w:p>
    <w:p w14:paraId="32506E8F" w14:textId="77777777" w:rsidR="00FF2129" w:rsidRDefault="00482EF3">
      <w:pPr>
        <w:pStyle w:val="List"/>
        <w:ind w:left="1440"/>
      </w:pPr>
      <w:r>
        <w:t>(d)</w:t>
      </w:r>
      <w:r>
        <w:tab/>
        <w:t xml:space="preserve">The quantity in MW for each 15-minute Settlement Interval of the schedule; </w:t>
      </w:r>
    </w:p>
    <w:p w14:paraId="52AE4069" w14:textId="77777777" w:rsidR="00FF2129" w:rsidRDefault="00482EF3">
      <w:pPr>
        <w:pStyle w:val="List"/>
        <w:ind w:left="1440"/>
      </w:pPr>
      <w:r>
        <w:lastRenderedPageBreak/>
        <w:t>(e)</w:t>
      </w:r>
      <w:r>
        <w:tab/>
        <w:t>The first and last 15-minute Settlement Intervals of the schedule; and</w:t>
      </w:r>
    </w:p>
    <w:p w14:paraId="01E9DB88" w14:textId="77777777" w:rsidR="00FF2129" w:rsidRDefault="00482EF3">
      <w:pPr>
        <w:pStyle w:val="List"/>
        <w:ind w:left="1440"/>
      </w:pPr>
      <w:r>
        <w:t>(f)</w:t>
      </w:r>
      <w:r>
        <w:tab/>
        <w:t xml:space="preserve">The </w:t>
      </w:r>
      <w:r w:rsidR="00C52A18">
        <w:t>e-Tag name.</w:t>
      </w:r>
    </w:p>
    <w:p w14:paraId="7FACB34C" w14:textId="446C43C4" w:rsidR="00381CB1" w:rsidRDefault="00381CB1">
      <w:pPr>
        <w:pStyle w:val="BodyTextNumbered"/>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F18AD" w:rsidRPr="004B32CF" w14:paraId="7CD52A46" w14:textId="77777777" w:rsidTr="00AF18AD">
        <w:trPr>
          <w:trHeight w:val="386"/>
        </w:trPr>
        <w:tc>
          <w:tcPr>
            <w:tcW w:w="9350" w:type="dxa"/>
            <w:shd w:val="pct12" w:color="auto" w:fill="auto"/>
          </w:tcPr>
          <w:p w14:paraId="6A05BDA2" w14:textId="08708C26" w:rsidR="00AF18AD" w:rsidRPr="004B32CF" w:rsidRDefault="00AF18AD" w:rsidP="00B11AAC">
            <w:pPr>
              <w:spacing w:before="120" w:after="240"/>
              <w:rPr>
                <w:b/>
                <w:i/>
                <w:iCs/>
              </w:rPr>
            </w:pPr>
            <w:bookmarkStart w:id="212" w:name="_Toc142108912"/>
            <w:bookmarkStart w:id="213" w:name="_Toc142113757"/>
            <w:bookmarkStart w:id="214" w:name="_Toc402345582"/>
            <w:bookmarkStart w:id="215" w:name="_Toc405383865"/>
            <w:bookmarkStart w:id="216" w:name="_Toc405536967"/>
            <w:bookmarkStart w:id="217" w:name="_Toc440871754"/>
            <w:bookmarkEnd w:id="128"/>
            <w:r>
              <w:rPr>
                <w:b/>
                <w:i/>
                <w:iCs/>
              </w:rPr>
              <w:t>[NPRR999:  Insert Section 4.4.4.</w:t>
            </w:r>
            <w:r w:rsidR="00A342B9">
              <w:rPr>
                <w:b/>
                <w:i/>
                <w:iCs/>
              </w:rPr>
              <w:t>2</w:t>
            </w:r>
            <w:r>
              <w:rPr>
                <w:b/>
                <w:i/>
                <w:iCs/>
              </w:rPr>
              <w:t xml:space="preserve"> below</w:t>
            </w:r>
            <w:r w:rsidRPr="004B32CF">
              <w:rPr>
                <w:b/>
                <w:i/>
                <w:iCs/>
              </w:rPr>
              <w:t xml:space="preserve"> upon </w:t>
            </w:r>
            <w:r>
              <w:rPr>
                <w:b/>
                <w:i/>
                <w:iCs/>
              </w:rPr>
              <w:t>project</w:t>
            </w:r>
            <w:r w:rsidRPr="004B32CF">
              <w:rPr>
                <w:b/>
                <w:i/>
                <w:iCs/>
              </w:rPr>
              <w:t xml:space="preserve"> implementation</w:t>
            </w:r>
            <w:r>
              <w:rPr>
                <w:b/>
                <w:i/>
                <w:iCs/>
              </w:rPr>
              <w:t xml:space="preserve"> of the </w:t>
            </w:r>
            <w:r w:rsidRPr="00AF18AD">
              <w:rPr>
                <w:b/>
                <w:i/>
                <w:iCs/>
              </w:rPr>
              <w:t>In</w:t>
            </w:r>
            <w:r>
              <w:rPr>
                <w:b/>
                <w:i/>
                <w:iCs/>
              </w:rPr>
              <w:t>tra-Hour Variability (iCAT) Tool</w:t>
            </w:r>
            <w:r w:rsidRPr="004B32CF">
              <w:rPr>
                <w:b/>
                <w:i/>
                <w:iCs/>
              </w:rPr>
              <w:t>:]</w:t>
            </w:r>
          </w:p>
          <w:p w14:paraId="4394FEF9" w14:textId="60BD4E64" w:rsidR="00AF18AD" w:rsidRPr="00B4091E" w:rsidRDefault="00AF18AD" w:rsidP="00F539C2">
            <w:pPr>
              <w:pStyle w:val="H4"/>
              <w:spacing w:before="480"/>
              <w:ind w:left="1267" w:hanging="1267"/>
            </w:pPr>
            <w:bookmarkStart w:id="218" w:name="_Toc60037962"/>
            <w:bookmarkStart w:id="219" w:name="_Toc65146104"/>
            <w:bookmarkStart w:id="220" w:name="_Toc68165018"/>
            <w:bookmarkStart w:id="221" w:name="_Toc135990625"/>
            <w:r w:rsidRPr="007F7371">
              <w:t>4.4.4.</w:t>
            </w:r>
            <w:r w:rsidR="00A342B9">
              <w:t>2</w:t>
            </w:r>
            <w:r w:rsidRPr="007F7371">
              <w:tab/>
            </w:r>
            <w:r w:rsidRPr="00B4091E">
              <w:t>Management of DC Tie Schedules due to Ramp Limitations</w:t>
            </w:r>
            <w:bookmarkEnd w:id="218"/>
            <w:bookmarkEnd w:id="219"/>
            <w:bookmarkEnd w:id="220"/>
            <w:bookmarkEnd w:id="221"/>
          </w:p>
          <w:p w14:paraId="7948E70F" w14:textId="6AB55EED" w:rsidR="00AF18AD" w:rsidRPr="00AF18AD" w:rsidRDefault="00AF18AD" w:rsidP="00AF18AD">
            <w:pPr>
              <w:spacing w:after="240"/>
              <w:ind w:left="720" w:hanging="720"/>
              <w:rPr>
                <w:szCs w:val="20"/>
                <w:lang w:eastAsia="x-none"/>
              </w:rPr>
            </w:pPr>
            <w:r>
              <w:rPr>
                <w:szCs w:val="20"/>
                <w:lang w:eastAsia="x-none"/>
              </w:rPr>
              <w:t>(1)</w:t>
            </w:r>
            <w:r>
              <w:rPr>
                <w:szCs w:val="20"/>
                <w:lang w:eastAsia="x-none"/>
              </w:rPr>
              <w:tab/>
              <w:t>If system conditions near or in Real-T</w:t>
            </w:r>
            <w:r w:rsidRPr="00A13533">
              <w:rPr>
                <w:szCs w:val="20"/>
                <w:lang w:eastAsia="x-none"/>
              </w:rPr>
              <w:t xml:space="preserve">ime </w:t>
            </w:r>
            <w:r>
              <w:rPr>
                <w:szCs w:val="20"/>
                <w:lang w:eastAsia="x-none"/>
              </w:rPr>
              <w:t>show insufficient ramp capability</w:t>
            </w:r>
            <w:r w:rsidRPr="00A13533">
              <w:rPr>
                <w:szCs w:val="20"/>
                <w:lang w:eastAsia="x-none"/>
              </w:rPr>
              <w:t xml:space="preserve"> </w:t>
            </w:r>
            <w:r>
              <w:rPr>
                <w:szCs w:val="20"/>
                <w:lang w:eastAsia="x-none"/>
              </w:rPr>
              <w:t>to meet the sum of all DC Ties’ scheduled ramp,</w:t>
            </w:r>
            <w:r w:rsidRPr="00713FB8">
              <w:t xml:space="preserve"> </w:t>
            </w:r>
            <w:r w:rsidRPr="00713FB8">
              <w:rPr>
                <w:szCs w:val="20"/>
                <w:lang w:eastAsia="x-none"/>
              </w:rPr>
              <w:t>taking into account the full ramping capability of all available Resources</w:t>
            </w:r>
            <w:r>
              <w:rPr>
                <w:szCs w:val="20"/>
                <w:lang w:eastAsia="x-none"/>
              </w:rPr>
              <w:t xml:space="preserve"> and preserving sufficient Physical Responsive Capability (PRC) to avoid EEA Level 1, and ERCOT determines that sufficient time exists, </w:t>
            </w:r>
            <w:r w:rsidRPr="00A13533">
              <w:rPr>
                <w:szCs w:val="20"/>
                <w:lang w:eastAsia="x-none"/>
              </w:rPr>
              <w:t xml:space="preserve">ERCOT </w:t>
            </w:r>
            <w:r>
              <w:rPr>
                <w:szCs w:val="20"/>
                <w:lang w:eastAsia="x-none"/>
              </w:rPr>
              <w:t xml:space="preserve">may request that one or more e-Tags be resubmitted with an adjusted ramp duration that would conform with the system’s ramp capability.  If ERCOT determines that insufficient time exists to request resubmission of e-Tags, or that an insufficient number of e-Tags have been resubmitted to conform with the system’s ramp capability, ERCOT </w:t>
            </w:r>
            <w:r w:rsidRPr="00A13533">
              <w:rPr>
                <w:szCs w:val="20"/>
                <w:lang w:eastAsia="x-none"/>
              </w:rPr>
              <w:t xml:space="preserve">shall curtail </w:t>
            </w:r>
            <w:r>
              <w:rPr>
                <w:szCs w:val="20"/>
                <w:lang w:eastAsia="x-none"/>
              </w:rPr>
              <w:t>DC Tie S</w:t>
            </w:r>
            <w:r w:rsidRPr="00A13533">
              <w:rPr>
                <w:szCs w:val="20"/>
                <w:lang w:eastAsia="x-none"/>
              </w:rPr>
              <w:t>ched</w:t>
            </w:r>
            <w:r>
              <w:rPr>
                <w:szCs w:val="20"/>
                <w:lang w:eastAsia="x-none"/>
              </w:rPr>
              <w:t>ules on a last-in-first-out basis as necessary to conform with the system’s ramp capability and shall deny any additional e-Tags that cannot be accommodated within that ramp capability during the impacted intervals.</w:t>
            </w:r>
          </w:p>
        </w:tc>
      </w:tr>
    </w:tbl>
    <w:p w14:paraId="53469E13" w14:textId="77777777" w:rsidR="007F7371" w:rsidRPr="007F7371" w:rsidRDefault="007F7371" w:rsidP="007F7371">
      <w:pPr>
        <w:pStyle w:val="BodyText"/>
        <w:spacing w:after="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F7371" w:rsidRPr="004B32CF" w14:paraId="56714A92" w14:textId="77777777" w:rsidTr="000517D7">
        <w:trPr>
          <w:trHeight w:val="386"/>
        </w:trPr>
        <w:tc>
          <w:tcPr>
            <w:tcW w:w="9350" w:type="dxa"/>
            <w:shd w:val="pct12" w:color="auto" w:fill="auto"/>
          </w:tcPr>
          <w:p w14:paraId="35893F1C" w14:textId="2B72644E" w:rsidR="007F7371" w:rsidRPr="004B32CF" w:rsidRDefault="007F7371" w:rsidP="000517D7">
            <w:pPr>
              <w:spacing w:before="120" w:after="240"/>
              <w:rPr>
                <w:b/>
                <w:i/>
                <w:iCs/>
              </w:rPr>
            </w:pPr>
            <w:r>
              <w:rPr>
                <w:b/>
                <w:i/>
                <w:iCs/>
              </w:rPr>
              <w:t>[NPRR1034:  Insert Section 4.4.4.</w:t>
            </w:r>
            <w:r w:rsidR="00A342B9">
              <w:rPr>
                <w:b/>
                <w:i/>
                <w:iCs/>
              </w:rPr>
              <w:t>3</w:t>
            </w:r>
            <w:r w:rsidRPr="004B32CF">
              <w:rPr>
                <w:b/>
                <w:i/>
                <w:iCs/>
              </w:rPr>
              <w:t xml:space="preserve"> </w:t>
            </w:r>
            <w:r>
              <w:rPr>
                <w:b/>
                <w:i/>
                <w:iCs/>
              </w:rPr>
              <w:t xml:space="preserve">below </w:t>
            </w:r>
            <w:r w:rsidRPr="004B32CF">
              <w:rPr>
                <w:b/>
                <w:i/>
                <w:iCs/>
              </w:rPr>
              <w:t>upon system implementation</w:t>
            </w:r>
            <w:r w:rsidR="008D2F9B">
              <w:rPr>
                <w:b/>
                <w:i/>
                <w:iCs/>
              </w:rPr>
              <w:t xml:space="preserve"> and satisfying</w:t>
            </w:r>
            <w:r w:rsidR="008D2F9B" w:rsidRPr="00623CF4">
              <w:rPr>
                <w:b/>
                <w:i/>
                <w:iCs/>
              </w:rPr>
              <w:t xml:space="preserve"> the following conditions: </w:t>
            </w:r>
            <w:r w:rsidR="008D2F9B">
              <w:rPr>
                <w:b/>
                <w:i/>
                <w:iCs/>
              </w:rPr>
              <w:t xml:space="preserve"> </w:t>
            </w:r>
            <w:r w:rsidR="008D2F9B" w:rsidRPr="00623CF4">
              <w:rPr>
                <w:b/>
                <w:i/>
                <w:iCs/>
              </w:rPr>
              <w:t xml:space="preserve">(1) Southern Cross Transmission LLC (Southern Cross) provides ERCOT with funds to cover the entire estimated cost of the project; and (2) Southern Cross has signed an interconnection agreement with a Transmission Service Provider (TSP) and the TSP gives ERCOT written notice that Southern Cross has provided it with: </w:t>
            </w:r>
            <w:r w:rsidR="008D2F9B">
              <w:rPr>
                <w:b/>
                <w:i/>
                <w:iCs/>
              </w:rPr>
              <w:t xml:space="preserve"> </w:t>
            </w:r>
            <w:r w:rsidR="008D2F9B" w:rsidRPr="00623CF4">
              <w:rPr>
                <w:b/>
                <w:i/>
                <w:iCs/>
              </w:rPr>
              <w:t>(a) Notice to proceed with the construction of the interconnection; and (b) The financial security required to fund the interconnection facilities</w:t>
            </w:r>
            <w:r w:rsidRPr="004B32CF">
              <w:rPr>
                <w:b/>
                <w:i/>
                <w:iCs/>
              </w:rPr>
              <w:t>:]</w:t>
            </w:r>
          </w:p>
          <w:p w14:paraId="585FBE74" w14:textId="5499DBA5" w:rsidR="007F7371" w:rsidRPr="00F46812" w:rsidRDefault="007F7371" w:rsidP="00F46812">
            <w:pPr>
              <w:pStyle w:val="H4"/>
              <w:spacing w:before="480"/>
              <w:ind w:left="1267" w:hanging="1267"/>
            </w:pPr>
            <w:bookmarkStart w:id="222" w:name="_Toc65146105"/>
            <w:bookmarkStart w:id="223" w:name="_Toc68165019"/>
            <w:bookmarkStart w:id="224" w:name="_Toc135990626"/>
            <w:r w:rsidRPr="00F46812">
              <w:t>4.4.4.</w:t>
            </w:r>
            <w:r w:rsidR="00A342B9" w:rsidRPr="00F46812">
              <w:t>3</w:t>
            </w:r>
            <w:r w:rsidRPr="00F46812">
              <w:tab/>
              <w:t>Frequency-Based Limits on DC Tie Imports or Exports</w:t>
            </w:r>
            <w:bookmarkEnd w:id="222"/>
            <w:bookmarkEnd w:id="223"/>
            <w:bookmarkEnd w:id="224"/>
            <w:r w:rsidRPr="00F46812">
              <w:t xml:space="preserve">  </w:t>
            </w:r>
          </w:p>
          <w:p w14:paraId="6D46F6A7" w14:textId="48F72E1C" w:rsidR="007F7371" w:rsidRPr="007F7371" w:rsidRDefault="007F7371" w:rsidP="007F7371">
            <w:pPr>
              <w:pStyle w:val="BodyText"/>
              <w:ind w:left="720" w:hanging="720"/>
              <w:rPr>
                <w:szCs w:val="20"/>
                <w:lang w:eastAsia="x-none"/>
              </w:rPr>
            </w:pPr>
            <w:r w:rsidRPr="00327DD8">
              <w:rPr>
                <w:szCs w:val="20"/>
                <w:lang w:eastAsia="x-none"/>
              </w:rPr>
              <w:t>(1)</w:t>
            </w:r>
            <w:r>
              <w:rPr>
                <w:szCs w:val="20"/>
                <w:lang w:eastAsia="x-none"/>
              </w:rPr>
              <w:t xml:space="preserve">  </w:t>
            </w:r>
            <w:r>
              <w:rPr>
                <w:szCs w:val="20"/>
                <w:lang w:eastAsia="x-none"/>
              </w:rPr>
              <w:tab/>
              <w:t>ERCOT may establish import or export limits applicable to any DC Tie to mitigate the risk of significant frequency deviation due to the unexpected loss of that DC Tie.  ERCOT shall identify the operating conditions and limits it would expect to use in a posting to the ERCOT website.</w:t>
            </w:r>
          </w:p>
        </w:tc>
      </w:tr>
    </w:tbl>
    <w:p w14:paraId="39795F86" w14:textId="57FE9D18" w:rsidR="00FF2129" w:rsidRDefault="00482EF3" w:rsidP="00E75519">
      <w:pPr>
        <w:pStyle w:val="H3"/>
        <w:spacing w:before="480" w:after="480"/>
      </w:pPr>
      <w:bookmarkStart w:id="225" w:name="_Toc135990627"/>
      <w:r>
        <w:lastRenderedPageBreak/>
        <w:t>4.4.5</w:t>
      </w:r>
      <w:r>
        <w:tab/>
      </w:r>
      <w:bookmarkEnd w:id="212"/>
      <w:bookmarkEnd w:id="213"/>
      <w:r w:rsidR="000C362C">
        <w:t>[RESERVED]</w:t>
      </w:r>
      <w:bookmarkEnd w:id="214"/>
      <w:bookmarkEnd w:id="215"/>
      <w:bookmarkEnd w:id="216"/>
      <w:bookmarkEnd w:id="217"/>
      <w:bookmarkEnd w:id="225"/>
      <w:r>
        <w:t xml:space="preserve"> </w:t>
      </w:r>
      <w:bookmarkEnd w:id="119"/>
    </w:p>
    <w:p w14:paraId="0052798A" w14:textId="77777777" w:rsidR="00FF2129" w:rsidRDefault="00482EF3" w:rsidP="00E75519">
      <w:pPr>
        <w:pStyle w:val="H3"/>
      </w:pPr>
      <w:bookmarkStart w:id="226" w:name="_Toc142108915"/>
      <w:bookmarkStart w:id="227" w:name="_Toc142113760"/>
      <w:bookmarkStart w:id="228" w:name="_Toc402345583"/>
      <w:bookmarkStart w:id="229" w:name="_Toc405383866"/>
      <w:bookmarkStart w:id="230" w:name="_Toc405536968"/>
      <w:bookmarkStart w:id="231" w:name="_Toc440871755"/>
      <w:bookmarkStart w:id="232" w:name="_Toc135990628"/>
      <w:bookmarkStart w:id="233" w:name="_Toc90197128"/>
      <w:r>
        <w:t>4.4.6</w:t>
      </w:r>
      <w:r>
        <w:tab/>
        <w:t>PTP Obligation Bids</w:t>
      </w:r>
      <w:bookmarkEnd w:id="226"/>
      <w:bookmarkEnd w:id="227"/>
      <w:bookmarkEnd w:id="228"/>
      <w:bookmarkEnd w:id="229"/>
      <w:bookmarkEnd w:id="230"/>
      <w:bookmarkEnd w:id="231"/>
      <w:bookmarkEnd w:id="232"/>
      <w:r>
        <w:t xml:space="preserve"> </w:t>
      </w:r>
      <w:bookmarkEnd w:id="233"/>
    </w:p>
    <w:p w14:paraId="770D5F26" w14:textId="77777777" w:rsidR="00FF2129" w:rsidRDefault="00482EF3">
      <w:pPr>
        <w:pStyle w:val="BodyTextNumbered"/>
      </w:pPr>
      <w:r>
        <w:t>(1)</w:t>
      </w:r>
      <w:r>
        <w:tab/>
        <w:t xml:space="preserve">A </w:t>
      </w:r>
      <w:r w:rsidR="004B2B93">
        <w:t>Point-to-Point (</w:t>
      </w:r>
      <w:r>
        <w:t>PTP</w:t>
      </w:r>
      <w:r w:rsidR="004B2B93">
        <w:t>)</w:t>
      </w:r>
      <w:r>
        <w:t xml:space="preserve"> Obligation bid is a bid that specifies the source and sink, a range of hours, and a maximum price that the bidder is willing to pay (“Not-to-Exceed Price”). </w:t>
      </w:r>
    </w:p>
    <w:p w14:paraId="5708219A" w14:textId="77777777" w:rsidR="00FF2129" w:rsidRDefault="00482EF3">
      <w:pPr>
        <w:pStyle w:val="BodyTextNumbered"/>
      </w:pPr>
      <w:r>
        <w:t>(2)</w:t>
      </w:r>
      <w:r>
        <w:tab/>
        <w:t xml:space="preserve">PTP Obligations that are bought in the </w:t>
      </w:r>
      <w:r w:rsidR="004B2B93">
        <w:t>Day-Ahead Market (</w:t>
      </w:r>
      <w:r>
        <w:t>DAM</w:t>
      </w:r>
      <w:r w:rsidR="004B2B93">
        <w:t>)</w:t>
      </w:r>
      <w:r>
        <w:t xml:space="preserve"> must be settled based on the applicable Real-Time Settlement Point Prices.</w:t>
      </w:r>
    </w:p>
    <w:p w14:paraId="6DFDEF47" w14:textId="77777777" w:rsidR="000C362C" w:rsidRPr="000C362C" w:rsidRDefault="000C362C">
      <w:pPr>
        <w:pStyle w:val="BodyTextNumbered"/>
      </w:pPr>
      <w:r w:rsidRPr="00E75519">
        <w:t>(3)</w:t>
      </w:r>
      <w:r w:rsidRPr="00E75519">
        <w:tab/>
        <w:t xml:space="preserve">A PTP Obligation with Links to an Option is held to be reflective of the </w:t>
      </w:r>
      <w:r w:rsidR="004B2B93">
        <w:t>Non-Opt-In Entity’s (</w:t>
      </w:r>
      <w:r w:rsidRPr="00E75519">
        <w:t>NOIE’s</w:t>
      </w:r>
      <w:r w:rsidR="004B2B93">
        <w:t>)</w:t>
      </w:r>
      <w:r w:rsidRPr="00E75519">
        <w:t xml:space="preserve"> PTP Option if the source and sink pairs on both the NOIE’s PTP Obligation and the NOIE’s PTP Option are the same, and the MWs of the NOIE’s PTP Obligations are less than or equal to the number of MWs of the NOIE’s PTP Option.  There shall be no payment for PTP Obligations with Links to an Option acquired in the DAM.</w:t>
      </w:r>
    </w:p>
    <w:p w14:paraId="41D16AEF" w14:textId="77777777" w:rsidR="00FF2129" w:rsidRDefault="00482EF3" w:rsidP="006C4A7D">
      <w:pPr>
        <w:pStyle w:val="H4"/>
        <w:spacing w:before="480"/>
        <w:ind w:left="1267" w:hanging="1267"/>
      </w:pPr>
      <w:bookmarkStart w:id="234" w:name="_Toc91388505"/>
      <w:bookmarkStart w:id="235" w:name="_Toc91399025"/>
      <w:bookmarkStart w:id="236" w:name="_Toc91400044"/>
      <w:bookmarkStart w:id="237" w:name="_Toc91400098"/>
      <w:bookmarkStart w:id="238" w:name="_Toc91400190"/>
      <w:bookmarkStart w:id="239" w:name="_Toc91400241"/>
      <w:bookmarkStart w:id="240" w:name="_Toc91400296"/>
      <w:bookmarkStart w:id="241" w:name="_Toc91400450"/>
      <w:bookmarkStart w:id="242" w:name="_Toc91400609"/>
      <w:bookmarkStart w:id="243" w:name="_Toc91400702"/>
      <w:bookmarkStart w:id="244" w:name="_Toc92505466"/>
      <w:bookmarkStart w:id="245" w:name="_Toc92524851"/>
      <w:bookmarkStart w:id="246" w:name="_Toc92525526"/>
      <w:bookmarkStart w:id="247" w:name="_Toc92525906"/>
      <w:bookmarkStart w:id="248" w:name="_Toc92533744"/>
      <w:bookmarkStart w:id="249" w:name="_Toc142108916"/>
      <w:bookmarkStart w:id="250" w:name="_Toc142113761"/>
      <w:bookmarkStart w:id="251" w:name="_Toc402345584"/>
      <w:bookmarkStart w:id="252" w:name="_Toc405383867"/>
      <w:bookmarkStart w:id="253" w:name="_Toc405536969"/>
      <w:bookmarkStart w:id="254" w:name="_Toc440871756"/>
      <w:bookmarkStart w:id="255" w:name="_Toc135990629"/>
      <w:r>
        <w:t>4.4.6.1</w:t>
      </w:r>
      <w:r>
        <w:tab/>
        <w:t>PTP Obligation Bid Criteria</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1A001B48" w14:textId="77777777" w:rsidR="00FF2129" w:rsidRDefault="00482EF3">
      <w:pPr>
        <w:pStyle w:val="BodyTextNumbered"/>
      </w:pPr>
      <w:r>
        <w:t>(1)</w:t>
      </w:r>
      <w:r>
        <w:tab/>
        <w:t>A PTP Obligation bid must be submitted by a QSE and must include the following:</w:t>
      </w:r>
    </w:p>
    <w:p w14:paraId="11236570" w14:textId="77777777" w:rsidR="00FF2129" w:rsidRDefault="00482EF3">
      <w:pPr>
        <w:pStyle w:val="List"/>
        <w:ind w:left="1440"/>
      </w:pPr>
      <w:r>
        <w:t>(a)</w:t>
      </w:r>
      <w:r>
        <w:tab/>
        <w:t>The name of the QSE submitting the PTP Obligation bid;</w:t>
      </w:r>
    </w:p>
    <w:p w14:paraId="15F729B8" w14:textId="77777777" w:rsidR="00FF2129" w:rsidRDefault="00482EF3">
      <w:pPr>
        <w:pStyle w:val="List"/>
        <w:ind w:left="1440"/>
      </w:pPr>
      <w:r>
        <w:t>(b)</w:t>
      </w:r>
      <w:r>
        <w:tab/>
        <w:t>The source Settlement Point and the sink Settlement Point for the PTP Obligation or block of PTP Obligations being bid;</w:t>
      </w:r>
    </w:p>
    <w:p w14:paraId="46083BE1" w14:textId="77777777" w:rsidR="007072B8" w:rsidRDefault="007072B8" w:rsidP="007072B8">
      <w:pPr>
        <w:pStyle w:val="List"/>
        <w:ind w:left="1440"/>
      </w:pPr>
      <w:r>
        <w:t>(c)</w:t>
      </w:r>
      <w:r>
        <w:tab/>
        <w:t>NOIE peak Load forecast for the Operating Day, if the PTP Obligation bid is a PTP Obligation with Links to an Option;</w:t>
      </w:r>
    </w:p>
    <w:p w14:paraId="44EDFDE1" w14:textId="5B4A7E1C" w:rsidR="00FF2129" w:rsidRDefault="00482EF3" w:rsidP="007072B8">
      <w:pPr>
        <w:pStyle w:val="List"/>
        <w:ind w:left="1440"/>
      </w:pPr>
      <w:r>
        <w:t>(</w:t>
      </w:r>
      <w:r w:rsidR="007072B8">
        <w:t>d</w:t>
      </w:r>
      <w:r>
        <w:t>)</w:t>
      </w:r>
      <w:r>
        <w:tab/>
        <w:t>The first hour and the last hour for which the PTP Obligation or block of PTP Obligations is being bid;</w:t>
      </w:r>
    </w:p>
    <w:p w14:paraId="79318417" w14:textId="53D4DBD3" w:rsidR="00FF2129" w:rsidRDefault="00482EF3">
      <w:pPr>
        <w:pStyle w:val="List"/>
        <w:ind w:left="1440"/>
      </w:pPr>
      <w:r>
        <w:t>(</w:t>
      </w:r>
      <w:r w:rsidR="007072B8">
        <w:t>e</w:t>
      </w:r>
      <w:r>
        <w:t>)</w:t>
      </w:r>
      <w:r>
        <w:tab/>
        <w:t>The quantity of PTP Obligations in MW for which the Not-to-Exceed Price is effective; and</w:t>
      </w:r>
    </w:p>
    <w:p w14:paraId="7BA56103" w14:textId="28021DD2" w:rsidR="00FF2129" w:rsidRDefault="00482EF3">
      <w:pPr>
        <w:pStyle w:val="List"/>
        <w:ind w:left="1440"/>
      </w:pPr>
      <w:r>
        <w:t>(</w:t>
      </w:r>
      <w:r w:rsidR="007072B8">
        <w:t>f</w:t>
      </w:r>
      <w:r>
        <w:t>)</w:t>
      </w:r>
      <w:r>
        <w:tab/>
        <w:t>A dollars per MW per hour for the Not-to-Exceed Price.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7072B8" w14:paraId="615531EE" w14:textId="77777777" w:rsidTr="006A280D">
        <w:tc>
          <w:tcPr>
            <w:tcW w:w="9450" w:type="dxa"/>
            <w:tcBorders>
              <w:top w:val="single" w:sz="4" w:space="0" w:color="auto"/>
              <w:left w:val="single" w:sz="4" w:space="0" w:color="auto"/>
              <w:bottom w:val="single" w:sz="4" w:space="0" w:color="auto"/>
              <w:right w:val="single" w:sz="4" w:space="0" w:color="auto"/>
            </w:tcBorders>
            <w:shd w:val="pct12" w:color="auto" w:fill="auto"/>
            <w:hideMark/>
          </w:tcPr>
          <w:p w14:paraId="12879745" w14:textId="77777777" w:rsidR="007072B8" w:rsidRDefault="007072B8" w:rsidP="006A280D">
            <w:pPr>
              <w:pStyle w:val="Instructions"/>
              <w:spacing w:before="120"/>
              <w:rPr>
                <w:iCs w:val="0"/>
              </w:rPr>
            </w:pPr>
            <w:r>
              <w:rPr>
                <w:iCs w:val="0"/>
              </w:rPr>
              <w:t xml:space="preserve">[NPRR918:  Replace paragraph (1) above with the following upon system implementation:] </w:t>
            </w:r>
          </w:p>
          <w:p w14:paraId="76C2EA2F" w14:textId="77777777" w:rsidR="007072B8" w:rsidRDefault="007072B8" w:rsidP="006A280D">
            <w:pPr>
              <w:pStyle w:val="BodyTextNumbered"/>
            </w:pPr>
            <w:r>
              <w:t>(1)</w:t>
            </w:r>
            <w:r>
              <w:tab/>
              <w:t>A PTP Obligation bid must be submitted by a QSE and must include the following:</w:t>
            </w:r>
          </w:p>
          <w:p w14:paraId="2E9F0F27" w14:textId="77777777" w:rsidR="007072B8" w:rsidRDefault="007072B8" w:rsidP="006A280D">
            <w:pPr>
              <w:pStyle w:val="List"/>
              <w:ind w:left="1440"/>
            </w:pPr>
            <w:r>
              <w:t>(a)</w:t>
            </w:r>
            <w:r>
              <w:tab/>
              <w:t>The name of the QSE submitting the PTP Obligation bid;</w:t>
            </w:r>
          </w:p>
          <w:p w14:paraId="27150B3C" w14:textId="77777777" w:rsidR="007072B8" w:rsidRDefault="007072B8" w:rsidP="006A280D">
            <w:pPr>
              <w:pStyle w:val="List"/>
              <w:ind w:left="1440"/>
            </w:pPr>
            <w:r>
              <w:t>(b)</w:t>
            </w:r>
            <w:r>
              <w:tab/>
              <w:t>The source Settlement Point and the sink Settlement Point for the PTP Obligation or block of PTP Obligations being bid;</w:t>
            </w:r>
          </w:p>
          <w:p w14:paraId="6D5CBBE2" w14:textId="77777777" w:rsidR="007072B8" w:rsidRDefault="007072B8" w:rsidP="006A280D">
            <w:pPr>
              <w:pStyle w:val="List"/>
              <w:ind w:left="1440"/>
            </w:pPr>
            <w:r>
              <w:lastRenderedPageBreak/>
              <w:t>(c)</w:t>
            </w:r>
            <w:r>
              <w:tab/>
              <w:t>Hourly NOIE Load forecast for the Operating Day, if the PTP Obligation bid is a PTP Obligation with Links to an Option;</w:t>
            </w:r>
          </w:p>
          <w:p w14:paraId="19A0CB0F" w14:textId="77777777" w:rsidR="007072B8" w:rsidRDefault="007072B8" w:rsidP="006A280D">
            <w:pPr>
              <w:pStyle w:val="List"/>
              <w:ind w:left="1440"/>
            </w:pPr>
            <w:r>
              <w:t>(d)</w:t>
            </w:r>
            <w:r>
              <w:tab/>
              <w:t>The first hour and the last hour for which the PTP Obligation or block of PTP Obligations is being bid;</w:t>
            </w:r>
          </w:p>
          <w:p w14:paraId="489ABEF6" w14:textId="77777777" w:rsidR="007072B8" w:rsidRDefault="007072B8" w:rsidP="006A280D">
            <w:pPr>
              <w:pStyle w:val="List"/>
              <w:ind w:left="1440"/>
            </w:pPr>
            <w:r>
              <w:t>(e)</w:t>
            </w:r>
            <w:r>
              <w:tab/>
              <w:t>The quantity of PTP Obligations in MW for which the Not-to-Exceed Price is effective; and</w:t>
            </w:r>
          </w:p>
          <w:p w14:paraId="739CCC44" w14:textId="77777777" w:rsidR="007072B8" w:rsidRDefault="007072B8" w:rsidP="006A280D">
            <w:pPr>
              <w:pStyle w:val="List"/>
              <w:ind w:left="1440"/>
              <w:rPr>
                <w:b/>
                <w:i/>
                <w:iCs/>
              </w:rPr>
            </w:pPr>
            <w:r>
              <w:t>(f)</w:t>
            </w:r>
            <w:r>
              <w:tab/>
              <w:t>A dollars per MW per hour for the Not-to-Exceed Price.</w:t>
            </w:r>
          </w:p>
        </w:tc>
      </w:tr>
    </w:tbl>
    <w:p w14:paraId="1C696096" w14:textId="77777777" w:rsidR="00FF2129" w:rsidRDefault="00482EF3" w:rsidP="00163271">
      <w:pPr>
        <w:pStyle w:val="BodyTextNumbered"/>
        <w:spacing w:before="240"/>
      </w:pPr>
      <w:r>
        <w:lastRenderedPageBreak/>
        <w:t>(2)</w:t>
      </w:r>
      <w:r>
        <w:tab/>
        <w:t>If the PTP Obligation bid is for more than one PTP Obligation (which is one MW for one hour), the block bid must:</w:t>
      </w:r>
    </w:p>
    <w:p w14:paraId="11AB2E44" w14:textId="77777777" w:rsidR="00FF2129" w:rsidRDefault="00482EF3">
      <w:pPr>
        <w:pStyle w:val="BodyTextNumbered"/>
        <w:ind w:left="1440"/>
      </w:pPr>
      <w:r>
        <w:t xml:space="preserve">(a) </w:t>
      </w:r>
      <w:r>
        <w:tab/>
        <w:t>Include the same number of PTP Obligations in each hour of the block;</w:t>
      </w:r>
    </w:p>
    <w:p w14:paraId="6F1A9D06" w14:textId="77777777" w:rsidR="00FF2129" w:rsidRDefault="00482EF3">
      <w:pPr>
        <w:pStyle w:val="BodyTextNumbered"/>
        <w:ind w:left="1440"/>
      </w:pPr>
      <w:r>
        <w:t xml:space="preserve">(b) </w:t>
      </w:r>
      <w:r>
        <w:tab/>
        <w:t>Be for PTP Obligations that have the same source and sink Settlement Points; and</w:t>
      </w:r>
    </w:p>
    <w:p w14:paraId="6B06E377" w14:textId="77777777" w:rsidR="00FF2129" w:rsidRDefault="00482EF3">
      <w:pPr>
        <w:pStyle w:val="BodyTextNumbered"/>
        <w:ind w:left="1440"/>
      </w:pPr>
      <w:r>
        <w:t xml:space="preserve">(c) </w:t>
      </w:r>
      <w:r>
        <w:tab/>
        <w:t>Be for contiguous hours.</w:t>
      </w:r>
    </w:p>
    <w:p w14:paraId="025148D7" w14:textId="77777777" w:rsidR="00046E38" w:rsidRDefault="00046E38" w:rsidP="00046E38">
      <w:pPr>
        <w:pStyle w:val="BodyTextNumbered"/>
      </w:pPr>
      <w:r>
        <w:t>(3)</w:t>
      </w:r>
      <w:r>
        <w:tab/>
      </w:r>
      <w:r w:rsidRPr="005A1FC8">
        <w:t>A PTP Obligation bid shall not contain a source Settlement Point and a sink Settlement Point that are Electrically Similar Settlement Points.</w:t>
      </w:r>
    </w:p>
    <w:p w14:paraId="03641648" w14:textId="77777777" w:rsidR="00046E38" w:rsidRDefault="00046E38" w:rsidP="00046E38">
      <w:pPr>
        <w:pStyle w:val="BodyTextNumbered"/>
      </w:pPr>
      <w:r w:rsidRPr="005A1FC8">
        <w:t>(4)</w:t>
      </w:r>
      <w:r w:rsidRPr="005A1FC8">
        <w:tab/>
        <w:t>PTP Obligation bids shall not be submitted in combination with PTP Obligation bids or with DAM</w:t>
      </w:r>
      <w:r w:rsidR="004B2B93">
        <w:t xml:space="preserve"> </w:t>
      </w:r>
      <w:r w:rsidRPr="005A1FC8">
        <w:t>Energy</w:t>
      </w:r>
      <w:r w:rsidR="004B2B93">
        <w:t>-</w:t>
      </w:r>
      <w:r w:rsidRPr="005A1FC8">
        <w:t xml:space="preserve">Only Offer Curves and DAM Energy </w:t>
      </w:r>
      <w:r w:rsidR="004B2B93">
        <w:t>B</w:t>
      </w:r>
      <w:r w:rsidRPr="005A1FC8">
        <w:t>ids to create the net effect of a single PTP Obligation bid containing a source Settlement Point and a sink Settlement Point that are Electrically Similar Settlement Points for the QSE or for any combination of QSEs within the same Counter-Party.</w:t>
      </w:r>
    </w:p>
    <w:p w14:paraId="31B78826" w14:textId="50FDB265" w:rsidR="000C362C" w:rsidRPr="00681AFA" w:rsidRDefault="000C362C" w:rsidP="000C362C">
      <w:pPr>
        <w:pStyle w:val="BodyTextNumbered"/>
      </w:pPr>
      <w:r w:rsidRPr="00681AFA">
        <w:t>(5)</w:t>
      </w:r>
      <w:r w:rsidRPr="00681AFA">
        <w:tab/>
        <w:t xml:space="preserve">For each NOIE or QSE representing NOIEs that designated PTP Obligations with Links to an Option, the </w:t>
      </w:r>
      <w:r w:rsidR="007072B8">
        <w:t>total of each hourly MW quantity</w:t>
      </w:r>
      <w:r w:rsidRPr="00681AFA">
        <w:t xml:space="preserve"> </w:t>
      </w:r>
      <w:r w:rsidR="007072B8">
        <w:t xml:space="preserve">designated </w:t>
      </w:r>
      <w:r w:rsidRPr="00681AFA">
        <w:t xml:space="preserve">to be settled in Real-Time </w:t>
      </w:r>
      <w:r w:rsidR="007072B8">
        <w:t xml:space="preserve">as a PTP Option </w:t>
      </w:r>
      <w:r w:rsidRPr="00681AFA">
        <w:t xml:space="preserve">may not exceed the lesser of: </w:t>
      </w:r>
    </w:p>
    <w:p w14:paraId="68EEE8EB" w14:textId="77777777" w:rsidR="000C362C" w:rsidRPr="00681AFA" w:rsidRDefault="000C362C" w:rsidP="000C362C">
      <w:pPr>
        <w:pStyle w:val="BodyTextNumbered"/>
        <w:ind w:left="1440"/>
      </w:pPr>
      <w:r w:rsidRPr="00681AFA">
        <w:t>(a)</w:t>
      </w:r>
      <w:r w:rsidRPr="00681AFA">
        <w:tab/>
        <w:t>110% of that NOIE’s peak Load forecast</w:t>
      </w:r>
      <w:r w:rsidR="007072B8" w:rsidRPr="007072B8">
        <w:t xml:space="preserve"> </w:t>
      </w:r>
      <w:r w:rsidR="007072B8">
        <w:t>for the Operating Day</w:t>
      </w:r>
      <w:r w:rsidRPr="00681AFA">
        <w:t>; or</w:t>
      </w:r>
    </w:p>
    <w:p w14:paraId="306A6922" w14:textId="77777777" w:rsidR="000C362C" w:rsidRPr="00681AFA" w:rsidRDefault="000C362C" w:rsidP="000C362C">
      <w:pPr>
        <w:pStyle w:val="BodyTextNumbered"/>
        <w:ind w:left="1440"/>
      </w:pPr>
      <w:r w:rsidRPr="00681AFA">
        <w:t>(b)</w:t>
      </w:r>
      <w:r w:rsidRPr="00681AFA">
        <w:tab/>
        <w:t>125% of the NOIE’s hourly Load forecast</w:t>
      </w:r>
      <w:r w:rsidR="007072B8" w:rsidRPr="007072B8">
        <w:t xml:space="preserve"> </w:t>
      </w:r>
      <w:r w:rsidR="007072B8">
        <w:t>for the Operating Day</w:t>
      </w:r>
      <w:r w:rsidRPr="00681AFA">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7072B8" w14:paraId="25E0BBD3" w14:textId="77777777" w:rsidTr="006A280D">
        <w:tc>
          <w:tcPr>
            <w:tcW w:w="9450" w:type="dxa"/>
            <w:tcBorders>
              <w:top w:val="single" w:sz="4" w:space="0" w:color="auto"/>
              <w:left w:val="single" w:sz="4" w:space="0" w:color="auto"/>
              <w:bottom w:val="single" w:sz="4" w:space="0" w:color="auto"/>
              <w:right w:val="single" w:sz="4" w:space="0" w:color="auto"/>
            </w:tcBorders>
            <w:shd w:val="pct12" w:color="auto" w:fill="auto"/>
            <w:hideMark/>
          </w:tcPr>
          <w:p w14:paraId="7D5012C4" w14:textId="77777777" w:rsidR="007072B8" w:rsidRDefault="007072B8" w:rsidP="006A280D">
            <w:pPr>
              <w:pStyle w:val="Instructions"/>
              <w:spacing w:before="120"/>
              <w:rPr>
                <w:iCs w:val="0"/>
              </w:rPr>
            </w:pPr>
            <w:r>
              <w:rPr>
                <w:iCs w:val="0"/>
              </w:rPr>
              <w:t xml:space="preserve">[NPRR918:  Replace paragraph (5) above with the following upon system implementation:] </w:t>
            </w:r>
          </w:p>
          <w:p w14:paraId="03ECEC1B" w14:textId="77777777" w:rsidR="007072B8" w:rsidRDefault="007072B8" w:rsidP="006A280D">
            <w:pPr>
              <w:pStyle w:val="BodyTextNumbered"/>
            </w:pPr>
            <w:r>
              <w:t>(5)</w:t>
            </w:r>
            <w:r>
              <w:tab/>
              <w:t xml:space="preserve">For each QSE representing NOIEs that designated PTP Obligations with Links to an Option, the total of each hourly MW quantity designated to be settled in Real-Time as a PTP Option may not exceed the lesser of: </w:t>
            </w:r>
          </w:p>
          <w:p w14:paraId="332A87E0" w14:textId="77777777" w:rsidR="007072B8" w:rsidRDefault="007072B8" w:rsidP="006A280D">
            <w:pPr>
              <w:pStyle w:val="BodyTextNumbered"/>
              <w:ind w:left="1440"/>
            </w:pPr>
            <w:r>
              <w:t>(a)</w:t>
            </w:r>
            <w:r>
              <w:tab/>
              <w:t>110% of that NOIE’s peak Load forecast for the Operating Day; or</w:t>
            </w:r>
          </w:p>
          <w:p w14:paraId="01AB5B78" w14:textId="77777777" w:rsidR="007072B8" w:rsidRDefault="007072B8" w:rsidP="006A280D">
            <w:pPr>
              <w:pStyle w:val="BodyTextNumbered"/>
              <w:ind w:left="1440"/>
              <w:rPr>
                <w:b/>
                <w:i/>
                <w:iCs w:val="0"/>
              </w:rPr>
            </w:pPr>
            <w:r>
              <w:t>(b)</w:t>
            </w:r>
            <w:r>
              <w:tab/>
              <w:t>125% of the NOIE’s Load forecast for the Operating Hour.</w:t>
            </w:r>
          </w:p>
        </w:tc>
      </w:tr>
    </w:tbl>
    <w:p w14:paraId="39924E18" w14:textId="77777777" w:rsidR="000C362C" w:rsidRPr="007646BF" w:rsidRDefault="000C362C" w:rsidP="00163271">
      <w:pPr>
        <w:pStyle w:val="Instructions"/>
        <w:spacing w:before="240"/>
        <w:ind w:left="720" w:hanging="720"/>
        <w:rPr>
          <w:b w:val="0"/>
          <w:i w:val="0"/>
        </w:rPr>
      </w:pPr>
      <w:r w:rsidRPr="004F6893">
        <w:rPr>
          <w:b w:val="0"/>
          <w:i w:val="0"/>
        </w:rPr>
        <w:lastRenderedPageBreak/>
        <w:t>(6)</w:t>
      </w:r>
      <w:r w:rsidRPr="004F6893">
        <w:rPr>
          <w:b w:val="0"/>
          <w:i w:val="0"/>
        </w:rPr>
        <w:tab/>
        <w:t>PTP Obligations with Links to an Option shall be used for delivery of energy to a NOIE Load or a valid combination of Settlement Points that physically or contractually mitigates risk in supplying the NOIE Load.  This applies to each NOIE or QSE representing NOIEs.</w:t>
      </w:r>
    </w:p>
    <w:p w14:paraId="3CCAC14A" w14:textId="77777777" w:rsidR="000C362C" w:rsidRDefault="000C362C" w:rsidP="000C362C">
      <w:pPr>
        <w:pStyle w:val="BodyTextNumbered"/>
      </w:pPr>
      <w:r>
        <w:t>(7)</w:t>
      </w:r>
      <w:r>
        <w:tab/>
        <w:t>In addition to the criteria above for other PTP Obligations, PTP Obligations with Links to an Option must further include the following:</w:t>
      </w:r>
    </w:p>
    <w:p w14:paraId="4966142A" w14:textId="3FAA5ABD" w:rsidR="000C362C" w:rsidRDefault="000C362C" w:rsidP="000C362C">
      <w:pPr>
        <w:pStyle w:val="BodyTextNumbered"/>
        <w:ind w:left="1440"/>
      </w:pPr>
      <w:r>
        <w:t>(a)</w:t>
      </w:r>
      <w:r>
        <w:tab/>
        <w:t>The name of the CRR Account Holder that owns the CRRs being offered; and</w:t>
      </w:r>
    </w:p>
    <w:p w14:paraId="6C2078C1" w14:textId="77777777" w:rsidR="000C362C" w:rsidRDefault="000C362C" w:rsidP="000C362C">
      <w:pPr>
        <w:pStyle w:val="BodyTextNumbered"/>
        <w:ind w:left="1440"/>
      </w:pPr>
      <w:r>
        <w:t>(b)</w:t>
      </w:r>
      <w:r>
        <w:tab/>
        <w:t>The unique identifier for each CRR being offered.</w:t>
      </w:r>
    </w:p>
    <w:p w14:paraId="34C57ABA" w14:textId="77777777" w:rsidR="009255A3" w:rsidRDefault="000C362C" w:rsidP="000C362C">
      <w:pPr>
        <w:pStyle w:val="BodyTextNumbered"/>
      </w:pPr>
      <w:r w:rsidRPr="00E75519">
        <w:t>(8)</w:t>
      </w:r>
      <w:r w:rsidRPr="00E75519">
        <w:tab/>
        <w:t>For PTP Obligations with Links to an Option, the CRR Account Holder for whom the PTP Obligations with Links to an Option are being submitted must be shown in the ERCOT CRR registration system as the owner of the CRRs being linked to the PTP Obligation.</w:t>
      </w:r>
    </w:p>
    <w:p w14:paraId="1701F9BB" w14:textId="77777777" w:rsidR="006F1CA9" w:rsidRPr="006F1CA9" w:rsidRDefault="006F1CA9" w:rsidP="00E4790C">
      <w:pPr>
        <w:spacing w:after="240"/>
        <w:ind w:left="720" w:hanging="720"/>
      </w:pPr>
      <w:r>
        <w:t>(9)</w:t>
      </w:r>
      <w:r>
        <w:tab/>
      </w:r>
      <w:r w:rsidR="0062255F" w:rsidRPr="006F1CA9">
        <w:t>The minimum amount for each PTP Obligation with Links to an Option is one-tenth of one MW.</w:t>
      </w:r>
      <w:r w:rsidR="0062255F">
        <w:t xml:space="preserve">  The minimum amount for each PTP Obligation bid is one MW.</w:t>
      </w:r>
    </w:p>
    <w:p w14:paraId="41D62B56" w14:textId="77777777" w:rsidR="00FF2129" w:rsidRPr="006F1CA9" w:rsidRDefault="00482EF3" w:rsidP="00594D9A">
      <w:pPr>
        <w:pStyle w:val="H4"/>
        <w:spacing w:before="480"/>
      </w:pPr>
      <w:bookmarkStart w:id="256" w:name="_Toc142108917"/>
      <w:bookmarkStart w:id="257" w:name="_Toc142113762"/>
      <w:bookmarkStart w:id="258" w:name="_Toc402345585"/>
      <w:bookmarkStart w:id="259" w:name="_Toc405383868"/>
      <w:bookmarkStart w:id="260" w:name="_Toc405536970"/>
      <w:bookmarkStart w:id="261" w:name="_Toc440871757"/>
      <w:bookmarkStart w:id="262" w:name="_Toc135990630"/>
      <w:r w:rsidRPr="006F1CA9">
        <w:t>4.4.6.2</w:t>
      </w:r>
      <w:r w:rsidRPr="006F1CA9">
        <w:tab/>
        <w:t>PTP Obligation Bid Validation</w:t>
      </w:r>
      <w:bookmarkEnd w:id="256"/>
      <w:bookmarkEnd w:id="257"/>
      <w:bookmarkEnd w:id="258"/>
      <w:bookmarkEnd w:id="259"/>
      <w:bookmarkEnd w:id="260"/>
      <w:bookmarkEnd w:id="261"/>
      <w:bookmarkEnd w:id="262"/>
    </w:p>
    <w:p w14:paraId="5049691E" w14:textId="77777777" w:rsidR="00FF2129" w:rsidRPr="006F1CA9" w:rsidRDefault="000C362C" w:rsidP="00163271">
      <w:pPr>
        <w:spacing w:after="240"/>
        <w:ind w:left="720" w:hanging="720"/>
        <w:rPr>
          <w:iCs/>
        </w:rPr>
      </w:pPr>
      <w:r w:rsidRPr="006F1CA9">
        <w:rPr>
          <w:iCs/>
        </w:rPr>
        <w:t>(1)</w:t>
      </w:r>
      <w:r w:rsidRPr="006F1CA9">
        <w:rPr>
          <w:iCs/>
        </w:rPr>
        <w:tab/>
        <w:t>A validated PTP Obligation bid is a bid that ERCOT has determined meets the criteria listed in Section 4.4.6.1, PTP Obligation Bid Criteria, with the exception of paragraphs (3), (4), (5) and (6).  Bids that do not meet the criteria in paragraph (3) of Section 4.4.6.1 will not be awarded in the DAM.</w:t>
      </w:r>
      <w:r w:rsidR="00482EF3" w:rsidRPr="006F1CA9">
        <w:rPr>
          <w:iCs/>
        </w:rPr>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7072B8" w14:paraId="56B9F34A" w14:textId="77777777" w:rsidTr="006A280D">
        <w:tc>
          <w:tcPr>
            <w:tcW w:w="9450" w:type="dxa"/>
            <w:tcBorders>
              <w:top w:val="single" w:sz="4" w:space="0" w:color="auto"/>
              <w:left w:val="single" w:sz="4" w:space="0" w:color="auto"/>
              <w:bottom w:val="single" w:sz="4" w:space="0" w:color="auto"/>
              <w:right w:val="single" w:sz="4" w:space="0" w:color="auto"/>
            </w:tcBorders>
            <w:shd w:val="pct12" w:color="auto" w:fill="auto"/>
            <w:hideMark/>
          </w:tcPr>
          <w:p w14:paraId="2B528CCD" w14:textId="77777777" w:rsidR="007072B8" w:rsidRDefault="007072B8" w:rsidP="006A280D">
            <w:pPr>
              <w:pStyle w:val="Instructions"/>
              <w:spacing w:before="120"/>
              <w:rPr>
                <w:iCs w:val="0"/>
              </w:rPr>
            </w:pPr>
            <w:r>
              <w:rPr>
                <w:iCs w:val="0"/>
              </w:rPr>
              <w:t xml:space="preserve">[NPRR918:  Replace paragraph (1) above with the following upon system implementation:] </w:t>
            </w:r>
          </w:p>
          <w:p w14:paraId="18F05357" w14:textId="77777777" w:rsidR="007072B8" w:rsidRDefault="007072B8" w:rsidP="006A280D">
            <w:pPr>
              <w:spacing w:after="240"/>
              <w:ind w:left="720" w:hanging="720"/>
              <w:rPr>
                <w:b/>
                <w:i/>
                <w:iCs/>
              </w:rPr>
            </w:pPr>
            <w:r w:rsidRPr="006F1CA9">
              <w:rPr>
                <w:iCs/>
              </w:rPr>
              <w:t>(1)</w:t>
            </w:r>
            <w:r w:rsidRPr="006F1CA9">
              <w:rPr>
                <w:iCs/>
              </w:rPr>
              <w:tab/>
              <w:t>A validated PTP Obligation bid is a bid that ERCOT has determined meets the criteria listed in Section 4.4.6.1, PTP Obligation Bid Criteria, with the exception of paragraphs (3), (4), and (6).  Bids that do not meet the criteria in paragraph (3) of Section 4.4.6.1 will not be awarded in the DAM.</w:t>
            </w:r>
          </w:p>
        </w:tc>
      </w:tr>
    </w:tbl>
    <w:p w14:paraId="36B7510C" w14:textId="77777777" w:rsidR="00FF2129" w:rsidRDefault="00482EF3" w:rsidP="00163271">
      <w:pPr>
        <w:pStyle w:val="BodyTextNumbered"/>
        <w:spacing w:before="240"/>
      </w:pPr>
      <w:r>
        <w:t>(2)</w:t>
      </w:r>
      <w:r>
        <w:tab/>
        <w:t xml:space="preserve">ERCOT shall continuously display on the MIS Certified Area information that allows any QSE submitting a PTP Obligation bid to view its valid PTP Obligation bid. </w:t>
      </w:r>
    </w:p>
    <w:p w14:paraId="31AD1A2B" w14:textId="77777777" w:rsidR="008F425F" w:rsidRDefault="00482EF3" w:rsidP="008F425F">
      <w:pPr>
        <w:pStyle w:val="BodyTextNumbered"/>
      </w:pPr>
      <w:r>
        <w:t>(3)</w:t>
      </w:r>
      <w:r>
        <w:tab/>
        <w:t>As soon as practicable, ERCOT shall notify each QSE through the Messaging System of any of its PTP Obligation bids that are invalid.  The QSE may correct and resubmit any invalid PTP Obligation bid within the appropriate market timeline.</w:t>
      </w:r>
      <w:r w:rsidR="008F425F" w:rsidRPr="005A1FC8" w:rsidDel="00993ABE">
        <w:t xml:space="preserve"> </w:t>
      </w:r>
    </w:p>
    <w:p w14:paraId="01FF91E8" w14:textId="77777777" w:rsidR="003D2D44" w:rsidRPr="001700FE" w:rsidRDefault="003D2D44" w:rsidP="009F4996">
      <w:pPr>
        <w:pStyle w:val="H4"/>
        <w:spacing w:before="480"/>
      </w:pPr>
      <w:bookmarkStart w:id="263" w:name="_Toc135990631"/>
      <w:r w:rsidRPr="001700FE">
        <w:lastRenderedPageBreak/>
        <w:t>4.4.6.3</w:t>
      </w:r>
      <w:r w:rsidRPr="001700FE">
        <w:tab/>
        <w:t>PTP Obligation</w:t>
      </w:r>
      <w:r>
        <w:t>s</w:t>
      </w:r>
      <w:r w:rsidRPr="001700FE">
        <w:t xml:space="preserve"> with Link</w:t>
      </w:r>
      <w:r>
        <w:t>s</w:t>
      </w:r>
      <w:r w:rsidRPr="001700FE">
        <w:t xml:space="preserve"> to an Option </w:t>
      </w:r>
      <w:r>
        <w:t>DAM Award Eligibility</w:t>
      </w:r>
      <w:bookmarkEnd w:id="263"/>
    </w:p>
    <w:p w14:paraId="448D25E2" w14:textId="77777777" w:rsidR="003D2D44" w:rsidRDefault="003D2D44" w:rsidP="003D2D44">
      <w:pPr>
        <w:spacing w:after="240"/>
        <w:ind w:left="720" w:hanging="720"/>
      </w:pPr>
      <w:r>
        <w:t>(1)</w:t>
      </w:r>
      <w:r>
        <w:tab/>
        <w:t>A bid for a PTP Obligation with Links to an Option will not be considered eligible for award for an Operating Hour if it sources at a Resource Node where the Generation Resource has a COP Resource Status of:</w:t>
      </w:r>
    </w:p>
    <w:p w14:paraId="75F31635" w14:textId="77777777" w:rsidR="003D2D44" w:rsidRDefault="003D2D44" w:rsidP="003D2D44">
      <w:pPr>
        <w:spacing w:after="240"/>
        <w:ind w:firstLine="720"/>
      </w:pPr>
      <w:r>
        <w:t>(a)</w:t>
      </w:r>
      <w:r>
        <w:tab/>
        <w:t>OUT for an Operating Hour; or</w:t>
      </w:r>
    </w:p>
    <w:p w14:paraId="09A7EE90" w14:textId="77777777" w:rsidR="003D2D44" w:rsidRDefault="003D2D44" w:rsidP="003D2D44">
      <w:pPr>
        <w:spacing w:after="240"/>
        <w:ind w:left="1440" w:hanging="720"/>
      </w:pPr>
      <w:r>
        <w:t>(b)</w:t>
      </w:r>
      <w:r>
        <w:tab/>
        <w:t xml:space="preserve">OFF for an Operating Hour; and </w:t>
      </w:r>
    </w:p>
    <w:p w14:paraId="0A77AECE" w14:textId="77777777" w:rsidR="003D2D44" w:rsidRDefault="003D2D44" w:rsidP="003D2D44">
      <w:pPr>
        <w:spacing w:after="240"/>
        <w:ind w:left="2160" w:hanging="720"/>
      </w:pPr>
      <w:r>
        <w:t>(i)</w:t>
      </w:r>
      <w:r>
        <w:tab/>
        <w:t>The QSE representing the Resources has not submitted a valid Three-Part Supply Offer or Ancillary Service Offer to be considered by the DAM; and</w:t>
      </w:r>
    </w:p>
    <w:p w14:paraId="2C79D9EC" w14:textId="77777777" w:rsidR="003D2D44" w:rsidRDefault="003D2D44" w:rsidP="003D2D44">
      <w:pPr>
        <w:spacing w:after="240"/>
        <w:ind w:left="2160" w:hanging="720"/>
      </w:pPr>
      <w:r>
        <w:t>(ii)</w:t>
      </w:r>
      <w:r>
        <w:tab/>
        <w:t>The QSE representing the Resource has not submitted a valid Energy Only Offer at any Resource Node associated with the Resource.</w:t>
      </w:r>
    </w:p>
    <w:p w14:paraId="59A9F857" w14:textId="77777777" w:rsidR="003D2D44" w:rsidRDefault="003D2D44" w:rsidP="003D2D44">
      <w:pPr>
        <w:spacing w:after="240"/>
        <w:ind w:left="720" w:hanging="720"/>
      </w:pPr>
      <w:r>
        <w:t>(2)</w:t>
      </w:r>
      <w:r>
        <w:tab/>
        <w:t xml:space="preserve">Where more than one Generation Resource is associated with a Resource Node, ERCOT will consider a PTP Obligation with Links to an Option bid eligible for award unless all Generation Resources associated with the Resource Node do not satisfy the COP Resource Status requirements in paragraph (1) above during the Operating Hour. </w:t>
      </w:r>
    </w:p>
    <w:p w14:paraId="401C5745" w14:textId="43144540" w:rsidR="0015064D" w:rsidRDefault="003D2D44" w:rsidP="0015064D">
      <w:pPr>
        <w:pStyle w:val="BodyTextNumbered"/>
      </w:pPr>
      <w:r>
        <w:t>(3)</w:t>
      </w:r>
      <w:r>
        <w:tab/>
      </w:r>
      <w:r w:rsidR="002579DB">
        <w:t xml:space="preserve">In order for ERCOT to award a bid for a PTP Obligation with Links to an Option under this section for an upcoming year, by October 1 of the prior year a NOIE must have provided ERCOT with an attestation that the Generation Resource for the Resource Node where the bid is sourced is owned or controlled by the NOIE, or has a contractual commitment for capacity and/or energy with the NOIE.  The attestation must be executed by an officer or executive with authority to bind the NOIE, and submitted to ERCOT.  ERCOT shall rely exclusively on the attestation provided by a NOIE in determining eligibility for bid awards under this section.  </w:t>
      </w:r>
      <w:r w:rsidR="002579DB" w:rsidRPr="00537858">
        <w:t>ERCOT shall issue a Market Notice by September 1 of each year reminding NOIEs of the October 1 deadline for submitting attestations for the upcoming year.</w:t>
      </w:r>
    </w:p>
    <w:p w14:paraId="58F6E180" w14:textId="77777777" w:rsidR="00FF2129" w:rsidRDefault="00482EF3" w:rsidP="005506CA">
      <w:pPr>
        <w:pStyle w:val="H3"/>
        <w:spacing w:before="480"/>
      </w:pPr>
      <w:bookmarkStart w:id="264" w:name="_Toc142108918"/>
      <w:bookmarkStart w:id="265" w:name="_Toc142113763"/>
      <w:bookmarkStart w:id="266" w:name="_Toc402345586"/>
      <w:bookmarkStart w:id="267" w:name="_Toc405383869"/>
      <w:bookmarkStart w:id="268" w:name="_Toc405536971"/>
      <w:bookmarkStart w:id="269" w:name="_Toc440871758"/>
      <w:bookmarkStart w:id="270" w:name="_Toc135990632"/>
      <w:bookmarkStart w:id="271" w:name="_Toc92873938"/>
      <w:r>
        <w:t>4.4.7</w:t>
      </w:r>
      <w:r>
        <w:tab/>
        <w:t>Ancillary Service Supplied and Traded</w:t>
      </w:r>
      <w:bookmarkEnd w:id="264"/>
      <w:bookmarkEnd w:id="265"/>
      <w:bookmarkEnd w:id="266"/>
      <w:bookmarkEnd w:id="267"/>
      <w:bookmarkEnd w:id="268"/>
      <w:bookmarkEnd w:id="269"/>
      <w:bookmarkEnd w:id="270"/>
    </w:p>
    <w:p w14:paraId="1235E290" w14:textId="77777777" w:rsidR="00FF2129" w:rsidRDefault="00482EF3" w:rsidP="004555CF">
      <w:pPr>
        <w:pStyle w:val="H4"/>
        <w:spacing w:before="480"/>
      </w:pPr>
      <w:bookmarkStart w:id="272" w:name="_Toc90197101"/>
      <w:bookmarkStart w:id="273" w:name="_Toc92873943"/>
      <w:bookmarkStart w:id="274" w:name="_Toc142108919"/>
      <w:bookmarkStart w:id="275" w:name="_Toc142113764"/>
      <w:bookmarkStart w:id="276" w:name="_Toc402345587"/>
      <w:bookmarkStart w:id="277" w:name="_Toc405383870"/>
      <w:bookmarkStart w:id="278" w:name="_Toc405536972"/>
      <w:bookmarkStart w:id="279" w:name="_Toc440871759"/>
      <w:bookmarkStart w:id="280" w:name="_Toc135990633"/>
      <w:bookmarkStart w:id="281" w:name="OLE_LINK1"/>
      <w:bookmarkStart w:id="282" w:name="OLE_LINK2"/>
      <w:bookmarkEnd w:id="271"/>
      <w:r>
        <w:t>4.4.7.1</w:t>
      </w:r>
      <w:r>
        <w:tab/>
        <w:t>Self-Arranged Ancillary Service Quantities</w:t>
      </w:r>
      <w:bookmarkEnd w:id="272"/>
      <w:bookmarkEnd w:id="273"/>
      <w:bookmarkEnd w:id="274"/>
      <w:bookmarkEnd w:id="275"/>
      <w:bookmarkEnd w:id="276"/>
      <w:bookmarkEnd w:id="277"/>
      <w:bookmarkEnd w:id="278"/>
      <w:bookmarkEnd w:id="279"/>
      <w:bookmarkEnd w:id="280"/>
    </w:p>
    <w:p w14:paraId="0D42E146" w14:textId="18B24ADD" w:rsidR="00882737" w:rsidRDefault="002E4A30" w:rsidP="002E4A30">
      <w:pPr>
        <w:spacing w:after="240"/>
        <w:ind w:left="720" w:hanging="720"/>
        <w:rPr>
          <w:iCs/>
          <w:szCs w:val="20"/>
        </w:rPr>
      </w:pPr>
      <w:r w:rsidRPr="006E11D1">
        <w:rPr>
          <w:iCs/>
          <w:szCs w:val="20"/>
        </w:rPr>
        <w:t>(1)</w:t>
      </w:r>
      <w:r w:rsidRPr="006E11D1">
        <w:rPr>
          <w:iCs/>
          <w:szCs w:val="20"/>
        </w:rPr>
        <w:tab/>
      </w:r>
      <w:r w:rsidR="00E541F4" w:rsidRPr="006E11D1">
        <w:rPr>
          <w:iCs/>
          <w:szCs w:val="20"/>
        </w:rPr>
        <w:t xml:space="preserve">For each Ancillary Service, a QSE may self-arrange all or a portion of the Ancillary Service Obligation allocated to it by ERCOT.  </w:t>
      </w:r>
      <w:r w:rsidR="00E541F4">
        <w:rPr>
          <w:iCs/>
          <w:szCs w:val="20"/>
        </w:rPr>
        <w:t xml:space="preserve">QSEs may not self-arrange Regulation Service amounts that include </w:t>
      </w:r>
      <w:r w:rsidR="007A1568">
        <w:rPr>
          <w:iCs/>
          <w:szCs w:val="20"/>
        </w:rPr>
        <w:t xml:space="preserve">Fast Responding Regulation Up Service (FRRS-Up) or Fast Responding Regulation Down Service (FRRS-Down) </w:t>
      </w:r>
      <w:r w:rsidR="00E541F4">
        <w:rPr>
          <w:iCs/>
          <w:szCs w:val="20"/>
        </w:rPr>
        <w:t xml:space="preserve">quantities.  </w:t>
      </w:r>
      <w:r w:rsidR="00E541F4" w:rsidRPr="006E11D1">
        <w:rPr>
          <w:iCs/>
          <w:szCs w:val="20"/>
        </w:rPr>
        <w:t xml:space="preserve">In addition, a QSE may self-arrange up to </w:t>
      </w:r>
      <w:r w:rsidR="004550E0">
        <w:rPr>
          <w:iCs/>
          <w:szCs w:val="20"/>
        </w:rPr>
        <w:t>100</w:t>
      </w:r>
      <w:r w:rsidR="004550E0" w:rsidRPr="0003648D">
        <w:rPr>
          <w:iCs/>
          <w:szCs w:val="20"/>
        </w:rPr>
        <w:t xml:space="preserve"> MW of </w:t>
      </w:r>
      <w:r w:rsidR="004550E0">
        <w:t>ERCOT Contingency Reserve Service</w:t>
      </w:r>
      <w:r w:rsidR="004550E0" w:rsidRPr="0003648D">
        <w:rPr>
          <w:iCs/>
          <w:szCs w:val="20"/>
        </w:rPr>
        <w:t xml:space="preserve"> </w:t>
      </w:r>
      <w:r w:rsidR="004550E0">
        <w:rPr>
          <w:iCs/>
          <w:szCs w:val="20"/>
        </w:rPr>
        <w:t xml:space="preserve">(ECRS), </w:t>
      </w:r>
      <w:r w:rsidR="00E541F4" w:rsidRPr="006E11D1">
        <w:rPr>
          <w:iCs/>
          <w:szCs w:val="20"/>
        </w:rPr>
        <w:t xml:space="preserve">100 MW of Responsive Reserve (RRS), 25 MW of Regulation Up Service (Reg-Up), 25 MW of Regulation Down Service (Reg-Down), and </w:t>
      </w:r>
      <w:r w:rsidR="00C26892">
        <w:rPr>
          <w:iCs/>
          <w:szCs w:val="20"/>
        </w:rPr>
        <w:t>5</w:t>
      </w:r>
      <w:r w:rsidR="00E541F4" w:rsidRPr="006E11D1">
        <w:rPr>
          <w:iCs/>
          <w:szCs w:val="20"/>
        </w:rPr>
        <w:t xml:space="preserve">0 MW of Non-Spinning Reserve (Non-Spin) in excess of its corresponding Ancillary Service Obligation, provided that the amount self-arranged from the QSE’s Resources for a given Ancillary Service shall not </w:t>
      </w:r>
      <w:r w:rsidR="00E541F4" w:rsidRPr="006E11D1">
        <w:rPr>
          <w:iCs/>
          <w:szCs w:val="20"/>
        </w:rPr>
        <w:lastRenderedPageBreak/>
        <w:t>exceed the amount of the QSE’s Ancillary Services Obligation for that Ancillary Service.  If a QSE elects to self-arrange Ancillary Service capacity, then ERCOT shall not pay the QSE for the Self-Arranged Ancillary Service Quantities for the portion that meets its Ancillary Service Obligation.  Any Self-Arranged Ancillary Service Quantities in excess of a QSE’s Ancillary Service Obligation will be considered to be offered in the DAM or Supplemental Ancillary Service</w:t>
      </w:r>
      <w:r w:rsidR="007F71E9">
        <w:rPr>
          <w:iCs/>
          <w:szCs w:val="20"/>
        </w:rPr>
        <w:t>s</w:t>
      </w:r>
      <w:r w:rsidR="00E541F4" w:rsidRPr="006E11D1">
        <w:rPr>
          <w:iCs/>
          <w:szCs w:val="20"/>
        </w:rPr>
        <w:t xml:space="preserve"> Market (SASM), as applicable, for $0/MWh.</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882737" w:rsidRPr="004B32CF" w14:paraId="78D69FF9" w14:textId="77777777" w:rsidTr="00882737">
        <w:trPr>
          <w:trHeight w:val="386"/>
        </w:trPr>
        <w:tc>
          <w:tcPr>
            <w:tcW w:w="9350" w:type="dxa"/>
            <w:shd w:val="pct12" w:color="auto" w:fill="auto"/>
          </w:tcPr>
          <w:p w14:paraId="59C8FE63" w14:textId="28698E78" w:rsidR="00882737" w:rsidRPr="004B32CF" w:rsidRDefault="00882737" w:rsidP="00FB5E49">
            <w:pPr>
              <w:spacing w:before="120" w:after="240"/>
              <w:rPr>
                <w:b/>
                <w:i/>
                <w:iCs/>
              </w:rPr>
            </w:pPr>
            <w:r>
              <w:rPr>
                <w:b/>
                <w:i/>
                <w:iCs/>
              </w:rPr>
              <w:t>[NPRR1091:  Replace paragraph (1</w:t>
            </w:r>
            <w:r w:rsidRPr="004B32CF">
              <w:rPr>
                <w:b/>
                <w:i/>
                <w:iCs/>
              </w:rPr>
              <w:t>) above with the following upon system implementation:]</w:t>
            </w:r>
          </w:p>
          <w:p w14:paraId="0ED41281" w14:textId="02E0373B" w:rsidR="00882737" w:rsidRPr="00A93350" w:rsidRDefault="00882737" w:rsidP="00882737">
            <w:pPr>
              <w:spacing w:after="240"/>
              <w:ind w:left="720" w:hanging="720"/>
              <w:rPr>
                <w:iCs/>
                <w:szCs w:val="20"/>
              </w:rPr>
            </w:pPr>
            <w:r w:rsidRPr="00A96E57">
              <w:rPr>
                <w:iCs/>
                <w:szCs w:val="20"/>
              </w:rPr>
              <w:t>(1)</w:t>
            </w:r>
            <w:r w:rsidRPr="00A96E57">
              <w:rPr>
                <w:iCs/>
                <w:szCs w:val="20"/>
              </w:rPr>
              <w:tab/>
              <w:t>For each Ancillary Service, a QSE may self-arrange all or a portion of the Ancillary Service Obligation allocated to it by ERCOT.  QSEs may not self-arrange Regulation Service amounts that include Fast Responding Regulation Up Service (FRRS-Up) or Fast Responding Regulation Down Service (FRRS-Down) quantities.  In addition, a QSE may self-arrange up to 150 MW of Responsive Reserve (RRS), 25 MW of Regulation Up Service (Reg-Up), 25 MW of Regulation Down Service (Reg-Down), and 300 MW of Non-Spinning Reserve (Non-Spin) in excess of its corresponding Ancillary Service Obligation, provided that the amount self-arranged from the QSE’s Resources for a given Ancillary Service shall not exceed the amount of the QSE’s Ancillary Services Obligation for that Ancillary Service.  If a QSE elects to self-arrange Ancillary Service capacity, then ERCOT shall not pay the QSE for the Self-Arranged Ancillary Service Quantities for the portion that meets its Ancillary Service Obligation.  Any Self-Arranged Ancillary Service Quantities in excess of a QSE’s Ancillary Service Obligation will be considered to be offered in the DAM or Supplemental Ancillary Service</w:t>
            </w:r>
            <w:r w:rsidR="007F71E9">
              <w:rPr>
                <w:iCs/>
                <w:szCs w:val="20"/>
              </w:rPr>
              <w:t>s</w:t>
            </w:r>
            <w:r w:rsidRPr="00A96E57">
              <w:rPr>
                <w:iCs/>
                <w:szCs w:val="20"/>
              </w:rPr>
              <w:t xml:space="preserve"> Market (SASM), as applicable, for $0/MWh.</w:t>
            </w:r>
          </w:p>
        </w:tc>
      </w:tr>
    </w:tbl>
    <w:p w14:paraId="017BBECD" w14:textId="77777777" w:rsidR="00882737" w:rsidRPr="006E11D1" w:rsidRDefault="00882737" w:rsidP="00882737">
      <w:pPr>
        <w:ind w:left="720" w:hanging="720"/>
        <w:rPr>
          <w:i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93350" w:rsidRPr="004B32CF" w14:paraId="380885A2" w14:textId="77777777" w:rsidTr="00B34003">
        <w:trPr>
          <w:trHeight w:val="386"/>
        </w:trPr>
        <w:tc>
          <w:tcPr>
            <w:tcW w:w="9350" w:type="dxa"/>
            <w:shd w:val="pct12" w:color="auto" w:fill="auto"/>
          </w:tcPr>
          <w:p w14:paraId="42EC0A8B" w14:textId="1F3B629C" w:rsidR="00A93350" w:rsidRPr="004B32CF" w:rsidRDefault="00A93350" w:rsidP="00B34003">
            <w:pPr>
              <w:spacing w:before="120" w:after="240"/>
              <w:rPr>
                <w:b/>
                <w:i/>
                <w:iCs/>
              </w:rPr>
            </w:pPr>
            <w:r>
              <w:rPr>
                <w:b/>
                <w:i/>
                <w:iCs/>
              </w:rPr>
              <w:t>[</w:t>
            </w:r>
            <w:r w:rsidR="00182341">
              <w:rPr>
                <w:b/>
                <w:i/>
                <w:iCs/>
              </w:rPr>
              <w:t>NPRR1008</w:t>
            </w:r>
            <w:r>
              <w:rPr>
                <w:b/>
                <w:i/>
                <w:iCs/>
              </w:rPr>
              <w:t>:  Replace</w:t>
            </w:r>
            <w:r w:rsidR="00B96815">
              <w:rPr>
                <w:b/>
                <w:i/>
                <w:iCs/>
              </w:rPr>
              <w:t xml:space="preserve"> </w:t>
            </w:r>
            <w:r>
              <w:rPr>
                <w:b/>
                <w:i/>
                <w:iCs/>
              </w:rPr>
              <w:t>paragraph (1</w:t>
            </w:r>
            <w:r w:rsidRPr="004B32CF">
              <w:rPr>
                <w:b/>
                <w:i/>
                <w:iCs/>
              </w:rPr>
              <w:t>) above with the following upon system implementation</w:t>
            </w:r>
            <w:r w:rsidR="00182341">
              <w:rPr>
                <w:b/>
                <w:i/>
                <w:iCs/>
              </w:rPr>
              <w:t xml:space="preserve"> or upon system implementation of the Real-Time Co-Optimization </w:t>
            </w:r>
            <w:r w:rsidR="007F71E9">
              <w:rPr>
                <w:b/>
                <w:i/>
                <w:iCs/>
              </w:rPr>
              <w:t xml:space="preserve">(RTC) </w:t>
            </w:r>
            <w:r w:rsidR="00182341">
              <w:rPr>
                <w:b/>
                <w:i/>
                <w:iCs/>
              </w:rPr>
              <w:t>project</w:t>
            </w:r>
            <w:r w:rsidRPr="004B32CF">
              <w:rPr>
                <w:b/>
                <w:i/>
                <w:iCs/>
              </w:rPr>
              <w:t>:]</w:t>
            </w:r>
          </w:p>
          <w:p w14:paraId="745D3D60" w14:textId="52D3613D" w:rsidR="00A93350" w:rsidRPr="00A93350" w:rsidRDefault="00A93350" w:rsidP="00182341">
            <w:pPr>
              <w:spacing w:after="240"/>
              <w:ind w:left="720" w:hanging="720"/>
              <w:rPr>
                <w:iCs/>
                <w:szCs w:val="20"/>
              </w:rPr>
            </w:pPr>
            <w:r w:rsidRPr="0003648D">
              <w:rPr>
                <w:iCs/>
                <w:szCs w:val="20"/>
              </w:rPr>
              <w:t>(1)</w:t>
            </w:r>
            <w:r w:rsidRPr="0003648D">
              <w:rPr>
                <w:iCs/>
                <w:szCs w:val="20"/>
              </w:rPr>
              <w:tab/>
              <w:t xml:space="preserve">For each Ancillary Service, a QSE may self-arrange all or a portion of the </w:t>
            </w:r>
            <w:r w:rsidR="00182341">
              <w:rPr>
                <w:iCs/>
                <w:szCs w:val="20"/>
              </w:rPr>
              <w:t xml:space="preserve">advisory </w:t>
            </w:r>
            <w:r w:rsidRPr="0003648D">
              <w:rPr>
                <w:iCs/>
                <w:szCs w:val="20"/>
              </w:rPr>
              <w:t>Ancillary Service Obligation allocated to it by ERCOT</w:t>
            </w:r>
            <w:r w:rsidR="00182341">
              <w:rPr>
                <w:iCs/>
                <w:szCs w:val="20"/>
              </w:rPr>
              <w:t>, subject to the QSE’s share of system-wide limits as established by Section 3.16, Standards for Determining Ancillary Service Quantities</w:t>
            </w:r>
            <w:r w:rsidRPr="0003648D">
              <w:rPr>
                <w:iCs/>
                <w:szCs w:val="20"/>
              </w:rPr>
              <w:t xml:space="preserve">.  If a QSE elects to self-arrange Ancillary Service capacity, then ERCOT shall not pay the QSE for the Self-Arranged Ancillary Service Quantities for the portion that meets its </w:t>
            </w:r>
            <w:r w:rsidR="00182341">
              <w:rPr>
                <w:iCs/>
                <w:szCs w:val="20"/>
              </w:rPr>
              <w:t xml:space="preserve">final </w:t>
            </w:r>
            <w:r w:rsidRPr="0003648D">
              <w:rPr>
                <w:iCs/>
                <w:szCs w:val="20"/>
              </w:rPr>
              <w:t>Ancillary Service Obligation</w:t>
            </w:r>
            <w:r w:rsidR="00182341">
              <w:rPr>
                <w:iCs/>
                <w:szCs w:val="20"/>
              </w:rPr>
              <w:t>; ERCOT shall pay the QSE the respective Day-Ahead Ancillary Service price for any Self-Arranged Ancillary Service Quantities that exceed a QSE’s final Ancillary Service Obligation</w:t>
            </w:r>
            <w:r w:rsidRPr="0003648D">
              <w:rPr>
                <w:iCs/>
                <w:szCs w:val="20"/>
              </w:rPr>
              <w:t>.</w:t>
            </w:r>
          </w:p>
        </w:tc>
      </w:tr>
    </w:tbl>
    <w:p w14:paraId="39FB7823" w14:textId="77777777" w:rsidR="002E4A30" w:rsidRPr="006E11D1" w:rsidRDefault="002E4A30" w:rsidP="00FF1649">
      <w:pPr>
        <w:spacing w:before="240" w:after="240"/>
        <w:ind w:left="720" w:hanging="720"/>
        <w:rPr>
          <w:iCs/>
          <w:szCs w:val="20"/>
        </w:rPr>
      </w:pPr>
      <w:r w:rsidRPr="006E11D1">
        <w:rPr>
          <w:iCs/>
          <w:szCs w:val="20"/>
        </w:rPr>
        <w:t>(2)</w:t>
      </w:r>
      <w:r w:rsidRPr="006E11D1">
        <w:rPr>
          <w:iCs/>
          <w:szCs w:val="20"/>
        </w:rPr>
        <w:tab/>
        <w:t xml:space="preserve">The QSE must indicate before 1000 in the Day-Ahead the Self-Arranged Ancillary Service Quantities, by service, so ERCOT can determine how much Ancillary Service capacity, by service, needs to be obtained through the DAM.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182341" w:rsidRPr="004B32CF" w14:paraId="4E42C8C4" w14:textId="77777777" w:rsidTr="00B11AAC">
        <w:trPr>
          <w:trHeight w:val="386"/>
        </w:trPr>
        <w:tc>
          <w:tcPr>
            <w:tcW w:w="9350" w:type="dxa"/>
            <w:shd w:val="pct12" w:color="auto" w:fill="auto"/>
          </w:tcPr>
          <w:p w14:paraId="39F7B850" w14:textId="0937B1BE" w:rsidR="00182341" w:rsidRPr="004B32CF" w:rsidRDefault="00182341" w:rsidP="00B11AAC">
            <w:pPr>
              <w:spacing w:before="120" w:after="240"/>
              <w:rPr>
                <w:b/>
                <w:i/>
                <w:iCs/>
              </w:rPr>
            </w:pPr>
            <w:r>
              <w:rPr>
                <w:b/>
                <w:i/>
                <w:iCs/>
              </w:rPr>
              <w:lastRenderedPageBreak/>
              <w:t>[NPRR1008:  Replace paragraph (2</w:t>
            </w:r>
            <w:r w:rsidRPr="004B32CF">
              <w:rPr>
                <w:b/>
                <w:i/>
                <w:iCs/>
              </w:rPr>
              <w:t>) above with the following upon system implementation</w:t>
            </w:r>
            <w:r>
              <w:rPr>
                <w:b/>
                <w:i/>
                <w:iCs/>
              </w:rPr>
              <w:t xml:space="preserve"> of the Real-Time Co-Optimization (RTC) project</w:t>
            </w:r>
            <w:r w:rsidRPr="004B32CF">
              <w:rPr>
                <w:b/>
                <w:i/>
                <w:iCs/>
              </w:rPr>
              <w:t>:]</w:t>
            </w:r>
          </w:p>
          <w:p w14:paraId="6F669A85" w14:textId="3F9B0EB3" w:rsidR="00182341" w:rsidRPr="00A93350" w:rsidRDefault="00182341" w:rsidP="00B96815">
            <w:pPr>
              <w:spacing w:before="240" w:after="240"/>
              <w:ind w:left="720" w:hanging="720"/>
              <w:rPr>
                <w:iCs/>
                <w:szCs w:val="20"/>
              </w:rPr>
            </w:pPr>
            <w:r w:rsidRPr="006E11D1">
              <w:rPr>
                <w:iCs/>
                <w:szCs w:val="20"/>
              </w:rPr>
              <w:t>(2)</w:t>
            </w:r>
            <w:r w:rsidRPr="006E11D1">
              <w:rPr>
                <w:iCs/>
                <w:szCs w:val="20"/>
              </w:rPr>
              <w:tab/>
              <w:t xml:space="preserve">The QSE must indicate before 1000 in the Day-Ahead the Self-Arranged Ancillary Service Quantities, by service, so ERCOT can determine how much Ancillary Service </w:t>
            </w:r>
            <w:r w:rsidR="00B96815" w:rsidRPr="006E11D1">
              <w:rPr>
                <w:iCs/>
                <w:szCs w:val="20"/>
              </w:rPr>
              <w:t xml:space="preserve">capacity, by service, </w:t>
            </w:r>
            <w:r w:rsidR="00B96815">
              <w:rPr>
                <w:iCs/>
                <w:szCs w:val="20"/>
              </w:rPr>
              <w:t xml:space="preserve">remains to be </w:t>
            </w:r>
            <w:r w:rsidR="00B96815" w:rsidRPr="006E11D1">
              <w:rPr>
                <w:iCs/>
                <w:szCs w:val="20"/>
              </w:rPr>
              <w:t xml:space="preserve">obtained </w:t>
            </w:r>
            <w:r w:rsidR="00B96815">
              <w:rPr>
                <w:iCs/>
                <w:szCs w:val="20"/>
              </w:rPr>
              <w:t xml:space="preserve">based on </w:t>
            </w:r>
            <w:r w:rsidR="00B96815" w:rsidRPr="006E11D1">
              <w:rPr>
                <w:iCs/>
                <w:szCs w:val="20"/>
              </w:rPr>
              <w:t>DAM</w:t>
            </w:r>
            <w:r w:rsidR="00B96815">
              <w:rPr>
                <w:iCs/>
                <w:szCs w:val="20"/>
              </w:rPr>
              <w:t xml:space="preserve"> offers and associated Ancillary Service Demand Curves (ASDCs).</w:t>
            </w:r>
          </w:p>
        </w:tc>
      </w:tr>
    </w:tbl>
    <w:p w14:paraId="7F3C99D9" w14:textId="3728A6B4" w:rsidR="002E4A30" w:rsidRPr="006E11D1" w:rsidRDefault="002E4A30" w:rsidP="00F539C2">
      <w:pPr>
        <w:spacing w:before="240" w:after="240"/>
        <w:ind w:left="720" w:hanging="720"/>
        <w:rPr>
          <w:iCs/>
          <w:szCs w:val="20"/>
        </w:rPr>
      </w:pPr>
      <w:r w:rsidRPr="006E11D1">
        <w:rPr>
          <w:iCs/>
          <w:szCs w:val="20"/>
        </w:rPr>
        <w:t>(3)</w:t>
      </w:r>
      <w:r w:rsidRPr="006E11D1">
        <w:rPr>
          <w:iCs/>
          <w:szCs w:val="20"/>
        </w:rPr>
        <w:tab/>
        <w:t xml:space="preserve">At or after 1000 in the Day-Ahead, a QSE may not change its Self-Arranged Ancillary Service Quantities unless ERCOT opens a SASM.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182341" w:rsidRPr="004B32CF" w14:paraId="73D21CBB" w14:textId="77777777" w:rsidTr="00B11AAC">
        <w:trPr>
          <w:trHeight w:val="386"/>
        </w:trPr>
        <w:tc>
          <w:tcPr>
            <w:tcW w:w="9350" w:type="dxa"/>
            <w:shd w:val="pct12" w:color="auto" w:fill="auto"/>
          </w:tcPr>
          <w:p w14:paraId="265DF725" w14:textId="70589D68" w:rsidR="00182341" w:rsidRPr="004B32CF" w:rsidRDefault="00182341" w:rsidP="00B11AAC">
            <w:pPr>
              <w:spacing w:before="120" w:after="240"/>
              <w:rPr>
                <w:b/>
                <w:i/>
                <w:iCs/>
              </w:rPr>
            </w:pPr>
            <w:r>
              <w:rPr>
                <w:b/>
                <w:i/>
                <w:iCs/>
              </w:rPr>
              <w:t>[NPRR1008:  Replace paragraph (3</w:t>
            </w:r>
            <w:r w:rsidRPr="004B32CF">
              <w:rPr>
                <w:b/>
                <w:i/>
                <w:iCs/>
              </w:rPr>
              <w:t>) above with the following upon system implementation</w:t>
            </w:r>
            <w:r>
              <w:rPr>
                <w:b/>
                <w:i/>
                <w:iCs/>
              </w:rPr>
              <w:t xml:space="preserve"> of the Real-Time Co-Optimization (RTC) project</w:t>
            </w:r>
            <w:r w:rsidRPr="004B32CF">
              <w:rPr>
                <w:b/>
                <w:i/>
                <w:iCs/>
              </w:rPr>
              <w:t>:]</w:t>
            </w:r>
          </w:p>
          <w:p w14:paraId="7DDF1FC1" w14:textId="57D222F2" w:rsidR="00182341" w:rsidRPr="00A93350" w:rsidRDefault="00182341" w:rsidP="00182341">
            <w:pPr>
              <w:spacing w:after="240"/>
              <w:ind w:left="720" w:hanging="720"/>
              <w:rPr>
                <w:iCs/>
                <w:szCs w:val="20"/>
              </w:rPr>
            </w:pPr>
            <w:r w:rsidRPr="006E11D1">
              <w:rPr>
                <w:iCs/>
                <w:szCs w:val="20"/>
              </w:rPr>
              <w:t>(3)</w:t>
            </w:r>
            <w:r w:rsidRPr="006E11D1">
              <w:rPr>
                <w:iCs/>
                <w:szCs w:val="20"/>
              </w:rPr>
              <w:tab/>
              <w:t>At or after 1000 in the Day-Ahead, a QSE may not change its Self-Arranged Ancillary Service Quantities</w:t>
            </w:r>
            <w:r>
              <w:rPr>
                <w:iCs/>
                <w:szCs w:val="20"/>
              </w:rPr>
              <w:t>.</w:t>
            </w:r>
          </w:p>
        </w:tc>
      </w:tr>
    </w:tbl>
    <w:p w14:paraId="52E71071" w14:textId="0105CB89" w:rsidR="002E4A30" w:rsidRPr="006E11D1" w:rsidRDefault="002E4A30" w:rsidP="00F539C2">
      <w:pPr>
        <w:spacing w:before="240" w:after="240"/>
        <w:ind w:left="720" w:hanging="720"/>
        <w:rPr>
          <w:iCs/>
          <w:szCs w:val="20"/>
        </w:rPr>
      </w:pPr>
      <w:r w:rsidRPr="006E11D1">
        <w:rPr>
          <w:iCs/>
          <w:szCs w:val="20"/>
        </w:rPr>
        <w:t>(4)</w:t>
      </w:r>
      <w:r w:rsidRPr="006E11D1">
        <w:rPr>
          <w:iCs/>
          <w:szCs w:val="20"/>
        </w:rPr>
        <w:tab/>
        <w:t xml:space="preserve">Before 1430 </w:t>
      </w:r>
      <w:r w:rsidRPr="0060662B">
        <w:rPr>
          <w:iCs/>
          <w:szCs w:val="20"/>
        </w:rPr>
        <w:t>in the Day-Ahead, all</w:t>
      </w:r>
      <w:r w:rsidRPr="006E11D1">
        <w:rPr>
          <w:iCs/>
          <w:szCs w:val="20"/>
        </w:rPr>
        <w:t xml:space="preserve"> Self-Arranged Ancillary Service Quantities must be represented by physical capacity, either by Generation Resources or Load Resources, or backed by Ancillary Service Trades. </w:t>
      </w:r>
    </w:p>
    <w:p w14:paraId="056EAD93" w14:textId="12E74A32" w:rsidR="002E4A30" w:rsidRPr="006E11D1" w:rsidRDefault="002E4A30" w:rsidP="002E4A30">
      <w:pPr>
        <w:spacing w:after="240"/>
        <w:ind w:left="720" w:hanging="720"/>
        <w:rPr>
          <w:iCs/>
          <w:szCs w:val="20"/>
        </w:rPr>
      </w:pPr>
      <w:r w:rsidRPr="006E11D1">
        <w:rPr>
          <w:iCs/>
          <w:szCs w:val="20"/>
        </w:rPr>
        <w:t>(5)</w:t>
      </w:r>
      <w:r w:rsidRPr="006E11D1">
        <w:rPr>
          <w:iCs/>
          <w:szCs w:val="20"/>
        </w:rPr>
        <w:tab/>
        <w:t xml:space="preserve">The QSE may self-arrange Reg-Up, Reg-Down, </w:t>
      </w:r>
      <w:r w:rsidR="00C26892">
        <w:rPr>
          <w:iCs/>
          <w:szCs w:val="20"/>
        </w:rPr>
        <w:t>ECRS</w:t>
      </w:r>
      <w:r w:rsidR="00C26892" w:rsidRPr="0003648D">
        <w:rPr>
          <w:iCs/>
          <w:szCs w:val="20"/>
        </w:rPr>
        <w:t xml:space="preserve">, </w:t>
      </w:r>
      <w:r w:rsidRPr="006E11D1">
        <w:rPr>
          <w:iCs/>
          <w:szCs w:val="20"/>
        </w:rPr>
        <w:t>RRS, and Non-Spin.</w:t>
      </w:r>
    </w:p>
    <w:p w14:paraId="230B25B0" w14:textId="77777777" w:rsidR="002E4A30" w:rsidRPr="006E11D1" w:rsidRDefault="002E4A30" w:rsidP="00A56EA7">
      <w:pPr>
        <w:spacing w:after="240"/>
        <w:ind w:left="720" w:hanging="720"/>
        <w:rPr>
          <w:szCs w:val="20"/>
        </w:rPr>
      </w:pPr>
      <w:r w:rsidRPr="006E11D1">
        <w:rPr>
          <w:szCs w:val="20"/>
        </w:rPr>
        <w:t>(6)</w:t>
      </w:r>
      <w:r w:rsidRPr="006E11D1">
        <w:rPr>
          <w:szCs w:val="20"/>
        </w:rPr>
        <w:tab/>
        <w:t xml:space="preserve">The QSE may self-arrange Ancillary Services from one or more Resources it represents and/or through an Ancillary Service Trade. </w:t>
      </w:r>
    </w:p>
    <w:p w14:paraId="7DB18A8E" w14:textId="11CF7B14" w:rsidR="002E4A30" w:rsidRPr="006E11D1" w:rsidRDefault="002E4A30" w:rsidP="002E4A30">
      <w:pPr>
        <w:spacing w:after="240"/>
        <w:ind w:left="720" w:hanging="720"/>
        <w:rPr>
          <w:szCs w:val="20"/>
        </w:rPr>
      </w:pPr>
      <w:r w:rsidRPr="006E11D1">
        <w:rPr>
          <w:szCs w:val="20"/>
        </w:rPr>
        <w:t>(7)</w:t>
      </w:r>
      <w:r w:rsidRPr="006E11D1">
        <w:rPr>
          <w:szCs w:val="20"/>
        </w:rPr>
        <w:tab/>
        <w:t xml:space="preserve">The additional Self-Arranged Ancillary Service Quantity specified by the QSE in response to a SASM notice by ERCOT to obtain additional Ancillary Services in the Adjustment Period cannot be more than </w:t>
      </w:r>
      <w:r w:rsidR="00C26892">
        <w:rPr>
          <w:szCs w:val="20"/>
        </w:rPr>
        <w:t>100</w:t>
      </w:r>
      <w:r w:rsidR="00C26892" w:rsidRPr="0003648D">
        <w:rPr>
          <w:szCs w:val="20"/>
        </w:rPr>
        <w:t xml:space="preserve"> MW of </w:t>
      </w:r>
      <w:r w:rsidR="00C26892">
        <w:rPr>
          <w:szCs w:val="20"/>
        </w:rPr>
        <w:t>ECRS</w:t>
      </w:r>
      <w:r w:rsidR="00C26892" w:rsidRPr="0003648D">
        <w:rPr>
          <w:szCs w:val="20"/>
        </w:rPr>
        <w:t xml:space="preserve">, </w:t>
      </w:r>
      <w:r w:rsidRPr="006E11D1">
        <w:rPr>
          <w:szCs w:val="20"/>
        </w:rPr>
        <w:t xml:space="preserve">100 MW of RRS, 25 MW of Reg-Up, 25 MW of Reg-Down, and </w:t>
      </w:r>
      <w:r w:rsidR="00C26892">
        <w:rPr>
          <w:szCs w:val="20"/>
        </w:rPr>
        <w:t>5</w:t>
      </w:r>
      <w:r w:rsidRPr="006E11D1">
        <w:rPr>
          <w:szCs w:val="20"/>
        </w:rPr>
        <w:t>0 MW of Non-Spin greater than the additional Ancillary Service amount allocated by ERCOT to that QSE, as stated in the SASM notice, and cannot be changed once committed to ERCOT.</w:t>
      </w:r>
    </w:p>
    <w:p w14:paraId="7C4D0B7E" w14:textId="77777777" w:rsidR="002E4A30" w:rsidRPr="006E11D1" w:rsidRDefault="002E4A30" w:rsidP="00A56EA7">
      <w:pPr>
        <w:spacing w:after="240"/>
        <w:ind w:left="720" w:hanging="720"/>
        <w:rPr>
          <w:szCs w:val="20"/>
        </w:rPr>
      </w:pPr>
      <w:r w:rsidRPr="006E11D1">
        <w:rPr>
          <w:szCs w:val="20"/>
        </w:rPr>
        <w:t>(8)</w:t>
      </w:r>
      <w:r w:rsidRPr="006E11D1">
        <w:rPr>
          <w:szCs w:val="20"/>
        </w:rPr>
        <w:tab/>
        <w:t xml:space="preserve">If a QSE does not self-arrange all of its Ancillary Service Obligation, ERCOT shall procure the remaining amount of that QSE’s Ancillary Service Obligation.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11AAC" w:rsidRPr="004B32CF" w14:paraId="31587820" w14:textId="77777777" w:rsidTr="00B11AAC">
        <w:trPr>
          <w:trHeight w:val="386"/>
        </w:trPr>
        <w:tc>
          <w:tcPr>
            <w:tcW w:w="9350" w:type="dxa"/>
            <w:shd w:val="pct12" w:color="auto" w:fill="auto"/>
          </w:tcPr>
          <w:p w14:paraId="38B9835E" w14:textId="58C8503E" w:rsidR="00B11AAC" w:rsidRPr="004B32CF" w:rsidRDefault="00B11AAC" w:rsidP="00B11AAC">
            <w:pPr>
              <w:spacing w:before="120" w:after="240"/>
              <w:rPr>
                <w:b/>
                <w:i/>
                <w:iCs/>
              </w:rPr>
            </w:pPr>
            <w:r>
              <w:rPr>
                <w:b/>
                <w:i/>
                <w:iCs/>
              </w:rPr>
              <w:t>[NPRR1008:  Replace paragraphs (7</w:t>
            </w:r>
            <w:r w:rsidRPr="004B32CF">
              <w:rPr>
                <w:b/>
                <w:i/>
                <w:iCs/>
              </w:rPr>
              <w:t>)</w:t>
            </w:r>
            <w:r>
              <w:rPr>
                <w:b/>
                <w:i/>
                <w:iCs/>
              </w:rPr>
              <w:t xml:space="preserve"> and (8)</w:t>
            </w:r>
            <w:r w:rsidRPr="004B32CF">
              <w:rPr>
                <w:b/>
                <w:i/>
                <w:iCs/>
              </w:rPr>
              <w:t xml:space="preserve"> above with the following upon system implementation</w:t>
            </w:r>
            <w:r>
              <w:rPr>
                <w:b/>
                <w:i/>
                <w:iCs/>
              </w:rPr>
              <w:t xml:space="preserve"> of the Real-Time Co-Optimization (RTC) project and renumber accordingly</w:t>
            </w:r>
            <w:r w:rsidRPr="004B32CF">
              <w:rPr>
                <w:b/>
                <w:i/>
                <w:iCs/>
              </w:rPr>
              <w:t>:]</w:t>
            </w:r>
          </w:p>
          <w:p w14:paraId="0316CD38" w14:textId="77777777" w:rsidR="00B11AAC" w:rsidRPr="00C07C81" w:rsidRDefault="00B11AAC" w:rsidP="00B11AAC">
            <w:pPr>
              <w:spacing w:before="240" w:after="240"/>
              <w:ind w:left="720" w:hanging="720"/>
              <w:rPr>
                <w:szCs w:val="20"/>
              </w:rPr>
            </w:pPr>
            <w:r>
              <w:rPr>
                <w:szCs w:val="20"/>
              </w:rPr>
              <w:lastRenderedPageBreak/>
              <w:t>(7)</w:t>
            </w:r>
            <w:r>
              <w:rPr>
                <w:szCs w:val="20"/>
              </w:rPr>
              <w:tab/>
              <w:t xml:space="preserve">A QSE shall not submit Ancillary Services trades that result in the QSE’s purchased quantities of Ancillary Services exceeding the QSE’s Self-Arranged Ancillary Service Quantities. </w:t>
            </w:r>
          </w:p>
          <w:p w14:paraId="1CCB81B0" w14:textId="77777777" w:rsidR="00B11AAC" w:rsidRDefault="00B11AAC" w:rsidP="00B11AAC">
            <w:pPr>
              <w:spacing w:before="240" w:after="240"/>
              <w:ind w:left="1440" w:hanging="720"/>
              <w:rPr>
                <w:szCs w:val="20"/>
              </w:rPr>
            </w:pPr>
            <w:r>
              <w:rPr>
                <w:szCs w:val="20"/>
              </w:rPr>
              <w:t>(a)</w:t>
            </w:r>
            <w:r>
              <w:rPr>
                <w:szCs w:val="20"/>
              </w:rPr>
              <w:tab/>
              <w:t>At 1430 in the Day-Ahead, ERCOT shall post a report on the MIS Certified Area to notify the QSE if there is an overage in the QSE’s purchased quantities of Ancillary Services in violation of the above limitation.</w:t>
            </w:r>
          </w:p>
          <w:p w14:paraId="3FF1911A" w14:textId="5EB2D4D8" w:rsidR="00B11AAC" w:rsidRPr="00B11AAC" w:rsidRDefault="00B11AAC" w:rsidP="00B11AAC">
            <w:pPr>
              <w:spacing w:before="240" w:after="240"/>
              <w:ind w:left="1440" w:hanging="720"/>
              <w:rPr>
                <w:szCs w:val="20"/>
              </w:rPr>
            </w:pPr>
            <w:r>
              <w:rPr>
                <w:szCs w:val="20"/>
              </w:rPr>
              <w:t>(b)</w:t>
            </w:r>
            <w:r>
              <w:rPr>
                <w:szCs w:val="20"/>
              </w:rPr>
              <w:tab/>
              <w:t>If the QSE has such an overage as of the end of the Adjustment Period, that QSE will be charged for any quantity that exceeds their Self-Arranged Ancillary Service Quantities</w:t>
            </w:r>
            <w:r w:rsidDel="00E22BA7">
              <w:rPr>
                <w:szCs w:val="20"/>
              </w:rPr>
              <w:t xml:space="preserve"> </w:t>
            </w:r>
            <w:r>
              <w:rPr>
                <w:szCs w:val="20"/>
              </w:rPr>
              <w:t>per Section 6.7.5.1, Real-Time Ancillary Service Imbalance Payment or Charge.</w:t>
            </w:r>
          </w:p>
        </w:tc>
      </w:tr>
    </w:tbl>
    <w:p w14:paraId="32BED177" w14:textId="2AE27845" w:rsidR="002E4A30" w:rsidRPr="006E11D1" w:rsidRDefault="002E4A30" w:rsidP="00F539C2">
      <w:pPr>
        <w:spacing w:before="240" w:after="240"/>
        <w:ind w:left="720" w:hanging="720"/>
        <w:rPr>
          <w:szCs w:val="20"/>
        </w:rPr>
      </w:pPr>
      <w:r w:rsidRPr="006E11D1">
        <w:rPr>
          <w:szCs w:val="20"/>
        </w:rPr>
        <w:lastRenderedPageBreak/>
        <w:t>(9)</w:t>
      </w:r>
      <w:r w:rsidRPr="006E11D1">
        <w:rPr>
          <w:szCs w:val="20"/>
        </w:rPr>
        <w:tab/>
        <w:t>For self-arranged RRS, the QSE shall indicate the quantity of the service that is provided from:</w:t>
      </w:r>
    </w:p>
    <w:p w14:paraId="5D76A343" w14:textId="56DA3C2E" w:rsidR="002E4A30" w:rsidRPr="006E11D1" w:rsidRDefault="002E4A30" w:rsidP="002E4A30">
      <w:pPr>
        <w:pStyle w:val="List"/>
        <w:ind w:left="1440"/>
      </w:pPr>
      <w:r>
        <w:t>(a)</w:t>
      </w:r>
      <w:r w:rsidRPr="006E11D1">
        <w:rPr>
          <w:szCs w:val="20"/>
        </w:rPr>
        <w:tab/>
        <w:t>Resources</w:t>
      </w:r>
      <w:r w:rsidR="00492394" w:rsidRPr="00492394">
        <w:rPr>
          <w:szCs w:val="20"/>
        </w:rPr>
        <w:t xml:space="preserve"> </w:t>
      </w:r>
      <w:r w:rsidR="00492394">
        <w:rPr>
          <w:szCs w:val="20"/>
        </w:rPr>
        <w:t>providing Primary Frequency Response</w:t>
      </w:r>
      <w:r w:rsidRPr="006E11D1">
        <w:t>;</w:t>
      </w:r>
    </w:p>
    <w:p w14:paraId="2B6223CC" w14:textId="1B8EEC37" w:rsidR="002E4A30" w:rsidRPr="006E11D1" w:rsidRDefault="002E4A30" w:rsidP="002E4A30">
      <w:pPr>
        <w:pStyle w:val="List"/>
        <w:ind w:left="1440"/>
        <w:rPr>
          <w:szCs w:val="20"/>
        </w:rPr>
      </w:pPr>
      <w:r w:rsidRPr="006E11D1">
        <w:rPr>
          <w:szCs w:val="20"/>
        </w:rPr>
        <w:t>(b)</w:t>
      </w:r>
      <w:r w:rsidRPr="006E11D1">
        <w:rPr>
          <w:szCs w:val="20"/>
        </w:rPr>
        <w:tab/>
      </w:r>
      <w:r w:rsidR="00492394" w:rsidRPr="00842433">
        <w:t>Load</w:t>
      </w:r>
      <w:r w:rsidR="00492394" w:rsidRPr="00842433">
        <w:rPr>
          <w:szCs w:val="20"/>
        </w:rPr>
        <w:t xml:space="preserve"> Resources </w:t>
      </w:r>
      <w:r w:rsidR="00492394" w:rsidRPr="00842433">
        <w:t>controlled</w:t>
      </w:r>
      <w:r w:rsidR="00492394" w:rsidRPr="00842433">
        <w:rPr>
          <w:szCs w:val="20"/>
        </w:rPr>
        <w:t xml:space="preserve"> by high-set under-frequency relays</w:t>
      </w:r>
      <w:r w:rsidRPr="006E11D1">
        <w:rPr>
          <w:szCs w:val="20"/>
        </w:rPr>
        <w:t>; and</w:t>
      </w:r>
    </w:p>
    <w:p w14:paraId="6F041682" w14:textId="7B14BAA8" w:rsidR="00C8233E" w:rsidRDefault="002E4A30" w:rsidP="00E93C7C">
      <w:pPr>
        <w:pStyle w:val="List2"/>
        <w:spacing w:after="240"/>
        <w:ind w:left="1440" w:hanging="720"/>
        <w:rPr>
          <w:szCs w:val="20"/>
        </w:rPr>
      </w:pPr>
      <w:r w:rsidRPr="006E11D1">
        <w:rPr>
          <w:szCs w:val="20"/>
        </w:rPr>
        <w:t>(c)</w:t>
      </w:r>
      <w:r w:rsidRPr="006E11D1">
        <w:rPr>
          <w:szCs w:val="20"/>
        </w:rPr>
        <w:tab/>
      </w:r>
      <w:r w:rsidR="00C11C64" w:rsidRPr="00157AF8">
        <w:rPr>
          <w:szCs w:val="20"/>
        </w:rPr>
        <w:t>Fast Frequency Response (FFR) Resources</w:t>
      </w:r>
      <w:r w:rsidRPr="006E11D1">
        <w:rPr>
          <w:szCs w:val="20"/>
        </w:rPr>
        <w:t>.</w:t>
      </w:r>
      <w:bookmarkEnd w:id="281"/>
      <w:bookmarkEnd w:id="282"/>
    </w:p>
    <w:p w14:paraId="6549B019" w14:textId="157BB46C" w:rsidR="00C26892" w:rsidRDefault="00C26892" w:rsidP="00C26892">
      <w:pPr>
        <w:spacing w:after="240"/>
        <w:ind w:left="720" w:hanging="720"/>
      </w:pPr>
      <w:r>
        <w:rPr>
          <w:szCs w:val="20"/>
        </w:rPr>
        <w:t>(10</w:t>
      </w:r>
      <w:r w:rsidRPr="0003648D">
        <w:rPr>
          <w:szCs w:val="20"/>
        </w:rPr>
        <w:t>)</w:t>
      </w:r>
      <w:r w:rsidRPr="0003648D">
        <w:rPr>
          <w:szCs w:val="20"/>
        </w:rPr>
        <w:tab/>
        <w:t xml:space="preserve">For self-arranged </w:t>
      </w:r>
      <w:r>
        <w:rPr>
          <w:szCs w:val="20"/>
        </w:rPr>
        <w:t>ECRS</w:t>
      </w:r>
      <w:r w:rsidRPr="0003648D">
        <w:rPr>
          <w:szCs w:val="20"/>
        </w:rPr>
        <w:t>, the QSE shall indicate the quantity of the service that is provided from</w:t>
      </w:r>
      <w:r>
        <w:rPr>
          <w:szCs w:val="20"/>
        </w:rPr>
        <w:t xml:space="preserve"> Resources that are manually dispatched and those that are SCED-dispatchable.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E69DE" w:rsidRPr="004B32CF" w14:paraId="358209C6" w14:textId="77777777" w:rsidTr="00C643BC">
        <w:trPr>
          <w:trHeight w:val="386"/>
        </w:trPr>
        <w:tc>
          <w:tcPr>
            <w:tcW w:w="9350" w:type="dxa"/>
            <w:shd w:val="pct12" w:color="auto" w:fill="auto"/>
          </w:tcPr>
          <w:p w14:paraId="7EAB552C" w14:textId="46BA2A95" w:rsidR="00BE69DE" w:rsidRPr="004B32CF" w:rsidRDefault="00BE69DE" w:rsidP="00C643BC">
            <w:pPr>
              <w:spacing w:before="120" w:after="240"/>
              <w:rPr>
                <w:b/>
                <w:i/>
                <w:iCs/>
              </w:rPr>
            </w:pPr>
            <w:bookmarkStart w:id="283" w:name="_Toc402345588"/>
            <w:bookmarkStart w:id="284" w:name="_Toc405383871"/>
            <w:bookmarkStart w:id="285" w:name="_Toc405536973"/>
            <w:bookmarkStart w:id="286" w:name="_Toc440871760"/>
            <w:bookmarkStart w:id="287" w:name="_Toc135990634"/>
            <w:r>
              <w:rPr>
                <w:b/>
                <w:i/>
                <w:iCs/>
              </w:rPr>
              <w:t>[NPRR1213:  Replace paragraph (10</w:t>
            </w:r>
            <w:r w:rsidRPr="004B32CF">
              <w:rPr>
                <w:b/>
                <w:i/>
                <w:iCs/>
              </w:rPr>
              <w:t>) above with the following upon system implementation</w:t>
            </w:r>
            <w:r>
              <w:rPr>
                <w:b/>
                <w:i/>
                <w:iCs/>
              </w:rPr>
              <w:t>, and upon system implementation of NPRR117</w:t>
            </w:r>
            <w:r w:rsidR="0019129E">
              <w:rPr>
                <w:b/>
                <w:i/>
                <w:iCs/>
              </w:rPr>
              <w:t>1</w:t>
            </w:r>
            <w:r w:rsidRPr="004B32CF">
              <w:rPr>
                <w:b/>
                <w:i/>
                <w:iCs/>
              </w:rPr>
              <w:t>:]</w:t>
            </w:r>
          </w:p>
          <w:p w14:paraId="59D5280F" w14:textId="2CE8E2FD" w:rsidR="00BE69DE" w:rsidRDefault="00BE69DE" w:rsidP="00BE69DE">
            <w:pPr>
              <w:spacing w:after="240"/>
              <w:ind w:left="720" w:hanging="720"/>
              <w:rPr>
                <w:szCs w:val="20"/>
              </w:rPr>
            </w:pPr>
            <w:bookmarkStart w:id="288" w:name="_Hlk158043402"/>
            <w:r w:rsidRPr="00511F9B">
              <w:rPr>
                <w:szCs w:val="20"/>
              </w:rPr>
              <w:t>(10)</w:t>
            </w:r>
            <w:r w:rsidRPr="00511F9B">
              <w:rPr>
                <w:szCs w:val="20"/>
              </w:rPr>
              <w:tab/>
              <w:t xml:space="preserve">For self-arranged ECRS and Non-Spin, the QSE shall indicate the quantity of the service that is provided from Resources that are manually dispatched, </w:t>
            </w:r>
            <w:r w:rsidR="008211DB">
              <w:rPr>
                <w:szCs w:val="20"/>
              </w:rPr>
              <w:t>Distribution Generation Resources (</w:t>
            </w:r>
            <w:r w:rsidRPr="00511F9B">
              <w:rPr>
                <w:szCs w:val="20"/>
              </w:rPr>
              <w:t>DGR</w:t>
            </w:r>
            <w:r>
              <w:rPr>
                <w:szCs w:val="20"/>
              </w:rPr>
              <w:t>s</w:t>
            </w:r>
            <w:r w:rsidR="008211DB">
              <w:rPr>
                <w:szCs w:val="20"/>
              </w:rPr>
              <w:t>)</w:t>
            </w:r>
            <w:r>
              <w:rPr>
                <w:szCs w:val="20"/>
              </w:rPr>
              <w:t xml:space="preserve"> and </w:t>
            </w:r>
            <w:r w:rsidR="008211DB">
              <w:rPr>
                <w:szCs w:val="20"/>
              </w:rPr>
              <w:t>Distribution Energy Storage Resources (</w:t>
            </w:r>
            <w:r w:rsidRPr="00511F9B">
              <w:rPr>
                <w:szCs w:val="20"/>
              </w:rPr>
              <w:t>DESR</w:t>
            </w:r>
            <w:r>
              <w:rPr>
                <w:szCs w:val="20"/>
              </w:rPr>
              <w:t>s</w:t>
            </w:r>
            <w:r w:rsidR="008211DB">
              <w:rPr>
                <w:szCs w:val="20"/>
              </w:rPr>
              <w:t>)</w:t>
            </w:r>
            <w:r w:rsidRPr="00511F9B">
              <w:rPr>
                <w:szCs w:val="20"/>
              </w:rPr>
              <w:t xml:space="preserve"> on circuits subject to </w:t>
            </w:r>
            <w:r>
              <w:rPr>
                <w:szCs w:val="20"/>
              </w:rPr>
              <w:t>L</w:t>
            </w:r>
            <w:r w:rsidRPr="00511F9B">
              <w:rPr>
                <w:szCs w:val="20"/>
              </w:rPr>
              <w:t xml:space="preserve">oad shed, and Resources that are SCED-dispatchable not on circuits subject to </w:t>
            </w:r>
            <w:r>
              <w:rPr>
                <w:szCs w:val="20"/>
              </w:rPr>
              <w:t>L</w:t>
            </w:r>
            <w:r w:rsidRPr="00511F9B">
              <w:rPr>
                <w:szCs w:val="20"/>
              </w:rPr>
              <w:t>oad shed.</w:t>
            </w:r>
          </w:p>
          <w:p w14:paraId="0DEF6F00" w14:textId="767F9D0E" w:rsidR="00BE69DE" w:rsidRPr="00BE69DE" w:rsidRDefault="00BE69DE" w:rsidP="00BE69DE">
            <w:pPr>
              <w:spacing w:after="240"/>
              <w:ind w:left="720" w:hanging="720"/>
              <w:rPr>
                <w:szCs w:val="20"/>
              </w:rPr>
            </w:pPr>
            <w:r w:rsidRPr="002221F2">
              <w:rPr>
                <w:szCs w:val="20"/>
              </w:rPr>
              <w:t xml:space="preserve">(11)     For self-arranged Non-Spin, the QSE shall indicate </w:t>
            </w:r>
            <w:r>
              <w:rPr>
                <w:szCs w:val="20"/>
              </w:rPr>
              <w:t xml:space="preserve">the </w:t>
            </w:r>
            <w:r w:rsidRPr="002221F2">
              <w:rPr>
                <w:szCs w:val="20"/>
              </w:rPr>
              <w:t>quantit</w:t>
            </w:r>
            <w:r>
              <w:rPr>
                <w:szCs w:val="20"/>
              </w:rPr>
              <w:t>y</w:t>
            </w:r>
            <w:r w:rsidRPr="002221F2">
              <w:rPr>
                <w:szCs w:val="20"/>
              </w:rPr>
              <w:t xml:space="preserve"> of the service that </w:t>
            </w:r>
            <w:r>
              <w:rPr>
                <w:szCs w:val="20"/>
              </w:rPr>
              <w:t>is</w:t>
            </w:r>
            <w:r w:rsidRPr="002221F2">
              <w:rPr>
                <w:szCs w:val="20"/>
              </w:rPr>
              <w:t xml:space="preserve"> provided from Resources that are manually dispatched, DGRs and DESRs on circuits subject to Load shed, and Resources that are SCED-dispatchable and not on circuits subject to Load shed.</w:t>
            </w:r>
            <w:bookmarkEnd w:id="288"/>
          </w:p>
        </w:tc>
      </w:tr>
    </w:tbl>
    <w:p w14:paraId="045FC4D0" w14:textId="77777777" w:rsidR="00C216A9" w:rsidRPr="005058CB" w:rsidRDefault="00C216A9" w:rsidP="005506CA">
      <w:pPr>
        <w:pStyle w:val="List2"/>
        <w:spacing w:before="480" w:after="240"/>
        <w:ind w:left="0" w:firstLine="0"/>
        <w:outlineLvl w:val="4"/>
        <w:rPr>
          <w:b/>
          <w:i/>
        </w:rPr>
      </w:pPr>
      <w:r w:rsidRPr="005058CB">
        <w:rPr>
          <w:b/>
          <w:i/>
        </w:rPr>
        <w:t>4.4.7.1.1</w:t>
      </w:r>
      <w:r w:rsidRPr="005058CB">
        <w:rPr>
          <w:b/>
          <w:i/>
        </w:rPr>
        <w:tab/>
        <w:t>Negative Self-Arranged Ancillary Service Quantities</w:t>
      </w:r>
      <w:bookmarkEnd w:id="283"/>
      <w:bookmarkEnd w:id="284"/>
      <w:bookmarkEnd w:id="285"/>
      <w:bookmarkEnd w:id="286"/>
      <w:bookmarkEnd w:id="287"/>
    </w:p>
    <w:p w14:paraId="690E167C" w14:textId="77777777" w:rsidR="00C216A9" w:rsidRDefault="007063DC" w:rsidP="00C216A9">
      <w:pPr>
        <w:pStyle w:val="List2"/>
        <w:spacing w:after="240"/>
        <w:ind w:hanging="720"/>
      </w:pPr>
      <w:r>
        <w:lastRenderedPageBreak/>
        <w:t>(1)</w:t>
      </w:r>
      <w:r>
        <w:tab/>
        <w:t>A QSE may submit a negative Self-Arranged Ancillary Service Quantity in the DAM.  ERCOT shall procure all negative Self-Arranged Ancillary Service Quantities submitted by a QSE.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11AAC" w:rsidRPr="004B32CF" w14:paraId="6EFF88BB" w14:textId="77777777" w:rsidTr="00B11AAC">
        <w:trPr>
          <w:trHeight w:val="386"/>
        </w:trPr>
        <w:tc>
          <w:tcPr>
            <w:tcW w:w="9350" w:type="dxa"/>
            <w:shd w:val="pct12" w:color="auto" w:fill="auto"/>
          </w:tcPr>
          <w:p w14:paraId="73CAA7DC" w14:textId="42F0D694" w:rsidR="00B11AAC" w:rsidRPr="004B32CF" w:rsidRDefault="00B11AAC" w:rsidP="00B11AAC">
            <w:pPr>
              <w:spacing w:before="120" w:after="240"/>
              <w:rPr>
                <w:b/>
                <w:i/>
                <w:iCs/>
              </w:rPr>
            </w:pPr>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4096A9DE" w14:textId="4E1F1875" w:rsidR="00B11AAC" w:rsidRPr="00B11AAC" w:rsidRDefault="00B11AAC" w:rsidP="00B96815">
            <w:pPr>
              <w:pStyle w:val="List2"/>
              <w:spacing w:after="240"/>
              <w:ind w:hanging="720"/>
            </w:pPr>
            <w:r>
              <w:t>(1)</w:t>
            </w:r>
            <w:r>
              <w:tab/>
              <w:t>A QSE may submit a negative Self-Arranged Ancillary Service Quantity in the DAM.  ERCOT shall procure all negative Self-Arranged Ancillary Service Quantities submitted by a QSE.</w:t>
            </w:r>
            <w:r w:rsidR="00235738">
              <w:t xml:space="preserve">  </w:t>
            </w:r>
            <w:r>
              <w:t xml:space="preserve">Such negative Self-Arranged Ancillary Service Quantities will be considered by DAM to be equivalent to a bid to buy Ancillary Services at the highest price on each respective </w:t>
            </w:r>
            <w:r w:rsidR="00B96815">
              <w:t>ASDC</w:t>
            </w:r>
            <w:r>
              <w:t>.</w:t>
            </w:r>
          </w:p>
        </w:tc>
      </w:tr>
    </w:tbl>
    <w:p w14:paraId="5C81725B" w14:textId="530A075D" w:rsidR="00565A0F" w:rsidRDefault="007063DC" w:rsidP="00F539C2">
      <w:pPr>
        <w:pStyle w:val="List"/>
        <w:spacing w:before="240"/>
        <w:ind w:left="720"/>
      </w:pPr>
      <w:r>
        <w:t>(2)</w:t>
      </w:r>
      <w:r>
        <w:tab/>
        <w:t>Procurements of negative Self-Arranged Ancillary Service Quantities by ERCOT shall be settled in the same manner as Ancillary Service Obligations that are not self-arranged and according to the charges defined in Section 4.6.4.2, Charges for Ancillary Services Procurement in the DAM, and Section 6.7, Real-Time Settlement Calculations for the Ancillary Services.</w:t>
      </w:r>
    </w:p>
    <w:p w14:paraId="6D0CE8B2" w14:textId="46C1A558" w:rsidR="00C216A9" w:rsidRDefault="00C216A9" w:rsidP="008E0462">
      <w:pPr>
        <w:pStyle w:val="List2"/>
        <w:spacing w:after="240"/>
        <w:ind w:hanging="720"/>
      </w:pPr>
      <w:r w:rsidRPr="0064187E">
        <w:t>(3)</w:t>
      </w:r>
      <w:r w:rsidRPr="0064187E">
        <w:tab/>
      </w:r>
      <w:r>
        <w:t>A</w:t>
      </w:r>
      <w:r w:rsidRPr="0064187E">
        <w:t xml:space="preserve"> QSE may not submit a negative Self-Arranged Ancillary Service Quantity in the DAM that is </w:t>
      </w:r>
      <w:r>
        <w:t xml:space="preserve">less </w:t>
      </w:r>
      <w:r w:rsidRPr="0064187E">
        <w:t xml:space="preserve">than </w:t>
      </w:r>
      <w:r>
        <w:t>-500 MW per Ancillary Service.  For negative self-arranged RRS</w:t>
      </w:r>
      <w:r w:rsidR="00C26892">
        <w:t xml:space="preserve"> and ECRS</w:t>
      </w:r>
      <w:r>
        <w:t xml:space="preserve">, the QSE shall not specify </w:t>
      </w:r>
      <w:r w:rsidR="002457EC" w:rsidRPr="00157AF8">
        <w:t xml:space="preserve">FFR Resources, </w:t>
      </w:r>
      <w:r>
        <w:t>Controllable Load Resources</w:t>
      </w:r>
      <w:r w:rsidR="00C26892">
        <w:t>,</w:t>
      </w:r>
      <w:r>
        <w:t xml:space="preserve"> and Load Resources controlled by high-set under-frequency relays.  For compliance purposes, a</w:t>
      </w:r>
      <w:r w:rsidRPr="0064187E">
        <w:t xml:space="preserve"> QSE may not submit a negative Self-Arranged Ancillary Service Quantity in the DAM that is greater </w:t>
      </w:r>
      <w:r>
        <w:t xml:space="preserve">in magnitude </w:t>
      </w:r>
      <w:r w:rsidRPr="0064187E">
        <w:t xml:space="preserve">than </w:t>
      </w:r>
      <w:r>
        <w:t xml:space="preserve">the absolute value of the net sales of </w:t>
      </w:r>
      <w:r w:rsidRPr="0064187E">
        <w:t xml:space="preserve">its Ancillary Service Trades </w:t>
      </w:r>
      <w:r>
        <w:t>per Ancillary Service.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E69DE" w:rsidRPr="004B32CF" w14:paraId="1D07735D" w14:textId="77777777" w:rsidTr="00C643BC">
        <w:trPr>
          <w:trHeight w:val="386"/>
        </w:trPr>
        <w:tc>
          <w:tcPr>
            <w:tcW w:w="9350" w:type="dxa"/>
            <w:shd w:val="pct12" w:color="auto" w:fill="auto"/>
          </w:tcPr>
          <w:p w14:paraId="2AAAFCB8" w14:textId="63747BD1" w:rsidR="00BE69DE" w:rsidRPr="004B32CF" w:rsidRDefault="00BE69DE" w:rsidP="00C643BC">
            <w:pPr>
              <w:spacing w:before="120" w:after="240"/>
              <w:rPr>
                <w:b/>
                <w:i/>
                <w:iCs/>
              </w:rPr>
            </w:pPr>
            <w:bookmarkStart w:id="289" w:name="_Toc90197119"/>
            <w:bookmarkStart w:id="290" w:name="_Toc92873944"/>
            <w:bookmarkStart w:id="291" w:name="_Toc142108920"/>
            <w:bookmarkStart w:id="292" w:name="_Toc142113765"/>
            <w:bookmarkStart w:id="293" w:name="_Toc402345589"/>
            <w:bookmarkStart w:id="294" w:name="_Toc405383872"/>
            <w:bookmarkStart w:id="295" w:name="_Toc405536974"/>
            <w:bookmarkStart w:id="296" w:name="_Toc440871761"/>
            <w:bookmarkStart w:id="297" w:name="_Toc135990635"/>
            <w:r>
              <w:rPr>
                <w:b/>
                <w:i/>
                <w:iCs/>
              </w:rPr>
              <w:t>[NPRR1213:  Replace paragraph (3</w:t>
            </w:r>
            <w:r w:rsidRPr="004B32CF">
              <w:rPr>
                <w:b/>
                <w:i/>
                <w:iCs/>
              </w:rPr>
              <w:t>) above with the following upon system implementation</w:t>
            </w:r>
            <w:r>
              <w:rPr>
                <w:b/>
                <w:i/>
                <w:iCs/>
              </w:rPr>
              <w:t>, and upon system implementation of NPRR117</w:t>
            </w:r>
            <w:r w:rsidR="0019129E">
              <w:rPr>
                <w:b/>
                <w:i/>
                <w:iCs/>
              </w:rPr>
              <w:t>1</w:t>
            </w:r>
            <w:r w:rsidRPr="004B32CF">
              <w:rPr>
                <w:b/>
                <w:i/>
                <w:iCs/>
              </w:rPr>
              <w:t>:]</w:t>
            </w:r>
          </w:p>
          <w:p w14:paraId="36E57D5F" w14:textId="2E35D6AD" w:rsidR="00BE69DE" w:rsidRPr="00BE69DE" w:rsidRDefault="00BE69DE" w:rsidP="00BE69DE">
            <w:pPr>
              <w:spacing w:after="240"/>
              <w:ind w:left="720" w:hanging="720"/>
            </w:pPr>
            <w:r w:rsidRPr="00511F9B">
              <w:t>(3)</w:t>
            </w:r>
            <w:r w:rsidRPr="00511F9B">
              <w:tab/>
              <w:t>A QSE may not submit a negative Self-Arranged Ancillary Service Quantity in the DAM that is less than -500 MW per Ancillary Service.  For negative self-arranged RRS, ECRS</w:t>
            </w:r>
            <w:r>
              <w:t>,</w:t>
            </w:r>
            <w:r w:rsidRPr="00511F9B">
              <w:t xml:space="preserve"> and Non-Spin, the QSE shall not specify FFR Resources, Controllable Load Resources, Load Resources controlled by high-set under-frequency relays, </w:t>
            </w:r>
            <w:r>
              <w:t xml:space="preserve">and </w:t>
            </w:r>
            <w:r w:rsidRPr="00511F9B">
              <w:rPr>
                <w:szCs w:val="20"/>
              </w:rPr>
              <w:t>DGR</w:t>
            </w:r>
            <w:r>
              <w:rPr>
                <w:szCs w:val="20"/>
              </w:rPr>
              <w:t xml:space="preserve">s and </w:t>
            </w:r>
            <w:r w:rsidRPr="00511F9B">
              <w:rPr>
                <w:szCs w:val="20"/>
              </w:rPr>
              <w:t>DESR</w:t>
            </w:r>
            <w:r>
              <w:rPr>
                <w:szCs w:val="20"/>
              </w:rPr>
              <w:t>s</w:t>
            </w:r>
            <w:r w:rsidRPr="00511F9B">
              <w:rPr>
                <w:szCs w:val="20"/>
              </w:rPr>
              <w:t xml:space="preserve"> on circuits subject to </w:t>
            </w:r>
            <w:r>
              <w:rPr>
                <w:szCs w:val="20"/>
              </w:rPr>
              <w:t>L</w:t>
            </w:r>
            <w:r w:rsidRPr="00511F9B">
              <w:rPr>
                <w:szCs w:val="20"/>
              </w:rPr>
              <w:t>oad shed</w:t>
            </w:r>
            <w:r w:rsidRPr="00511F9B">
              <w:t>.  For compliance purposes, a QSE may not submit a negative Self-Arranged Ancillary Service Quantity in the DAM that is greater in magnitude than the absolute value of the net sales of its Ancillary Service Trades per Ancillary Service.</w:t>
            </w:r>
          </w:p>
        </w:tc>
      </w:tr>
    </w:tbl>
    <w:p w14:paraId="34245F1C" w14:textId="77777777" w:rsidR="00FF2129" w:rsidRDefault="00482EF3" w:rsidP="005506CA">
      <w:pPr>
        <w:pStyle w:val="H4"/>
        <w:spacing w:before="480"/>
        <w:ind w:left="1267" w:hanging="1267"/>
      </w:pPr>
      <w:r>
        <w:t>4.4.7.2</w:t>
      </w:r>
      <w:r>
        <w:tab/>
        <w:t>Ancillary Service Offers</w:t>
      </w:r>
      <w:bookmarkEnd w:id="289"/>
      <w:bookmarkEnd w:id="290"/>
      <w:bookmarkEnd w:id="291"/>
      <w:bookmarkEnd w:id="292"/>
      <w:bookmarkEnd w:id="293"/>
      <w:bookmarkEnd w:id="294"/>
      <w:bookmarkEnd w:id="295"/>
      <w:bookmarkEnd w:id="296"/>
      <w:bookmarkEnd w:id="297"/>
    </w:p>
    <w:p w14:paraId="7261862B" w14:textId="77777777" w:rsidR="00FF2129" w:rsidRDefault="00482EF3">
      <w:pPr>
        <w:pStyle w:val="BodyTextNumbered"/>
        <w:tabs>
          <w:tab w:val="left" w:pos="720"/>
        </w:tabs>
      </w:pPr>
      <w:r>
        <w:t>(1)</w:t>
      </w:r>
      <w:r>
        <w:tab/>
        <w:t xml:space="preserve">By 1000 in the Day-Ahead, a QSE may submit Generation Resource-specific Ancillary Service Offers to ERCOT for the DAM and may offer the same Generation Resource </w:t>
      </w:r>
      <w:r>
        <w:lastRenderedPageBreak/>
        <w:t xml:space="preserve">capacity for any or all of the Ancillary Service products simultaneously with any Energy Offer Curves from that Generation Resource </w:t>
      </w:r>
      <w:r>
        <w:rPr>
          <w:rStyle w:val="msoins0"/>
          <w:u w:val="none"/>
        </w:rPr>
        <w:t>in the DAM</w:t>
      </w:r>
      <w:r>
        <w:t xml:space="preserve">.  </w:t>
      </w:r>
      <w:r>
        <w:rPr>
          <w:rStyle w:val="msoins0"/>
          <w:u w:val="none"/>
        </w:rPr>
        <w:t>A QSE may also submit Ancillary Service Offers in a SASM</w:t>
      </w:r>
      <w:r>
        <w:t xml:space="preserve">.  Offers of more than one Ancillary Service product from one Generation Resource may be inclusive or exclusive of each other and of any Energy Offer Curves, as specified according to a procedure developed by ERCOT.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11AAC" w:rsidRPr="004B32CF" w14:paraId="43780731" w14:textId="77777777" w:rsidTr="00B11AAC">
        <w:trPr>
          <w:trHeight w:val="386"/>
        </w:trPr>
        <w:tc>
          <w:tcPr>
            <w:tcW w:w="9350" w:type="dxa"/>
            <w:shd w:val="pct12" w:color="auto" w:fill="auto"/>
          </w:tcPr>
          <w:p w14:paraId="1CDD3CE6" w14:textId="76A689C6" w:rsidR="00B11AAC" w:rsidRPr="004B32CF" w:rsidRDefault="00B11AAC" w:rsidP="00B11AAC">
            <w:pPr>
              <w:spacing w:before="120" w:after="240"/>
              <w:rPr>
                <w:b/>
                <w:i/>
                <w:iCs/>
              </w:rPr>
            </w:pPr>
            <w:r>
              <w:rPr>
                <w:b/>
                <w:i/>
                <w:iCs/>
              </w:rPr>
              <w:t>[NPRR1008</w:t>
            </w:r>
            <w:r w:rsidR="0016783B">
              <w:rPr>
                <w:b/>
                <w:i/>
                <w:iCs/>
              </w:rPr>
              <w:t xml:space="preserve"> and NPRR1014</w:t>
            </w:r>
            <w:r>
              <w:rPr>
                <w:b/>
                <w:i/>
                <w:iCs/>
              </w:rPr>
              <w:t xml:space="preserve">:  Replace </w:t>
            </w:r>
            <w:r w:rsidR="0016783B">
              <w:rPr>
                <w:b/>
                <w:i/>
                <w:iCs/>
              </w:rPr>
              <w:t xml:space="preserve">applicable portions of </w:t>
            </w:r>
            <w:r>
              <w:rPr>
                <w:b/>
                <w:i/>
                <w:iCs/>
              </w:rPr>
              <w:t>paragraph (1</w:t>
            </w:r>
            <w:r w:rsidRPr="004B32CF">
              <w:rPr>
                <w:b/>
                <w:i/>
                <w:iCs/>
              </w:rPr>
              <w:t>) above with the following upon system implementation</w:t>
            </w:r>
            <w:r>
              <w:rPr>
                <w:b/>
                <w:i/>
                <w:iCs/>
              </w:rPr>
              <w:t xml:space="preserve"> of the Real-Time Co-Optimization (RTC) project</w:t>
            </w:r>
            <w:r w:rsidR="0016783B">
              <w:rPr>
                <w:b/>
                <w:i/>
                <w:iCs/>
              </w:rPr>
              <w:t xml:space="preserve"> for NPRR1008; or upon system implementation</w:t>
            </w:r>
            <w:r w:rsidR="00B96815">
              <w:rPr>
                <w:b/>
                <w:i/>
                <w:iCs/>
              </w:rPr>
              <w:t xml:space="preserve"> for </w:t>
            </w:r>
            <w:r w:rsidR="001B5D93">
              <w:rPr>
                <w:b/>
                <w:i/>
                <w:iCs/>
              </w:rPr>
              <w:t>NPRR1014</w:t>
            </w:r>
            <w:r w:rsidRPr="004B32CF">
              <w:rPr>
                <w:b/>
                <w:i/>
                <w:iCs/>
              </w:rPr>
              <w:t>:]</w:t>
            </w:r>
          </w:p>
          <w:p w14:paraId="6E7617B2" w14:textId="3DEA6225" w:rsidR="00B11AAC" w:rsidRPr="00B11AAC" w:rsidRDefault="00B11AAC" w:rsidP="0016783B">
            <w:pPr>
              <w:pStyle w:val="BodyTextNumbered"/>
              <w:tabs>
                <w:tab w:val="left" w:pos="720"/>
              </w:tabs>
            </w:pPr>
            <w:r>
              <w:t>(1)</w:t>
            </w:r>
            <w:r>
              <w:tab/>
              <w:t xml:space="preserve">By 1000 in the Day-Ahead, a QSE may submit Resource-Specific Ancillary Service Offers </w:t>
            </w:r>
            <w:r w:rsidR="0016783B" w:rsidRPr="0016783B">
              <w:t xml:space="preserve">from Generation Resources and ESRs </w:t>
            </w:r>
            <w:r>
              <w:t>to ERCOT for the DAM and may offer the same Generation Resource</w:t>
            </w:r>
            <w:r w:rsidR="0016783B">
              <w:t xml:space="preserve"> or ESR</w:t>
            </w:r>
            <w:r>
              <w:t xml:space="preserve"> capacity for any or all of the Ancillary Service products simultaneously with any Energy Offer Curves from that Generation Resource </w:t>
            </w:r>
            <w:r w:rsidR="0016783B" w:rsidRPr="00A552C3">
              <w:t>or Energy Bid/Offer Curves from that ESR</w:t>
            </w:r>
            <w:r w:rsidR="0016783B">
              <w:rPr>
                <w:rStyle w:val="CharChar1"/>
              </w:rPr>
              <w:t xml:space="preserve"> </w:t>
            </w:r>
            <w:r>
              <w:rPr>
                <w:rStyle w:val="msoins0"/>
                <w:u w:val="none"/>
              </w:rPr>
              <w:t>in the DAM</w:t>
            </w:r>
            <w:r>
              <w:t>.  Offers of more than one Ancillary Service product from one Generation Resource may be inclusive or exclusive of each other and of any Energy Offer Curves, as specified according to a procedure developed by ERCOT.</w:t>
            </w:r>
            <w:r w:rsidR="0016783B">
              <w:t xml:space="preserve">  </w:t>
            </w:r>
            <w:r w:rsidR="0016783B" w:rsidRPr="00A552C3">
              <w:t>Offers of more than one Ancillary Service product from one ESR may be inclusive or exclusive of each other, as specified according to a procedure developed by ERCOT.</w:t>
            </w:r>
          </w:p>
        </w:tc>
      </w:tr>
    </w:tbl>
    <w:p w14:paraId="22650706" w14:textId="32A3214A" w:rsidR="00FF2129" w:rsidRDefault="00482EF3" w:rsidP="00F539C2">
      <w:pPr>
        <w:pStyle w:val="BodyTextNumbered"/>
        <w:spacing w:before="240"/>
      </w:pPr>
      <w:r>
        <w:t>(2)</w:t>
      </w:r>
      <w:r>
        <w:tab/>
        <w:t>By 1000 in the Day-Ahead, a QSE may submit Load Resource-specific Ancillary Service Offers for Regulation Service, Non-Spin</w:t>
      </w:r>
      <w:r w:rsidR="00C26892">
        <w:t>,</w:t>
      </w:r>
      <w:r>
        <w:t xml:space="preserve"> </w:t>
      </w:r>
      <w:r w:rsidR="005D4DD6">
        <w:t>RRS</w:t>
      </w:r>
      <w:r w:rsidR="00C26892">
        <w:t>, and ECRS</w:t>
      </w:r>
      <w:r>
        <w:t xml:space="preserve"> to ERCOT and may offer the same Load Resource capacity for any or all of those Ancillary Service products simultaneously.  Offers of more than one Ancillary Service product from one Load Resource may be inclusive or exclusive of each other, as specified according to a procedure developed by ERCOT.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93350" w:rsidRPr="004B32CF" w14:paraId="5E40FF9B" w14:textId="3603B481" w:rsidTr="00C26A9C">
        <w:trPr>
          <w:trHeight w:val="386"/>
        </w:trPr>
        <w:tc>
          <w:tcPr>
            <w:tcW w:w="9350" w:type="dxa"/>
            <w:shd w:val="pct12" w:color="auto" w:fill="auto"/>
          </w:tcPr>
          <w:p w14:paraId="18CB3E22" w14:textId="3A614704" w:rsidR="00A93350" w:rsidRPr="004B32CF" w:rsidRDefault="00A93350" w:rsidP="00B34003">
            <w:pPr>
              <w:spacing w:before="120" w:after="240"/>
              <w:rPr>
                <w:b/>
                <w:i/>
                <w:iCs/>
              </w:rPr>
            </w:pPr>
            <w:r>
              <w:rPr>
                <w:b/>
                <w:i/>
                <w:iCs/>
              </w:rPr>
              <w:t>[</w:t>
            </w:r>
            <w:r w:rsidR="00B11AAC">
              <w:rPr>
                <w:b/>
                <w:i/>
                <w:iCs/>
              </w:rPr>
              <w:t>NPRR1008</w:t>
            </w:r>
            <w:r w:rsidR="0016783B">
              <w:rPr>
                <w:b/>
                <w:i/>
                <w:iCs/>
              </w:rPr>
              <w:t xml:space="preserve"> and NPRR1014</w:t>
            </w:r>
            <w:r>
              <w:rPr>
                <w:b/>
                <w:i/>
                <w:iCs/>
              </w:rPr>
              <w:t xml:space="preserve">:  Replace </w:t>
            </w:r>
            <w:r w:rsidR="00B96815">
              <w:rPr>
                <w:b/>
                <w:i/>
                <w:iCs/>
              </w:rPr>
              <w:t xml:space="preserve">applicable portions of </w:t>
            </w:r>
            <w:r>
              <w:rPr>
                <w:b/>
                <w:i/>
                <w:iCs/>
              </w:rPr>
              <w:t>paragraph (2</w:t>
            </w:r>
            <w:r w:rsidRPr="004B32CF">
              <w:rPr>
                <w:b/>
                <w:i/>
                <w:iCs/>
              </w:rPr>
              <w:t>) above with the following upon system implementation</w:t>
            </w:r>
            <w:r w:rsidR="0016783B">
              <w:rPr>
                <w:b/>
                <w:i/>
                <w:iCs/>
              </w:rPr>
              <w:t xml:space="preserve"> for NPRR1014;</w:t>
            </w:r>
            <w:r w:rsidR="00B11AAC">
              <w:rPr>
                <w:b/>
                <w:i/>
                <w:iCs/>
              </w:rPr>
              <w:t xml:space="preserve"> or upon system implementation of the Real-Time Co-Optimiz</w:t>
            </w:r>
            <w:r w:rsidR="0016783B">
              <w:rPr>
                <w:b/>
                <w:i/>
                <w:iCs/>
              </w:rPr>
              <w:t>ation (RTC) project for NPRR1008</w:t>
            </w:r>
            <w:r w:rsidRPr="004B32CF">
              <w:rPr>
                <w:b/>
                <w:i/>
                <w:iCs/>
              </w:rPr>
              <w:t>:]</w:t>
            </w:r>
          </w:p>
          <w:p w14:paraId="481B66BB" w14:textId="72FEDA25" w:rsidR="00A93350" w:rsidRPr="00A93350" w:rsidRDefault="00A93350" w:rsidP="00A93350">
            <w:pPr>
              <w:pStyle w:val="BodyTextNumbered"/>
            </w:pPr>
            <w:r>
              <w:t>(2)</w:t>
            </w:r>
            <w:r>
              <w:tab/>
              <w:t>By 1000 in the Day-Ahead, a QSE may submit Load Resource-</w:t>
            </w:r>
            <w:r w:rsidR="00B11AAC">
              <w:t>S</w:t>
            </w:r>
            <w:r>
              <w:t>pecific Ancillary Service Offers for Regulation Service, Non-Spin, RRS, and ECRS to ERCOT and may offer the same Load Resource capacity for any or all of those Ancillary Service products simultaneously.  Offers of more than one Ancillary Service product from one Load Resource may be inclusive or exclusive of each other, as specified according to a procedure developed by ERCOT.</w:t>
            </w:r>
          </w:p>
        </w:tc>
      </w:tr>
    </w:tbl>
    <w:p w14:paraId="63B3C4D7" w14:textId="0FD2F655" w:rsidR="00C26A9C" w:rsidRDefault="00A61BFA" w:rsidP="00A61BFA">
      <w:pPr>
        <w:pStyle w:val="BodyTextNumbered"/>
        <w:spacing w:before="240"/>
      </w:pPr>
      <w:r>
        <w:t>(3)</w:t>
      </w:r>
      <w:r>
        <w:tab/>
        <w:t xml:space="preserve">By 1000 in the Day-Ahead, a QSE may submit Resource-specific Ancillary Service Offers to ERCOT for FFR Resources, and may offer the same capacity for any or all of the Ancillary Service products simultaneously with any Energy Offer Curves from that Resource </w:t>
      </w:r>
      <w:r w:rsidRPr="0058035F">
        <w:rPr>
          <w:rStyle w:val="msoins0"/>
          <w:u w:val="none"/>
        </w:rPr>
        <w:t>in the DAM</w:t>
      </w:r>
      <w:r w:rsidRPr="00D6489D">
        <w:t xml:space="preserve">.  </w:t>
      </w:r>
      <w:r w:rsidRPr="0058035F">
        <w:rPr>
          <w:rStyle w:val="msoins0"/>
          <w:u w:val="none"/>
        </w:rPr>
        <w:t>A QSE may also submit Ancillary Service Offers in a SASM</w:t>
      </w:r>
      <w:r w:rsidRPr="00D6489D">
        <w:t xml:space="preserve">. </w:t>
      </w:r>
      <w:r>
        <w:t xml:space="preserve"> </w:t>
      </w:r>
      <w:r>
        <w:lastRenderedPageBreak/>
        <w:t>Offers of more than one Ancillary Service product may be inclusive or exclusive of each other and of any Energy Offer Curves, as specified according to a procedure developed by ERCOT.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60"/>
      </w:tblGrid>
      <w:tr w:rsidR="001864A9" w:rsidRPr="004B32CF" w14:paraId="537CE4EB" w14:textId="77777777" w:rsidTr="0034316F">
        <w:trPr>
          <w:trHeight w:val="386"/>
        </w:trPr>
        <w:tc>
          <w:tcPr>
            <w:tcW w:w="9360" w:type="dxa"/>
            <w:shd w:val="pct12" w:color="auto" w:fill="auto"/>
          </w:tcPr>
          <w:p w14:paraId="4874C233" w14:textId="51435ABD" w:rsidR="001864A9" w:rsidRPr="004B32CF" w:rsidRDefault="001864A9" w:rsidP="006C374D">
            <w:pPr>
              <w:spacing w:before="120" w:after="240"/>
              <w:rPr>
                <w:b/>
                <w:i/>
                <w:iCs/>
              </w:rPr>
            </w:pPr>
            <w:r>
              <w:rPr>
                <w:b/>
                <w:i/>
                <w:iCs/>
              </w:rPr>
              <w:t>[</w:t>
            </w:r>
            <w:r w:rsidR="00C26A9C">
              <w:rPr>
                <w:b/>
                <w:i/>
                <w:iCs/>
              </w:rPr>
              <w:t>NPRR1008</w:t>
            </w:r>
            <w:r w:rsidR="00A61BFA">
              <w:rPr>
                <w:b/>
                <w:i/>
                <w:iCs/>
              </w:rPr>
              <w:t xml:space="preserve"> and</w:t>
            </w:r>
            <w:r w:rsidR="0016783B">
              <w:rPr>
                <w:b/>
                <w:i/>
                <w:iCs/>
              </w:rPr>
              <w:t xml:space="preserve"> NPRR1014</w:t>
            </w:r>
            <w:r>
              <w:rPr>
                <w:b/>
                <w:i/>
                <w:iCs/>
              </w:rPr>
              <w:t xml:space="preserve">:  </w:t>
            </w:r>
            <w:r w:rsidR="00A61BFA">
              <w:rPr>
                <w:b/>
                <w:i/>
                <w:iCs/>
              </w:rPr>
              <w:t>Replace</w:t>
            </w:r>
            <w:r>
              <w:rPr>
                <w:b/>
                <w:i/>
                <w:iCs/>
              </w:rPr>
              <w:t xml:space="preserve"> </w:t>
            </w:r>
            <w:r w:rsidR="00C26A9C">
              <w:rPr>
                <w:b/>
                <w:i/>
                <w:iCs/>
              </w:rPr>
              <w:t xml:space="preserve">applicable portions of </w:t>
            </w:r>
            <w:r>
              <w:rPr>
                <w:b/>
                <w:i/>
                <w:iCs/>
              </w:rPr>
              <w:t>paragraph (3</w:t>
            </w:r>
            <w:r w:rsidRPr="004B32CF">
              <w:rPr>
                <w:b/>
                <w:i/>
                <w:iCs/>
              </w:rPr>
              <w:t xml:space="preserve">) </w:t>
            </w:r>
            <w:r w:rsidR="00A61BFA">
              <w:rPr>
                <w:b/>
                <w:i/>
                <w:iCs/>
              </w:rPr>
              <w:t>above with the following</w:t>
            </w:r>
            <w:r>
              <w:rPr>
                <w:b/>
                <w:i/>
                <w:iCs/>
              </w:rPr>
              <w:t xml:space="preserve"> </w:t>
            </w:r>
            <w:r w:rsidR="00C26A9C" w:rsidRPr="004B32CF">
              <w:rPr>
                <w:b/>
                <w:i/>
                <w:iCs/>
              </w:rPr>
              <w:t>upon system implementation</w:t>
            </w:r>
            <w:r w:rsidR="00C26A9C">
              <w:rPr>
                <w:b/>
                <w:i/>
                <w:iCs/>
              </w:rPr>
              <w:t xml:space="preserve"> of the Real-Time Co-Optimization (RTC) project</w:t>
            </w:r>
            <w:r w:rsidR="0016783B">
              <w:rPr>
                <w:b/>
                <w:i/>
                <w:iCs/>
              </w:rPr>
              <w:t xml:space="preserve"> for NPRR1008</w:t>
            </w:r>
            <w:r w:rsidR="00C26A9C">
              <w:rPr>
                <w:b/>
                <w:i/>
                <w:iCs/>
              </w:rPr>
              <w:t>;</w:t>
            </w:r>
            <w:r w:rsidR="0016783B">
              <w:rPr>
                <w:b/>
                <w:i/>
                <w:iCs/>
              </w:rPr>
              <w:t xml:space="preserve"> or upon system implementation </w:t>
            </w:r>
            <w:r w:rsidR="00B96815">
              <w:rPr>
                <w:b/>
                <w:i/>
                <w:iCs/>
              </w:rPr>
              <w:t xml:space="preserve">for </w:t>
            </w:r>
            <w:r w:rsidR="001B5D93">
              <w:rPr>
                <w:b/>
                <w:i/>
                <w:iCs/>
              </w:rPr>
              <w:t>NPRR1014</w:t>
            </w:r>
            <w:r w:rsidRPr="004B32CF">
              <w:rPr>
                <w:b/>
                <w:i/>
                <w:iCs/>
              </w:rPr>
              <w:t>:]</w:t>
            </w:r>
          </w:p>
          <w:p w14:paraId="424B07F4" w14:textId="47428779" w:rsidR="001864A9" w:rsidRPr="00A93350" w:rsidRDefault="001864A9" w:rsidP="00C26A9C">
            <w:pPr>
              <w:pStyle w:val="BodyTextNumbered"/>
            </w:pPr>
            <w:r>
              <w:t>(3)</w:t>
            </w:r>
            <w:r>
              <w:tab/>
              <w:t>By 1000 in the Day-Ahead, a QSE may submit Resource-</w:t>
            </w:r>
            <w:r w:rsidR="00C26A9C">
              <w:t>S</w:t>
            </w:r>
            <w:r>
              <w:t xml:space="preserve">pecific Ancillary Service Offers to ERCOT for FFR Resources, and may offer the same capacity for any or all of the Ancillary Service products simultaneously with any Energy Offer Curves from that Resource </w:t>
            </w:r>
            <w:r w:rsidRPr="006F1EA5">
              <w:rPr>
                <w:rStyle w:val="msoins0"/>
                <w:u w:val="none"/>
              </w:rPr>
              <w:t>in the DAM</w:t>
            </w:r>
            <w:r w:rsidRPr="00D6489D">
              <w:t xml:space="preserve">.  </w:t>
            </w:r>
            <w:r>
              <w:t>Offers of more than one Ancillary Service product may be inclusive or exclusive of each other and of any Energy Offer Curves, as specified according to a procedure developed by ERCOT.</w:t>
            </w:r>
          </w:p>
        </w:tc>
      </w:tr>
    </w:tbl>
    <w:p w14:paraId="03BD6AD1" w14:textId="378637A3" w:rsidR="002D65AE" w:rsidRDefault="002D65AE"/>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96815" w:rsidRPr="004B32CF" w14:paraId="06C52FDE" w14:textId="77777777" w:rsidTr="00B96815">
        <w:trPr>
          <w:trHeight w:val="386"/>
        </w:trPr>
        <w:tc>
          <w:tcPr>
            <w:tcW w:w="9350" w:type="dxa"/>
            <w:shd w:val="pct12" w:color="auto" w:fill="auto"/>
          </w:tcPr>
          <w:p w14:paraId="784C4277" w14:textId="1FFCF7E7" w:rsidR="00B96815" w:rsidRPr="004B32CF" w:rsidRDefault="00B96815" w:rsidP="00B96815">
            <w:pPr>
              <w:spacing w:before="120" w:after="240"/>
              <w:rPr>
                <w:b/>
                <w:i/>
                <w:iCs/>
              </w:rPr>
            </w:pPr>
            <w:r>
              <w:rPr>
                <w:b/>
                <w:i/>
                <w:iCs/>
              </w:rPr>
              <w:t>[NPRR1008 and NPRR1014:  Insert applicable portions of paragraph (</w:t>
            </w:r>
            <w:r w:rsidR="00A61BFA">
              <w:rPr>
                <w:b/>
                <w:i/>
                <w:iCs/>
              </w:rPr>
              <w:t>4</w:t>
            </w:r>
            <w:r w:rsidRPr="004B32CF">
              <w:rPr>
                <w:b/>
                <w:i/>
                <w:iCs/>
              </w:rPr>
              <w:t xml:space="preserve">) </w:t>
            </w:r>
            <w:r>
              <w:rPr>
                <w:b/>
                <w:i/>
                <w:iCs/>
              </w:rPr>
              <w:t>below</w:t>
            </w:r>
            <w:r w:rsidRPr="004B32CF">
              <w:rPr>
                <w:b/>
                <w:i/>
                <w:iCs/>
              </w:rPr>
              <w:t xml:space="preserve"> upon system implementation</w:t>
            </w:r>
            <w:r>
              <w:rPr>
                <w:b/>
                <w:i/>
                <w:iCs/>
              </w:rPr>
              <w:t xml:space="preserve"> of the Real-Time Co-Optimization (RTC) project for NPRR1008; or upon system implementation for NPRR1014; and renumber accordingly</w:t>
            </w:r>
            <w:r w:rsidRPr="004B32CF">
              <w:rPr>
                <w:b/>
                <w:i/>
                <w:iCs/>
              </w:rPr>
              <w:t>:]</w:t>
            </w:r>
          </w:p>
          <w:p w14:paraId="209ECA57" w14:textId="46BF1A55" w:rsidR="00B96815" w:rsidRPr="00B11AAC" w:rsidRDefault="00B96815" w:rsidP="00B96815">
            <w:pPr>
              <w:pStyle w:val="BodyTextNumbered"/>
              <w:spacing w:before="240"/>
            </w:pPr>
            <w:r>
              <w:t>(</w:t>
            </w:r>
            <w:r w:rsidR="00A61BFA">
              <w:t>4</w:t>
            </w:r>
            <w:r>
              <w:t>)</w:t>
            </w:r>
            <w:r>
              <w:tab/>
              <w:t>By 1000 in the Day-Ahead, a QSE may submit an Ancillary Service Only Offer to ERCOT for the DAM.  An individual Ancillary Service Only Offer must be exclusive to a single Ancillary Service product.  For purposes of Ancillary Service sub-category limitations and validations, an Ancillary Service Only Offer for RRS will be treated as if it was an offer for RRS from an On-Line Generation Resource.  Likewise, an Ancillary Service Only Offer for ECRS will be treated as if it was an offer for ECRS from an On-Line Generation Resource.</w:t>
            </w:r>
          </w:p>
        </w:tc>
      </w:tr>
    </w:tbl>
    <w:p w14:paraId="7E9AB7D2" w14:textId="2C61F84F" w:rsidR="00FF2129" w:rsidRDefault="00482EF3" w:rsidP="00FF1649">
      <w:pPr>
        <w:pStyle w:val="BodyTextNumbered"/>
        <w:spacing w:before="240"/>
      </w:pPr>
      <w:r>
        <w:t>(</w:t>
      </w:r>
      <w:r w:rsidR="00A61BFA">
        <w:t>4</w:t>
      </w:r>
      <w:r>
        <w:t>)</w:t>
      </w:r>
      <w:r>
        <w:tab/>
        <w:t xml:space="preserve">Ancillary Service Offers remain active for the offered period until:  </w:t>
      </w:r>
    </w:p>
    <w:p w14:paraId="108ADD51" w14:textId="77777777" w:rsidR="00FF2129" w:rsidRDefault="00482EF3">
      <w:pPr>
        <w:pStyle w:val="List"/>
        <w:ind w:left="1440"/>
      </w:pPr>
      <w:r>
        <w:t>(a)</w:t>
      </w:r>
      <w:r>
        <w:tab/>
        <w:t xml:space="preserve">Selected by ERCOT; </w:t>
      </w:r>
    </w:p>
    <w:p w14:paraId="3A5920CD" w14:textId="77777777" w:rsidR="00FF2129" w:rsidRDefault="00482EF3">
      <w:pPr>
        <w:pStyle w:val="List"/>
        <w:ind w:left="1440"/>
      </w:pPr>
      <w:r>
        <w:t>(b)</w:t>
      </w:r>
      <w:r>
        <w:tab/>
        <w:t xml:space="preserve">Automatically inactivated by the software at the offer expiration time specified by the QSE </w:t>
      </w:r>
      <w:r>
        <w:rPr>
          <w:rStyle w:val="msoins0"/>
          <w:u w:val="none"/>
        </w:rPr>
        <w:t>when the offer is submitted</w:t>
      </w:r>
      <w:r>
        <w:t>; or</w:t>
      </w:r>
    </w:p>
    <w:p w14:paraId="084C310B" w14:textId="0E62BDD6" w:rsidR="00FF2129" w:rsidRDefault="00F539C2">
      <w:pPr>
        <w:pStyle w:val="List"/>
        <w:ind w:left="1440"/>
      </w:pPr>
      <w:r>
        <w:t>(c)</w:t>
      </w:r>
      <w:r w:rsidR="00482EF3">
        <w:tab/>
        <w:t>Withdrawn by the QSE, but a withdrawal is not effective if the deadline for submitting offers has already passed.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6A9C" w:rsidRPr="004B32CF" w14:paraId="6E98008E" w14:textId="77777777" w:rsidTr="007258B7">
        <w:trPr>
          <w:trHeight w:val="386"/>
        </w:trPr>
        <w:tc>
          <w:tcPr>
            <w:tcW w:w="9350" w:type="dxa"/>
            <w:shd w:val="pct12" w:color="auto" w:fill="auto"/>
          </w:tcPr>
          <w:p w14:paraId="7C869765" w14:textId="457FC8D7" w:rsidR="00C26A9C" w:rsidRPr="004B32CF" w:rsidRDefault="00C26A9C" w:rsidP="007258B7">
            <w:pPr>
              <w:spacing w:before="120" w:after="240"/>
              <w:rPr>
                <w:b/>
                <w:i/>
                <w:iCs/>
              </w:rPr>
            </w:pPr>
            <w:r>
              <w:rPr>
                <w:b/>
                <w:i/>
                <w:iCs/>
              </w:rPr>
              <w:t>[NPRR1008</w:t>
            </w:r>
            <w:r w:rsidR="00651778">
              <w:rPr>
                <w:b/>
                <w:i/>
                <w:iCs/>
              </w:rPr>
              <w:t xml:space="preserve"> and NPRR1014</w:t>
            </w:r>
            <w:r>
              <w:rPr>
                <w:b/>
                <w:i/>
                <w:iCs/>
              </w:rPr>
              <w:t xml:space="preserve">:  Replace </w:t>
            </w:r>
            <w:r w:rsidR="00651778">
              <w:rPr>
                <w:b/>
                <w:i/>
                <w:iCs/>
              </w:rPr>
              <w:t xml:space="preserve">applicable portions of </w:t>
            </w:r>
            <w:r>
              <w:rPr>
                <w:b/>
                <w:i/>
                <w:iCs/>
              </w:rPr>
              <w:t>paragraph (</w:t>
            </w:r>
            <w:r w:rsidR="00A61BFA">
              <w:rPr>
                <w:b/>
                <w:i/>
                <w:iCs/>
              </w:rPr>
              <w:t>4</w:t>
            </w:r>
            <w:r w:rsidRPr="004B32CF">
              <w:rPr>
                <w:b/>
                <w:i/>
                <w:iCs/>
              </w:rPr>
              <w:t>) above with the following upon system implementation</w:t>
            </w:r>
            <w:r>
              <w:rPr>
                <w:b/>
                <w:i/>
                <w:iCs/>
              </w:rPr>
              <w:t xml:space="preserve"> of the Real-Time Co-Optimization (RTC) project</w:t>
            </w:r>
            <w:r w:rsidR="00651778">
              <w:rPr>
                <w:b/>
                <w:i/>
                <w:iCs/>
              </w:rPr>
              <w:t xml:space="preserve"> for NPRR1008; or upon system implementation</w:t>
            </w:r>
            <w:r w:rsidR="00B96815">
              <w:rPr>
                <w:b/>
                <w:i/>
                <w:iCs/>
              </w:rPr>
              <w:t xml:space="preserve"> for </w:t>
            </w:r>
            <w:r w:rsidR="001B5D93">
              <w:rPr>
                <w:b/>
                <w:i/>
                <w:iCs/>
              </w:rPr>
              <w:t>NPRR1014</w:t>
            </w:r>
            <w:r w:rsidRPr="004B32CF">
              <w:rPr>
                <w:b/>
                <w:i/>
                <w:iCs/>
              </w:rPr>
              <w:t>:]</w:t>
            </w:r>
          </w:p>
          <w:p w14:paraId="774BF93F" w14:textId="5248A749" w:rsidR="00C26A9C" w:rsidRDefault="00C26A9C" w:rsidP="00C26A9C">
            <w:pPr>
              <w:pStyle w:val="BodyTextNumbered"/>
              <w:spacing w:before="240"/>
            </w:pPr>
            <w:r>
              <w:t>(</w:t>
            </w:r>
            <w:r w:rsidR="00A61BFA">
              <w:t>4</w:t>
            </w:r>
            <w:r>
              <w:t>)</w:t>
            </w:r>
            <w:r>
              <w:tab/>
              <w:t xml:space="preserve">Ancillary Service Offers remain active for the offered period unless the offer is:  </w:t>
            </w:r>
          </w:p>
          <w:p w14:paraId="38A5D4A2" w14:textId="77777777" w:rsidR="00C26A9C" w:rsidRDefault="00C26A9C" w:rsidP="00C26A9C">
            <w:pPr>
              <w:pStyle w:val="List"/>
              <w:ind w:left="1440"/>
            </w:pPr>
            <w:r>
              <w:lastRenderedPageBreak/>
              <w:t>(a)</w:t>
            </w:r>
            <w:r>
              <w:tab/>
              <w:t xml:space="preserve">Effective after DAM and is higher than the Real-Time System-Wide Offer Cap (RTSWCAP); </w:t>
            </w:r>
          </w:p>
          <w:p w14:paraId="4CDB104F" w14:textId="77777777" w:rsidR="00C26A9C" w:rsidRDefault="00C26A9C" w:rsidP="00C26A9C">
            <w:pPr>
              <w:pStyle w:val="List"/>
              <w:ind w:left="1440"/>
            </w:pPr>
            <w:r>
              <w:t>(b)</w:t>
            </w:r>
            <w:r>
              <w:tab/>
              <w:t xml:space="preserve">Automatically inactivated by the software at the offer expiration time specified by the QSE </w:t>
            </w:r>
            <w:r>
              <w:rPr>
                <w:rStyle w:val="msoins0"/>
                <w:u w:val="none"/>
              </w:rPr>
              <w:t>when the offer is submitted</w:t>
            </w:r>
            <w:r>
              <w:t>; or</w:t>
            </w:r>
          </w:p>
          <w:p w14:paraId="526B047D" w14:textId="06BBA5D7" w:rsidR="00C26A9C" w:rsidRPr="00B11AAC" w:rsidRDefault="00C26A9C" w:rsidP="00C26A9C">
            <w:pPr>
              <w:pStyle w:val="List"/>
              <w:ind w:left="1440"/>
            </w:pPr>
            <w:r>
              <w:t>(c)</w:t>
            </w:r>
            <w:r>
              <w:tab/>
              <w:t>Withdrawn by the QSE, but a withdrawal is not effective if the deadline for submitting offers has already passed.</w:t>
            </w:r>
          </w:p>
        </w:tc>
      </w:tr>
    </w:tbl>
    <w:p w14:paraId="433E6A6C" w14:textId="48468ACA" w:rsidR="00C26A9C" w:rsidRDefault="00482EF3" w:rsidP="00C26A9C">
      <w:pPr>
        <w:pStyle w:val="BodyTextNumbered"/>
        <w:spacing w:before="240"/>
      </w:pPr>
      <w:r>
        <w:lastRenderedPageBreak/>
        <w:t>(</w:t>
      </w:r>
      <w:r w:rsidR="00A61BFA">
        <w:t>5</w:t>
      </w:r>
      <w:r>
        <w:t>)</w:t>
      </w:r>
      <w:r>
        <w:tab/>
        <w:t xml:space="preserve">A Load Resource that is not a Controllable Load Resource may specify whether its Ancillary Service Offer for </w:t>
      </w:r>
      <w:r w:rsidR="0030230F">
        <w:t>RRS</w:t>
      </w:r>
      <w:r w:rsidR="0039180C">
        <w:t xml:space="preserve"> or Non-Spin</w:t>
      </w:r>
      <w:r>
        <w:t xml:space="preserve"> may only be procured by ERCOT as a block.</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6A9C" w:rsidRPr="004B32CF" w14:paraId="510F3556" w14:textId="77777777" w:rsidTr="007258B7">
        <w:trPr>
          <w:trHeight w:val="386"/>
        </w:trPr>
        <w:tc>
          <w:tcPr>
            <w:tcW w:w="9350" w:type="dxa"/>
            <w:shd w:val="pct12" w:color="auto" w:fill="auto"/>
          </w:tcPr>
          <w:p w14:paraId="4C858813" w14:textId="5547371B" w:rsidR="00C26A9C" w:rsidRPr="004B32CF" w:rsidRDefault="00C26A9C" w:rsidP="007258B7">
            <w:pPr>
              <w:spacing w:before="120" w:after="240"/>
              <w:rPr>
                <w:b/>
                <w:i/>
                <w:iCs/>
              </w:rPr>
            </w:pPr>
            <w:r>
              <w:rPr>
                <w:b/>
                <w:i/>
                <w:iCs/>
              </w:rPr>
              <w:t>[NPRR1008</w:t>
            </w:r>
            <w:r w:rsidR="0039180C">
              <w:rPr>
                <w:b/>
                <w:i/>
                <w:iCs/>
              </w:rPr>
              <w:t xml:space="preserve"> and</w:t>
            </w:r>
            <w:r w:rsidR="00651778">
              <w:rPr>
                <w:b/>
                <w:i/>
                <w:iCs/>
              </w:rPr>
              <w:t xml:space="preserve"> NPRR1014</w:t>
            </w:r>
            <w:r>
              <w:rPr>
                <w:b/>
                <w:i/>
                <w:iCs/>
              </w:rPr>
              <w:t xml:space="preserve">:  Replace </w:t>
            </w:r>
            <w:r w:rsidR="00651778">
              <w:rPr>
                <w:b/>
                <w:i/>
                <w:iCs/>
              </w:rPr>
              <w:t xml:space="preserve">applicable portions of </w:t>
            </w:r>
            <w:r>
              <w:rPr>
                <w:b/>
                <w:i/>
                <w:iCs/>
              </w:rPr>
              <w:t>paragraph (</w:t>
            </w:r>
            <w:r w:rsidR="00A61BFA">
              <w:rPr>
                <w:b/>
                <w:i/>
                <w:iCs/>
              </w:rPr>
              <w:t>5</w:t>
            </w:r>
            <w:r w:rsidRPr="004B32CF">
              <w:rPr>
                <w:b/>
                <w:i/>
                <w:iCs/>
              </w:rPr>
              <w:t>) above with the following upon system implementation</w:t>
            </w:r>
            <w:r>
              <w:rPr>
                <w:b/>
                <w:i/>
                <w:iCs/>
              </w:rPr>
              <w:t xml:space="preserve"> of the Real-Time Co-Optimization (RTC) project</w:t>
            </w:r>
            <w:r w:rsidR="00651778">
              <w:rPr>
                <w:b/>
                <w:i/>
                <w:iCs/>
              </w:rPr>
              <w:t xml:space="preserve"> for NPRR1008; or upon system implementation</w:t>
            </w:r>
            <w:r w:rsidR="00B96815">
              <w:rPr>
                <w:b/>
                <w:i/>
                <w:iCs/>
              </w:rPr>
              <w:t xml:space="preserve"> for </w:t>
            </w:r>
            <w:r w:rsidR="001B5D93">
              <w:rPr>
                <w:b/>
                <w:i/>
                <w:iCs/>
              </w:rPr>
              <w:t>NPRR1014</w:t>
            </w:r>
            <w:r w:rsidRPr="004B32CF">
              <w:rPr>
                <w:b/>
                <w:i/>
                <w:iCs/>
              </w:rPr>
              <w:t>:]</w:t>
            </w:r>
          </w:p>
          <w:p w14:paraId="7F0DD772" w14:textId="2819EAD7" w:rsidR="00C26A9C" w:rsidRPr="00B11AAC" w:rsidRDefault="00C26A9C" w:rsidP="00C26A9C">
            <w:pPr>
              <w:pStyle w:val="BodyTextNumbered"/>
            </w:pPr>
            <w:r>
              <w:t>(</w:t>
            </w:r>
            <w:r w:rsidR="00A61BFA">
              <w:t>5</w:t>
            </w:r>
            <w:r>
              <w:t>)</w:t>
            </w:r>
            <w:r>
              <w:tab/>
              <w:t xml:space="preserve">A Load Resource that is not a Controllable Load Resource may specify whether its Resource-Specific </w:t>
            </w:r>
            <w:r w:rsidRPr="00243541">
              <w:t xml:space="preserve">Ancillary Service Offer </w:t>
            </w:r>
            <w:r>
              <w:t xml:space="preserve">for RRS </w:t>
            </w:r>
            <w:r w:rsidR="002D65AE">
              <w:t xml:space="preserve">or Non-Spin </w:t>
            </w:r>
            <w:r>
              <w:t>may only be procured by ERCOT as a block.</w:t>
            </w:r>
          </w:p>
        </w:tc>
      </w:tr>
    </w:tbl>
    <w:p w14:paraId="477D08B2" w14:textId="0B1F2B81" w:rsidR="0067492C" w:rsidRDefault="0067492C" w:rsidP="0067492C">
      <w:pPr>
        <w:pStyle w:val="BodyTextNumbered"/>
        <w:spacing w:before="240"/>
      </w:pPr>
      <w:r>
        <w:t>(6)</w:t>
      </w:r>
      <w:r>
        <w:tab/>
        <w:t>A Load Resource that is not a Controllable Load Resource may specify whether its Ancillary Service Offer for ECRS may only be procured by ERCOT as a block.</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FC44CB" w:rsidRPr="004B32CF" w14:paraId="101944BE" w14:textId="77777777" w:rsidTr="00C26A9C">
        <w:trPr>
          <w:trHeight w:val="386"/>
        </w:trPr>
        <w:tc>
          <w:tcPr>
            <w:tcW w:w="9350" w:type="dxa"/>
            <w:shd w:val="pct12" w:color="auto" w:fill="auto"/>
          </w:tcPr>
          <w:p w14:paraId="61D0158B" w14:textId="3E860FB6" w:rsidR="00FC44CB" w:rsidRPr="004B32CF" w:rsidRDefault="00FC44CB" w:rsidP="00B34003">
            <w:pPr>
              <w:spacing w:before="120" w:after="240"/>
              <w:rPr>
                <w:b/>
                <w:i/>
                <w:iCs/>
              </w:rPr>
            </w:pPr>
            <w:r>
              <w:rPr>
                <w:b/>
                <w:i/>
                <w:iCs/>
              </w:rPr>
              <w:t>[</w:t>
            </w:r>
            <w:r w:rsidR="00651778">
              <w:rPr>
                <w:b/>
                <w:i/>
                <w:iCs/>
              </w:rPr>
              <w:t>NPRR1014</w:t>
            </w:r>
            <w:r>
              <w:rPr>
                <w:b/>
                <w:i/>
                <w:iCs/>
              </w:rPr>
              <w:t xml:space="preserve">:  </w:t>
            </w:r>
            <w:r w:rsidR="0067492C">
              <w:rPr>
                <w:b/>
                <w:i/>
                <w:iCs/>
              </w:rPr>
              <w:t>Replace</w:t>
            </w:r>
            <w:r w:rsidR="00651778">
              <w:rPr>
                <w:b/>
                <w:i/>
                <w:iCs/>
              </w:rPr>
              <w:t xml:space="preserve"> </w:t>
            </w:r>
            <w:r>
              <w:rPr>
                <w:b/>
                <w:i/>
                <w:iCs/>
              </w:rPr>
              <w:t>paragraph (</w:t>
            </w:r>
            <w:r w:rsidR="00A61BFA">
              <w:rPr>
                <w:b/>
                <w:i/>
                <w:iCs/>
              </w:rPr>
              <w:t>6</w:t>
            </w:r>
            <w:r w:rsidRPr="004B32CF">
              <w:rPr>
                <w:b/>
                <w:i/>
                <w:iCs/>
              </w:rPr>
              <w:t xml:space="preserve">) </w:t>
            </w:r>
            <w:r w:rsidR="0067492C">
              <w:rPr>
                <w:b/>
                <w:i/>
                <w:iCs/>
              </w:rPr>
              <w:t>above with the following</w:t>
            </w:r>
            <w:r w:rsidRPr="004B32CF">
              <w:rPr>
                <w:b/>
                <w:i/>
                <w:iCs/>
              </w:rPr>
              <w:t xml:space="preserve"> upon system implementation:]</w:t>
            </w:r>
          </w:p>
          <w:p w14:paraId="06D763B8" w14:textId="5C42BE57" w:rsidR="00FC44CB" w:rsidRPr="00A93350" w:rsidRDefault="00FC44CB" w:rsidP="00FC44CB">
            <w:pPr>
              <w:pStyle w:val="BodyTextNumbered"/>
            </w:pPr>
            <w:r>
              <w:t>(</w:t>
            </w:r>
            <w:r w:rsidR="00A61BFA">
              <w:t>6</w:t>
            </w:r>
            <w:r>
              <w:t>)</w:t>
            </w:r>
            <w:r>
              <w:tab/>
              <w:t xml:space="preserve">A Load Resource that is not a Controllable Load Resource may specify whether its </w:t>
            </w:r>
            <w:r w:rsidR="00C26A9C">
              <w:t xml:space="preserve">Resource-Specific </w:t>
            </w:r>
            <w:r>
              <w:t>Ancillary Service Offer for ECRS may only be procured by ERCOT as a block.</w:t>
            </w:r>
          </w:p>
        </w:tc>
      </w:tr>
    </w:tbl>
    <w:p w14:paraId="346ED7A9" w14:textId="736A3E3B" w:rsidR="005D4DD6" w:rsidRPr="0082662D" w:rsidRDefault="005D4DD6" w:rsidP="00FF1649">
      <w:pPr>
        <w:spacing w:before="240" w:after="240"/>
        <w:ind w:left="720" w:hanging="720"/>
        <w:rPr>
          <w:iCs/>
        </w:rPr>
      </w:pPr>
      <w:r w:rsidRPr="00931359">
        <w:rPr>
          <w:iCs/>
        </w:rPr>
        <w:t>(</w:t>
      </w:r>
      <w:r w:rsidR="0067492C">
        <w:rPr>
          <w:iCs/>
        </w:rPr>
        <w:t>7</w:t>
      </w:r>
      <w:r w:rsidRPr="00931359">
        <w:rPr>
          <w:iCs/>
        </w:rPr>
        <w:t>)</w:t>
      </w:r>
      <w:r w:rsidRPr="00931359">
        <w:rPr>
          <w:iCs/>
        </w:rPr>
        <w:tab/>
        <w:t xml:space="preserve">A QSE that submits an On-Line Ancillary Service Offer without also submitting a Three-Part Supply Offer for the DAM for any given hour will be considered by the DAM to be self-committed for that hour, as long as an Ancillary Service Offer for Off-Line Non-Spin was not also submitted for that hour. </w:t>
      </w:r>
      <w:r>
        <w:rPr>
          <w:iCs/>
        </w:rPr>
        <w:t xml:space="preserve"> </w:t>
      </w:r>
      <w:r w:rsidRPr="00931359">
        <w:rPr>
          <w:iCs/>
        </w:rPr>
        <w:t>When the DAM considers a self-committed offer for clearing, the Resource constraints identified in paragraph (4)(c)(ii) of Section 4.5.1, DAM Clearing Process, other than HSL, are ignored.</w:t>
      </w:r>
      <w:r>
        <w:rPr>
          <w:iCs/>
        </w:rPr>
        <w:t xml:space="preserve">  </w:t>
      </w:r>
      <w:r w:rsidRPr="00D57F83">
        <w:t>A Combined Cycle Generation Resource will be considered by the DAM to be self-committed</w:t>
      </w:r>
      <w:r>
        <w:t xml:space="preserve"> based on an On-Line Ancillary Service Offer submittal </w:t>
      </w:r>
      <w:r w:rsidRPr="00D57F83">
        <w:t xml:space="preserve">if: </w:t>
      </w:r>
    </w:p>
    <w:p w14:paraId="1B542F6F" w14:textId="77777777" w:rsidR="005D4DD6" w:rsidRPr="0082662D" w:rsidRDefault="005D4DD6" w:rsidP="005D4DD6">
      <w:pPr>
        <w:spacing w:after="240"/>
        <w:ind w:left="1440" w:hanging="720"/>
      </w:pPr>
      <w:r>
        <w:t>(a</w:t>
      </w:r>
      <w:r w:rsidRPr="00931359">
        <w:t>)</w:t>
      </w:r>
      <w:r w:rsidRPr="00931359">
        <w:tab/>
      </w:r>
      <w:r w:rsidRPr="00D57F83">
        <w:t xml:space="preserve">Its QSE submits an On-Line Ancillary Service Offer without also submitting a Three-Part Supply Offer for the DAM </w:t>
      </w:r>
      <w:r w:rsidRPr="0082662D">
        <w:t>for any Combined Cycle Generation Resource within the Combined Cycle Train for that hour;</w:t>
      </w:r>
    </w:p>
    <w:p w14:paraId="07AC8248" w14:textId="77777777" w:rsidR="005D4DD6" w:rsidRDefault="005D4DD6" w:rsidP="005D4DD6">
      <w:pPr>
        <w:spacing w:after="240"/>
        <w:ind w:left="1440" w:hanging="720"/>
      </w:pPr>
      <w:r w:rsidRPr="00931359">
        <w:lastRenderedPageBreak/>
        <w:t>(b)</w:t>
      </w:r>
      <w:r w:rsidRPr="00931359">
        <w:tab/>
      </w:r>
      <w:r w:rsidRPr="0082662D">
        <w:t>No Ancillary Service Offer for Off-Line Non-Spin for any Combined Cycle Generation Resource within the Combined Cycle Train is submitted for that hour</w:t>
      </w:r>
      <w:r>
        <w:t>; and</w:t>
      </w:r>
    </w:p>
    <w:p w14:paraId="000EA62E" w14:textId="77777777" w:rsidR="005D4DD6" w:rsidRDefault="005D4DD6" w:rsidP="005D4DD6">
      <w:pPr>
        <w:spacing w:after="240"/>
        <w:ind w:left="1440" w:hanging="720"/>
      </w:pPr>
      <w:r>
        <w:t>(c)</w:t>
      </w:r>
      <w:r>
        <w:tab/>
        <w:t xml:space="preserve">No On-Line Ancillary Service Offer for any other Combined Cycle Generation Resource within the Combined Cycled Train is submitted for that hour.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6A9C" w:rsidRPr="004B32CF" w14:paraId="475058FC" w14:textId="77777777" w:rsidTr="007258B7">
        <w:trPr>
          <w:trHeight w:val="386"/>
        </w:trPr>
        <w:tc>
          <w:tcPr>
            <w:tcW w:w="9350" w:type="dxa"/>
            <w:shd w:val="pct12" w:color="auto" w:fill="auto"/>
          </w:tcPr>
          <w:p w14:paraId="75CCB4F5" w14:textId="6F3649CB" w:rsidR="00C26A9C" w:rsidRPr="004B32CF" w:rsidRDefault="00C26A9C" w:rsidP="007258B7">
            <w:pPr>
              <w:spacing w:before="120" w:after="240"/>
              <w:rPr>
                <w:b/>
                <w:i/>
                <w:iCs/>
              </w:rPr>
            </w:pPr>
            <w:bookmarkStart w:id="298" w:name="_Toc90197120"/>
            <w:bookmarkStart w:id="299" w:name="_Toc92873945"/>
            <w:bookmarkStart w:id="300" w:name="_Toc142108921"/>
            <w:bookmarkStart w:id="301" w:name="_Toc142113766"/>
            <w:bookmarkStart w:id="302" w:name="_Toc402345590"/>
            <w:bookmarkStart w:id="303" w:name="_Toc405383873"/>
            <w:bookmarkStart w:id="304" w:name="_Toc405536975"/>
            <w:bookmarkStart w:id="305" w:name="_Toc440871762"/>
            <w:r>
              <w:rPr>
                <w:b/>
                <w:i/>
                <w:iCs/>
              </w:rPr>
              <w:t>[NPRR1008</w:t>
            </w:r>
            <w:r w:rsidR="00651778">
              <w:rPr>
                <w:b/>
                <w:i/>
                <w:iCs/>
              </w:rPr>
              <w:t xml:space="preserve"> and NPRR1014</w:t>
            </w:r>
            <w:r>
              <w:rPr>
                <w:b/>
                <w:i/>
                <w:iCs/>
              </w:rPr>
              <w:t xml:space="preserve">:  Replace </w:t>
            </w:r>
            <w:r w:rsidR="00651778">
              <w:rPr>
                <w:b/>
                <w:i/>
                <w:iCs/>
              </w:rPr>
              <w:t xml:space="preserve">applicable portions of </w:t>
            </w:r>
            <w:r>
              <w:rPr>
                <w:b/>
                <w:i/>
                <w:iCs/>
              </w:rPr>
              <w:t>paragraph (</w:t>
            </w:r>
            <w:r w:rsidR="0067492C">
              <w:rPr>
                <w:b/>
                <w:i/>
                <w:iCs/>
              </w:rPr>
              <w:t>7</w:t>
            </w:r>
            <w:r w:rsidRPr="004B32CF">
              <w:rPr>
                <w:b/>
                <w:i/>
                <w:iCs/>
              </w:rPr>
              <w:t>) above with the following upon system implementation</w:t>
            </w:r>
            <w:r>
              <w:rPr>
                <w:b/>
                <w:i/>
                <w:iCs/>
              </w:rPr>
              <w:t xml:space="preserve"> of the Real-Time Co-Optimization (RTC) project</w:t>
            </w:r>
            <w:r w:rsidR="00651778">
              <w:rPr>
                <w:b/>
                <w:i/>
                <w:iCs/>
              </w:rPr>
              <w:t xml:space="preserve"> for NPRR1008; or upon system implementation</w:t>
            </w:r>
            <w:r w:rsidR="00B96815">
              <w:rPr>
                <w:b/>
                <w:i/>
                <w:iCs/>
              </w:rPr>
              <w:t xml:space="preserve"> for </w:t>
            </w:r>
            <w:r w:rsidR="001B5D93">
              <w:rPr>
                <w:b/>
                <w:i/>
                <w:iCs/>
              </w:rPr>
              <w:t>NPRR1014</w:t>
            </w:r>
            <w:r w:rsidRPr="004B32CF">
              <w:rPr>
                <w:b/>
                <w:i/>
                <w:iCs/>
              </w:rPr>
              <w:t>:]</w:t>
            </w:r>
          </w:p>
          <w:p w14:paraId="28F69EC9" w14:textId="276CC294" w:rsidR="00C26A9C" w:rsidRPr="0082662D" w:rsidRDefault="00C26A9C" w:rsidP="00C26A9C">
            <w:pPr>
              <w:spacing w:before="240" w:after="240"/>
              <w:ind w:left="720" w:hanging="720"/>
              <w:rPr>
                <w:iCs/>
              </w:rPr>
            </w:pPr>
            <w:r w:rsidRPr="00931359">
              <w:rPr>
                <w:iCs/>
              </w:rPr>
              <w:t>(</w:t>
            </w:r>
            <w:r w:rsidR="0067492C">
              <w:rPr>
                <w:iCs/>
              </w:rPr>
              <w:t>7</w:t>
            </w:r>
            <w:r w:rsidRPr="00931359">
              <w:rPr>
                <w:iCs/>
              </w:rPr>
              <w:t xml:space="preserve">) </w:t>
            </w:r>
            <w:r w:rsidRPr="00931359">
              <w:rPr>
                <w:iCs/>
              </w:rPr>
              <w:tab/>
              <w:t>A QSE that submits an On-Line</w:t>
            </w:r>
            <w:r>
              <w:rPr>
                <w:iCs/>
              </w:rPr>
              <w:t xml:space="preserve"> Resource-Specific</w:t>
            </w:r>
            <w:r w:rsidRPr="00931359">
              <w:rPr>
                <w:iCs/>
              </w:rPr>
              <w:t xml:space="preserve"> Ancillary Service Offer without also submitting a Three-Part Supply Offer for the DAM for any given hour will be considered by the DAM to be self-committed for that hour, as long as a </w:t>
            </w:r>
            <w:r>
              <w:rPr>
                <w:iCs/>
              </w:rPr>
              <w:t>Resource-Specific</w:t>
            </w:r>
            <w:r w:rsidRPr="00931359">
              <w:rPr>
                <w:iCs/>
              </w:rPr>
              <w:t xml:space="preserve"> </w:t>
            </w:r>
            <w:r w:rsidRPr="00243541">
              <w:rPr>
                <w:iCs/>
              </w:rPr>
              <w:t>Ancillary Service Offer</w:t>
            </w:r>
            <w:r w:rsidRPr="00931359">
              <w:rPr>
                <w:iCs/>
              </w:rPr>
              <w:t xml:space="preserve"> for Off-Line Non-Spin was not also submitted for that hour. </w:t>
            </w:r>
            <w:r>
              <w:rPr>
                <w:iCs/>
              </w:rPr>
              <w:t xml:space="preserve"> </w:t>
            </w:r>
            <w:r w:rsidR="00651778" w:rsidRPr="00A552C3">
              <w:rPr>
                <w:iCs/>
              </w:rPr>
              <w:t>A QSE that submits an On-Line ESR-specific Ancillary Service Offer or Energy Bid/Offer Curve for the DAM will be considered to be On-Line.  A QSE may not submit an Off-Line Ancillary Service Offer for an ESR.</w:t>
            </w:r>
            <w:r w:rsidR="00651778">
              <w:rPr>
                <w:iCs/>
              </w:rPr>
              <w:t xml:space="preserve">  </w:t>
            </w:r>
            <w:r w:rsidRPr="00931359">
              <w:rPr>
                <w:iCs/>
              </w:rPr>
              <w:t>When the DAM considers a self-committed offer for clearing, the Resource constraints identified in paragraph (4)(c)(ii) of Section 4.5.1, DAM Clearing Process, other than HSL, are ignored</w:t>
            </w:r>
            <w:r w:rsidR="00651778" w:rsidRPr="00A552C3">
              <w:rPr>
                <w:iCs/>
              </w:rPr>
              <w:t>; however, for an ESR, the DAM will consider LSL and HSL</w:t>
            </w:r>
            <w:r w:rsidRPr="00931359">
              <w:rPr>
                <w:iCs/>
              </w:rPr>
              <w:t>.</w:t>
            </w:r>
            <w:r>
              <w:rPr>
                <w:iCs/>
              </w:rPr>
              <w:t xml:space="preserve">  </w:t>
            </w:r>
            <w:r w:rsidRPr="00D57F83">
              <w:t>A Combined Cycle Generation Resource will be considered by the DAM to be self-committed</w:t>
            </w:r>
            <w:r>
              <w:t xml:space="preserve"> based on an On-Line </w:t>
            </w:r>
            <w:r>
              <w:rPr>
                <w:iCs/>
              </w:rPr>
              <w:t>Resource-Specific</w:t>
            </w:r>
            <w:r w:rsidRPr="00931359">
              <w:rPr>
                <w:iCs/>
              </w:rPr>
              <w:t xml:space="preserve"> </w:t>
            </w:r>
            <w:r w:rsidRPr="00243541">
              <w:t>Ancillary Service Offer</w:t>
            </w:r>
            <w:r>
              <w:t xml:space="preserve"> submittal </w:t>
            </w:r>
            <w:r w:rsidRPr="00D57F83">
              <w:t xml:space="preserve">if: </w:t>
            </w:r>
          </w:p>
          <w:p w14:paraId="18364204" w14:textId="77777777" w:rsidR="00C26A9C" w:rsidRPr="0082662D" w:rsidRDefault="00C26A9C" w:rsidP="00C26A9C">
            <w:pPr>
              <w:spacing w:after="240"/>
              <w:ind w:left="1440" w:hanging="720"/>
            </w:pPr>
            <w:r>
              <w:t>(a</w:t>
            </w:r>
            <w:r w:rsidRPr="00931359">
              <w:t>)</w:t>
            </w:r>
            <w:r w:rsidRPr="00931359">
              <w:tab/>
            </w:r>
            <w:r w:rsidRPr="00D57F83">
              <w:t xml:space="preserve">Its QSE submits an On-Line </w:t>
            </w:r>
            <w:r>
              <w:rPr>
                <w:iCs/>
              </w:rPr>
              <w:t>Resource-Specific</w:t>
            </w:r>
            <w:r w:rsidRPr="00931359">
              <w:rPr>
                <w:iCs/>
              </w:rPr>
              <w:t xml:space="preserve"> </w:t>
            </w:r>
            <w:r w:rsidRPr="00243541">
              <w:t>Ancillary Service Offer</w:t>
            </w:r>
            <w:r w:rsidRPr="00D57F83">
              <w:t xml:space="preserve"> without also submitting a Three-Part Supply Offer for the DAM </w:t>
            </w:r>
            <w:r w:rsidRPr="0082662D">
              <w:t>for any Combined Cycle Generation Resource within the Combined Cycle Train for that hour;</w:t>
            </w:r>
          </w:p>
          <w:p w14:paraId="748F4162" w14:textId="77777777" w:rsidR="00C26A9C" w:rsidRDefault="00C26A9C" w:rsidP="00C26A9C">
            <w:pPr>
              <w:spacing w:after="240"/>
              <w:ind w:left="1440" w:hanging="720"/>
            </w:pPr>
            <w:r w:rsidRPr="00931359">
              <w:t>(b)</w:t>
            </w:r>
            <w:r w:rsidRPr="00931359">
              <w:tab/>
            </w:r>
            <w:r w:rsidRPr="0082662D">
              <w:t xml:space="preserve">No </w:t>
            </w:r>
            <w:r>
              <w:rPr>
                <w:iCs/>
              </w:rPr>
              <w:t>Resource-Specific</w:t>
            </w:r>
            <w:r w:rsidRPr="00931359">
              <w:rPr>
                <w:iCs/>
              </w:rPr>
              <w:t xml:space="preserve"> </w:t>
            </w:r>
            <w:r w:rsidRPr="00243541">
              <w:t>Ancillary Service Offer</w:t>
            </w:r>
            <w:r w:rsidRPr="0082662D">
              <w:t xml:space="preserve"> for Off-Line Non-Spin for any Combined Cycle Generation Resource within the Combined Cycle Train is submitted for that hour</w:t>
            </w:r>
            <w:r>
              <w:t>; and</w:t>
            </w:r>
          </w:p>
          <w:p w14:paraId="36CC33B4" w14:textId="77777777" w:rsidR="00C26A9C" w:rsidRDefault="00C26A9C" w:rsidP="00C26A9C">
            <w:pPr>
              <w:spacing w:after="240"/>
              <w:ind w:left="1440" w:hanging="720"/>
            </w:pPr>
            <w:r>
              <w:t>(c)</w:t>
            </w:r>
            <w:r>
              <w:tab/>
              <w:t xml:space="preserve">No On-Line </w:t>
            </w:r>
            <w:r>
              <w:rPr>
                <w:iCs/>
              </w:rPr>
              <w:t>Resource-Specific</w:t>
            </w:r>
            <w:r w:rsidRPr="00931359">
              <w:rPr>
                <w:iCs/>
              </w:rPr>
              <w:t xml:space="preserve"> </w:t>
            </w:r>
            <w:r w:rsidRPr="00243541">
              <w:t>Ancillary Service Offer</w:t>
            </w:r>
            <w:r>
              <w:t xml:space="preserve"> for any other Combined Cycle Generation Resource within the Combined Cycled Train is submitted for that hour. </w:t>
            </w:r>
          </w:p>
          <w:p w14:paraId="49471729" w14:textId="53374AE7" w:rsidR="00C26A9C" w:rsidRPr="00B11AAC" w:rsidRDefault="00C26A9C" w:rsidP="00C26A9C">
            <w:pPr>
              <w:pStyle w:val="BodyTextNumbered"/>
            </w:pPr>
            <w:r>
              <w:t>(</w:t>
            </w:r>
            <w:r w:rsidR="0067492C">
              <w:t>8</w:t>
            </w:r>
            <w:r>
              <w:t>)</w:t>
            </w:r>
            <w:r>
              <w:tab/>
            </w:r>
            <w:r w:rsidRPr="00292A95">
              <w:t xml:space="preserve">ERCOT will attempt to procure the quantity from its </w:t>
            </w:r>
            <w:r>
              <w:t>Ancillary Service</w:t>
            </w:r>
            <w:r w:rsidRPr="00292A95">
              <w:t xml:space="preserve"> Plan from Resource-</w:t>
            </w:r>
            <w:r>
              <w:t>S</w:t>
            </w:r>
            <w:r w:rsidRPr="00292A95">
              <w:t xml:space="preserve">pecific </w:t>
            </w:r>
            <w:r>
              <w:t>Ancillary Service O</w:t>
            </w:r>
            <w:r w:rsidRPr="00292A95">
              <w:t xml:space="preserve">ffers as well as </w:t>
            </w:r>
            <w:r>
              <w:t>Ancillary Service Only Offers against respective ASDCs.</w:t>
            </w:r>
          </w:p>
        </w:tc>
      </w:tr>
    </w:tbl>
    <w:p w14:paraId="4D09D1A8" w14:textId="77777777" w:rsidR="00FF2129" w:rsidRDefault="00482EF3" w:rsidP="004555CF">
      <w:pPr>
        <w:pStyle w:val="H5"/>
        <w:spacing w:before="480"/>
        <w:ind w:left="1627" w:hanging="1627"/>
      </w:pPr>
      <w:bookmarkStart w:id="306" w:name="_Toc135990636"/>
      <w:r>
        <w:t>4.4.7.2.1</w:t>
      </w:r>
      <w:r>
        <w:tab/>
        <w:t>Ancillary Service Offer Criteria</w:t>
      </w:r>
      <w:bookmarkEnd w:id="298"/>
      <w:bookmarkEnd w:id="299"/>
      <w:bookmarkEnd w:id="300"/>
      <w:bookmarkEnd w:id="301"/>
      <w:bookmarkEnd w:id="302"/>
      <w:bookmarkEnd w:id="303"/>
      <w:bookmarkEnd w:id="304"/>
      <w:bookmarkEnd w:id="305"/>
      <w:bookmarkEnd w:id="306"/>
    </w:p>
    <w:p w14:paraId="0CBCF48D" w14:textId="77777777" w:rsidR="00FF2129" w:rsidRDefault="00482EF3">
      <w:pPr>
        <w:pStyle w:val="BodyTextNumbered"/>
      </w:pPr>
      <w:r>
        <w:t>(1)</w:t>
      </w:r>
      <w:r>
        <w:tab/>
        <w:t>Each Ancillary Service Offer must be submitted by a QSE and must include the following information:</w:t>
      </w:r>
    </w:p>
    <w:p w14:paraId="47FE7028" w14:textId="77777777" w:rsidR="00FF2129" w:rsidRDefault="00482EF3">
      <w:pPr>
        <w:pStyle w:val="List"/>
        <w:ind w:left="1440"/>
      </w:pPr>
      <w:r>
        <w:lastRenderedPageBreak/>
        <w:t>(a)</w:t>
      </w:r>
      <w:r>
        <w:tab/>
        <w:t>The selling QSE;</w:t>
      </w:r>
    </w:p>
    <w:p w14:paraId="07218B72" w14:textId="77777777" w:rsidR="00FF2129" w:rsidRDefault="00482EF3">
      <w:pPr>
        <w:pStyle w:val="List"/>
        <w:ind w:left="1440"/>
      </w:pPr>
      <w:r>
        <w:t>(b)</w:t>
      </w:r>
      <w:r>
        <w:tab/>
        <w:t>The Resource represented by the QSE from which the offer would be supplied;</w:t>
      </w:r>
    </w:p>
    <w:p w14:paraId="2CEF50E2" w14:textId="77777777" w:rsidR="00FF2129" w:rsidRDefault="00482EF3">
      <w:pPr>
        <w:pStyle w:val="List"/>
        <w:ind w:left="1440"/>
      </w:pPr>
      <w:r>
        <w:t>(c)</w:t>
      </w:r>
      <w:r>
        <w:tab/>
        <w:t xml:space="preserve">The quantity in MW and Ancillary Service type from that Resource for this specific offer and the specific quantity in MW and Ancillary Service type of any other Ancillary Service offered from this same capacity; </w:t>
      </w:r>
    </w:p>
    <w:p w14:paraId="73FEB7FA" w14:textId="77777777" w:rsidR="00FF2129" w:rsidRDefault="00482EF3">
      <w:pPr>
        <w:pStyle w:val="BodyTextNumbered"/>
        <w:ind w:left="1428" w:hanging="686"/>
      </w:pPr>
      <w:r>
        <w:t>(d)</w:t>
      </w:r>
      <w:r>
        <w:tab/>
        <w:t xml:space="preserve">An Ancillary Service Offer linked to a Three-Part Supply Offer from a Resource designated to be Off-Line for the offer period in its COP may only be struck if the Three-Part Supply Offer is struck.  The total capacity struck must be within limits as defined in item (4)(c)(iii) of Section 4.5.1, DAM Clearing Process;  </w:t>
      </w:r>
    </w:p>
    <w:p w14:paraId="0DE4F5C6" w14:textId="77777777" w:rsidR="00FF2129" w:rsidRDefault="00482EF3">
      <w:pPr>
        <w:pStyle w:val="BodyTextNumbered"/>
        <w:ind w:left="1428" w:hanging="686"/>
      </w:pPr>
      <w:r>
        <w:t>(e)</w:t>
      </w:r>
      <w:r>
        <w:tab/>
        <w:t xml:space="preserve">An Ancillary Service Offer linked to other Ancillary Service </w:t>
      </w:r>
      <w:r w:rsidR="00C0690F">
        <w:t>O</w:t>
      </w:r>
      <w:r>
        <w:t>ffers or an Energy Offer Curve from a Resource designated to be On-Line for the offer period in its COP may only be struck if the total capacity struck is within limits as defined in item (4)(c)(iii) of Section 4.5.1;</w:t>
      </w:r>
    </w:p>
    <w:p w14:paraId="23B55B76" w14:textId="77777777" w:rsidR="00FF2129" w:rsidRDefault="00482EF3">
      <w:pPr>
        <w:pStyle w:val="BodyTextNumbered"/>
        <w:ind w:left="1428" w:hanging="686"/>
      </w:pPr>
      <w:r>
        <w:t>(f)</w:t>
      </w:r>
      <w:r>
        <w:tab/>
        <w:t xml:space="preserve">The first and last hour of the offer; </w:t>
      </w:r>
    </w:p>
    <w:p w14:paraId="7F828FFC" w14:textId="77777777" w:rsidR="00E51D0B" w:rsidRDefault="00E51D0B" w:rsidP="00E51D0B">
      <w:pPr>
        <w:pStyle w:val="List"/>
        <w:ind w:left="1440"/>
      </w:pPr>
      <w:r>
        <w:t>(g)</w:t>
      </w:r>
      <w:r>
        <w:tab/>
        <w:t>A fixed quantity block, or variable quantity block indicator for the offer:</w:t>
      </w:r>
    </w:p>
    <w:p w14:paraId="4EDAB9BF" w14:textId="68128D75" w:rsidR="00E51D0B" w:rsidRDefault="00E51D0B" w:rsidP="00E51D0B">
      <w:pPr>
        <w:pStyle w:val="List2"/>
        <w:spacing w:after="240"/>
        <w:ind w:left="2160" w:hanging="720"/>
      </w:pPr>
      <w:r>
        <w:t>(i)</w:t>
      </w:r>
      <w:r>
        <w:tab/>
        <w:t xml:space="preserve">If a fixed quantity block, not to exceed 150 MW, which may only be offered by a Load Resource </w:t>
      </w:r>
      <w:r w:rsidR="0039180C">
        <w:t>that is not a Controllable Load Resource and that is offering to provide</w:t>
      </w:r>
      <w:r w:rsidRPr="00366781">
        <w:t xml:space="preserve"> RRS</w:t>
      </w:r>
      <w:r w:rsidR="0067492C">
        <w:t>, ECRS,</w:t>
      </w:r>
      <w:r w:rsidR="0039180C">
        <w:t xml:space="preserve"> or Non-Spin</w:t>
      </w:r>
      <w:r w:rsidRPr="00366781">
        <w:t>, and which may clear at a Market Clearing Price for Capacity (MCPC) below the Ancillary Service Offer price for that block,</w:t>
      </w:r>
      <w:r>
        <w:t xml:space="preserve"> the single price (in $/MW) and single quantity (in MW) for all hours offered in that block; or</w:t>
      </w:r>
    </w:p>
    <w:p w14:paraId="44D8B869" w14:textId="77777777" w:rsidR="00243E19" w:rsidRDefault="00E51D0B" w:rsidP="00F539C2">
      <w:pPr>
        <w:pStyle w:val="List2"/>
        <w:spacing w:after="240"/>
        <w:ind w:left="2160" w:hanging="720"/>
      </w:pPr>
      <w:r>
        <w:t>(ii)</w:t>
      </w:r>
      <w:r>
        <w:tab/>
        <w:t>If a variable quantity block, which may be offered by a Generation Resource or a Load Resource, the single price (in $/MW) and single “up to” quantity (in MW) contingent on the purchase of all hours offered in that block; and</w:t>
      </w:r>
    </w:p>
    <w:p w14:paraId="49277062" w14:textId="77777777" w:rsidR="00FF2129" w:rsidRDefault="00482EF3">
      <w:pPr>
        <w:pStyle w:val="List"/>
        <w:ind w:left="1440"/>
      </w:pPr>
      <w:r>
        <w:t>(h)</w:t>
      </w:r>
      <w:r>
        <w:tab/>
        <w:t>The expiration time and date of the offer.</w:t>
      </w:r>
    </w:p>
    <w:p w14:paraId="090F2A15" w14:textId="77777777" w:rsidR="00FF2129" w:rsidRDefault="00482EF3">
      <w:pPr>
        <w:pStyle w:val="BodyTextNumbered"/>
      </w:pPr>
      <w:r>
        <w:t>(2)</w:t>
      </w:r>
      <w:r>
        <w:tab/>
        <w:t>A valid Ancillary Service Offer in the DAM must be received before 1000 for the effective DAM.  A valid Ancillary Service Offer in an SASM must be received before the applicable deadline for that SASM.</w:t>
      </w:r>
    </w:p>
    <w:p w14:paraId="25CE303D" w14:textId="7EF9620A" w:rsidR="00FF2129" w:rsidRDefault="00482EF3">
      <w:pPr>
        <w:pStyle w:val="BodyTextNumbered"/>
      </w:pPr>
      <w:r>
        <w:t>(3)</w:t>
      </w:r>
      <w:r>
        <w:tab/>
        <w:t>No Ancillary Service Offer price may exceed the System-Wide Offer Cap (SWCAP) (in $/MW).  No Ancillary Service Offer price may be less than $0 per MW.</w:t>
      </w:r>
    </w:p>
    <w:p w14:paraId="721D4802" w14:textId="77777777" w:rsidR="00FF2129" w:rsidRDefault="00482EF3">
      <w:pPr>
        <w:pStyle w:val="BodyTextNumbered"/>
      </w:pPr>
      <w:r>
        <w:t>(4)</w:t>
      </w:r>
      <w:r>
        <w:tab/>
        <w:t>The minimum amount per Resource for each Ancillary Service product that may be offered is one</w:t>
      </w:r>
      <w:r w:rsidR="00C0690F">
        <w:t>-tenth (0.1)</w:t>
      </w:r>
      <w:r>
        <w:t xml:space="preserve"> MW.</w:t>
      </w:r>
    </w:p>
    <w:p w14:paraId="6860693D" w14:textId="77777777" w:rsidR="00FF2129" w:rsidRDefault="00482EF3">
      <w:pPr>
        <w:pStyle w:val="BodyTextNumbered"/>
      </w:pPr>
      <w:r>
        <w:t>(5)</w:t>
      </w:r>
      <w:r>
        <w:tab/>
        <w:t xml:space="preserve">A Resource may offer more than one Ancillary Service.  </w:t>
      </w:r>
    </w:p>
    <w:p w14:paraId="38688E2C" w14:textId="72677AD9" w:rsidR="0039180C" w:rsidRDefault="0039180C" w:rsidP="0039180C">
      <w:pPr>
        <w:pStyle w:val="BodyTextNumbered"/>
      </w:pPr>
      <w:r>
        <w:lastRenderedPageBreak/>
        <w:t>(6)</w:t>
      </w:r>
      <w:r>
        <w:tab/>
      </w:r>
      <w:r w:rsidRPr="00A255F3">
        <w:t xml:space="preserve">A Load Resource </w:t>
      </w:r>
      <w:r>
        <w:t>that is not</w:t>
      </w:r>
      <w:r w:rsidRPr="00A255F3">
        <w:t xml:space="preserve"> a Controllable Load Resource</w:t>
      </w:r>
      <w:r>
        <w:t>, may simultaneously offer RRS</w:t>
      </w:r>
      <w:r w:rsidR="0067492C">
        <w:t>, ECRS,</w:t>
      </w:r>
      <w:r>
        <w:t xml:space="preserve"> and Non-Spin in a DAM or SASM and be awarded RRS</w:t>
      </w:r>
      <w:r w:rsidR="0067492C">
        <w:t>, EC</w:t>
      </w:r>
      <w:r w:rsidR="00BD6DB4">
        <w:t>RS</w:t>
      </w:r>
      <w:r w:rsidR="0067492C">
        <w:t>,</w:t>
      </w:r>
      <w:r>
        <w:t xml:space="preserve"> and Non-Spin for the same Operating Hour but will not be allowed to provide RRS and Non-Spin </w:t>
      </w:r>
      <w:r w:rsidR="00D46800">
        <w:t xml:space="preserve">or ECRS and Non-Spin </w:t>
      </w:r>
      <w:r>
        <w:t>on the same Load Resource simultaneously in Real-Time.</w:t>
      </w:r>
    </w:p>
    <w:p w14:paraId="55B23462" w14:textId="22626627" w:rsidR="00C17931" w:rsidRDefault="00482EF3">
      <w:pPr>
        <w:pStyle w:val="BodyTextNumbered"/>
      </w:pPr>
      <w:r>
        <w:t>(</w:t>
      </w:r>
      <w:r w:rsidR="0039180C">
        <w:t>7</w:t>
      </w:r>
      <w:r>
        <w:t>)</w:t>
      </w:r>
      <w:r>
        <w:tab/>
      </w:r>
      <w:r w:rsidR="00C17931" w:rsidRPr="009C795E">
        <w:t>Offers for Load Resources may be adjusted to reflect Distribution Losses in accordance with Section 8.1.1.2, General Capacity Testing Requirements.</w:t>
      </w:r>
    </w:p>
    <w:p w14:paraId="30906AAB" w14:textId="33F5ADBA" w:rsidR="00FF2129" w:rsidRDefault="00C17931">
      <w:pPr>
        <w:pStyle w:val="BodyTextNumbered"/>
      </w:pPr>
      <w:r>
        <w:t>(</w:t>
      </w:r>
      <w:r w:rsidR="0039180C">
        <w:t>8</w:t>
      </w:r>
      <w:r>
        <w:t>)</w:t>
      </w:r>
      <w:r>
        <w:tab/>
      </w:r>
      <w:r w:rsidR="00482EF3">
        <w:t xml:space="preserve">A Load Resource that is qualified to perform as a Controllable Load Resource may not offer to provide Ancillary Services as a Controllable Load Resource and a Load Resource controlled by high-set under-frequency relay simultaneously behind a common breaker.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6A9C" w:rsidRPr="004B32CF" w14:paraId="7DD0A0E0" w14:textId="77777777" w:rsidTr="007258B7">
        <w:trPr>
          <w:trHeight w:val="386"/>
        </w:trPr>
        <w:tc>
          <w:tcPr>
            <w:tcW w:w="9350" w:type="dxa"/>
            <w:shd w:val="pct12" w:color="auto" w:fill="auto"/>
          </w:tcPr>
          <w:p w14:paraId="0CBE21FD" w14:textId="6DD3ADE8" w:rsidR="00C26A9C" w:rsidRPr="004B32CF" w:rsidRDefault="00C26A9C" w:rsidP="007258B7">
            <w:pPr>
              <w:spacing w:before="120" w:after="240"/>
              <w:rPr>
                <w:b/>
                <w:i/>
                <w:iCs/>
              </w:rPr>
            </w:pPr>
            <w:bookmarkStart w:id="307" w:name="_Toc90197121"/>
            <w:bookmarkStart w:id="308" w:name="_Toc92873946"/>
            <w:bookmarkStart w:id="309" w:name="_Toc142108922"/>
            <w:bookmarkStart w:id="310" w:name="_Toc142113767"/>
            <w:bookmarkStart w:id="311" w:name="_Toc402345591"/>
            <w:bookmarkStart w:id="312" w:name="_Toc405383874"/>
            <w:bookmarkStart w:id="313" w:name="_Toc405536976"/>
            <w:bookmarkStart w:id="314" w:name="_Toc440871763"/>
            <w:r>
              <w:rPr>
                <w:b/>
                <w:i/>
                <w:iCs/>
              </w:rPr>
              <w:t>[NPRR1008</w:t>
            </w:r>
            <w:r w:rsidR="00363569">
              <w:rPr>
                <w:b/>
                <w:i/>
                <w:iCs/>
              </w:rPr>
              <w:t>, NPRR1014</w:t>
            </w:r>
            <w:r w:rsidR="00AD78B5">
              <w:rPr>
                <w:b/>
                <w:i/>
                <w:iCs/>
              </w:rPr>
              <w:t xml:space="preserve">, </w:t>
            </w:r>
            <w:r w:rsidR="0067492C">
              <w:rPr>
                <w:b/>
                <w:i/>
                <w:iCs/>
              </w:rPr>
              <w:t xml:space="preserve">and </w:t>
            </w:r>
            <w:r w:rsidR="00AD78B5">
              <w:rPr>
                <w:b/>
                <w:i/>
                <w:iCs/>
              </w:rPr>
              <w:t>NPRR1128</w:t>
            </w:r>
            <w:r>
              <w:rPr>
                <w:b/>
                <w:i/>
                <w:iCs/>
              </w:rPr>
              <w:t>:  Replace applicable portions of Section 4.4.7.2.1</w:t>
            </w:r>
            <w:r w:rsidRPr="004B32CF">
              <w:rPr>
                <w:b/>
                <w:i/>
                <w:iCs/>
              </w:rPr>
              <w:t xml:space="preserve"> </w:t>
            </w:r>
            <w:r>
              <w:rPr>
                <w:b/>
                <w:i/>
                <w:iCs/>
              </w:rPr>
              <w:t>above</w:t>
            </w:r>
            <w:r w:rsidRPr="004B32CF">
              <w:rPr>
                <w:b/>
                <w:i/>
                <w:iCs/>
              </w:rPr>
              <w:t xml:space="preserve"> </w:t>
            </w:r>
            <w:r>
              <w:rPr>
                <w:b/>
                <w:i/>
                <w:iCs/>
              </w:rPr>
              <w:t xml:space="preserve">with the following </w:t>
            </w:r>
            <w:r w:rsidRPr="004B32CF">
              <w:rPr>
                <w:b/>
                <w:i/>
                <w:iCs/>
              </w:rPr>
              <w:t>upon system implementation</w:t>
            </w:r>
            <w:r w:rsidR="00B96815">
              <w:rPr>
                <w:b/>
                <w:i/>
                <w:iCs/>
              </w:rPr>
              <w:t xml:space="preserve"> for</w:t>
            </w:r>
            <w:r w:rsidR="00EA1A80">
              <w:rPr>
                <w:b/>
                <w:i/>
                <w:iCs/>
              </w:rPr>
              <w:t xml:space="preserve"> </w:t>
            </w:r>
            <w:r w:rsidR="00363569">
              <w:rPr>
                <w:b/>
                <w:i/>
                <w:iCs/>
              </w:rPr>
              <w:t>NPRR1014</w:t>
            </w:r>
            <w:r w:rsidR="00AD78B5">
              <w:rPr>
                <w:b/>
                <w:i/>
                <w:iCs/>
              </w:rPr>
              <w:t xml:space="preserve"> and NPRR1128</w:t>
            </w:r>
            <w:r w:rsidR="00363569">
              <w:rPr>
                <w:b/>
                <w:i/>
                <w:iCs/>
              </w:rPr>
              <w:t>;</w:t>
            </w:r>
            <w:r>
              <w:rPr>
                <w:b/>
                <w:i/>
                <w:iCs/>
              </w:rPr>
              <w:t xml:space="preserve"> </w:t>
            </w:r>
            <w:r w:rsidR="0067492C">
              <w:rPr>
                <w:b/>
                <w:i/>
                <w:iCs/>
              </w:rPr>
              <w:t xml:space="preserve">or </w:t>
            </w:r>
            <w:r>
              <w:rPr>
                <w:b/>
                <w:i/>
                <w:iCs/>
              </w:rPr>
              <w:t>upon system implementation of the Real-Time Co-Optimiza</w:t>
            </w:r>
            <w:r w:rsidR="00363569">
              <w:rPr>
                <w:b/>
                <w:i/>
                <w:iCs/>
              </w:rPr>
              <w:t>tion (RTC) project for NPRR1008</w:t>
            </w:r>
            <w:r w:rsidRPr="004B32CF">
              <w:rPr>
                <w:b/>
                <w:i/>
                <w:iCs/>
              </w:rPr>
              <w:t>:]</w:t>
            </w:r>
          </w:p>
          <w:p w14:paraId="300BF157" w14:textId="77777777" w:rsidR="00C26A9C" w:rsidRDefault="00C26A9C" w:rsidP="00C26A9C">
            <w:pPr>
              <w:pStyle w:val="H5"/>
              <w:spacing w:before="480"/>
              <w:ind w:left="1627" w:hanging="1627"/>
            </w:pPr>
            <w:bookmarkStart w:id="315" w:name="_Toc17707770"/>
            <w:bookmarkStart w:id="316" w:name="_Toc60037973"/>
            <w:bookmarkStart w:id="317" w:name="_Toc65146116"/>
            <w:bookmarkStart w:id="318" w:name="_Toc68165030"/>
            <w:bookmarkStart w:id="319" w:name="_Toc135990637"/>
            <w:bookmarkStart w:id="320" w:name="_Hlk86241238"/>
            <w:r>
              <w:t>4.4.7.2.1</w:t>
            </w:r>
            <w:r>
              <w:tab/>
              <w:t>Resource-Specific Ancillary Service Offer Criteria</w:t>
            </w:r>
            <w:bookmarkEnd w:id="315"/>
            <w:bookmarkEnd w:id="316"/>
            <w:bookmarkEnd w:id="317"/>
            <w:bookmarkEnd w:id="318"/>
            <w:bookmarkEnd w:id="319"/>
          </w:p>
          <w:p w14:paraId="553660B5" w14:textId="77777777" w:rsidR="00C26A9C" w:rsidRDefault="00C26A9C" w:rsidP="00C26A9C">
            <w:pPr>
              <w:pStyle w:val="BodyTextNumbered"/>
            </w:pPr>
            <w:r>
              <w:t>(1)</w:t>
            </w:r>
            <w:r>
              <w:tab/>
              <w:t xml:space="preserve">Each </w:t>
            </w:r>
            <w:r>
              <w:rPr>
                <w:iCs w:val="0"/>
              </w:rPr>
              <w:t>Resource-Specific</w:t>
            </w:r>
            <w:r w:rsidRPr="00931359">
              <w:rPr>
                <w:iCs w:val="0"/>
              </w:rPr>
              <w:t xml:space="preserve"> </w:t>
            </w:r>
            <w:r w:rsidRPr="00243541">
              <w:t>Ancillary Service Offer</w:t>
            </w:r>
            <w:r>
              <w:t xml:space="preserve"> must be submitted by a QSE and must include the following information:</w:t>
            </w:r>
          </w:p>
          <w:p w14:paraId="2228F23F" w14:textId="77777777" w:rsidR="00C26A9C" w:rsidRDefault="00C26A9C" w:rsidP="00C26A9C">
            <w:pPr>
              <w:pStyle w:val="List"/>
              <w:ind w:left="1440"/>
            </w:pPr>
            <w:r>
              <w:t>(a)</w:t>
            </w:r>
            <w:r>
              <w:tab/>
              <w:t>The selling QSE;</w:t>
            </w:r>
          </w:p>
          <w:p w14:paraId="17E22358" w14:textId="77777777" w:rsidR="00C26A9C" w:rsidRDefault="00C26A9C" w:rsidP="00C26A9C">
            <w:pPr>
              <w:pStyle w:val="List"/>
              <w:ind w:left="1440"/>
            </w:pPr>
            <w:r>
              <w:t>(b)</w:t>
            </w:r>
            <w:r>
              <w:tab/>
              <w:t>The Resource represented by the QSE from which the offer would be supplied;</w:t>
            </w:r>
          </w:p>
          <w:p w14:paraId="5972B33F" w14:textId="77777777" w:rsidR="00C26A9C" w:rsidRDefault="00C26A9C" w:rsidP="00C26A9C">
            <w:pPr>
              <w:pStyle w:val="List"/>
              <w:ind w:left="1440"/>
            </w:pPr>
            <w:r>
              <w:t>(c)</w:t>
            </w:r>
            <w:r>
              <w:tab/>
              <w:t xml:space="preserve">The quantity in MW and Ancillary Service type from that Resource for this specific offer and the specific quantity in MW and Ancillary Service type of any other Ancillary Service offered from this same capacity; </w:t>
            </w:r>
          </w:p>
          <w:p w14:paraId="20534E48" w14:textId="77777777" w:rsidR="00C26A9C" w:rsidRDefault="00C26A9C" w:rsidP="00C26A9C">
            <w:pPr>
              <w:pStyle w:val="BodyTextNumbered"/>
              <w:ind w:left="1428" w:hanging="686"/>
            </w:pPr>
            <w:r>
              <w:t>(d)</w:t>
            </w:r>
            <w:r>
              <w:tab/>
              <w:t xml:space="preserve">A </w:t>
            </w:r>
            <w:r>
              <w:rPr>
                <w:iCs w:val="0"/>
              </w:rPr>
              <w:t>Resource-Specific</w:t>
            </w:r>
            <w:r w:rsidRPr="00931359">
              <w:rPr>
                <w:iCs w:val="0"/>
              </w:rPr>
              <w:t xml:space="preserve"> </w:t>
            </w:r>
            <w:r w:rsidRPr="00243541">
              <w:t>Ancillary Service Offer</w:t>
            </w:r>
            <w:r>
              <w:t xml:space="preserve"> linked to a Three-Part Supply Offer from a Resource designated to be Off-Line for the offer period in its COP may only be struck if the Three-Part Supply Offer is struck.  The total capacity struck must be within limits as defined in item (4)(c)(iii) of Section 4.5.1, DAM Clearing Process;  </w:t>
            </w:r>
          </w:p>
          <w:p w14:paraId="36EEE431" w14:textId="6DA67250" w:rsidR="00C26A9C" w:rsidRDefault="00C26A9C" w:rsidP="00C26A9C">
            <w:pPr>
              <w:pStyle w:val="BodyTextNumbered"/>
              <w:ind w:left="1428" w:hanging="686"/>
            </w:pPr>
            <w:r>
              <w:t>(e)</w:t>
            </w:r>
            <w:r>
              <w:tab/>
              <w:t xml:space="preserve">A </w:t>
            </w:r>
            <w:r>
              <w:rPr>
                <w:iCs w:val="0"/>
              </w:rPr>
              <w:t>Resource-Specific</w:t>
            </w:r>
            <w:r w:rsidRPr="00931359">
              <w:rPr>
                <w:iCs w:val="0"/>
              </w:rPr>
              <w:t xml:space="preserve"> </w:t>
            </w:r>
            <w:r w:rsidRPr="00243541">
              <w:t>Ancillary Service Offer</w:t>
            </w:r>
            <w:r>
              <w:t xml:space="preserve"> linked to other </w:t>
            </w:r>
            <w:r>
              <w:rPr>
                <w:iCs w:val="0"/>
              </w:rPr>
              <w:t>Resource-Specific</w:t>
            </w:r>
            <w:r w:rsidRPr="00931359">
              <w:rPr>
                <w:iCs w:val="0"/>
              </w:rPr>
              <w:t xml:space="preserve"> </w:t>
            </w:r>
            <w:r w:rsidRPr="00243541">
              <w:t>Ancillary Service Offers</w:t>
            </w:r>
            <w:r>
              <w:t xml:space="preserve"> or an Energy Offer Curve </w:t>
            </w:r>
            <w:r w:rsidR="00363569" w:rsidRPr="00A552C3">
              <w:t>or Energy Bid/Offer Curve</w:t>
            </w:r>
            <w:r w:rsidR="00363569">
              <w:t xml:space="preserve"> </w:t>
            </w:r>
            <w:r>
              <w:t>from a Resource designated to be On-Line for the offer period in its COP may only be struck if the total capacity struck is within limits as defined in item (4)(c)(iii) of Section 4.5.1;</w:t>
            </w:r>
          </w:p>
          <w:p w14:paraId="05B502F2" w14:textId="77777777" w:rsidR="00C26A9C" w:rsidRDefault="00C26A9C" w:rsidP="00C26A9C">
            <w:pPr>
              <w:pStyle w:val="BodyTextNumbered"/>
              <w:ind w:left="1428" w:hanging="686"/>
            </w:pPr>
            <w:r>
              <w:t>(f)</w:t>
            </w:r>
            <w:r>
              <w:tab/>
              <w:t xml:space="preserve">The first and last hour of the offer; </w:t>
            </w:r>
          </w:p>
          <w:p w14:paraId="0C3EBAE9" w14:textId="257C4FD0" w:rsidR="00C26A9C" w:rsidRDefault="00C26A9C" w:rsidP="00C26A9C">
            <w:pPr>
              <w:pStyle w:val="List"/>
              <w:ind w:left="1440"/>
            </w:pPr>
            <w:r>
              <w:t>(g)</w:t>
            </w:r>
            <w:r>
              <w:tab/>
              <w:t>A fixed quantity block or variable quantity block indicator for the offer:</w:t>
            </w:r>
          </w:p>
          <w:p w14:paraId="5D952A93" w14:textId="4EEB663A" w:rsidR="00C26A9C" w:rsidRDefault="00C26A9C" w:rsidP="00C26A9C">
            <w:pPr>
              <w:pStyle w:val="List2"/>
              <w:spacing w:after="240"/>
              <w:ind w:left="2160" w:hanging="720"/>
            </w:pPr>
            <w:r>
              <w:lastRenderedPageBreak/>
              <w:t>(i)</w:t>
            </w:r>
            <w:r>
              <w:tab/>
              <w:t xml:space="preserve">If a fixed quantity block, not to exceed 150 MW, which may only be offered by a Load Resource </w:t>
            </w:r>
            <w:r w:rsidR="002D65AE">
              <w:t>that is not a Controllable Load Resource and that is offering to provide</w:t>
            </w:r>
            <w:r w:rsidRPr="00366781">
              <w:t xml:space="preserve"> </w:t>
            </w:r>
            <w:r>
              <w:t>RRS</w:t>
            </w:r>
            <w:r w:rsidR="002D65AE">
              <w:t>,</w:t>
            </w:r>
            <w:r>
              <w:t xml:space="preserve"> ECRS</w:t>
            </w:r>
            <w:r w:rsidRPr="00366781">
              <w:t>,</w:t>
            </w:r>
            <w:r w:rsidR="002D65AE">
              <w:t xml:space="preserve"> or Non-Spin,</w:t>
            </w:r>
            <w:r w:rsidRPr="00366781">
              <w:t xml:space="preserve"> and which may clear at a Market Clearing Price for Capacity (MCPC) below the </w:t>
            </w:r>
            <w:r>
              <w:rPr>
                <w:iCs/>
              </w:rPr>
              <w:t>Resource-Specific</w:t>
            </w:r>
            <w:r w:rsidRPr="00931359">
              <w:rPr>
                <w:iCs/>
              </w:rPr>
              <w:t xml:space="preserve"> </w:t>
            </w:r>
            <w:r w:rsidRPr="00243541">
              <w:t>Ancillary Service Offer</w:t>
            </w:r>
            <w:r w:rsidRPr="00366781">
              <w:t xml:space="preserve"> price for that block,</w:t>
            </w:r>
            <w:r>
              <w:t xml:space="preserve"> the single price (in $/MW) and single quantity (in MW) for all hours offered in that block.</w:t>
            </w:r>
            <w:r w:rsidRPr="00FD158C">
              <w:t xml:space="preserve"> </w:t>
            </w:r>
            <w:r>
              <w:t xml:space="preserve"> This fixed quantity block indicator will only be considered in the DAM and will be ignored for awarding of Ancillary Services in the Real-Time Market (RTM); or </w:t>
            </w:r>
          </w:p>
          <w:p w14:paraId="1E5ECFB4" w14:textId="2D0EB601" w:rsidR="00C26A9C" w:rsidRDefault="00C26A9C" w:rsidP="00C26A9C">
            <w:pPr>
              <w:pStyle w:val="List2"/>
              <w:spacing w:before="240" w:after="240"/>
              <w:ind w:left="2160" w:hanging="720"/>
            </w:pPr>
            <w:r>
              <w:t>(ii)</w:t>
            </w:r>
            <w:r>
              <w:tab/>
              <w:t>If a variable quantity block, which may be offered by a Generation Resource</w:t>
            </w:r>
            <w:r w:rsidR="00363569">
              <w:t>, an ESR,</w:t>
            </w:r>
            <w:r>
              <w:t xml:space="preserve"> or a Load Resource, the single price (in $/MW) and single “up to” quantity (in MW) contingent on the purchase of all hours offered in that block.  This variable quantity block indicator will only be considered in the DAM and will be ignored for awarding of Ancillary Services in the RTM; and</w:t>
            </w:r>
          </w:p>
          <w:p w14:paraId="3652EEA1" w14:textId="77777777" w:rsidR="00C26A9C" w:rsidRDefault="00C26A9C" w:rsidP="00C26A9C">
            <w:pPr>
              <w:pStyle w:val="List"/>
              <w:ind w:left="1440"/>
            </w:pPr>
            <w:r>
              <w:t>(h)</w:t>
            </w:r>
            <w:r>
              <w:tab/>
              <w:t>The expiration time and date of the offer.</w:t>
            </w:r>
          </w:p>
          <w:p w14:paraId="26995FD8" w14:textId="77777777" w:rsidR="00C26A9C" w:rsidRDefault="00C26A9C" w:rsidP="00C26A9C">
            <w:pPr>
              <w:pStyle w:val="BodyTextNumbered"/>
            </w:pPr>
            <w:r>
              <w:t>(2)</w:t>
            </w:r>
            <w:r>
              <w:tab/>
              <w:t xml:space="preserve">A valid </w:t>
            </w:r>
            <w:r>
              <w:rPr>
                <w:iCs w:val="0"/>
              </w:rPr>
              <w:t>Resource-Specific</w:t>
            </w:r>
            <w:r w:rsidRPr="00931359">
              <w:rPr>
                <w:iCs w:val="0"/>
              </w:rPr>
              <w:t xml:space="preserve"> </w:t>
            </w:r>
            <w:r w:rsidRPr="00243541">
              <w:t>Ancillary Service Offer</w:t>
            </w:r>
            <w:r>
              <w:t xml:space="preserve"> in the DAM must be received before 1000 for the effective DAM.  </w:t>
            </w:r>
          </w:p>
          <w:p w14:paraId="64FEB4A3" w14:textId="7933B5B0" w:rsidR="00C26A9C" w:rsidRDefault="00C26A9C" w:rsidP="00C26A9C">
            <w:pPr>
              <w:pStyle w:val="BodyTextNumbered"/>
            </w:pPr>
            <w:r>
              <w:t>(3)</w:t>
            </w:r>
            <w:r>
              <w:tab/>
              <w:t xml:space="preserve">No </w:t>
            </w:r>
            <w:r>
              <w:rPr>
                <w:iCs w:val="0"/>
              </w:rPr>
              <w:t>Resource-Specific</w:t>
            </w:r>
            <w:r w:rsidRPr="00931359">
              <w:rPr>
                <w:iCs w:val="0"/>
              </w:rPr>
              <w:t xml:space="preserve"> </w:t>
            </w:r>
            <w:r w:rsidRPr="00243541">
              <w:t>Ancillary Service Offer</w:t>
            </w:r>
            <w:r>
              <w:t xml:space="preserve"> received </w:t>
            </w:r>
            <w:r w:rsidRPr="00AC7D2A">
              <w:t xml:space="preserve">before 1000 </w:t>
            </w:r>
            <w:r>
              <w:t xml:space="preserve">in the Day-Ahead may contain a price exceeding the Day-Ahead System-Wide Offer Cap (DASWCAP) (in $/MW).  No </w:t>
            </w:r>
            <w:r>
              <w:rPr>
                <w:iCs w:val="0"/>
              </w:rPr>
              <w:t>Resource-Specific</w:t>
            </w:r>
            <w:r w:rsidRPr="00931359">
              <w:rPr>
                <w:iCs w:val="0"/>
              </w:rPr>
              <w:t xml:space="preserve"> </w:t>
            </w:r>
            <w:r w:rsidRPr="00243541">
              <w:t>Ancillary Service Offer</w:t>
            </w:r>
            <w:r>
              <w:t xml:space="preserve"> received after 1430 in the Day-Ahead may contain a price exceeding the Real-Time System-Wide Offer Cap (RTSWCAP) (in $/MW).  </w:t>
            </w:r>
            <w:r w:rsidR="00AD78B5">
              <w:t xml:space="preserve">During the Operating Hours in which prioritizing the procurement of FFR up to the maximum FFR amount is in effect, an </w:t>
            </w:r>
            <w:r w:rsidR="00AD78B5">
              <w:rPr>
                <w:iCs w:val="0"/>
              </w:rPr>
              <w:t xml:space="preserve">FFR Ancillary Service Offer price may not be less than -$0.01 per MW.  </w:t>
            </w:r>
            <w:r w:rsidR="00AD78B5">
              <w:t>FFR Ancillary Service Offer prices at all other times</w:t>
            </w:r>
            <w:r w:rsidR="00AD78B5" w:rsidRPr="00DD4F29">
              <w:t xml:space="preserve"> </w:t>
            </w:r>
            <w:r w:rsidR="00AD78B5">
              <w:rPr>
                <w:iCs w:val="0"/>
              </w:rPr>
              <w:t xml:space="preserve">and </w:t>
            </w:r>
            <w:r w:rsidR="00AD78B5">
              <w:t>any other</w:t>
            </w:r>
            <w:r>
              <w:t xml:space="preserve"> Ancillary Service Offer price</w:t>
            </w:r>
            <w:r w:rsidR="00AD78B5">
              <w:t>s</w:t>
            </w:r>
            <w:r>
              <w:t xml:space="preserve"> may </w:t>
            </w:r>
            <w:r w:rsidR="00AD78B5">
              <w:t xml:space="preserve">not </w:t>
            </w:r>
            <w:r>
              <w:t>be less than $0 per MW.</w:t>
            </w:r>
          </w:p>
          <w:p w14:paraId="1A64C2E2" w14:textId="77777777" w:rsidR="00C26A9C" w:rsidRDefault="00C26A9C" w:rsidP="00C26A9C">
            <w:pPr>
              <w:pStyle w:val="BodyTextNumbered"/>
            </w:pPr>
            <w:r>
              <w:t>(4)</w:t>
            </w:r>
            <w:r>
              <w:tab/>
              <w:t>The minimum amount per Resource for each Ancillary Service product that may be offered is one-tenth (0.1) MW.</w:t>
            </w:r>
          </w:p>
          <w:p w14:paraId="269520A2" w14:textId="77777777" w:rsidR="00C26A9C" w:rsidRDefault="00C26A9C" w:rsidP="00C26A9C">
            <w:pPr>
              <w:pStyle w:val="BodyTextNumbered"/>
            </w:pPr>
            <w:r>
              <w:t>(5)</w:t>
            </w:r>
            <w:r>
              <w:tab/>
              <w:t xml:space="preserve">A Resource may offer more than one Ancillary Service.  </w:t>
            </w:r>
          </w:p>
          <w:p w14:paraId="2FA8705E" w14:textId="2BE737ED" w:rsidR="002D65AE" w:rsidRDefault="002D65AE" w:rsidP="00C26A9C">
            <w:pPr>
              <w:pStyle w:val="BodyTextNumbered"/>
            </w:pPr>
            <w:r>
              <w:t>(6)</w:t>
            </w:r>
            <w:r>
              <w:tab/>
            </w:r>
            <w:r w:rsidRPr="00444A38">
              <w:t>A Load Resource, that is not a Controllable Load Resource, may</w:t>
            </w:r>
            <w:r>
              <w:t xml:space="preserve"> simultaneously offer RRS, ECRS, and Non-Spin in a DAM and be awarded RRS, ECRS, and Non-Spin for the same Operating Hour in the DAM, but will not be awarded Non-Spin and RRS </w:t>
            </w:r>
            <w:r w:rsidR="00EA1A80">
              <w:t xml:space="preserve">or Non-Spin and ECRS </w:t>
            </w:r>
            <w:r>
              <w:t>on the same Load Resource simultaneously in Real-Time.</w:t>
            </w:r>
          </w:p>
          <w:p w14:paraId="4211BA19" w14:textId="37BD9C35" w:rsidR="00C26A9C" w:rsidRDefault="00C26A9C" w:rsidP="00C26A9C">
            <w:pPr>
              <w:pStyle w:val="BodyTextNumbered"/>
            </w:pPr>
            <w:r>
              <w:t>(</w:t>
            </w:r>
            <w:r w:rsidR="002D65AE">
              <w:t>7</w:t>
            </w:r>
            <w:r>
              <w:t>)</w:t>
            </w:r>
            <w:r>
              <w:tab/>
            </w:r>
            <w:r w:rsidRPr="009C795E">
              <w:t>Offers for Load Resources may be adjusted to reflect Distribution Losses in accordance with Section 8.1.1.2, General Capacity Testing Requirements.</w:t>
            </w:r>
          </w:p>
          <w:p w14:paraId="752A9630" w14:textId="001E6EA1" w:rsidR="00C26A9C" w:rsidRPr="00FC44CB" w:rsidRDefault="00C26A9C" w:rsidP="00C26A9C">
            <w:pPr>
              <w:pStyle w:val="List2"/>
              <w:spacing w:after="240"/>
              <w:ind w:left="690" w:hanging="720"/>
            </w:pPr>
            <w:r>
              <w:t>(</w:t>
            </w:r>
            <w:r w:rsidR="002D65AE">
              <w:t>8</w:t>
            </w:r>
            <w:r>
              <w:t>)</w:t>
            </w:r>
            <w:r>
              <w:tab/>
              <w:t xml:space="preserve">A Load Resource that is qualified to perform as a Controllable Load Resource may not offer to provide Ancillary Services as a Controllable Load Resource and a Load </w:t>
            </w:r>
            <w:r>
              <w:lastRenderedPageBreak/>
              <w:t>Resource controlled by high-set under-frequency relay simultaneously behind a common breaker.</w:t>
            </w:r>
            <w:bookmarkEnd w:id="320"/>
          </w:p>
        </w:tc>
      </w:tr>
    </w:tbl>
    <w:p w14:paraId="2F58FE82" w14:textId="77777777" w:rsidR="00FF2129" w:rsidRDefault="00482EF3" w:rsidP="004555CF">
      <w:pPr>
        <w:pStyle w:val="H5"/>
        <w:spacing w:before="480"/>
        <w:ind w:left="1627" w:hanging="1627"/>
      </w:pPr>
      <w:bookmarkStart w:id="321" w:name="_Toc135990638"/>
      <w:r>
        <w:lastRenderedPageBreak/>
        <w:t>4.4.7.2.2</w:t>
      </w:r>
      <w:r>
        <w:tab/>
        <w:t>Ancillary Service Offer Validation</w:t>
      </w:r>
      <w:bookmarkEnd w:id="307"/>
      <w:bookmarkEnd w:id="308"/>
      <w:bookmarkEnd w:id="309"/>
      <w:bookmarkEnd w:id="310"/>
      <w:bookmarkEnd w:id="311"/>
      <w:bookmarkEnd w:id="312"/>
      <w:bookmarkEnd w:id="313"/>
      <w:bookmarkEnd w:id="314"/>
      <w:bookmarkEnd w:id="321"/>
    </w:p>
    <w:p w14:paraId="042899A5" w14:textId="77777777" w:rsidR="00FF2129" w:rsidRDefault="00482EF3">
      <w:pPr>
        <w:pStyle w:val="BodyTextNumbered"/>
      </w:pPr>
      <w:bookmarkStart w:id="322" w:name="_Toc92873947"/>
      <w:r>
        <w:t>(1)</w:t>
      </w:r>
      <w:r>
        <w:tab/>
        <w:t>A valid Ancillary Service Offer is one that ERCOT has determined meets the criteria listed in Section 4.4.7.2.1, Ancillary Service Offer Criteria.</w:t>
      </w:r>
      <w:bookmarkEnd w:id="322"/>
    </w:p>
    <w:p w14:paraId="249B0F4F" w14:textId="77777777" w:rsidR="00FF2129" w:rsidRDefault="00482EF3">
      <w:pPr>
        <w:pStyle w:val="BodyTextNumbered"/>
      </w:pPr>
      <w:r>
        <w:t>(2)</w:t>
      </w:r>
      <w:r>
        <w:tab/>
        <w:t xml:space="preserve">ERCOT shall continuously validate Ancillary Service Offers and continuously display on the MIS Certified Area information that allows any QSE named in an Ancillary Service Offer to view its confirmed Ancillary Service Offers.  </w:t>
      </w:r>
    </w:p>
    <w:p w14:paraId="6BA6FE4C" w14:textId="77777777" w:rsidR="00FF2129" w:rsidRDefault="00482EF3">
      <w:pPr>
        <w:pStyle w:val="BodyTextNumbered"/>
      </w:pPr>
      <w:r>
        <w:t>(3)</w:t>
      </w:r>
      <w:r>
        <w:tab/>
        <w:t>ERCOT shall notify the QSE submitting an Ancillary Service Offer if the offer was rejected or was considered invalid for any reason.  The QSE may then resubmit the offer within the appropriate market timeline.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6A9C" w:rsidRPr="004B32CF" w14:paraId="1386FA5A" w14:textId="77777777" w:rsidTr="007258B7">
        <w:trPr>
          <w:trHeight w:val="386"/>
        </w:trPr>
        <w:tc>
          <w:tcPr>
            <w:tcW w:w="9350" w:type="dxa"/>
            <w:shd w:val="pct12" w:color="auto" w:fill="auto"/>
          </w:tcPr>
          <w:p w14:paraId="2EB372A2" w14:textId="33769878" w:rsidR="00C26A9C" w:rsidRPr="004B32CF" w:rsidRDefault="00C26A9C" w:rsidP="007258B7">
            <w:pPr>
              <w:spacing w:before="120" w:after="240"/>
              <w:rPr>
                <w:b/>
                <w:i/>
                <w:iCs/>
              </w:rPr>
            </w:pPr>
            <w:bookmarkStart w:id="323" w:name="_Toc90197160"/>
            <w:bookmarkStart w:id="324" w:name="_Toc92873948"/>
            <w:bookmarkStart w:id="325" w:name="_Toc142108923"/>
            <w:bookmarkStart w:id="326" w:name="_Toc142113768"/>
            <w:bookmarkStart w:id="327" w:name="_Toc402345592"/>
            <w:bookmarkStart w:id="328" w:name="_Toc405383875"/>
            <w:bookmarkStart w:id="329" w:name="_Toc405536977"/>
            <w:bookmarkStart w:id="330" w:name="_Toc440871764"/>
            <w:r>
              <w:rPr>
                <w:b/>
                <w:i/>
                <w:iCs/>
              </w:rPr>
              <w:t>[NPRR1008:  Replace Section 4.4.7.2.2 above with the following upon system implementation of the Real-Time Co-Optimization (RTC) project</w:t>
            </w:r>
            <w:r w:rsidRPr="004B32CF">
              <w:rPr>
                <w:b/>
                <w:i/>
                <w:iCs/>
              </w:rPr>
              <w:t>:]</w:t>
            </w:r>
          </w:p>
          <w:p w14:paraId="6C9896B4" w14:textId="77777777" w:rsidR="00C26A9C" w:rsidRPr="003A120C" w:rsidRDefault="00C26A9C" w:rsidP="00C26A9C">
            <w:pPr>
              <w:keepNext/>
              <w:tabs>
                <w:tab w:val="left" w:pos="1620"/>
              </w:tabs>
              <w:spacing w:before="480" w:after="240"/>
              <w:ind w:left="1627" w:hanging="1627"/>
              <w:outlineLvl w:val="4"/>
              <w:rPr>
                <w:b/>
                <w:bCs/>
                <w:i/>
                <w:iCs/>
                <w:szCs w:val="26"/>
              </w:rPr>
            </w:pPr>
            <w:bookmarkStart w:id="331" w:name="_Toc36580894"/>
            <w:bookmarkStart w:id="332" w:name="_Toc60037975"/>
            <w:bookmarkStart w:id="333" w:name="_Toc65146118"/>
            <w:bookmarkStart w:id="334" w:name="_Toc68165032"/>
            <w:bookmarkStart w:id="335" w:name="_Toc135990639"/>
            <w:r w:rsidRPr="003A120C">
              <w:rPr>
                <w:b/>
                <w:bCs/>
                <w:i/>
                <w:iCs/>
                <w:szCs w:val="26"/>
              </w:rPr>
              <w:t>4.4.7.2.2</w:t>
            </w:r>
            <w:r w:rsidRPr="003A120C">
              <w:rPr>
                <w:b/>
                <w:bCs/>
                <w:i/>
                <w:iCs/>
                <w:szCs w:val="26"/>
              </w:rPr>
              <w:tab/>
              <w:t>Resource-Specific Ancillary Service Offer Validation</w:t>
            </w:r>
            <w:bookmarkEnd w:id="331"/>
            <w:bookmarkEnd w:id="332"/>
            <w:bookmarkEnd w:id="333"/>
            <w:bookmarkEnd w:id="334"/>
            <w:bookmarkEnd w:id="335"/>
          </w:p>
          <w:p w14:paraId="34DA66BC" w14:textId="77777777" w:rsidR="00C26A9C" w:rsidRPr="008031DB" w:rsidRDefault="00C26A9C" w:rsidP="00C26A9C">
            <w:pPr>
              <w:spacing w:after="240"/>
              <w:ind w:left="720" w:hanging="720"/>
              <w:rPr>
                <w:iCs/>
              </w:rPr>
            </w:pPr>
            <w:r w:rsidRPr="003A120C">
              <w:rPr>
                <w:iCs/>
              </w:rPr>
              <w:t>(1)</w:t>
            </w:r>
            <w:r w:rsidRPr="003A120C">
              <w:rPr>
                <w:iCs/>
              </w:rPr>
              <w:tab/>
              <w:t>A valid Resource-Specific Ancillary Service Offer is one that ERCOT</w:t>
            </w:r>
            <w:r w:rsidRPr="008031DB">
              <w:rPr>
                <w:iCs/>
              </w:rPr>
              <w:t xml:space="preserve"> has determined meets the criteria listed in Section 4.4.7.2.1, </w:t>
            </w:r>
            <w:r>
              <w:rPr>
                <w:iCs/>
              </w:rPr>
              <w:t xml:space="preserve">Resource-Specific </w:t>
            </w:r>
            <w:r w:rsidRPr="008031DB">
              <w:rPr>
                <w:iCs/>
              </w:rPr>
              <w:t>Ancillary Service Offer Criteria.</w:t>
            </w:r>
          </w:p>
          <w:p w14:paraId="39A41124" w14:textId="77777777" w:rsidR="00C26A9C" w:rsidRPr="008031DB" w:rsidRDefault="00C26A9C" w:rsidP="00C26A9C">
            <w:pPr>
              <w:spacing w:after="240"/>
              <w:ind w:left="720" w:hanging="720"/>
              <w:rPr>
                <w:iCs/>
              </w:rPr>
            </w:pPr>
            <w:r w:rsidRPr="008031DB">
              <w:rPr>
                <w:iCs/>
              </w:rPr>
              <w:t>(2)</w:t>
            </w:r>
            <w:r w:rsidRPr="008031DB">
              <w:rPr>
                <w:iCs/>
              </w:rPr>
              <w:tab/>
              <w:t xml:space="preserve">ERCOT shall continuously validate </w:t>
            </w:r>
            <w:r>
              <w:rPr>
                <w:iCs/>
              </w:rPr>
              <w:t xml:space="preserve">Resource-Specific </w:t>
            </w:r>
            <w:r w:rsidRPr="008031DB">
              <w:rPr>
                <w:iCs/>
              </w:rPr>
              <w:t xml:space="preserve">Ancillary Service Offers and continuously display on the MIS Certified Area information that allows any QSE named in a </w:t>
            </w:r>
            <w:r>
              <w:rPr>
                <w:iCs/>
              </w:rPr>
              <w:t xml:space="preserve">Resource-Specific </w:t>
            </w:r>
            <w:r w:rsidRPr="008031DB">
              <w:rPr>
                <w:iCs/>
              </w:rPr>
              <w:t xml:space="preserve">Ancillary Service Offer to view its confirmed </w:t>
            </w:r>
            <w:r>
              <w:rPr>
                <w:iCs/>
              </w:rPr>
              <w:t xml:space="preserve">Resource-Specific </w:t>
            </w:r>
            <w:r w:rsidRPr="008031DB">
              <w:rPr>
                <w:iCs/>
              </w:rPr>
              <w:t xml:space="preserve">Ancillary Service Offers.  </w:t>
            </w:r>
          </w:p>
          <w:p w14:paraId="3547835B" w14:textId="28A99C6E" w:rsidR="00C26A9C" w:rsidRPr="00C26A9C" w:rsidRDefault="00C26A9C" w:rsidP="00C26A9C">
            <w:pPr>
              <w:spacing w:after="240"/>
              <w:ind w:left="720" w:hanging="720"/>
              <w:rPr>
                <w:iCs/>
              </w:rPr>
            </w:pPr>
            <w:r w:rsidRPr="008031DB">
              <w:rPr>
                <w:iCs/>
              </w:rPr>
              <w:t>(3)</w:t>
            </w:r>
            <w:r w:rsidRPr="008031DB">
              <w:rPr>
                <w:iCs/>
              </w:rPr>
              <w:tab/>
              <w:t xml:space="preserve">ERCOT shall notify the QSE submitting a </w:t>
            </w:r>
            <w:r>
              <w:rPr>
                <w:iCs/>
              </w:rPr>
              <w:t>Resource-Specific</w:t>
            </w:r>
            <w:r w:rsidRPr="008031DB">
              <w:rPr>
                <w:iCs/>
              </w:rPr>
              <w:t xml:space="preserve"> Ancillary Service Offer if the offer was rejected or was considered invalid for any reason.  The QSE may then resubmit the offer within the appropriate market timeline.</w:t>
            </w:r>
          </w:p>
        </w:tc>
      </w:tr>
    </w:tbl>
    <w:p w14:paraId="363CEDF8" w14:textId="77777777" w:rsidR="00C26A9C" w:rsidRDefault="00C26A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6A9C" w:rsidRPr="004B32CF" w14:paraId="6328FB48" w14:textId="77777777" w:rsidTr="007258B7">
        <w:trPr>
          <w:trHeight w:val="386"/>
        </w:trPr>
        <w:tc>
          <w:tcPr>
            <w:tcW w:w="9350" w:type="dxa"/>
            <w:shd w:val="pct12" w:color="auto" w:fill="auto"/>
          </w:tcPr>
          <w:p w14:paraId="7D4B8109" w14:textId="3DAB984A" w:rsidR="00C26A9C" w:rsidRPr="004B32CF" w:rsidRDefault="00C26A9C" w:rsidP="00B96815">
            <w:pPr>
              <w:spacing w:before="120" w:after="240"/>
              <w:rPr>
                <w:b/>
                <w:i/>
                <w:iCs/>
              </w:rPr>
            </w:pPr>
            <w:r>
              <w:rPr>
                <w:b/>
                <w:i/>
                <w:iCs/>
              </w:rPr>
              <w:t>[NPRR1008</w:t>
            </w:r>
            <w:r w:rsidR="00A32B5E">
              <w:rPr>
                <w:b/>
                <w:i/>
                <w:iCs/>
              </w:rPr>
              <w:t xml:space="preserve"> and NPRR1128</w:t>
            </w:r>
            <w:r>
              <w:rPr>
                <w:b/>
                <w:i/>
                <w:iCs/>
              </w:rPr>
              <w:t xml:space="preserve">:  Insert </w:t>
            </w:r>
            <w:r w:rsidR="00A32B5E">
              <w:rPr>
                <w:b/>
                <w:i/>
                <w:iCs/>
              </w:rPr>
              <w:t xml:space="preserve">applicable portions of </w:t>
            </w:r>
            <w:r>
              <w:rPr>
                <w:b/>
                <w:i/>
                <w:iCs/>
              </w:rPr>
              <w:t xml:space="preserve">Section 4.4.7.2.3 below </w:t>
            </w:r>
            <w:r w:rsidR="00A32B5E" w:rsidRPr="004B32CF">
              <w:rPr>
                <w:b/>
                <w:i/>
                <w:iCs/>
              </w:rPr>
              <w:t>upon system implementation</w:t>
            </w:r>
            <w:r w:rsidR="00A32B5E">
              <w:rPr>
                <w:b/>
                <w:i/>
                <w:iCs/>
              </w:rPr>
              <w:t xml:space="preserve"> for NPRR1128; or </w:t>
            </w:r>
            <w:r w:rsidRPr="004B32CF">
              <w:rPr>
                <w:b/>
                <w:i/>
                <w:iCs/>
              </w:rPr>
              <w:t>upon system implementation</w:t>
            </w:r>
            <w:r>
              <w:rPr>
                <w:b/>
                <w:i/>
                <w:iCs/>
              </w:rPr>
              <w:t xml:space="preserve"> of the Real-Time Co-Optimization (RTC) project</w:t>
            </w:r>
            <w:r w:rsidR="00A32B5E">
              <w:rPr>
                <w:b/>
                <w:i/>
                <w:iCs/>
              </w:rPr>
              <w:t xml:space="preserve"> for NPRR1008</w:t>
            </w:r>
            <w:r w:rsidRPr="004B32CF">
              <w:rPr>
                <w:b/>
                <w:i/>
                <w:iCs/>
              </w:rPr>
              <w:t>:]</w:t>
            </w:r>
          </w:p>
          <w:p w14:paraId="30F46565" w14:textId="77777777" w:rsidR="0075710C" w:rsidRDefault="0075710C" w:rsidP="00B96815">
            <w:pPr>
              <w:pStyle w:val="BodyTextNumbered"/>
              <w:spacing w:before="240"/>
              <w:rPr>
                <w:b/>
                <w:bCs/>
                <w:i/>
                <w:szCs w:val="26"/>
              </w:rPr>
            </w:pPr>
            <w:r w:rsidRPr="001E2B42">
              <w:rPr>
                <w:b/>
                <w:bCs/>
                <w:i/>
                <w:szCs w:val="26"/>
              </w:rPr>
              <w:t>4.4.7.2.3</w:t>
            </w:r>
            <w:r>
              <w:tab/>
            </w:r>
            <w:r w:rsidRPr="00663490">
              <w:rPr>
                <w:b/>
                <w:bCs/>
                <w:i/>
                <w:szCs w:val="26"/>
              </w:rPr>
              <w:t>A</w:t>
            </w:r>
            <w:r w:rsidRPr="001E2B42">
              <w:rPr>
                <w:b/>
                <w:bCs/>
                <w:i/>
                <w:szCs w:val="26"/>
              </w:rPr>
              <w:t xml:space="preserve">ncillary Service </w:t>
            </w:r>
            <w:r>
              <w:rPr>
                <w:b/>
                <w:bCs/>
                <w:i/>
                <w:szCs w:val="26"/>
              </w:rPr>
              <w:t xml:space="preserve">Only </w:t>
            </w:r>
            <w:r w:rsidRPr="001E2B42">
              <w:rPr>
                <w:b/>
                <w:bCs/>
                <w:i/>
                <w:szCs w:val="26"/>
              </w:rPr>
              <w:t xml:space="preserve">Offer </w:t>
            </w:r>
            <w:r>
              <w:rPr>
                <w:b/>
                <w:bCs/>
                <w:i/>
                <w:szCs w:val="26"/>
              </w:rPr>
              <w:t>Criteria</w:t>
            </w:r>
          </w:p>
          <w:p w14:paraId="2AE29FAC" w14:textId="77777777" w:rsidR="0075710C" w:rsidRDefault="0075710C" w:rsidP="0075710C">
            <w:pPr>
              <w:pStyle w:val="BodyTextNumbered"/>
            </w:pPr>
            <w:r>
              <w:lastRenderedPageBreak/>
              <w:t>(1)</w:t>
            </w:r>
            <w:r>
              <w:tab/>
              <w:t>Each Ancillary Service Only Offer must be submitted by a QSE and must include the following information:</w:t>
            </w:r>
          </w:p>
          <w:p w14:paraId="53144401" w14:textId="77777777" w:rsidR="0075710C" w:rsidRDefault="0075710C" w:rsidP="0075710C">
            <w:pPr>
              <w:pStyle w:val="List"/>
              <w:ind w:left="1440"/>
            </w:pPr>
            <w:r>
              <w:t>(a)</w:t>
            </w:r>
            <w:r>
              <w:tab/>
              <w:t>The selling QSE;</w:t>
            </w:r>
          </w:p>
          <w:p w14:paraId="4B81AEE2" w14:textId="77777777" w:rsidR="0075710C" w:rsidRDefault="0075710C" w:rsidP="0075710C">
            <w:pPr>
              <w:pStyle w:val="List"/>
              <w:ind w:left="1440"/>
            </w:pPr>
            <w:r>
              <w:t>(b)</w:t>
            </w:r>
            <w:r>
              <w:tab/>
              <w:t xml:space="preserve">The quantity in MW and Ancillary Service type; </w:t>
            </w:r>
          </w:p>
          <w:p w14:paraId="491EE9BF" w14:textId="77777777" w:rsidR="0075710C" w:rsidRDefault="0075710C" w:rsidP="0075710C">
            <w:pPr>
              <w:pStyle w:val="BodyTextNumbered"/>
              <w:ind w:left="1440"/>
            </w:pPr>
            <w:r w:rsidRPr="00292A95">
              <w:t>(c)</w:t>
            </w:r>
            <w:r>
              <w:tab/>
            </w:r>
            <w:r w:rsidRPr="00292A95">
              <w:t xml:space="preserve">The first and last </w:t>
            </w:r>
            <w:r>
              <w:t>Operating Hour</w:t>
            </w:r>
            <w:r w:rsidRPr="00292A95">
              <w:t xml:space="preserve"> of the offer; </w:t>
            </w:r>
          </w:p>
          <w:p w14:paraId="41FA0F77" w14:textId="77777777" w:rsidR="0075710C" w:rsidRDefault="0075710C" w:rsidP="0075710C">
            <w:pPr>
              <w:pStyle w:val="BodyTextNumbered"/>
              <w:ind w:hanging="686"/>
            </w:pPr>
            <w:r>
              <w:t>(2)</w:t>
            </w:r>
            <w:r>
              <w:tab/>
              <w:t xml:space="preserve">A valid Ancillary Service Only Offer in the DAM must be received before 1000 in the Day-Ahead.  </w:t>
            </w:r>
          </w:p>
          <w:p w14:paraId="31302238" w14:textId="4FCE0710" w:rsidR="0075710C" w:rsidRDefault="0075710C" w:rsidP="0075710C">
            <w:pPr>
              <w:pStyle w:val="BodyTextNumbered"/>
              <w:ind w:hanging="686"/>
            </w:pPr>
            <w:r>
              <w:t>(3)</w:t>
            </w:r>
            <w:r>
              <w:tab/>
              <w:t xml:space="preserve">No Ancillary Service Only Offer price may exceed the DASWCAP (in $/MW).  </w:t>
            </w:r>
            <w:r w:rsidR="00A32B5E">
              <w:t xml:space="preserve">During the Operating Hours in which prioritizing the procurement of FFR up to the maximum FFR amount is in effect, an </w:t>
            </w:r>
            <w:r w:rsidR="00A32B5E">
              <w:rPr>
                <w:iCs w:val="0"/>
              </w:rPr>
              <w:t xml:space="preserve">FFR Ancillary Service Offer price may not be less than -$0.01 per MW.  </w:t>
            </w:r>
            <w:r w:rsidR="00A32B5E">
              <w:t>FFR Ancillary Service Offer price at all other times</w:t>
            </w:r>
            <w:r w:rsidR="00A32B5E">
              <w:rPr>
                <w:iCs w:val="0"/>
              </w:rPr>
              <w:t xml:space="preserve"> and </w:t>
            </w:r>
            <w:r w:rsidR="00A32B5E">
              <w:t>any other</w:t>
            </w:r>
            <w:r>
              <w:t xml:space="preserve"> Ancillary Service Only Offer price</w:t>
            </w:r>
            <w:r w:rsidR="00A32B5E">
              <w:t>s</w:t>
            </w:r>
            <w:r>
              <w:t xml:space="preserve"> may </w:t>
            </w:r>
            <w:r w:rsidR="00A32B5E">
              <w:t xml:space="preserve">not </w:t>
            </w:r>
            <w:r>
              <w:t>be less than $0 per MW.</w:t>
            </w:r>
          </w:p>
          <w:p w14:paraId="789E1217" w14:textId="2ED70C22" w:rsidR="00C26A9C" w:rsidRPr="00C26A9C" w:rsidRDefault="0075710C" w:rsidP="0075710C">
            <w:pPr>
              <w:pStyle w:val="BodyTextNumbered"/>
              <w:ind w:hanging="686"/>
            </w:pPr>
            <w:r>
              <w:t>(4)</w:t>
            </w:r>
            <w:r>
              <w:tab/>
              <w:t>The minimum amount that may be offered is one-tenth (0.1) MW.</w:t>
            </w:r>
          </w:p>
        </w:tc>
      </w:tr>
    </w:tbl>
    <w:p w14:paraId="42DCC41A" w14:textId="77777777" w:rsidR="0075710C" w:rsidRDefault="0075710C" w:rsidP="007571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5710C" w:rsidRPr="004B32CF" w14:paraId="3FA5CAA3" w14:textId="77777777" w:rsidTr="007258B7">
        <w:trPr>
          <w:trHeight w:val="386"/>
        </w:trPr>
        <w:tc>
          <w:tcPr>
            <w:tcW w:w="9350" w:type="dxa"/>
            <w:shd w:val="pct12" w:color="auto" w:fill="auto"/>
          </w:tcPr>
          <w:p w14:paraId="2A5BF695" w14:textId="6817ED1F" w:rsidR="0075710C" w:rsidRPr="004B32CF" w:rsidRDefault="0075710C" w:rsidP="00B96815">
            <w:pPr>
              <w:spacing w:before="120" w:after="240"/>
              <w:rPr>
                <w:b/>
                <w:i/>
                <w:iCs/>
              </w:rPr>
            </w:pPr>
            <w:r>
              <w:rPr>
                <w:b/>
                <w:i/>
                <w:iCs/>
              </w:rPr>
              <w:t xml:space="preserve">[NPRR1008:  Insert Section 4.4.7.2.4 below </w:t>
            </w:r>
            <w:r w:rsidRPr="004B32CF">
              <w:rPr>
                <w:b/>
                <w:i/>
                <w:iCs/>
              </w:rPr>
              <w:t>upon system implementation</w:t>
            </w:r>
            <w:r>
              <w:rPr>
                <w:b/>
                <w:i/>
                <w:iCs/>
              </w:rPr>
              <w:t xml:space="preserve"> of the Real-Time Co-Optimization (RTC) project</w:t>
            </w:r>
            <w:r w:rsidRPr="004B32CF">
              <w:rPr>
                <w:b/>
                <w:i/>
                <w:iCs/>
              </w:rPr>
              <w:t>:]</w:t>
            </w:r>
          </w:p>
          <w:p w14:paraId="292757CE" w14:textId="77777777" w:rsidR="0075710C" w:rsidRPr="001E2B42" w:rsidRDefault="0075710C" w:rsidP="0075710C">
            <w:pPr>
              <w:pStyle w:val="BodyTextNumbered"/>
              <w:rPr>
                <w:b/>
                <w:bCs/>
                <w:i/>
                <w:szCs w:val="26"/>
              </w:rPr>
            </w:pPr>
            <w:r w:rsidRPr="001E2B42">
              <w:rPr>
                <w:b/>
                <w:bCs/>
                <w:i/>
                <w:szCs w:val="26"/>
              </w:rPr>
              <w:t>4.4.7.2.4</w:t>
            </w:r>
            <w:r w:rsidRPr="001E2B42">
              <w:rPr>
                <w:b/>
                <w:bCs/>
                <w:i/>
                <w:szCs w:val="26"/>
              </w:rPr>
              <w:tab/>
            </w:r>
            <w:r w:rsidRPr="001E2B42">
              <w:rPr>
                <w:b/>
                <w:i/>
              </w:rPr>
              <w:t xml:space="preserve">Ancillary Service </w:t>
            </w:r>
            <w:r>
              <w:rPr>
                <w:b/>
                <w:i/>
              </w:rPr>
              <w:t xml:space="preserve">Only </w:t>
            </w:r>
            <w:r w:rsidRPr="001E2B42">
              <w:rPr>
                <w:b/>
                <w:i/>
              </w:rPr>
              <w:t>Offer Validation</w:t>
            </w:r>
          </w:p>
          <w:p w14:paraId="656042E4" w14:textId="77777777" w:rsidR="0075710C" w:rsidRDefault="0075710C" w:rsidP="0075710C">
            <w:pPr>
              <w:pStyle w:val="BodyTextNumbered"/>
            </w:pPr>
            <w:r>
              <w:t>(1)</w:t>
            </w:r>
            <w:r>
              <w:tab/>
              <w:t>A valid Ancillary Service Only Offer is one that ERCOT determines meets the criteria listed in Section 4.4.7.2.3, Ancillary Service Only Offer Criteria.</w:t>
            </w:r>
          </w:p>
          <w:p w14:paraId="38F3027D" w14:textId="77777777" w:rsidR="0075710C" w:rsidRDefault="0075710C" w:rsidP="0075710C">
            <w:pPr>
              <w:pStyle w:val="BodyTextNumbered"/>
            </w:pPr>
            <w:r>
              <w:t>(2)</w:t>
            </w:r>
            <w:r>
              <w:tab/>
              <w:t xml:space="preserve">ERCOT shall continuously validate Ancillary Service Only Offers and continuously display on the MIS Certified Area information that allows any QSE named in an Ancillary Service Only Offer to view its confirmed Ancillary Service Only Offers.  </w:t>
            </w:r>
          </w:p>
          <w:p w14:paraId="00EDD8E0" w14:textId="433ED88F" w:rsidR="0075710C" w:rsidRPr="00C26A9C" w:rsidRDefault="0075710C" w:rsidP="0075710C">
            <w:pPr>
              <w:pStyle w:val="BodyTextNumbered"/>
            </w:pPr>
            <w:r>
              <w:t>(3)</w:t>
            </w:r>
            <w:r>
              <w:tab/>
              <w:t>ERCOT will notify the QSE submitting an Ancillary Service Only Offer</w:t>
            </w:r>
            <w:r w:rsidRPr="0006398A">
              <w:t xml:space="preserve"> </w:t>
            </w:r>
            <w:r>
              <w:t>using the MIS Certified Area if the offer was rejected or was considered invalid for any reason.  The QSE may resubmit the offer if the time for receiving offers has not elapsed.</w:t>
            </w:r>
          </w:p>
        </w:tc>
      </w:tr>
    </w:tbl>
    <w:p w14:paraId="00769715" w14:textId="77777777" w:rsidR="00FF2129" w:rsidRDefault="00482EF3" w:rsidP="004555CF">
      <w:pPr>
        <w:pStyle w:val="H4"/>
        <w:spacing w:before="480"/>
        <w:ind w:left="1267" w:hanging="1267"/>
      </w:pPr>
      <w:bookmarkStart w:id="336" w:name="_Toc135990640"/>
      <w:bookmarkStart w:id="337" w:name="_Hlk135897772"/>
      <w:r>
        <w:t>4.4.7.3</w:t>
      </w:r>
      <w:r>
        <w:tab/>
        <w:t>Ancillary Service Trades</w:t>
      </w:r>
      <w:bookmarkEnd w:id="323"/>
      <w:bookmarkEnd w:id="324"/>
      <w:bookmarkEnd w:id="325"/>
      <w:bookmarkEnd w:id="326"/>
      <w:bookmarkEnd w:id="327"/>
      <w:bookmarkEnd w:id="328"/>
      <w:bookmarkEnd w:id="329"/>
      <w:bookmarkEnd w:id="330"/>
      <w:bookmarkEnd w:id="336"/>
    </w:p>
    <w:p w14:paraId="608EC2A4" w14:textId="77777777" w:rsidR="00FF2129" w:rsidRDefault="00482EF3">
      <w:pPr>
        <w:pStyle w:val="BodyTextNumbered"/>
      </w:pPr>
      <w:r>
        <w:t>(1)</w:t>
      </w:r>
      <w:r>
        <w:tab/>
        <w:t xml:space="preserve">An Ancillary Service Trade is the information for a QSE-to-QSE transaction that transfers an obligation to provide Ancillary Service capacity between a buyer and a seller.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12162" w:rsidRPr="004B32CF" w14:paraId="63CDF6C0" w14:textId="77777777" w:rsidTr="007258B7">
        <w:trPr>
          <w:trHeight w:val="386"/>
        </w:trPr>
        <w:tc>
          <w:tcPr>
            <w:tcW w:w="9350" w:type="dxa"/>
            <w:shd w:val="pct12" w:color="auto" w:fill="auto"/>
          </w:tcPr>
          <w:p w14:paraId="0EFD271D" w14:textId="3333C2A2" w:rsidR="00312162" w:rsidRPr="004B32CF" w:rsidRDefault="00312162" w:rsidP="007258B7">
            <w:pPr>
              <w:spacing w:before="120" w:after="240"/>
              <w:rPr>
                <w:b/>
                <w:i/>
                <w:iCs/>
              </w:rPr>
            </w:pPr>
            <w:r>
              <w:rPr>
                <w:b/>
                <w:i/>
                <w:iCs/>
              </w:rPr>
              <w:lastRenderedPageBreak/>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72DEAE34" w14:textId="02570302" w:rsidR="00312162" w:rsidRPr="00B11AAC" w:rsidRDefault="00312162" w:rsidP="00312162">
            <w:pPr>
              <w:pStyle w:val="BodyTextNumbered"/>
            </w:pPr>
            <w:r>
              <w:t>(1)</w:t>
            </w:r>
            <w:r>
              <w:tab/>
              <w:t>An Ancillary Service Trade is the information for a QSE-to-QSE transaction that transfers an obligation to provide Ancillary Service capacity or purchase Ancillary Services in the Real-Time Market (RTM) between a buyer and a seller.</w:t>
            </w:r>
          </w:p>
        </w:tc>
      </w:tr>
    </w:tbl>
    <w:p w14:paraId="5FCDE864" w14:textId="2057EBAE" w:rsidR="00FF2129" w:rsidRDefault="00482EF3" w:rsidP="00F539C2">
      <w:pPr>
        <w:pStyle w:val="BodyTextNumbered"/>
        <w:spacing w:before="240"/>
      </w:pPr>
      <w:r>
        <w:t>(2)</w:t>
      </w:r>
      <w:r>
        <w:tab/>
        <w:t xml:space="preserve">An Ancillary Service Trade that is reported to ERCOT by 1430 in the Day-Ahead changes the Ancillary Service Supply Responsibility of the buyer and seller in the DRUC process. </w:t>
      </w:r>
      <w:r w:rsidR="00356532">
        <w:t xml:space="preserve"> </w:t>
      </w:r>
      <w:r>
        <w:t xml:space="preserve">An Ancillary Service Trade that is reported to ERCOT after 1430 in the Day-Ahead changes the Ancillary Service Supply Responsibility of the buyer and seller in any applicable HRUC process, the deadline for which is after the trade is submitted.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12162" w:rsidRPr="004B32CF" w14:paraId="27C07FD1" w14:textId="77777777" w:rsidTr="007258B7">
        <w:trPr>
          <w:trHeight w:val="386"/>
        </w:trPr>
        <w:tc>
          <w:tcPr>
            <w:tcW w:w="9350" w:type="dxa"/>
            <w:shd w:val="pct12" w:color="auto" w:fill="auto"/>
          </w:tcPr>
          <w:p w14:paraId="0E847A31" w14:textId="4F306490" w:rsidR="00312162" w:rsidRPr="004B32CF" w:rsidRDefault="00312162" w:rsidP="007258B7">
            <w:pPr>
              <w:spacing w:before="120" w:after="240"/>
              <w:rPr>
                <w:b/>
                <w:i/>
                <w:iCs/>
              </w:rPr>
            </w:pPr>
            <w:r>
              <w:rPr>
                <w:b/>
                <w:i/>
                <w:iCs/>
              </w:rPr>
              <w:t>[NPRR1008:  Replace paragraph (2</w:t>
            </w:r>
            <w:r w:rsidRPr="004B32CF">
              <w:rPr>
                <w:b/>
                <w:i/>
                <w:iCs/>
              </w:rPr>
              <w:t>) above with the following upon system implementation</w:t>
            </w:r>
            <w:r>
              <w:rPr>
                <w:b/>
                <w:i/>
                <w:iCs/>
              </w:rPr>
              <w:t xml:space="preserve"> of the Real-Time Co-Optimization (RTC) project</w:t>
            </w:r>
            <w:r w:rsidRPr="004B32CF">
              <w:rPr>
                <w:b/>
                <w:i/>
                <w:iCs/>
              </w:rPr>
              <w:t>:]</w:t>
            </w:r>
          </w:p>
          <w:p w14:paraId="0B506F0A" w14:textId="2D584BB2" w:rsidR="00312162" w:rsidRPr="00B11AAC" w:rsidRDefault="00312162" w:rsidP="00312162">
            <w:pPr>
              <w:pStyle w:val="BodyTextNumbered"/>
            </w:pPr>
            <w:r>
              <w:t>(2)</w:t>
            </w:r>
            <w:r>
              <w:tab/>
              <w:t>An Ancillary Service Trade that is reported to ERCOT by 1430 in the Day-Ahead changes the Ancillary Service Position of the buyer and seller in the DRUC process.  An Ancillary Service Trade that is reported to ERCOT after 1430 in the Day-Ahead changes the Ancillary Service Position of the buyer and seller in any applicable HRUC process, the deadline for which is after the trade is submitted.</w:t>
            </w:r>
          </w:p>
        </w:tc>
      </w:tr>
    </w:tbl>
    <w:p w14:paraId="79592F53" w14:textId="2C61DE92" w:rsidR="00FF2129" w:rsidRDefault="00482EF3" w:rsidP="00F539C2">
      <w:pPr>
        <w:pStyle w:val="BodyTextNumbered"/>
        <w:spacing w:before="240"/>
      </w:pPr>
      <w:r>
        <w:t>(3)</w:t>
      </w:r>
      <w:r>
        <w:tab/>
        <w:t xml:space="preserve">As soon as practicable, ERCOT shall notify each QSE through the Messaging System of any of its Ancillary Service Trades that are invalid Ancillary Service Trades.  The QSE may correct and resubmit any invalid Ancillary Service Trade, but the reporting time of the trade is determined by when the validated Ancillary Service Trade was submitted and not when the original invalid Ancillary Service Trade was submitted. </w:t>
      </w:r>
    </w:p>
    <w:p w14:paraId="249F9E84" w14:textId="77777777" w:rsidR="00D46800" w:rsidRPr="0003648D" w:rsidRDefault="00D46800" w:rsidP="00D46800">
      <w:pPr>
        <w:pStyle w:val="BodyTextNumbered"/>
      </w:pPr>
      <w:bookmarkStart w:id="338" w:name="_Hlk135898101"/>
      <w:r w:rsidRPr="0003648D">
        <w:t>(4)</w:t>
      </w:r>
      <w:r w:rsidRPr="0003648D">
        <w:tab/>
        <w:t xml:space="preserve">A QSE with an Ancillary Service Supply Responsibility for </w:t>
      </w:r>
      <w:r>
        <w:t>ECRS</w:t>
      </w:r>
      <w:r w:rsidRPr="0003648D">
        <w:t xml:space="preserve">, originally designated to be provided by a Generation Resource, may transfer its responsibility via Ancillary Service Trade(s) to another QSE only if that QSE designates the </w:t>
      </w:r>
      <w:r>
        <w:t>ECRS</w:t>
      </w:r>
      <w:r w:rsidRPr="0003648D">
        <w:t xml:space="preserve"> will be provided by a Generation Resource.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D46800" w:rsidRPr="004B32CF" w14:paraId="7BF007E4" w14:textId="77777777" w:rsidTr="00317AF5">
        <w:trPr>
          <w:trHeight w:val="386"/>
        </w:trPr>
        <w:tc>
          <w:tcPr>
            <w:tcW w:w="9350" w:type="dxa"/>
            <w:shd w:val="pct12" w:color="auto" w:fill="auto"/>
          </w:tcPr>
          <w:p w14:paraId="2DCB47FC" w14:textId="42981167" w:rsidR="00D46800" w:rsidRPr="004B32CF" w:rsidRDefault="00D46800" w:rsidP="00317AF5">
            <w:pPr>
              <w:spacing w:before="120" w:after="240"/>
              <w:rPr>
                <w:b/>
                <w:i/>
                <w:iCs/>
              </w:rPr>
            </w:pPr>
            <w:r>
              <w:rPr>
                <w:b/>
                <w:i/>
                <w:iCs/>
              </w:rPr>
              <w:t>[NPRR1008:  Replace paragraph (4</w:t>
            </w:r>
            <w:r w:rsidRPr="004B32CF">
              <w:rPr>
                <w:b/>
                <w:i/>
                <w:iCs/>
              </w:rPr>
              <w:t>) above with the following upon system implementation</w:t>
            </w:r>
            <w:r>
              <w:rPr>
                <w:b/>
                <w:i/>
                <w:iCs/>
              </w:rPr>
              <w:t xml:space="preserve"> of the Real-Time Co-Optimization (RTC) project</w:t>
            </w:r>
            <w:r w:rsidRPr="004B32CF">
              <w:rPr>
                <w:b/>
                <w:i/>
                <w:iCs/>
              </w:rPr>
              <w:t>:]</w:t>
            </w:r>
          </w:p>
          <w:p w14:paraId="6A9547CA" w14:textId="7AB6CE08" w:rsidR="00D46800" w:rsidRPr="00B11AAC" w:rsidRDefault="00D46800" w:rsidP="00317AF5">
            <w:pPr>
              <w:pStyle w:val="BodyTextNumbered"/>
            </w:pPr>
            <w:r w:rsidRPr="0003648D">
              <w:t>(4)</w:t>
            </w:r>
            <w:r w:rsidRPr="0003648D">
              <w:tab/>
              <w:t xml:space="preserve">A QSE with an Ancillary Service </w:t>
            </w:r>
            <w:r>
              <w:t>Position</w:t>
            </w:r>
            <w:r w:rsidRPr="0003648D">
              <w:t xml:space="preserve"> for </w:t>
            </w:r>
            <w:r>
              <w:t>ECRS</w:t>
            </w:r>
            <w:r w:rsidRPr="0003648D">
              <w:t xml:space="preserve">, originally designated to be provided by a Generation Resource, may transfer </w:t>
            </w:r>
            <w:r>
              <w:t xml:space="preserve">that portion of </w:t>
            </w:r>
            <w:r w:rsidRPr="0003648D">
              <w:t xml:space="preserve">its </w:t>
            </w:r>
            <w:r>
              <w:t>Ancillary Service Position</w:t>
            </w:r>
            <w:r w:rsidRPr="0003648D">
              <w:t xml:space="preserve"> via Ancillary Service Trade(s) to another QSE only if that QSE designates the </w:t>
            </w:r>
            <w:r>
              <w:t>ECRS</w:t>
            </w:r>
            <w:r w:rsidRPr="0003648D">
              <w:t xml:space="preserve"> will be provided by a Generation Resource.</w:t>
            </w:r>
          </w:p>
        </w:tc>
      </w:tr>
    </w:tbl>
    <w:p w14:paraId="21A0DD74" w14:textId="77777777" w:rsidR="00BE69DE" w:rsidRDefault="00BE69DE"/>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E69DE" w:rsidRPr="004B32CF" w14:paraId="7BA0FDDE" w14:textId="77777777" w:rsidTr="00C643BC">
        <w:trPr>
          <w:trHeight w:val="386"/>
        </w:trPr>
        <w:tc>
          <w:tcPr>
            <w:tcW w:w="9350" w:type="dxa"/>
            <w:shd w:val="pct12" w:color="auto" w:fill="auto"/>
          </w:tcPr>
          <w:p w14:paraId="05A08F2A" w14:textId="1167F260" w:rsidR="00BE69DE" w:rsidRPr="00B11AAC" w:rsidRDefault="00BE69DE" w:rsidP="00BE69DE">
            <w:pPr>
              <w:spacing w:before="120" w:after="240"/>
            </w:pPr>
            <w:r>
              <w:rPr>
                <w:b/>
                <w:i/>
                <w:iCs/>
              </w:rPr>
              <w:lastRenderedPageBreak/>
              <w:t>[NPRR1213:  Delete paragraph (4) above upon system implementation, and upon system implementation of NPRR117</w:t>
            </w:r>
            <w:r w:rsidR="0019129E">
              <w:rPr>
                <w:b/>
                <w:i/>
                <w:iCs/>
              </w:rPr>
              <w:t>1</w:t>
            </w:r>
            <w:r>
              <w:rPr>
                <w:b/>
                <w:i/>
                <w:iCs/>
              </w:rPr>
              <w:t>, and renumber accordingly</w:t>
            </w:r>
            <w:r w:rsidR="0097590C">
              <w:rPr>
                <w:b/>
                <w:i/>
                <w:iCs/>
              </w:rPr>
              <w:t>.</w:t>
            </w:r>
            <w:r w:rsidRPr="004B32CF">
              <w:rPr>
                <w:b/>
                <w:i/>
                <w:iCs/>
              </w:rPr>
              <w:t>]</w:t>
            </w:r>
          </w:p>
        </w:tc>
      </w:tr>
    </w:tbl>
    <w:p w14:paraId="1A9102D9" w14:textId="387AD09E" w:rsidR="00D46800" w:rsidRPr="0003648D" w:rsidRDefault="00D46800" w:rsidP="00D46800">
      <w:pPr>
        <w:pStyle w:val="BodyTextNumbered"/>
        <w:spacing w:before="240"/>
      </w:pPr>
      <w:r w:rsidRPr="0003648D">
        <w:t>(5)</w:t>
      </w:r>
      <w:r w:rsidRPr="0003648D">
        <w:tab/>
        <w:t xml:space="preserve">A QSE with an Ancillary Service Supply Responsibility for </w:t>
      </w:r>
      <w:r>
        <w:t>ECRS</w:t>
      </w:r>
      <w:r w:rsidRPr="0003648D">
        <w:t xml:space="preserve">, originally designated to be provided by a Load Resource providing </w:t>
      </w:r>
      <w:r>
        <w:t>ECRS</w:t>
      </w:r>
      <w:r w:rsidRPr="0003648D">
        <w:t xml:space="preserve"> triggered with </w:t>
      </w:r>
      <w:r>
        <w:t xml:space="preserve">or without </w:t>
      </w:r>
      <w:r w:rsidRPr="0003648D">
        <w:t xml:space="preserve">under-frequency relays set at 59.70 Hz, may transfer its responsibility via Ancillary Service Trade(s) to another QSE only if that QSE designates the </w:t>
      </w:r>
      <w:r>
        <w:t>ECRS</w:t>
      </w:r>
      <w:r w:rsidRPr="0003648D">
        <w:t xml:space="preserve"> will be provided by either: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D46800" w:rsidRPr="004B32CF" w14:paraId="46BC74E9" w14:textId="77777777" w:rsidTr="00317AF5">
        <w:trPr>
          <w:trHeight w:val="386"/>
        </w:trPr>
        <w:tc>
          <w:tcPr>
            <w:tcW w:w="9350" w:type="dxa"/>
            <w:shd w:val="pct12" w:color="auto" w:fill="auto"/>
          </w:tcPr>
          <w:p w14:paraId="13198C1D" w14:textId="77777777" w:rsidR="00D46800" w:rsidRPr="004B32CF" w:rsidRDefault="00D46800" w:rsidP="00317AF5">
            <w:pPr>
              <w:spacing w:before="120" w:after="240"/>
              <w:rPr>
                <w:b/>
                <w:i/>
                <w:iCs/>
              </w:rPr>
            </w:pPr>
            <w:r>
              <w:rPr>
                <w:b/>
                <w:i/>
                <w:iCs/>
              </w:rPr>
              <w:t>[NPRR1008:  Replace paragraph (5</w:t>
            </w:r>
            <w:r w:rsidRPr="004B32CF">
              <w:rPr>
                <w:b/>
                <w:i/>
                <w:iCs/>
              </w:rPr>
              <w:t>) above with the following upon system implementation</w:t>
            </w:r>
            <w:r>
              <w:rPr>
                <w:b/>
                <w:i/>
                <w:iCs/>
              </w:rPr>
              <w:t xml:space="preserve"> of the Real-Time Co-Optimization (RTC) project</w:t>
            </w:r>
            <w:r w:rsidRPr="004B32CF">
              <w:rPr>
                <w:b/>
                <w:i/>
                <w:iCs/>
              </w:rPr>
              <w:t>:]</w:t>
            </w:r>
          </w:p>
          <w:p w14:paraId="5620E34A" w14:textId="77777777" w:rsidR="00D46800" w:rsidRPr="00B11AAC" w:rsidRDefault="00D46800" w:rsidP="00317AF5">
            <w:pPr>
              <w:pStyle w:val="BodyTextNumbered"/>
            </w:pPr>
            <w:r w:rsidRPr="0003648D">
              <w:t>(5)</w:t>
            </w:r>
            <w:r w:rsidRPr="0003648D">
              <w:tab/>
              <w:t xml:space="preserve">A QSE with an Ancillary Service </w:t>
            </w:r>
            <w:r>
              <w:t>Position</w:t>
            </w:r>
            <w:r w:rsidRPr="0003648D">
              <w:t xml:space="preserve"> for </w:t>
            </w:r>
            <w:r>
              <w:t>ECRS</w:t>
            </w:r>
            <w:r w:rsidRPr="0003648D">
              <w:t xml:space="preserve">, originally designated to be provided by a Load Resource providing </w:t>
            </w:r>
            <w:r>
              <w:t>ECRS</w:t>
            </w:r>
            <w:r w:rsidRPr="0003648D">
              <w:t xml:space="preserve"> triggered with </w:t>
            </w:r>
            <w:r>
              <w:t xml:space="preserve">or without </w:t>
            </w:r>
            <w:r w:rsidRPr="0003648D">
              <w:t>under-frequency relays set at 59.70 Hz, may transfer</w:t>
            </w:r>
            <w:r>
              <w:t xml:space="preserve"> that portion of</w:t>
            </w:r>
            <w:r w:rsidRPr="0003648D">
              <w:t xml:space="preserve"> its </w:t>
            </w:r>
            <w:r>
              <w:t>Ancillary Service Position</w:t>
            </w:r>
            <w:r w:rsidRPr="0003648D">
              <w:t xml:space="preserve"> via Ancillary Service Trade(s) to another QSE only if that QSE designates the </w:t>
            </w:r>
            <w:r>
              <w:t>ECRS</w:t>
            </w:r>
            <w:r w:rsidRPr="0003648D">
              <w:t xml:space="preserve"> will be provided by either:</w:t>
            </w:r>
          </w:p>
        </w:tc>
      </w:tr>
    </w:tbl>
    <w:p w14:paraId="482710F4" w14:textId="41F676B5" w:rsidR="00D46800" w:rsidRPr="0003648D" w:rsidRDefault="00D46800" w:rsidP="00D46800">
      <w:pPr>
        <w:pStyle w:val="List"/>
        <w:spacing w:before="240"/>
        <w:ind w:left="1440"/>
      </w:pPr>
      <w:r w:rsidRPr="0003648D">
        <w:t>(a)</w:t>
      </w:r>
      <w:r w:rsidRPr="0003648D">
        <w:tab/>
        <w:t xml:space="preserve">A Generation Resource; or </w:t>
      </w:r>
    </w:p>
    <w:p w14:paraId="1DC23D7B" w14:textId="77777777" w:rsidR="00D46800" w:rsidRPr="0003648D" w:rsidRDefault="00D46800" w:rsidP="00D46800">
      <w:pPr>
        <w:pStyle w:val="List"/>
        <w:ind w:left="1440"/>
      </w:pPr>
      <w:r w:rsidRPr="0003648D">
        <w:t>(b)</w:t>
      </w:r>
      <w:r w:rsidRPr="0003648D">
        <w:tab/>
        <w:t xml:space="preserve">A Load Resource providing </w:t>
      </w:r>
      <w:r>
        <w:t>ECRS</w:t>
      </w:r>
      <w:r w:rsidRPr="0003648D">
        <w:t xml:space="preserve"> triggered with </w:t>
      </w:r>
      <w:r>
        <w:t xml:space="preserve">or without </w:t>
      </w:r>
      <w:r w:rsidRPr="0003648D">
        <w:t xml:space="preserve">under-frequency relays set at 59.70 Hz.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E69DE" w:rsidRPr="004B32CF" w14:paraId="31B0C2CC" w14:textId="77777777" w:rsidTr="00C643BC">
        <w:trPr>
          <w:trHeight w:val="386"/>
        </w:trPr>
        <w:tc>
          <w:tcPr>
            <w:tcW w:w="9350" w:type="dxa"/>
            <w:shd w:val="pct12" w:color="auto" w:fill="auto"/>
          </w:tcPr>
          <w:p w14:paraId="15B090D4" w14:textId="50526AF0" w:rsidR="00BE69DE" w:rsidRPr="00B11AAC" w:rsidRDefault="00BE69DE" w:rsidP="00C643BC">
            <w:pPr>
              <w:spacing w:before="120" w:after="240"/>
            </w:pPr>
            <w:r>
              <w:rPr>
                <w:b/>
                <w:i/>
                <w:iCs/>
              </w:rPr>
              <w:t>[NPRR1213:  Delete paragraph (5) above upon system implementation, and upon system implementation of NPRR117</w:t>
            </w:r>
            <w:r w:rsidR="0019129E">
              <w:rPr>
                <w:b/>
                <w:i/>
                <w:iCs/>
              </w:rPr>
              <w:t>1</w:t>
            </w:r>
            <w:r>
              <w:rPr>
                <w:b/>
                <w:i/>
                <w:iCs/>
              </w:rPr>
              <w:t>, and renumber accordingly</w:t>
            </w:r>
            <w:r w:rsidR="0097590C">
              <w:rPr>
                <w:b/>
                <w:i/>
                <w:iCs/>
              </w:rPr>
              <w:t>.</w:t>
            </w:r>
            <w:r w:rsidRPr="004B32CF">
              <w:rPr>
                <w:b/>
                <w:i/>
                <w:iCs/>
              </w:rPr>
              <w:t>]</w:t>
            </w:r>
          </w:p>
        </w:tc>
      </w:tr>
    </w:tbl>
    <w:p w14:paraId="3FBD4D2F" w14:textId="271C2AD1" w:rsidR="00D46800" w:rsidRPr="0003648D" w:rsidRDefault="00D46800" w:rsidP="005506CA">
      <w:pPr>
        <w:pStyle w:val="BodyTextNumbered"/>
        <w:spacing w:before="240"/>
      </w:pPr>
      <w:r w:rsidRPr="0003648D">
        <w:t>(6)</w:t>
      </w:r>
      <w:r w:rsidRPr="0003648D">
        <w:tab/>
        <w:t xml:space="preserve">The table below shows the </w:t>
      </w:r>
      <w:r>
        <w:t>ECRS</w:t>
      </w:r>
      <w:r w:rsidRPr="0003648D">
        <w:t xml:space="preserve"> trades that are allowed for each type of original responsibility:</w:t>
      </w:r>
    </w:p>
    <w:tbl>
      <w:tblPr>
        <w:tblW w:w="9049"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3235"/>
        <w:gridCol w:w="3103"/>
      </w:tblGrid>
      <w:tr w:rsidR="00D46800" w:rsidRPr="0003648D" w14:paraId="2F6F30E0" w14:textId="77777777" w:rsidTr="005506CA">
        <w:trPr>
          <w:trHeight w:val="343"/>
        </w:trPr>
        <w:tc>
          <w:tcPr>
            <w:tcW w:w="2711" w:type="dxa"/>
            <w:shd w:val="clear" w:color="auto" w:fill="auto"/>
            <w:vAlign w:val="center"/>
          </w:tcPr>
          <w:p w14:paraId="5C46D213" w14:textId="77777777" w:rsidR="00D46800" w:rsidRPr="0003648D" w:rsidRDefault="00D46800" w:rsidP="00317AF5">
            <w:pPr>
              <w:pStyle w:val="BodyTextNumbered"/>
              <w:ind w:left="0" w:firstLine="0"/>
              <w:jc w:val="center"/>
            </w:pPr>
          </w:p>
        </w:tc>
        <w:tc>
          <w:tcPr>
            <w:tcW w:w="6338" w:type="dxa"/>
            <w:gridSpan w:val="2"/>
            <w:shd w:val="clear" w:color="auto" w:fill="auto"/>
            <w:vAlign w:val="center"/>
          </w:tcPr>
          <w:p w14:paraId="23F6001D" w14:textId="77777777" w:rsidR="00D46800" w:rsidRPr="0003648D" w:rsidRDefault="00D46800" w:rsidP="00317AF5">
            <w:pPr>
              <w:pStyle w:val="BodyTextNumbered"/>
              <w:ind w:left="0" w:firstLine="0"/>
              <w:jc w:val="center"/>
              <w:rPr>
                <w:b/>
              </w:rPr>
            </w:pPr>
            <w:r w:rsidRPr="0003648D">
              <w:rPr>
                <w:b/>
              </w:rPr>
              <w:t xml:space="preserve">Allowable </w:t>
            </w:r>
            <w:r>
              <w:rPr>
                <w:b/>
              </w:rPr>
              <w:t>ECRS</w:t>
            </w:r>
            <w:r w:rsidRPr="0003648D">
              <w:rPr>
                <w:b/>
              </w:rPr>
              <w:t xml:space="preserve"> Ancillary Service Trades</w:t>
            </w:r>
          </w:p>
        </w:tc>
      </w:tr>
      <w:tr w:rsidR="00D46800" w:rsidRPr="0003648D" w14:paraId="0ED03BB2" w14:textId="77777777" w:rsidTr="005506CA">
        <w:trPr>
          <w:trHeight w:val="527"/>
        </w:trPr>
        <w:tc>
          <w:tcPr>
            <w:tcW w:w="2711" w:type="dxa"/>
            <w:shd w:val="clear" w:color="auto" w:fill="auto"/>
            <w:vAlign w:val="center"/>
          </w:tcPr>
          <w:p w14:paraId="57B2E122" w14:textId="77777777" w:rsidR="00D46800" w:rsidRPr="0003648D" w:rsidRDefault="00D46800" w:rsidP="00317AF5">
            <w:pPr>
              <w:pStyle w:val="BodyTextNumbered"/>
              <w:ind w:left="0" w:firstLine="0"/>
              <w:jc w:val="center"/>
              <w:rPr>
                <w:b/>
              </w:rPr>
            </w:pPr>
            <w:r w:rsidRPr="0003648D">
              <w:rPr>
                <w:b/>
              </w:rPr>
              <w:t>Original Responsibility</w:t>
            </w:r>
          </w:p>
        </w:tc>
        <w:tc>
          <w:tcPr>
            <w:tcW w:w="3235" w:type="dxa"/>
            <w:shd w:val="clear" w:color="auto" w:fill="auto"/>
            <w:vAlign w:val="center"/>
          </w:tcPr>
          <w:p w14:paraId="0473B471" w14:textId="77777777" w:rsidR="00D46800" w:rsidRPr="0003648D" w:rsidRDefault="00D46800" w:rsidP="00317AF5">
            <w:pPr>
              <w:pStyle w:val="BodyTextNumbered"/>
              <w:ind w:left="0" w:firstLine="0"/>
              <w:jc w:val="center"/>
              <w:rPr>
                <w:b/>
              </w:rPr>
            </w:pPr>
            <w:r>
              <w:rPr>
                <w:b/>
              </w:rPr>
              <w:t>SCED-dispatchable ECRS</w:t>
            </w:r>
          </w:p>
        </w:tc>
        <w:tc>
          <w:tcPr>
            <w:tcW w:w="3103" w:type="dxa"/>
            <w:shd w:val="clear" w:color="auto" w:fill="auto"/>
            <w:vAlign w:val="center"/>
          </w:tcPr>
          <w:p w14:paraId="65DDF36B" w14:textId="77777777" w:rsidR="00D46800" w:rsidRPr="0003648D" w:rsidRDefault="00D46800" w:rsidP="00317AF5">
            <w:pPr>
              <w:pStyle w:val="BodyTextNumbered"/>
              <w:ind w:left="0" w:firstLine="0"/>
              <w:jc w:val="center"/>
              <w:rPr>
                <w:b/>
              </w:rPr>
            </w:pPr>
            <w:r>
              <w:rPr>
                <w:b/>
              </w:rPr>
              <w:t>Manually dispatched ECRS</w:t>
            </w:r>
          </w:p>
        </w:tc>
      </w:tr>
      <w:tr w:rsidR="00D46800" w:rsidRPr="0003648D" w14:paraId="51987ED8" w14:textId="77777777" w:rsidTr="005506CA">
        <w:trPr>
          <w:trHeight w:val="343"/>
        </w:trPr>
        <w:tc>
          <w:tcPr>
            <w:tcW w:w="2711" w:type="dxa"/>
            <w:shd w:val="clear" w:color="auto" w:fill="auto"/>
            <w:vAlign w:val="center"/>
          </w:tcPr>
          <w:p w14:paraId="658EDDC0" w14:textId="77777777" w:rsidR="00D46800" w:rsidRPr="0003648D" w:rsidRDefault="00D46800" w:rsidP="00317AF5">
            <w:pPr>
              <w:pStyle w:val="BodyTextNumbered"/>
              <w:ind w:left="0" w:firstLine="0"/>
              <w:jc w:val="center"/>
            </w:pPr>
            <w:r>
              <w:t>SCED-dispatchable ECRS</w:t>
            </w:r>
          </w:p>
        </w:tc>
        <w:tc>
          <w:tcPr>
            <w:tcW w:w="3235" w:type="dxa"/>
            <w:shd w:val="clear" w:color="auto" w:fill="auto"/>
            <w:vAlign w:val="center"/>
          </w:tcPr>
          <w:p w14:paraId="34DDF088" w14:textId="77777777" w:rsidR="00D46800" w:rsidRPr="0003648D" w:rsidRDefault="00D46800" w:rsidP="00317AF5">
            <w:pPr>
              <w:pStyle w:val="BodyTextNumbered"/>
              <w:ind w:left="0" w:firstLine="0"/>
              <w:jc w:val="center"/>
            </w:pPr>
            <w:r w:rsidRPr="0003648D">
              <w:t>Yes</w:t>
            </w:r>
          </w:p>
        </w:tc>
        <w:tc>
          <w:tcPr>
            <w:tcW w:w="3103" w:type="dxa"/>
            <w:shd w:val="clear" w:color="auto" w:fill="auto"/>
            <w:vAlign w:val="center"/>
          </w:tcPr>
          <w:p w14:paraId="41616CD2" w14:textId="77777777" w:rsidR="00D46800" w:rsidRPr="0003648D" w:rsidRDefault="00D46800" w:rsidP="00317AF5">
            <w:pPr>
              <w:pStyle w:val="BodyTextNumbered"/>
              <w:ind w:left="0" w:firstLine="0"/>
              <w:jc w:val="center"/>
            </w:pPr>
            <w:r w:rsidRPr="0003648D">
              <w:t>No</w:t>
            </w:r>
          </w:p>
        </w:tc>
      </w:tr>
      <w:tr w:rsidR="00D46800" w:rsidRPr="0003648D" w14:paraId="4383FF5D" w14:textId="77777777" w:rsidTr="005506CA">
        <w:trPr>
          <w:trHeight w:val="527"/>
        </w:trPr>
        <w:tc>
          <w:tcPr>
            <w:tcW w:w="2711" w:type="dxa"/>
            <w:shd w:val="clear" w:color="auto" w:fill="auto"/>
            <w:vAlign w:val="center"/>
          </w:tcPr>
          <w:p w14:paraId="6246F40A" w14:textId="77777777" w:rsidR="00D46800" w:rsidRPr="0003648D" w:rsidRDefault="00D46800" w:rsidP="00317AF5">
            <w:pPr>
              <w:pStyle w:val="BodyTextNumbered"/>
              <w:ind w:left="0" w:firstLine="0"/>
              <w:jc w:val="center"/>
            </w:pPr>
            <w:r>
              <w:t>Manually dispatched ECRS</w:t>
            </w:r>
          </w:p>
        </w:tc>
        <w:tc>
          <w:tcPr>
            <w:tcW w:w="3235" w:type="dxa"/>
            <w:shd w:val="clear" w:color="auto" w:fill="auto"/>
            <w:vAlign w:val="center"/>
          </w:tcPr>
          <w:p w14:paraId="570D2016" w14:textId="77777777" w:rsidR="00D46800" w:rsidRPr="0003648D" w:rsidRDefault="00D46800" w:rsidP="00317AF5">
            <w:pPr>
              <w:pStyle w:val="BodyTextNumbered"/>
              <w:ind w:left="0" w:firstLine="0"/>
              <w:jc w:val="center"/>
            </w:pPr>
            <w:r w:rsidRPr="0003648D">
              <w:t>Yes</w:t>
            </w:r>
          </w:p>
        </w:tc>
        <w:tc>
          <w:tcPr>
            <w:tcW w:w="3103" w:type="dxa"/>
            <w:shd w:val="clear" w:color="auto" w:fill="auto"/>
            <w:vAlign w:val="center"/>
          </w:tcPr>
          <w:p w14:paraId="2D94E0E2" w14:textId="77777777" w:rsidR="00D46800" w:rsidRPr="0003648D" w:rsidRDefault="00D46800" w:rsidP="00317AF5">
            <w:pPr>
              <w:pStyle w:val="BodyTextNumbered"/>
              <w:ind w:left="0" w:firstLine="0"/>
              <w:jc w:val="center"/>
            </w:pPr>
            <w:r w:rsidRPr="0003648D">
              <w:t>Yes</w:t>
            </w:r>
          </w:p>
        </w:tc>
      </w:tr>
    </w:tbl>
    <w:p w14:paraId="6304CC88" w14:textId="77777777" w:rsidR="00B62F5B" w:rsidRDefault="00B62F5B"/>
    <w:tbl>
      <w:tblPr>
        <w:tblW w:w="9591"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591"/>
      </w:tblGrid>
      <w:tr w:rsidR="00BE69DE" w:rsidRPr="004B32CF" w14:paraId="708988A4" w14:textId="77777777" w:rsidTr="00B62F5B">
        <w:trPr>
          <w:trHeight w:val="386"/>
        </w:trPr>
        <w:tc>
          <w:tcPr>
            <w:tcW w:w="9591" w:type="dxa"/>
            <w:shd w:val="pct12" w:color="auto" w:fill="auto"/>
          </w:tcPr>
          <w:p w14:paraId="43B553FB" w14:textId="61C27A22" w:rsidR="00BE69DE" w:rsidRPr="004B32CF" w:rsidRDefault="00BE69DE" w:rsidP="00C643BC">
            <w:pPr>
              <w:spacing w:before="120" w:after="240"/>
              <w:rPr>
                <w:b/>
                <w:i/>
                <w:iCs/>
              </w:rPr>
            </w:pPr>
            <w:bookmarkStart w:id="339" w:name="_Hlk116474121"/>
            <w:bookmarkStart w:id="340" w:name="_Toc90197161"/>
            <w:bookmarkStart w:id="341" w:name="_Toc92873949"/>
            <w:bookmarkStart w:id="342" w:name="_Toc142108924"/>
            <w:bookmarkStart w:id="343" w:name="_Toc142113769"/>
            <w:bookmarkStart w:id="344" w:name="_Toc402345593"/>
            <w:bookmarkStart w:id="345" w:name="_Toc405383876"/>
            <w:bookmarkStart w:id="346" w:name="_Toc405536978"/>
            <w:bookmarkStart w:id="347" w:name="_Toc440871765"/>
            <w:bookmarkEnd w:id="338"/>
            <w:r>
              <w:rPr>
                <w:b/>
                <w:i/>
                <w:iCs/>
              </w:rPr>
              <w:lastRenderedPageBreak/>
              <w:t>[NPRR1213:  Replace paragraph (6</w:t>
            </w:r>
            <w:r w:rsidRPr="004B32CF">
              <w:rPr>
                <w:b/>
                <w:i/>
                <w:iCs/>
              </w:rPr>
              <w:t>) above with the following upon system implementation</w:t>
            </w:r>
            <w:r>
              <w:rPr>
                <w:b/>
                <w:i/>
                <w:iCs/>
              </w:rPr>
              <w:t>, and upon system implementation of NPRR117</w:t>
            </w:r>
            <w:r w:rsidR="0019129E">
              <w:rPr>
                <w:b/>
                <w:i/>
                <w:iCs/>
              </w:rPr>
              <w:t>1</w:t>
            </w:r>
            <w:r w:rsidRPr="004B32CF">
              <w:rPr>
                <w:b/>
                <w:i/>
                <w:iCs/>
              </w:rPr>
              <w:t>:]</w:t>
            </w:r>
          </w:p>
          <w:p w14:paraId="17BAF46A" w14:textId="77777777" w:rsidR="00BE69DE" w:rsidRPr="00511F9B" w:rsidRDefault="00BE69DE" w:rsidP="00BE69DE">
            <w:pPr>
              <w:spacing w:after="240"/>
              <w:ind w:left="720" w:hanging="720"/>
              <w:rPr>
                <w:iCs/>
              </w:rPr>
            </w:pPr>
            <w:r w:rsidRPr="00511F9B">
              <w:rPr>
                <w:iCs/>
              </w:rPr>
              <w:t>(4)</w:t>
            </w:r>
            <w:r w:rsidRPr="00511F9B">
              <w:rPr>
                <w:iCs/>
              </w:rPr>
              <w:tab/>
              <w:t>The table below shows the ECRS trades that are allowed for each type of original responsibility:</w:t>
            </w: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2158"/>
              <w:gridCol w:w="2250"/>
              <w:gridCol w:w="2250"/>
            </w:tblGrid>
            <w:tr w:rsidR="00BE69DE" w:rsidRPr="00511F9B" w14:paraId="67783366" w14:textId="77777777" w:rsidTr="00C643BC">
              <w:trPr>
                <w:trHeight w:hRule="exact" w:val="20"/>
              </w:trPr>
              <w:tc>
                <w:tcPr>
                  <w:tcW w:w="1982" w:type="dxa"/>
                  <w:tcBorders>
                    <w:top w:val="nil"/>
                    <w:left w:val="nil"/>
                    <w:bottom w:val="nil"/>
                    <w:right w:val="nil"/>
                  </w:tcBorders>
                  <w:shd w:val="clear" w:color="auto" w:fill="auto"/>
                  <w:vAlign w:val="center"/>
                </w:tcPr>
                <w:p w14:paraId="7A3F4C0A" w14:textId="77777777" w:rsidR="00BE69DE" w:rsidRPr="00511F9B" w:rsidRDefault="00BE69DE" w:rsidP="00BE69DE">
                  <w:pPr>
                    <w:rPr>
                      <w:sz w:val="2"/>
                    </w:rPr>
                  </w:pPr>
                  <w:bookmarkStart w:id="348" w:name="_2451723d_ba9b_484c_9e02_3e33a443810c"/>
                  <w:bookmarkStart w:id="349" w:name="_5526f7cd_d748_4f30_aff3_ebfa468906df"/>
                  <w:bookmarkEnd w:id="348"/>
                </w:p>
              </w:tc>
              <w:tc>
                <w:tcPr>
                  <w:tcW w:w="2158" w:type="dxa"/>
                  <w:tcBorders>
                    <w:top w:val="nil"/>
                    <w:left w:val="nil"/>
                    <w:bottom w:val="nil"/>
                    <w:right w:val="nil"/>
                  </w:tcBorders>
                  <w:shd w:val="clear" w:color="auto" w:fill="auto"/>
                  <w:vAlign w:val="center"/>
                </w:tcPr>
                <w:p w14:paraId="69550B0D" w14:textId="77777777" w:rsidR="00BE69DE" w:rsidRPr="00511F9B" w:rsidRDefault="00BE69DE" w:rsidP="00BE69DE">
                  <w:pPr>
                    <w:rPr>
                      <w:sz w:val="2"/>
                    </w:rPr>
                  </w:pPr>
                </w:p>
              </w:tc>
              <w:tc>
                <w:tcPr>
                  <w:tcW w:w="2250" w:type="dxa"/>
                  <w:tcBorders>
                    <w:top w:val="nil"/>
                    <w:left w:val="nil"/>
                    <w:bottom w:val="nil"/>
                    <w:right w:val="nil"/>
                  </w:tcBorders>
                </w:tcPr>
                <w:p w14:paraId="7E95CF74" w14:textId="77777777" w:rsidR="00BE69DE" w:rsidRPr="00511F9B" w:rsidRDefault="00BE69DE" w:rsidP="00BE69DE">
                  <w:pPr>
                    <w:rPr>
                      <w:sz w:val="2"/>
                    </w:rPr>
                  </w:pPr>
                </w:p>
              </w:tc>
              <w:tc>
                <w:tcPr>
                  <w:tcW w:w="2250" w:type="dxa"/>
                  <w:tcBorders>
                    <w:top w:val="nil"/>
                    <w:left w:val="nil"/>
                    <w:bottom w:val="nil"/>
                    <w:right w:val="nil"/>
                  </w:tcBorders>
                  <w:shd w:val="clear" w:color="auto" w:fill="auto"/>
                  <w:vAlign w:val="center"/>
                </w:tcPr>
                <w:p w14:paraId="54449E42" w14:textId="77777777" w:rsidR="00BE69DE" w:rsidRPr="00511F9B" w:rsidRDefault="00BE69DE" w:rsidP="00BE69DE">
                  <w:pPr>
                    <w:rPr>
                      <w:sz w:val="2"/>
                    </w:rPr>
                  </w:pPr>
                </w:p>
              </w:tc>
            </w:tr>
            <w:tr w:rsidR="00BE69DE" w:rsidRPr="00511F9B" w14:paraId="36C560DC" w14:textId="77777777" w:rsidTr="00C643BC">
              <w:trPr>
                <w:trHeight w:val="343"/>
              </w:trPr>
              <w:tc>
                <w:tcPr>
                  <w:tcW w:w="1982" w:type="dxa"/>
                  <w:shd w:val="clear" w:color="auto" w:fill="auto"/>
                  <w:vAlign w:val="center"/>
                </w:tcPr>
                <w:p w14:paraId="0958BFB4" w14:textId="77777777" w:rsidR="00BE69DE" w:rsidRPr="00511F9B" w:rsidRDefault="00BE69DE" w:rsidP="00BE69DE">
                  <w:pPr>
                    <w:spacing w:after="240"/>
                    <w:jc w:val="center"/>
                    <w:rPr>
                      <w:iCs/>
                    </w:rPr>
                  </w:pPr>
                </w:p>
              </w:tc>
              <w:tc>
                <w:tcPr>
                  <w:tcW w:w="6658" w:type="dxa"/>
                  <w:gridSpan w:val="3"/>
                </w:tcPr>
                <w:p w14:paraId="2CBF023B" w14:textId="77777777" w:rsidR="00BE69DE" w:rsidRPr="00511F9B" w:rsidRDefault="00BE69DE" w:rsidP="00BE69DE">
                  <w:pPr>
                    <w:spacing w:after="240"/>
                    <w:jc w:val="center"/>
                    <w:rPr>
                      <w:b/>
                      <w:iCs/>
                    </w:rPr>
                  </w:pPr>
                  <w:r w:rsidRPr="00511F9B">
                    <w:rPr>
                      <w:b/>
                      <w:iCs/>
                    </w:rPr>
                    <w:t>Allowable ECRS Ancillary Service Trades</w:t>
                  </w:r>
                </w:p>
              </w:tc>
            </w:tr>
            <w:tr w:rsidR="00BE69DE" w:rsidRPr="00511F9B" w14:paraId="6CF558D0" w14:textId="77777777" w:rsidTr="00C643BC">
              <w:trPr>
                <w:trHeight w:val="527"/>
              </w:trPr>
              <w:tc>
                <w:tcPr>
                  <w:tcW w:w="1982" w:type="dxa"/>
                  <w:shd w:val="clear" w:color="auto" w:fill="auto"/>
                  <w:vAlign w:val="center"/>
                </w:tcPr>
                <w:p w14:paraId="4D21A014" w14:textId="77777777" w:rsidR="00BE69DE" w:rsidRPr="00511F9B" w:rsidRDefault="00BE69DE" w:rsidP="00BE69DE">
                  <w:pPr>
                    <w:spacing w:after="240"/>
                    <w:jc w:val="center"/>
                    <w:rPr>
                      <w:b/>
                      <w:iCs/>
                    </w:rPr>
                  </w:pPr>
                  <w:r w:rsidRPr="00511F9B">
                    <w:rPr>
                      <w:b/>
                      <w:iCs/>
                    </w:rPr>
                    <w:t>Original Responsibility</w:t>
                  </w:r>
                </w:p>
              </w:tc>
              <w:tc>
                <w:tcPr>
                  <w:tcW w:w="2158" w:type="dxa"/>
                  <w:shd w:val="clear" w:color="auto" w:fill="auto"/>
                  <w:vAlign w:val="center"/>
                </w:tcPr>
                <w:p w14:paraId="1E06F609" w14:textId="77777777" w:rsidR="00BE69DE" w:rsidRPr="00511F9B" w:rsidRDefault="00BE69DE" w:rsidP="00BE69DE">
                  <w:pPr>
                    <w:spacing w:after="240"/>
                    <w:jc w:val="center"/>
                    <w:rPr>
                      <w:b/>
                      <w:iCs/>
                    </w:rPr>
                  </w:pPr>
                  <w:r w:rsidRPr="00511F9B">
                    <w:rPr>
                      <w:b/>
                      <w:iCs/>
                    </w:rPr>
                    <w:t xml:space="preserve">SCED-dispatchable ECRS </w:t>
                  </w:r>
                  <w:r w:rsidRPr="00511F9B">
                    <w:rPr>
                      <w:b/>
                      <w:bCs/>
                      <w:iCs/>
                    </w:rPr>
                    <w:t>not from DGR</w:t>
                  </w:r>
                  <w:r>
                    <w:rPr>
                      <w:b/>
                      <w:bCs/>
                      <w:iCs/>
                    </w:rPr>
                    <w:t xml:space="preserve">s and </w:t>
                  </w:r>
                  <w:r w:rsidRPr="00511F9B">
                    <w:rPr>
                      <w:b/>
                      <w:bCs/>
                      <w:iCs/>
                    </w:rPr>
                    <w:t>DESR</w:t>
                  </w:r>
                  <w:r>
                    <w:rPr>
                      <w:b/>
                      <w:bCs/>
                      <w:iCs/>
                    </w:rPr>
                    <w:t>s</w:t>
                  </w:r>
                  <w:r w:rsidRPr="00511F9B">
                    <w:rPr>
                      <w:b/>
                      <w:bCs/>
                      <w:iCs/>
                    </w:rPr>
                    <w:t xml:space="preserve"> on a </w:t>
                  </w:r>
                  <w:r>
                    <w:rPr>
                      <w:b/>
                      <w:bCs/>
                      <w:iCs/>
                    </w:rPr>
                    <w:t>L</w:t>
                  </w:r>
                  <w:r w:rsidRPr="00511F9B">
                    <w:rPr>
                      <w:b/>
                      <w:bCs/>
                      <w:iCs/>
                    </w:rPr>
                    <w:t>oad shed circuit</w:t>
                  </w:r>
                </w:p>
              </w:tc>
              <w:tc>
                <w:tcPr>
                  <w:tcW w:w="2250" w:type="dxa"/>
                  <w:vAlign w:val="center"/>
                </w:tcPr>
                <w:p w14:paraId="0C1977C9" w14:textId="77777777" w:rsidR="00BE69DE" w:rsidRPr="00511F9B" w:rsidRDefault="00BE69DE" w:rsidP="00BE69DE">
                  <w:pPr>
                    <w:spacing w:after="240"/>
                    <w:jc w:val="center"/>
                    <w:rPr>
                      <w:b/>
                      <w:iCs/>
                    </w:rPr>
                  </w:pPr>
                  <w:r w:rsidRPr="00511F9B">
                    <w:rPr>
                      <w:b/>
                      <w:iCs/>
                    </w:rPr>
                    <w:t>SCED-dispatchable ECRS</w:t>
                  </w:r>
                  <w:r w:rsidRPr="00511F9B">
                    <w:rPr>
                      <w:b/>
                      <w:bCs/>
                      <w:iCs/>
                    </w:rPr>
                    <w:t xml:space="preserve"> from DGR</w:t>
                  </w:r>
                  <w:r>
                    <w:rPr>
                      <w:b/>
                      <w:bCs/>
                      <w:iCs/>
                    </w:rPr>
                    <w:t xml:space="preserve">s and </w:t>
                  </w:r>
                  <w:r w:rsidRPr="00511F9B">
                    <w:rPr>
                      <w:b/>
                      <w:bCs/>
                      <w:iCs/>
                    </w:rPr>
                    <w:t>DESR</w:t>
                  </w:r>
                  <w:r>
                    <w:rPr>
                      <w:b/>
                      <w:bCs/>
                      <w:iCs/>
                    </w:rPr>
                    <w:t>s</w:t>
                  </w:r>
                  <w:r w:rsidRPr="00511F9B">
                    <w:rPr>
                      <w:b/>
                      <w:bCs/>
                      <w:iCs/>
                    </w:rPr>
                    <w:t xml:space="preserve"> </w:t>
                  </w:r>
                  <w:r w:rsidRPr="00511F9B">
                    <w:rPr>
                      <w:b/>
                      <w:iCs/>
                    </w:rPr>
                    <w:t xml:space="preserve">on a </w:t>
                  </w:r>
                  <w:r>
                    <w:rPr>
                      <w:b/>
                      <w:iCs/>
                    </w:rPr>
                    <w:t>L</w:t>
                  </w:r>
                  <w:r w:rsidRPr="00511F9B">
                    <w:rPr>
                      <w:b/>
                      <w:iCs/>
                    </w:rPr>
                    <w:t>oad shed circuit</w:t>
                  </w:r>
                </w:p>
              </w:tc>
              <w:tc>
                <w:tcPr>
                  <w:tcW w:w="2250" w:type="dxa"/>
                  <w:shd w:val="clear" w:color="auto" w:fill="auto"/>
                  <w:vAlign w:val="center"/>
                </w:tcPr>
                <w:p w14:paraId="48151C8E" w14:textId="77777777" w:rsidR="00BE69DE" w:rsidRPr="00511F9B" w:rsidRDefault="00BE69DE" w:rsidP="00BE69DE">
                  <w:pPr>
                    <w:spacing w:after="240"/>
                    <w:jc w:val="center"/>
                    <w:rPr>
                      <w:b/>
                      <w:iCs/>
                    </w:rPr>
                  </w:pPr>
                  <w:r w:rsidRPr="00511F9B">
                    <w:rPr>
                      <w:b/>
                      <w:iCs/>
                    </w:rPr>
                    <w:t>Manually dispatched ECRS</w:t>
                  </w:r>
                </w:p>
              </w:tc>
            </w:tr>
            <w:tr w:rsidR="00BE69DE" w:rsidRPr="00511F9B" w14:paraId="31B7092D" w14:textId="77777777" w:rsidTr="00C643BC">
              <w:trPr>
                <w:trHeight w:val="343"/>
              </w:trPr>
              <w:tc>
                <w:tcPr>
                  <w:tcW w:w="1982" w:type="dxa"/>
                  <w:shd w:val="clear" w:color="auto" w:fill="auto"/>
                  <w:vAlign w:val="center"/>
                </w:tcPr>
                <w:p w14:paraId="1B5D0C9D" w14:textId="77777777" w:rsidR="00BE69DE" w:rsidRPr="00511F9B" w:rsidRDefault="00BE69DE" w:rsidP="00BE69DE">
                  <w:pPr>
                    <w:spacing w:after="240"/>
                    <w:jc w:val="center"/>
                    <w:rPr>
                      <w:iCs/>
                    </w:rPr>
                  </w:pPr>
                  <w:r w:rsidRPr="00511F9B">
                    <w:rPr>
                      <w:iCs/>
                    </w:rPr>
                    <w:t>SCED-dispatchable ECRS not from DGR</w:t>
                  </w:r>
                  <w:r>
                    <w:rPr>
                      <w:iCs/>
                    </w:rPr>
                    <w:t xml:space="preserve">s and </w:t>
                  </w:r>
                  <w:r w:rsidRPr="00511F9B">
                    <w:rPr>
                      <w:iCs/>
                    </w:rPr>
                    <w:t>DESR</w:t>
                  </w:r>
                  <w:r>
                    <w:rPr>
                      <w:iCs/>
                    </w:rPr>
                    <w:t>s</w:t>
                  </w:r>
                  <w:r w:rsidRPr="00511F9B">
                    <w:rPr>
                      <w:b/>
                      <w:bCs/>
                      <w:iCs/>
                    </w:rPr>
                    <w:t xml:space="preserve"> </w:t>
                  </w:r>
                  <w:r w:rsidRPr="00511F9B">
                    <w:rPr>
                      <w:iCs/>
                    </w:rPr>
                    <w:t xml:space="preserve">on a </w:t>
                  </w:r>
                  <w:r>
                    <w:rPr>
                      <w:iCs/>
                    </w:rPr>
                    <w:t>L</w:t>
                  </w:r>
                  <w:r w:rsidRPr="00511F9B">
                    <w:rPr>
                      <w:iCs/>
                    </w:rPr>
                    <w:t>oad shed circuit</w:t>
                  </w:r>
                </w:p>
              </w:tc>
              <w:tc>
                <w:tcPr>
                  <w:tcW w:w="2158" w:type="dxa"/>
                  <w:shd w:val="clear" w:color="auto" w:fill="auto"/>
                  <w:vAlign w:val="center"/>
                </w:tcPr>
                <w:p w14:paraId="5BB9AFFC" w14:textId="77777777" w:rsidR="00BE69DE" w:rsidRPr="00511F9B" w:rsidRDefault="00BE69DE" w:rsidP="00BE69DE">
                  <w:pPr>
                    <w:spacing w:after="240"/>
                    <w:jc w:val="center"/>
                    <w:rPr>
                      <w:iCs/>
                    </w:rPr>
                  </w:pPr>
                  <w:r w:rsidRPr="00511F9B">
                    <w:rPr>
                      <w:iCs/>
                    </w:rPr>
                    <w:t>Yes</w:t>
                  </w:r>
                </w:p>
              </w:tc>
              <w:tc>
                <w:tcPr>
                  <w:tcW w:w="2250" w:type="dxa"/>
                  <w:vAlign w:val="center"/>
                </w:tcPr>
                <w:p w14:paraId="7DA1454A" w14:textId="77777777" w:rsidR="00BE69DE" w:rsidRPr="00511F9B" w:rsidRDefault="00BE69DE" w:rsidP="00BE69DE">
                  <w:pPr>
                    <w:spacing w:after="240"/>
                    <w:jc w:val="center"/>
                    <w:rPr>
                      <w:iCs/>
                    </w:rPr>
                  </w:pPr>
                  <w:r w:rsidRPr="00511F9B">
                    <w:rPr>
                      <w:iCs/>
                    </w:rPr>
                    <w:t>No</w:t>
                  </w:r>
                </w:p>
              </w:tc>
              <w:tc>
                <w:tcPr>
                  <w:tcW w:w="2250" w:type="dxa"/>
                  <w:shd w:val="clear" w:color="auto" w:fill="auto"/>
                  <w:vAlign w:val="center"/>
                </w:tcPr>
                <w:p w14:paraId="2EEC138E" w14:textId="77777777" w:rsidR="00BE69DE" w:rsidRPr="00511F9B" w:rsidRDefault="00BE69DE" w:rsidP="00BE69DE">
                  <w:pPr>
                    <w:spacing w:after="240"/>
                    <w:jc w:val="center"/>
                    <w:rPr>
                      <w:iCs/>
                    </w:rPr>
                  </w:pPr>
                  <w:r w:rsidRPr="00511F9B">
                    <w:rPr>
                      <w:iCs/>
                    </w:rPr>
                    <w:t>No</w:t>
                  </w:r>
                </w:p>
              </w:tc>
            </w:tr>
            <w:tr w:rsidR="00BE69DE" w:rsidRPr="00511F9B" w14:paraId="09136B0F" w14:textId="77777777" w:rsidTr="00C643BC">
              <w:trPr>
                <w:trHeight w:val="527"/>
              </w:trPr>
              <w:tc>
                <w:tcPr>
                  <w:tcW w:w="1982" w:type="dxa"/>
                  <w:shd w:val="clear" w:color="auto" w:fill="auto"/>
                  <w:vAlign w:val="center"/>
                </w:tcPr>
                <w:p w14:paraId="55E7CDFA" w14:textId="77777777" w:rsidR="00BE69DE" w:rsidRPr="00511F9B" w:rsidRDefault="00BE69DE" w:rsidP="00BE69DE">
                  <w:pPr>
                    <w:spacing w:after="240"/>
                    <w:jc w:val="center"/>
                    <w:rPr>
                      <w:iCs/>
                    </w:rPr>
                  </w:pPr>
                  <w:r w:rsidRPr="00511F9B">
                    <w:rPr>
                      <w:iCs/>
                    </w:rPr>
                    <w:t>SCED-dispatchable ECRS from DGR</w:t>
                  </w:r>
                  <w:r>
                    <w:rPr>
                      <w:iCs/>
                    </w:rPr>
                    <w:t xml:space="preserve">s and </w:t>
                  </w:r>
                  <w:r w:rsidRPr="00511F9B">
                    <w:rPr>
                      <w:iCs/>
                    </w:rPr>
                    <w:t>DESR</w:t>
                  </w:r>
                  <w:r>
                    <w:rPr>
                      <w:iCs/>
                    </w:rPr>
                    <w:t>s</w:t>
                  </w:r>
                  <w:r w:rsidRPr="00511F9B">
                    <w:rPr>
                      <w:b/>
                      <w:bCs/>
                      <w:iCs/>
                    </w:rPr>
                    <w:t xml:space="preserve"> </w:t>
                  </w:r>
                  <w:r w:rsidRPr="00511F9B">
                    <w:rPr>
                      <w:iCs/>
                    </w:rPr>
                    <w:t xml:space="preserve">on a </w:t>
                  </w:r>
                  <w:r>
                    <w:rPr>
                      <w:iCs/>
                    </w:rPr>
                    <w:t>L</w:t>
                  </w:r>
                  <w:r w:rsidRPr="00511F9B">
                    <w:rPr>
                      <w:iCs/>
                    </w:rPr>
                    <w:t>oad shed circuit</w:t>
                  </w:r>
                </w:p>
              </w:tc>
              <w:tc>
                <w:tcPr>
                  <w:tcW w:w="2158" w:type="dxa"/>
                  <w:shd w:val="clear" w:color="auto" w:fill="auto"/>
                  <w:vAlign w:val="center"/>
                </w:tcPr>
                <w:p w14:paraId="38D5C65D" w14:textId="77777777" w:rsidR="00BE69DE" w:rsidRPr="00511F9B" w:rsidRDefault="00BE69DE" w:rsidP="00BE69DE">
                  <w:pPr>
                    <w:spacing w:after="240"/>
                    <w:jc w:val="center"/>
                    <w:rPr>
                      <w:iCs/>
                    </w:rPr>
                  </w:pPr>
                  <w:r w:rsidRPr="00511F9B">
                    <w:rPr>
                      <w:iCs/>
                    </w:rPr>
                    <w:t>Yes</w:t>
                  </w:r>
                </w:p>
              </w:tc>
              <w:tc>
                <w:tcPr>
                  <w:tcW w:w="2250" w:type="dxa"/>
                  <w:vAlign w:val="center"/>
                </w:tcPr>
                <w:p w14:paraId="7C27AFC1" w14:textId="77777777" w:rsidR="00BE69DE" w:rsidRPr="00511F9B" w:rsidRDefault="00BE69DE" w:rsidP="00BE69DE">
                  <w:pPr>
                    <w:spacing w:after="240"/>
                    <w:jc w:val="center"/>
                    <w:rPr>
                      <w:iCs/>
                    </w:rPr>
                  </w:pPr>
                  <w:r w:rsidRPr="00511F9B">
                    <w:rPr>
                      <w:iCs/>
                    </w:rPr>
                    <w:t>Yes</w:t>
                  </w:r>
                </w:p>
              </w:tc>
              <w:tc>
                <w:tcPr>
                  <w:tcW w:w="2250" w:type="dxa"/>
                  <w:shd w:val="clear" w:color="auto" w:fill="auto"/>
                  <w:vAlign w:val="center"/>
                </w:tcPr>
                <w:p w14:paraId="198E7461" w14:textId="77777777" w:rsidR="00BE69DE" w:rsidRPr="00511F9B" w:rsidRDefault="00BE69DE" w:rsidP="00BE69DE">
                  <w:pPr>
                    <w:spacing w:after="240"/>
                    <w:jc w:val="center"/>
                    <w:rPr>
                      <w:iCs/>
                    </w:rPr>
                  </w:pPr>
                  <w:r w:rsidRPr="00511F9B">
                    <w:rPr>
                      <w:iCs/>
                    </w:rPr>
                    <w:t>No</w:t>
                  </w:r>
                </w:p>
              </w:tc>
            </w:tr>
            <w:tr w:rsidR="00BE69DE" w:rsidRPr="00511F9B" w14:paraId="39DAB341" w14:textId="77777777" w:rsidTr="00C643BC">
              <w:trPr>
                <w:trHeight w:val="527"/>
              </w:trPr>
              <w:tc>
                <w:tcPr>
                  <w:tcW w:w="1982" w:type="dxa"/>
                  <w:shd w:val="clear" w:color="auto" w:fill="auto"/>
                  <w:vAlign w:val="center"/>
                </w:tcPr>
                <w:p w14:paraId="48FECC4E" w14:textId="77777777" w:rsidR="00BE69DE" w:rsidRPr="00511F9B" w:rsidRDefault="00BE69DE" w:rsidP="00BE69DE">
                  <w:pPr>
                    <w:spacing w:after="240"/>
                    <w:jc w:val="center"/>
                    <w:rPr>
                      <w:iCs/>
                    </w:rPr>
                  </w:pPr>
                  <w:r w:rsidRPr="00511F9B">
                    <w:rPr>
                      <w:iCs/>
                    </w:rPr>
                    <w:t>Manually dispatched ECRS</w:t>
                  </w:r>
                </w:p>
              </w:tc>
              <w:tc>
                <w:tcPr>
                  <w:tcW w:w="2158" w:type="dxa"/>
                  <w:shd w:val="clear" w:color="auto" w:fill="auto"/>
                  <w:vAlign w:val="center"/>
                </w:tcPr>
                <w:p w14:paraId="71F0AC77" w14:textId="77777777" w:rsidR="00BE69DE" w:rsidRPr="00511F9B" w:rsidRDefault="00BE69DE" w:rsidP="00BE69DE">
                  <w:pPr>
                    <w:spacing w:after="240"/>
                    <w:jc w:val="center"/>
                    <w:rPr>
                      <w:iCs/>
                    </w:rPr>
                  </w:pPr>
                  <w:r w:rsidRPr="00511F9B">
                    <w:rPr>
                      <w:iCs/>
                    </w:rPr>
                    <w:t>Yes</w:t>
                  </w:r>
                </w:p>
              </w:tc>
              <w:tc>
                <w:tcPr>
                  <w:tcW w:w="2250" w:type="dxa"/>
                </w:tcPr>
                <w:p w14:paraId="39155328" w14:textId="77777777" w:rsidR="00BE69DE" w:rsidRPr="00511F9B" w:rsidRDefault="00BE69DE" w:rsidP="00BE69DE">
                  <w:pPr>
                    <w:spacing w:before="120" w:after="240"/>
                    <w:jc w:val="center"/>
                    <w:rPr>
                      <w:iCs/>
                    </w:rPr>
                  </w:pPr>
                  <w:r w:rsidRPr="00511F9B">
                    <w:rPr>
                      <w:iCs/>
                    </w:rPr>
                    <w:t>No</w:t>
                  </w:r>
                </w:p>
              </w:tc>
              <w:tc>
                <w:tcPr>
                  <w:tcW w:w="2250" w:type="dxa"/>
                  <w:shd w:val="clear" w:color="auto" w:fill="auto"/>
                  <w:vAlign w:val="center"/>
                </w:tcPr>
                <w:p w14:paraId="0223FE2D" w14:textId="77777777" w:rsidR="00BE69DE" w:rsidRPr="00511F9B" w:rsidRDefault="00BE69DE" w:rsidP="00BE69DE">
                  <w:pPr>
                    <w:spacing w:after="240"/>
                    <w:jc w:val="center"/>
                    <w:rPr>
                      <w:iCs/>
                    </w:rPr>
                  </w:pPr>
                  <w:r w:rsidRPr="00511F9B">
                    <w:rPr>
                      <w:iCs/>
                    </w:rPr>
                    <w:t>Yes</w:t>
                  </w:r>
                </w:p>
              </w:tc>
            </w:tr>
            <w:bookmarkEnd w:id="349"/>
          </w:tbl>
          <w:p w14:paraId="1E63AA50" w14:textId="6338DE74" w:rsidR="00BE69DE" w:rsidRPr="00BE69DE" w:rsidRDefault="00BE69DE" w:rsidP="00C643BC">
            <w:pPr>
              <w:spacing w:after="240"/>
              <w:ind w:left="720" w:hanging="720"/>
            </w:pPr>
          </w:p>
        </w:tc>
      </w:tr>
    </w:tbl>
    <w:p w14:paraId="7F12E66E" w14:textId="48AE8332" w:rsidR="00FB5955" w:rsidRPr="0003648D" w:rsidRDefault="00FB5955" w:rsidP="00FB5955">
      <w:pPr>
        <w:pStyle w:val="BodyTextNumbered"/>
        <w:spacing w:before="240"/>
      </w:pPr>
      <w:r w:rsidRPr="0003648D">
        <w:t>(</w:t>
      </w:r>
      <w:r w:rsidR="00BD6DB4">
        <w:t>7</w:t>
      </w:r>
      <w:r w:rsidRPr="0003648D">
        <w:t>)</w:t>
      </w:r>
      <w:r w:rsidRPr="0003648D">
        <w:tab/>
        <w:t xml:space="preserve">The table below shows the </w:t>
      </w:r>
      <w:r>
        <w:t>RRS</w:t>
      </w:r>
      <w:r w:rsidRPr="0003648D">
        <w:t xml:space="preserve"> trades that are allowed for each type of original responsibility: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2158"/>
        <w:gridCol w:w="2036"/>
        <w:gridCol w:w="2217"/>
      </w:tblGrid>
      <w:tr w:rsidR="00FB5955" w:rsidRPr="0003648D" w14:paraId="2D164AC4" w14:textId="77777777" w:rsidTr="002F0568">
        <w:trPr>
          <w:trHeight w:val="343"/>
        </w:trPr>
        <w:tc>
          <w:tcPr>
            <w:tcW w:w="2219" w:type="dxa"/>
            <w:shd w:val="clear" w:color="auto" w:fill="auto"/>
            <w:vAlign w:val="center"/>
          </w:tcPr>
          <w:p w14:paraId="131F07FE" w14:textId="77777777" w:rsidR="00FB5955" w:rsidRPr="0003648D" w:rsidRDefault="00FB5955" w:rsidP="00EE28DA">
            <w:pPr>
              <w:pStyle w:val="BodyTextNumbered"/>
              <w:ind w:left="0" w:firstLine="0"/>
              <w:jc w:val="center"/>
            </w:pPr>
          </w:p>
        </w:tc>
        <w:tc>
          <w:tcPr>
            <w:tcW w:w="6411" w:type="dxa"/>
            <w:gridSpan w:val="3"/>
            <w:shd w:val="clear" w:color="auto" w:fill="auto"/>
            <w:vAlign w:val="center"/>
          </w:tcPr>
          <w:p w14:paraId="288262D5" w14:textId="77777777" w:rsidR="00FB5955" w:rsidRPr="0003648D" w:rsidRDefault="00FB5955" w:rsidP="00EE28DA">
            <w:pPr>
              <w:pStyle w:val="BodyTextNumbered"/>
              <w:ind w:left="0" w:firstLine="0"/>
              <w:jc w:val="center"/>
              <w:rPr>
                <w:b/>
              </w:rPr>
            </w:pPr>
            <w:r w:rsidRPr="0003648D">
              <w:rPr>
                <w:b/>
              </w:rPr>
              <w:t xml:space="preserve">Allowable </w:t>
            </w:r>
            <w:r>
              <w:rPr>
                <w:b/>
              </w:rPr>
              <w:t>RRS</w:t>
            </w:r>
            <w:r w:rsidRPr="0003648D">
              <w:rPr>
                <w:b/>
              </w:rPr>
              <w:t xml:space="preserve"> Ancillary Service Trades</w:t>
            </w:r>
          </w:p>
        </w:tc>
      </w:tr>
      <w:tr w:rsidR="00FB5955" w:rsidRPr="0003648D" w14:paraId="4401E264" w14:textId="77777777" w:rsidTr="002F0568">
        <w:trPr>
          <w:trHeight w:val="527"/>
        </w:trPr>
        <w:tc>
          <w:tcPr>
            <w:tcW w:w="2219" w:type="dxa"/>
            <w:shd w:val="clear" w:color="auto" w:fill="auto"/>
            <w:vAlign w:val="center"/>
          </w:tcPr>
          <w:p w14:paraId="4B3EFC52" w14:textId="77777777" w:rsidR="00FB5955" w:rsidRPr="0003648D" w:rsidRDefault="00FB5955" w:rsidP="00EE28DA">
            <w:pPr>
              <w:pStyle w:val="BodyTextNumbered"/>
              <w:ind w:left="0" w:firstLine="0"/>
              <w:jc w:val="center"/>
              <w:rPr>
                <w:b/>
              </w:rPr>
            </w:pPr>
            <w:r w:rsidRPr="0003648D">
              <w:rPr>
                <w:b/>
              </w:rPr>
              <w:t>Original Responsibility</w:t>
            </w:r>
          </w:p>
        </w:tc>
        <w:tc>
          <w:tcPr>
            <w:tcW w:w="2158" w:type="dxa"/>
            <w:shd w:val="clear" w:color="auto" w:fill="auto"/>
            <w:vAlign w:val="center"/>
          </w:tcPr>
          <w:p w14:paraId="4A62BBB1" w14:textId="69B6B290" w:rsidR="00FB5955" w:rsidRPr="0003648D" w:rsidRDefault="00FB5955" w:rsidP="00EE28DA">
            <w:pPr>
              <w:pStyle w:val="BodyTextNumbered"/>
              <w:ind w:left="0" w:firstLine="0"/>
              <w:jc w:val="center"/>
              <w:rPr>
                <w:b/>
              </w:rPr>
            </w:pPr>
            <w:r w:rsidRPr="0003648D">
              <w:rPr>
                <w:b/>
              </w:rPr>
              <w:t>Resource</w:t>
            </w:r>
            <w:r w:rsidR="00A61BFA">
              <w:rPr>
                <w:b/>
              </w:rPr>
              <w:t xml:space="preserve"> providing Primary Frequency Response</w:t>
            </w:r>
          </w:p>
        </w:tc>
        <w:tc>
          <w:tcPr>
            <w:tcW w:w="2036" w:type="dxa"/>
            <w:shd w:val="clear" w:color="auto" w:fill="auto"/>
            <w:vAlign w:val="center"/>
          </w:tcPr>
          <w:p w14:paraId="48C75057" w14:textId="468A3663" w:rsidR="00FB5955" w:rsidRPr="0003648D" w:rsidRDefault="00FB5955" w:rsidP="00EE28DA">
            <w:pPr>
              <w:pStyle w:val="BodyTextNumbered"/>
              <w:ind w:left="0" w:firstLine="0"/>
              <w:jc w:val="center"/>
              <w:rPr>
                <w:b/>
              </w:rPr>
            </w:pPr>
            <w:r w:rsidRPr="0003648D">
              <w:rPr>
                <w:b/>
              </w:rPr>
              <w:t xml:space="preserve">Resource </w:t>
            </w:r>
            <w:r w:rsidR="00A61BFA">
              <w:rPr>
                <w:b/>
              </w:rPr>
              <w:t>providing</w:t>
            </w:r>
            <w:r w:rsidRPr="0003648D">
              <w:rPr>
                <w:b/>
              </w:rPr>
              <w:t xml:space="preserve"> FFR triggered at 59.85 Hz</w:t>
            </w:r>
          </w:p>
        </w:tc>
        <w:tc>
          <w:tcPr>
            <w:tcW w:w="2217" w:type="dxa"/>
            <w:shd w:val="clear" w:color="auto" w:fill="auto"/>
            <w:vAlign w:val="center"/>
          </w:tcPr>
          <w:p w14:paraId="2161E7AF" w14:textId="77777777" w:rsidR="00FB5955" w:rsidRPr="0003648D" w:rsidRDefault="00FB5955" w:rsidP="00EE28DA">
            <w:pPr>
              <w:pStyle w:val="BodyTextNumbered"/>
              <w:ind w:left="0" w:firstLine="0"/>
              <w:jc w:val="center"/>
              <w:rPr>
                <w:b/>
              </w:rPr>
            </w:pPr>
            <w:r w:rsidRPr="0003648D">
              <w:rPr>
                <w:b/>
              </w:rPr>
              <w:t>Load Resource triggered at 59.7 Hz</w:t>
            </w:r>
          </w:p>
        </w:tc>
      </w:tr>
      <w:tr w:rsidR="00FB5955" w:rsidRPr="0003648D" w14:paraId="5AB655DE" w14:textId="77777777" w:rsidTr="002F0568">
        <w:trPr>
          <w:trHeight w:val="343"/>
        </w:trPr>
        <w:tc>
          <w:tcPr>
            <w:tcW w:w="2219" w:type="dxa"/>
            <w:shd w:val="clear" w:color="auto" w:fill="auto"/>
            <w:vAlign w:val="center"/>
          </w:tcPr>
          <w:p w14:paraId="1756EA8D" w14:textId="3F5549C2" w:rsidR="00FB5955" w:rsidRPr="0003648D" w:rsidRDefault="00FB5955" w:rsidP="00EE28DA">
            <w:pPr>
              <w:pStyle w:val="BodyTextNumbered"/>
              <w:ind w:left="0" w:firstLine="0"/>
              <w:jc w:val="center"/>
            </w:pPr>
            <w:r w:rsidRPr="0003648D">
              <w:t>Resource</w:t>
            </w:r>
            <w:r w:rsidR="00A61BFA">
              <w:t xml:space="preserve"> providing Primary Frequency Response</w:t>
            </w:r>
          </w:p>
        </w:tc>
        <w:tc>
          <w:tcPr>
            <w:tcW w:w="2158" w:type="dxa"/>
            <w:shd w:val="clear" w:color="auto" w:fill="auto"/>
            <w:vAlign w:val="center"/>
          </w:tcPr>
          <w:p w14:paraId="7C70DCFD" w14:textId="77777777" w:rsidR="00FB5955" w:rsidRPr="0003648D" w:rsidRDefault="00FB5955" w:rsidP="00EE28DA">
            <w:pPr>
              <w:pStyle w:val="BodyTextNumbered"/>
              <w:ind w:left="0" w:firstLine="0"/>
              <w:jc w:val="center"/>
            </w:pPr>
            <w:r w:rsidRPr="0003648D">
              <w:t>Yes</w:t>
            </w:r>
          </w:p>
        </w:tc>
        <w:tc>
          <w:tcPr>
            <w:tcW w:w="2036" w:type="dxa"/>
            <w:shd w:val="clear" w:color="auto" w:fill="auto"/>
            <w:vAlign w:val="center"/>
          </w:tcPr>
          <w:p w14:paraId="10DAD7D7" w14:textId="77777777" w:rsidR="00FB5955" w:rsidRPr="0003648D" w:rsidRDefault="00FB5955" w:rsidP="00EE28DA">
            <w:pPr>
              <w:pStyle w:val="BodyTextNumbered"/>
              <w:ind w:left="0" w:firstLine="0"/>
              <w:jc w:val="center"/>
            </w:pPr>
            <w:r w:rsidRPr="0003648D">
              <w:t>No</w:t>
            </w:r>
          </w:p>
        </w:tc>
        <w:tc>
          <w:tcPr>
            <w:tcW w:w="2217" w:type="dxa"/>
            <w:shd w:val="clear" w:color="auto" w:fill="auto"/>
            <w:vAlign w:val="center"/>
          </w:tcPr>
          <w:p w14:paraId="36970562" w14:textId="77777777" w:rsidR="00FB5955" w:rsidRPr="0003648D" w:rsidRDefault="00FB5955" w:rsidP="00EE28DA">
            <w:pPr>
              <w:pStyle w:val="BodyTextNumbered"/>
              <w:ind w:left="0" w:firstLine="0"/>
              <w:jc w:val="center"/>
            </w:pPr>
            <w:r w:rsidRPr="0003648D">
              <w:t>No</w:t>
            </w:r>
          </w:p>
        </w:tc>
      </w:tr>
      <w:tr w:rsidR="00FB5955" w:rsidRPr="0003648D" w14:paraId="2C08BA54" w14:textId="77777777" w:rsidTr="002F0568">
        <w:trPr>
          <w:trHeight w:val="366"/>
        </w:trPr>
        <w:tc>
          <w:tcPr>
            <w:tcW w:w="2219" w:type="dxa"/>
            <w:shd w:val="clear" w:color="auto" w:fill="auto"/>
            <w:vAlign w:val="center"/>
          </w:tcPr>
          <w:p w14:paraId="20091A9D" w14:textId="77777777" w:rsidR="00FB5955" w:rsidRPr="0003648D" w:rsidRDefault="00FB5955" w:rsidP="00EE28DA">
            <w:pPr>
              <w:pStyle w:val="BodyTextNumbered"/>
              <w:ind w:left="0" w:firstLine="0"/>
              <w:jc w:val="center"/>
            </w:pPr>
            <w:r w:rsidRPr="0003648D">
              <w:lastRenderedPageBreak/>
              <w:t>Resource providing FFR triggered at 59.85 Hz</w:t>
            </w:r>
          </w:p>
        </w:tc>
        <w:tc>
          <w:tcPr>
            <w:tcW w:w="2158" w:type="dxa"/>
            <w:shd w:val="clear" w:color="auto" w:fill="auto"/>
            <w:vAlign w:val="center"/>
          </w:tcPr>
          <w:p w14:paraId="184EC145" w14:textId="77777777" w:rsidR="00FB5955" w:rsidRPr="0003648D" w:rsidRDefault="00FB5955" w:rsidP="00EE28DA">
            <w:pPr>
              <w:pStyle w:val="BodyTextNumbered"/>
              <w:ind w:left="0" w:firstLine="0"/>
              <w:jc w:val="center"/>
            </w:pPr>
            <w:r w:rsidRPr="0003648D">
              <w:t>Yes</w:t>
            </w:r>
          </w:p>
        </w:tc>
        <w:tc>
          <w:tcPr>
            <w:tcW w:w="2036" w:type="dxa"/>
            <w:shd w:val="clear" w:color="auto" w:fill="auto"/>
            <w:vAlign w:val="center"/>
          </w:tcPr>
          <w:p w14:paraId="20592B71" w14:textId="77777777" w:rsidR="00FB5955" w:rsidRPr="0003648D" w:rsidRDefault="00FB5955" w:rsidP="00EE28DA">
            <w:pPr>
              <w:pStyle w:val="BodyTextNumbered"/>
              <w:ind w:left="0" w:firstLine="0"/>
              <w:jc w:val="center"/>
            </w:pPr>
            <w:r w:rsidRPr="0003648D">
              <w:t>Yes</w:t>
            </w:r>
          </w:p>
        </w:tc>
        <w:tc>
          <w:tcPr>
            <w:tcW w:w="2217" w:type="dxa"/>
            <w:shd w:val="clear" w:color="auto" w:fill="auto"/>
            <w:vAlign w:val="center"/>
          </w:tcPr>
          <w:p w14:paraId="17E44A72" w14:textId="77777777" w:rsidR="00FB5955" w:rsidRPr="0003648D" w:rsidRDefault="00FB5955" w:rsidP="00EE28DA">
            <w:pPr>
              <w:pStyle w:val="BodyTextNumbered"/>
              <w:ind w:left="0" w:firstLine="0"/>
              <w:jc w:val="center"/>
            </w:pPr>
            <w:r w:rsidRPr="0003648D">
              <w:t>Yes</w:t>
            </w:r>
          </w:p>
        </w:tc>
      </w:tr>
      <w:tr w:rsidR="00FB5955" w:rsidRPr="0003648D" w14:paraId="4C29308D" w14:textId="77777777" w:rsidTr="002F0568">
        <w:trPr>
          <w:trHeight w:val="527"/>
        </w:trPr>
        <w:tc>
          <w:tcPr>
            <w:tcW w:w="2219" w:type="dxa"/>
            <w:shd w:val="clear" w:color="auto" w:fill="auto"/>
            <w:vAlign w:val="center"/>
          </w:tcPr>
          <w:p w14:paraId="65E0E3DB" w14:textId="77777777" w:rsidR="00FB5955" w:rsidRPr="0003648D" w:rsidRDefault="00FB5955" w:rsidP="00EE28DA">
            <w:pPr>
              <w:pStyle w:val="BodyTextNumbered"/>
              <w:ind w:left="0" w:firstLine="0"/>
              <w:jc w:val="center"/>
            </w:pPr>
            <w:r w:rsidRPr="0003648D">
              <w:t>Load Resource triggered at 59.7 Hz</w:t>
            </w:r>
          </w:p>
        </w:tc>
        <w:tc>
          <w:tcPr>
            <w:tcW w:w="2158" w:type="dxa"/>
            <w:shd w:val="clear" w:color="auto" w:fill="auto"/>
            <w:vAlign w:val="center"/>
          </w:tcPr>
          <w:p w14:paraId="7F92435D" w14:textId="77777777" w:rsidR="00FB5955" w:rsidRPr="0003648D" w:rsidRDefault="00FB5955" w:rsidP="00EE28DA">
            <w:pPr>
              <w:pStyle w:val="BodyTextNumbered"/>
              <w:ind w:left="0" w:firstLine="0"/>
              <w:jc w:val="center"/>
            </w:pPr>
            <w:r w:rsidRPr="0003648D">
              <w:t>Yes</w:t>
            </w:r>
          </w:p>
        </w:tc>
        <w:tc>
          <w:tcPr>
            <w:tcW w:w="2036" w:type="dxa"/>
            <w:shd w:val="clear" w:color="auto" w:fill="auto"/>
            <w:vAlign w:val="center"/>
          </w:tcPr>
          <w:p w14:paraId="292F3BD3" w14:textId="77777777" w:rsidR="00FB5955" w:rsidRPr="0003648D" w:rsidRDefault="00FB5955" w:rsidP="00EE28DA">
            <w:pPr>
              <w:pStyle w:val="BodyTextNumbered"/>
              <w:ind w:left="0" w:firstLine="0"/>
              <w:jc w:val="center"/>
            </w:pPr>
            <w:r w:rsidRPr="0003648D">
              <w:t>No</w:t>
            </w:r>
          </w:p>
        </w:tc>
        <w:tc>
          <w:tcPr>
            <w:tcW w:w="2217" w:type="dxa"/>
            <w:shd w:val="clear" w:color="auto" w:fill="auto"/>
            <w:vAlign w:val="center"/>
          </w:tcPr>
          <w:p w14:paraId="1416DD01" w14:textId="77777777" w:rsidR="00FB5955" w:rsidRPr="0003648D" w:rsidRDefault="00FB5955" w:rsidP="00EE28DA">
            <w:pPr>
              <w:pStyle w:val="BodyTextNumbered"/>
              <w:ind w:left="0" w:firstLine="0"/>
              <w:jc w:val="center"/>
            </w:pPr>
            <w:r w:rsidRPr="0003648D">
              <w:t>Yes</w:t>
            </w:r>
          </w:p>
        </w:tc>
      </w:tr>
    </w:tbl>
    <w:bookmarkEnd w:id="339"/>
    <w:p w14:paraId="11873BC7" w14:textId="02AB575D" w:rsidR="00015C02" w:rsidRDefault="00015C02" w:rsidP="00015C02">
      <w:pPr>
        <w:spacing w:before="240" w:after="240"/>
        <w:ind w:left="720" w:hanging="720"/>
      </w:pPr>
      <w:r>
        <w:t>(</w:t>
      </w:r>
      <w:r w:rsidR="00BD6DB4">
        <w:t>8</w:t>
      </w:r>
      <w:r>
        <w:t>)       The table below shows the Non-Spin trades that are allowed for each type of original responsibility:</w:t>
      </w:r>
    </w:p>
    <w:tbl>
      <w:tblPr>
        <w:tblW w:w="864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3150"/>
        <w:gridCol w:w="3240"/>
      </w:tblGrid>
      <w:tr w:rsidR="00BD6DB4" w:rsidRPr="0003648D" w14:paraId="156A64DF" w14:textId="77777777" w:rsidTr="00B62F5B">
        <w:trPr>
          <w:trHeight w:val="863"/>
        </w:trPr>
        <w:tc>
          <w:tcPr>
            <w:tcW w:w="2250" w:type="dxa"/>
            <w:shd w:val="clear" w:color="auto" w:fill="auto"/>
            <w:vAlign w:val="center"/>
          </w:tcPr>
          <w:p w14:paraId="238394EC" w14:textId="77777777" w:rsidR="00BD6DB4" w:rsidRDefault="00BD6DB4" w:rsidP="006412AB">
            <w:pPr>
              <w:pStyle w:val="BodyTextNumbered"/>
              <w:ind w:left="0" w:firstLine="0"/>
              <w:jc w:val="center"/>
              <w:rPr>
                <w:b/>
              </w:rPr>
            </w:pPr>
          </w:p>
        </w:tc>
        <w:tc>
          <w:tcPr>
            <w:tcW w:w="6390" w:type="dxa"/>
            <w:gridSpan w:val="2"/>
            <w:shd w:val="clear" w:color="auto" w:fill="auto"/>
            <w:vAlign w:val="center"/>
          </w:tcPr>
          <w:p w14:paraId="119B7F2C" w14:textId="3A4B13B2" w:rsidR="00BD6DB4" w:rsidRPr="003A562E" w:rsidRDefault="00BD6DB4" w:rsidP="006412AB">
            <w:pPr>
              <w:pStyle w:val="BodyTextNumbered"/>
              <w:ind w:left="0" w:firstLine="0"/>
              <w:jc w:val="center"/>
              <w:rPr>
                <w:b/>
              </w:rPr>
            </w:pPr>
            <w:r>
              <w:rPr>
                <w:b/>
                <w:bCs/>
              </w:rPr>
              <w:t>Allowable Non-Spin Ancillary Service Trades</w:t>
            </w:r>
          </w:p>
        </w:tc>
      </w:tr>
      <w:tr w:rsidR="00BD6DB4" w:rsidRPr="0003648D" w14:paraId="171A5DCC" w14:textId="77777777" w:rsidTr="00B62F5B">
        <w:trPr>
          <w:trHeight w:val="863"/>
        </w:trPr>
        <w:tc>
          <w:tcPr>
            <w:tcW w:w="2250" w:type="dxa"/>
            <w:shd w:val="clear" w:color="auto" w:fill="auto"/>
            <w:vAlign w:val="center"/>
          </w:tcPr>
          <w:p w14:paraId="5066EFFE" w14:textId="77777777" w:rsidR="00015C02" w:rsidRPr="0003648D" w:rsidRDefault="00015C02" w:rsidP="006412AB">
            <w:pPr>
              <w:pStyle w:val="BodyTextNumbered"/>
              <w:ind w:left="0" w:firstLine="0"/>
              <w:jc w:val="center"/>
              <w:rPr>
                <w:b/>
              </w:rPr>
            </w:pPr>
            <w:r>
              <w:rPr>
                <w:b/>
              </w:rPr>
              <w:t>Original Responsibility</w:t>
            </w:r>
          </w:p>
        </w:tc>
        <w:tc>
          <w:tcPr>
            <w:tcW w:w="3150" w:type="dxa"/>
            <w:shd w:val="clear" w:color="auto" w:fill="auto"/>
            <w:vAlign w:val="center"/>
          </w:tcPr>
          <w:p w14:paraId="1811D192" w14:textId="77777777" w:rsidR="00015C02" w:rsidRPr="003A562E" w:rsidRDefault="00015C02" w:rsidP="006412AB">
            <w:pPr>
              <w:pStyle w:val="BodyTextNumbered"/>
              <w:ind w:left="0" w:firstLine="0"/>
              <w:jc w:val="center"/>
              <w:rPr>
                <w:b/>
              </w:rPr>
            </w:pPr>
            <w:r w:rsidRPr="003A562E">
              <w:rPr>
                <w:b/>
              </w:rPr>
              <w:t>Generation Resource or Controllable Load Resource</w:t>
            </w:r>
          </w:p>
        </w:tc>
        <w:tc>
          <w:tcPr>
            <w:tcW w:w="3240" w:type="dxa"/>
            <w:vAlign w:val="center"/>
          </w:tcPr>
          <w:p w14:paraId="7EA18FE6" w14:textId="77777777" w:rsidR="00015C02" w:rsidRPr="003A562E" w:rsidRDefault="00015C02" w:rsidP="006412AB">
            <w:pPr>
              <w:pStyle w:val="BodyTextNumbered"/>
              <w:ind w:left="0" w:firstLine="0"/>
              <w:jc w:val="center"/>
              <w:rPr>
                <w:b/>
              </w:rPr>
            </w:pPr>
            <w:r w:rsidRPr="003A562E">
              <w:rPr>
                <w:b/>
              </w:rPr>
              <w:t>Load Resource other than a Controllable Load Resource</w:t>
            </w:r>
          </w:p>
        </w:tc>
      </w:tr>
      <w:tr w:rsidR="00BD6DB4" w:rsidRPr="0003648D" w14:paraId="13009AA7" w14:textId="77777777" w:rsidTr="00B62F5B">
        <w:trPr>
          <w:trHeight w:val="343"/>
        </w:trPr>
        <w:tc>
          <w:tcPr>
            <w:tcW w:w="2250" w:type="dxa"/>
            <w:shd w:val="clear" w:color="auto" w:fill="auto"/>
            <w:vAlign w:val="center"/>
          </w:tcPr>
          <w:p w14:paraId="698D1CAB" w14:textId="77777777" w:rsidR="00015C02" w:rsidRPr="007E356C" w:rsidRDefault="00015C02" w:rsidP="006412AB">
            <w:pPr>
              <w:pStyle w:val="BodyTextNumbered"/>
              <w:ind w:left="0" w:firstLine="0"/>
              <w:jc w:val="center"/>
              <w:rPr>
                <w:bCs/>
              </w:rPr>
            </w:pPr>
            <w:r>
              <w:rPr>
                <w:bCs/>
              </w:rPr>
              <w:t>Generation Resource or Controllable Load Resource</w:t>
            </w:r>
          </w:p>
        </w:tc>
        <w:tc>
          <w:tcPr>
            <w:tcW w:w="3150" w:type="dxa"/>
            <w:shd w:val="clear" w:color="auto" w:fill="auto"/>
            <w:vAlign w:val="center"/>
          </w:tcPr>
          <w:p w14:paraId="6591C9D9" w14:textId="77777777" w:rsidR="00015C02" w:rsidRPr="0003648D" w:rsidRDefault="00015C02" w:rsidP="006412AB">
            <w:pPr>
              <w:pStyle w:val="BodyTextNumbered"/>
              <w:ind w:left="0" w:firstLine="0"/>
              <w:jc w:val="center"/>
            </w:pPr>
            <w:r>
              <w:t>Yes</w:t>
            </w:r>
          </w:p>
        </w:tc>
        <w:tc>
          <w:tcPr>
            <w:tcW w:w="3240" w:type="dxa"/>
            <w:vAlign w:val="center"/>
          </w:tcPr>
          <w:p w14:paraId="24F98218" w14:textId="77777777" w:rsidR="00015C02" w:rsidRDefault="00015C02" w:rsidP="006412AB">
            <w:pPr>
              <w:pStyle w:val="BodyTextNumbered"/>
              <w:ind w:left="0" w:firstLine="0"/>
              <w:jc w:val="center"/>
            </w:pPr>
            <w:r>
              <w:t>No</w:t>
            </w:r>
          </w:p>
        </w:tc>
      </w:tr>
      <w:tr w:rsidR="00BD6DB4" w:rsidRPr="0003648D" w14:paraId="7A85A740" w14:textId="77777777" w:rsidTr="00B62F5B">
        <w:trPr>
          <w:trHeight w:val="343"/>
        </w:trPr>
        <w:tc>
          <w:tcPr>
            <w:tcW w:w="2250" w:type="dxa"/>
            <w:shd w:val="clear" w:color="auto" w:fill="auto"/>
            <w:vAlign w:val="center"/>
          </w:tcPr>
          <w:p w14:paraId="1939BA88" w14:textId="77777777" w:rsidR="00015C02" w:rsidRDefault="00015C02" w:rsidP="006412AB">
            <w:pPr>
              <w:pStyle w:val="BodyTextNumbered"/>
              <w:ind w:left="0" w:firstLine="0"/>
              <w:jc w:val="center"/>
              <w:rPr>
                <w:bCs/>
              </w:rPr>
            </w:pPr>
            <w:r w:rsidRPr="00466B35">
              <w:rPr>
                <w:bCs/>
              </w:rPr>
              <w:t>Load Resource other than a Controllable Load Resource</w:t>
            </w:r>
          </w:p>
        </w:tc>
        <w:tc>
          <w:tcPr>
            <w:tcW w:w="3150" w:type="dxa"/>
            <w:shd w:val="clear" w:color="auto" w:fill="auto"/>
            <w:vAlign w:val="center"/>
          </w:tcPr>
          <w:p w14:paraId="56B5C048" w14:textId="77777777" w:rsidR="00015C02" w:rsidRDefault="00015C02" w:rsidP="006412AB">
            <w:pPr>
              <w:pStyle w:val="BodyTextNumbered"/>
              <w:ind w:left="0" w:firstLine="0"/>
              <w:jc w:val="center"/>
            </w:pPr>
            <w:r>
              <w:t>Yes</w:t>
            </w:r>
          </w:p>
        </w:tc>
        <w:tc>
          <w:tcPr>
            <w:tcW w:w="3240" w:type="dxa"/>
            <w:vAlign w:val="center"/>
          </w:tcPr>
          <w:p w14:paraId="159E71EF" w14:textId="77777777" w:rsidR="00015C02" w:rsidRDefault="00015C02" w:rsidP="006412AB">
            <w:pPr>
              <w:pStyle w:val="BodyTextNumbered"/>
              <w:ind w:left="0" w:firstLine="0"/>
              <w:jc w:val="center"/>
            </w:pPr>
            <w:r>
              <w:t>Yes</w:t>
            </w:r>
          </w:p>
        </w:tc>
      </w:tr>
    </w:tbl>
    <w:p w14:paraId="693D5376" w14:textId="77777777" w:rsidR="00B62F5B" w:rsidRDefault="00B62F5B"/>
    <w:tbl>
      <w:tblPr>
        <w:tblW w:w="9591"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591"/>
      </w:tblGrid>
      <w:tr w:rsidR="00B62F5B" w:rsidRPr="004B32CF" w14:paraId="1952D1D2" w14:textId="77777777" w:rsidTr="00B62F5B">
        <w:trPr>
          <w:trHeight w:val="386"/>
        </w:trPr>
        <w:tc>
          <w:tcPr>
            <w:tcW w:w="9591" w:type="dxa"/>
            <w:shd w:val="pct12" w:color="auto" w:fill="auto"/>
          </w:tcPr>
          <w:p w14:paraId="53EB42CD" w14:textId="1CDF38BB" w:rsidR="00B62F5B" w:rsidRPr="004B32CF" w:rsidRDefault="00B62F5B" w:rsidP="00C643BC">
            <w:pPr>
              <w:spacing w:before="120" w:after="240"/>
              <w:rPr>
                <w:b/>
                <w:i/>
                <w:iCs/>
              </w:rPr>
            </w:pPr>
            <w:r>
              <w:rPr>
                <w:b/>
                <w:i/>
                <w:iCs/>
              </w:rPr>
              <w:t>[NPRR1213:  Replace paragraph (8</w:t>
            </w:r>
            <w:r w:rsidRPr="004B32CF">
              <w:rPr>
                <w:b/>
                <w:i/>
                <w:iCs/>
              </w:rPr>
              <w:t>) above with the following upon system implementation</w:t>
            </w:r>
            <w:r>
              <w:rPr>
                <w:b/>
                <w:i/>
                <w:iCs/>
              </w:rPr>
              <w:t>, and upon system implementation of NPRR117</w:t>
            </w:r>
            <w:r w:rsidR="0019129E">
              <w:rPr>
                <w:b/>
                <w:i/>
                <w:iCs/>
              </w:rPr>
              <w:t>1</w:t>
            </w:r>
            <w:r w:rsidRPr="004B32CF">
              <w:rPr>
                <w:b/>
                <w:i/>
                <w:iCs/>
              </w:rPr>
              <w:t>:]</w:t>
            </w:r>
          </w:p>
          <w:p w14:paraId="76F173A4" w14:textId="77777777" w:rsidR="00B62F5B" w:rsidRPr="00511F9B" w:rsidRDefault="00B62F5B" w:rsidP="00B62F5B">
            <w:pPr>
              <w:spacing w:before="240" w:after="240"/>
              <w:ind w:left="720" w:hanging="720"/>
            </w:pPr>
            <w:r w:rsidRPr="00511F9B">
              <w:t>(6)       The table below shows the Non-Spin trades that are allowed for each type of original responsibility:</w:t>
            </w:r>
          </w:p>
          <w:tbl>
            <w:tblPr>
              <w:tblW w:w="864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2388"/>
              <w:gridCol w:w="1839"/>
              <w:gridCol w:w="2437"/>
            </w:tblGrid>
            <w:tr w:rsidR="00B62F5B" w:rsidRPr="00511F9B" w14:paraId="0EECB211" w14:textId="77777777" w:rsidTr="00C643BC">
              <w:trPr>
                <w:trHeight w:hRule="exact" w:val="20"/>
              </w:trPr>
              <w:tc>
                <w:tcPr>
                  <w:tcW w:w="1981" w:type="dxa"/>
                  <w:tcBorders>
                    <w:top w:val="nil"/>
                    <w:left w:val="nil"/>
                    <w:bottom w:val="nil"/>
                    <w:right w:val="nil"/>
                  </w:tcBorders>
                  <w:shd w:val="clear" w:color="auto" w:fill="auto"/>
                  <w:vAlign w:val="center"/>
                </w:tcPr>
                <w:p w14:paraId="27EE5922" w14:textId="77777777" w:rsidR="00B62F5B" w:rsidRPr="00511F9B" w:rsidRDefault="00B62F5B" w:rsidP="00B62F5B">
                  <w:pPr>
                    <w:rPr>
                      <w:sz w:val="2"/>
                    </w:rPr>
                  </w:pPr>
                  <w:bookmarkStart w:id="350" w:name="_e24abb7d_8069_4cd7_843e_3d39a575af03"/>
                  <w:bookmarkStart w:id="351" w:name="_591cca6c_d434_48cc_a427_226040a26b63"/>
                  <w:bookmarkEnd w:id="350"/>
                </w:p>
              </w:tc>
              <w:tc>
                <w:tcPr>
                  <w:tcW w:w="2388" w:type="dxa"/>
                  <w:tcBorders>
                    <w:top w:val="nil"/>
                    <w:left w:val="nil"/>
                    <w:bottom w:val="nil"/>
                    <w:right w:val="nil"/>
                  </w:tcBorders>
                  <w:shd w:val="clear" w:color="auto" w:fill="auto"/>
                  <w:vAlign w:val="center"/>
                </w:tcPr>
                <w:p w14:paraId="7DDE3F3F" w14:textId="77777777" w:rsidR="00B62F5B" w:rsidRPr="00511F9B" w:rsidRDefault="00B62F5B" w:rsidP="00B62F5B">
                  <w:pPr>
                    <w:rPr>
                      <w:sz w:val="2"/>
                    </w:rPr>
                  </w:pPr>
                </w:p>
              </w:tc>
              <w:tc>
                <w:tcPr>
                  <w:tcW w:w="1839" w:type="dxa"/>
                  <w:tcBorders>
                    <w:top w:val="nil"/>
                    <w:left w:val="nil"/>
                    <w:bottom w:val="nil"/>
                    <w:right w:val="nil"/>
                  </w:tcBorders>
                </w:tcPr>
                <w:p w14:paraId="522D422E" w14:textId="77777777" w:rsidR="00B62F5B" w:rsidRPr="00511F9B" w:rsidRDefault="00B62F5B" w:rsidP="00B62F5B">
                  <w:pPr>
                    <w:rPr>
                      <w:sz w:val="2"/>
                    </w:rPr>
                  </w:pPr>
                </w:p>
              </w:tc>
              <w:tc>
                <w:tcPr>
                  <w:tcW w:w="2437" w:type="dxa"/>
                  <w:tcBorders>
                    <w:top w:val="nil"/>
                    <w:left w:val="nil"/>
                    <w:bottom w:val="nil"/>
                    <w:right w:val="nil"/>
                  </w:tcBorders>
                  <w:vAlign w:val="center"/>
                </w:tcPr>
                <w:p w14:paraId="2D50C6F0" w14:textId="77777777" w:rsidR="00B62F5B" w:rsidRPr="00511F9B" w:rsidRDefault="00B62F5B" w:rsidP="00B62F5B">
                  <w:pPr>
                    <w:rPr>
                      <w:sz w:val="2"/>
                    </w:rPr>
                  </w:pPr>
                </w:p>
              </w:tc>
            </w:tr>
            <w:tr w:rsidR="00B62F5B" w:rsidRPr="00511F9B" w14:paraId="223D3BA9" w14:textId="77777777" w:rsidTr="00C643BC">
              <w:trPr>
                <w:trHeight w:val="863"/>
              </w:trPr>
              <w:tc>
                <w:tcPr>
                  <w:tcW w:w="1981" w:type="dxa"/>
                  <w:shd w:val="clear" w:color="auto" w:fill="auto"/>
                  <w:vAlign w:val="center"/>
                </w:tcPr>
                <w:p w14:paraId="2977F797" w14:textId="77777777" w:rsidR="00B62F5B" w:rsidRPr="00511F9B" w:rsidRDefault="00B62F5B" w:rsidP="00B62F5B">
                  <w:pPr>
                    <w:spacing w:after="240"/>
                    <w:jc w:val="center"/>
                    <w:rPr>
                      <w:b/>
                      <w:iCs/>
                    </w:rPr>
                  </w:pPr>
                </w:p>
              </w:tc>
              <w:tc>
                <w:tcPr>
                  <w:tcW w:w="6664" w:type="dxa"/>
                  <w:gridSpan w:val="3"/>
                </w:tcPr>
                <w:p w14:paraId="7A622548" w14:textId="77777777" w:rsidR="00B62F5B" w:rsidRPr="00511F9B" w:rsidRDefault="00B62F5B" w:rsidP="00B62F5B">
                  <w:pPr>
                    <w:spacing w:after="240"/>
                    <w:jc w:val="center"/>
                    <w:rPr>
                      <w:b/>
                      <w:iCs/>
                    </w:rPr>
                  </w:pPr>
                  <w:r w:rsidRPr="00511F9B">
                    <w:rPr>
                      <w:b/>
                      <w:bCs/>
                      <w:iCs/>
                    </w:rPr>
                    <w:t>Allowable Non-Spin Ancillary Service Trades</w:t>
                  </w:r>
                </w:p>
              </w:tc>
            </w:tr>
            <w:tr w:rsidR="00B62F5B" w:rsidRPr="00511F9B" w14:paraId="64655C2B" w14:textId="77777777" w:rsidTr="00C643BC">
              <w:trPr>
                <w:trHeight w:val="863"/>
              </w:trPr>
              <w:tc>
                <w:tcPr>
                  <w:tcW w:w="1981" w:type="dxa"/>
                  <w:shd w:val="clear" w:color="auto" w:fill="auto"/>
                  <w:vAlign w:val="center"/>
                </w:tcPr>
                <w:p w14:paraId="222689A7" w14:textId="77777777" w:rsidR="00B62F5B" w:rsidRPr="00511F9B" w:rsidRDefault="00B62F5B" w:rsidP="00B62F5B">
                  <w:pPr>
                    <w:spacing w:after="240"/>
                    <w:jc w:val="center"/>
                    <w:rPr>
                      <w:b/>
                      <w:iCs/>
                    </w:rPr>
                  </w:pPr>
                  <w:r w:rsidRPr="00511F9B">
                    <w:rPr>
                      <w:b/>
                      <w:iCs/>
                    </w:rPr>
                    <w:t>Original Responsibility</w:t>
                  </w:r>
                </w:p>
              </w:tc>
              <w:tc>
                <w:tcPr>
                  <w:tcW w:w="2388" w:type="dxa"/>
                  <w:shd w:val="clear" w:color="auto" w:fill="auto"/>
                  <w:vAlign w:val="center"/>
                </w:tcPr>
                <w:p w14:paraId="3B7B9B8B" w14:textId="77777777" w:rsidR="00B62F5B" w:rsidRPr="00511F9B" w:rsidRDefault="00B62F5B" w:rsidP="00B62F5B">
                  <w:pPr>
                    <w:spacing w:after="240"/>
                    <w:jc w:val="center"/>
                    <w:rPr>
                      <w:b/>
                      <w:iCs/>
                    </w:rPr>
                  </w:pPr>
                  <w:r w:rsidRPr="00511F9B">
                    <w:rPr>
                      <w:b/>
                      <w:iCs/>
                    </w:rPr>
                    <w:t>Generation Resource not DGR</w:t>
                  </w:r>
                  <w:r>
                    <w:rPr>
                      <w:b/>
                      <w:iCs/>
                    </w:rPr>
                    <w:t xml:space="preserve">s </w:t>
                  </w:r>
                  <w:r w:rsidRPr="00B70A57">
                    <w:rPr>
                      <w:b/>
                      <w:bCs/>
                      <w:iCs/>
                    </w:rPr>
                    <w:t xml:space="preserve">and </w:t>
                  </w:r>
                  <w:r w:rsidRPr="00511F9B">
                    <w:rPr>
                      <w:b/>
                      <w:iCs/>
                    </w:rPr>
                    <w:t>DESR</w:t>
                  </w:r>
                  <w:r>
                    <w:rPr>
                      <w:b/>
                      <w:iCs/>
                    </w:rPr>
                    <w:t>s</w:t>
                  </w:r>
                  <w:r w:rsidRPr="00511F9B">
                    <w:rPr>
                      <w:b/>
                      <w:iCs/>
                    </w:rPr>
                    <w:t xml:space="preserve"> on </w:t>
                  </w:r>
                  <w:r>
                    <w:rPr>
                      <w:b/>
                      <w:iCs/>
                    </w:rPr>
                    <w:t>a L</w:t>
                  </w:r>
                  <w:r w:rsidRPr="00511F9B">
                    <w:rPr>
                      <w:b/>
                      <w:iCs/>
                    </w:rPr>
                    <w:t>oad shed</w:t>
                  </w:r>
                  <w:r>
                    <w:rPr>
                      <w:b/>
                      <w:iCs/>
                    </w:rPr>
                    <w:t xml:space="preserve"> circuit</w:t>
                  </w:r>
                  <w:r w:rsidRPr="00511F9B">
                    <w:rPr>
                      <w:b/>
                      <w:iCs/>
                    </w:rPr>
                    <w:t xml:space="preserve"> or Controllable Load Resource</w:t>
                  </w:r>
                </w:p>
              </w:tc>
              <w:tc>
                <w:tcPr>
                  <w:tcW w:w="1839" w:type="dxa"/>
                  <w:vAlign w:val="center"/>
                </w:tcPr>
                <w:p w14:paraId="100AEF1A" w14:textId="77777777" w:rsidR="00B62F5B" w:rsidRPr="00511F9B" w:rsidRDefault="00B62F5B" w:rsidP="00B62F5B">
                  <w:pPr>
                    <w:spacing w:after="240"/>
                    <w:jc w:val="center"/>
                    <w:rPr>
                      <w:b/>
                      <w:iCs/>
                    </w:rPr>
                  </w:pPr>
                  <w:r w:rsidRPr="00511F9B">
                    <w:rPr>
                      <w:b/>
                      <w:iCs/>
                    </w:rPr>
                    <w:t>DGR</w:t>
                  </w:r>
                  <w:r>
                    <w:rPr>
                      <w:b/>
                      <w:iCs/>
                    </w:rPr>
                    <w:t xml:space="preserve">s and </w:t>
                  </w:r>
                  <w:r w:rsidRPr="00511F9B">
                    <w:rPr>
                      <w:b/>
                      <w:iCs/>
                    </w:rPr>
                    <w:t>DESR</w:t>
                  </w:r>
                  <w:r>
                    <w:rPr>
                      <w:b/>
                      <w:iCs/>
                    </w:rPr>
                    <w:t>s</w:t>
                  </w:r>
                  <w:r w:rsidRPr="00511F9B">
                    <w:rPr>
                      <w:b/>
                      <w:iCs/>
                    </w:rPr>
                    <w:t xml:space="preserve"> on</w:t>
                  </w:r>
                  <w:r>
                    <w:rPr>
                      <w:b/>
                      <w:iCs/>
                    </w:rPr>
                    <w:t xml:space="preserve"> a </w:t>
                  </w:r>
                  <w:r w:rsidRPr="00511F9B">
                    <w:rPr>
                      <w:b/>
                      <w:iCs/>
                    </w:rPr>
                    <w:t xml:space="preserve"> </w:t>
                  </w:r>
                  <w:r>
                    <w:rPr>
                      <w:b/>
                      <w:iCs/>
                    </w:rPr>
                    <w:t>L</w:t>
                  </w:r>
                  <w:r w:rsidRPr="00511F9B">
                    <w:rPr>
                      <w:b/>
                      <w:iCs/>
                    </w:rPr>
                    <w:t>oad shed</w:t>
                  </w:r>
                  <w:r>
                    <w:rPr>
                      <w:b/>
                      <w:iCs/>
                    </w:rPr>
                    <w:t xml:space="preserve"> circuit</w:t>
                  </w:r>
                </w:p>
              </w:tc>
              <w:tc>
                <w:tcPr>
                  <w:tcW w:w="2437" w:type="dxa"/>
                  <w:vAlign w:val="center"/>
                </w:tcPr>
                <w:p w14:paraId="0E83767D" w14:textId="77777777" w:rsidR="00B62F5B" w:rsidRPr="00511F9B" w:rsidRDefault="00B62F5B" w:rsidP="00B62F5B">
                  <w:pPr>
                    <w:spacing w:after="240"/>
                    <w:jc w:val="center"/>
                    <w:rPr>
                      <w:b/>
                      <w:iCs/>
                    </w:rPr>
                  </w:pPr>
                  <w:r w:rsidRPr="00511F9B">
                    <w:rPr>
                      <w:b/>
                      <w:iCs/>
                    </w:rPr>
                    <w:t>Load Resource other than a Controllable Load Resource</w:t>
                  </w:r>
                </w:p>
              </w:tc>
            </w:tr>
            <w:tr w:rsidR="00B62F5B" w:rsidRPr="00511F9B" w14:paraId="4A622812" w14:textId="77777777" w:rsidTr="00C643BC">
              <w:trPr>
                <w:trHeight w:val="343"/>
              </w:trPr>
              <w:tc>
                <w:tcPr>
                  <w:tcW w:w="1981" w:type="dxa"/>
                  <w:shd w:val="clear" w:color="auto" w:fill="auto"/>
                  <w:vAlign w:val="center"/>
                </w:tcPr>
                <w:p w14:paraId="1F8DD7C2" w14:textId="77777777" w:rsidR="00B62F5B" w:rsidRPr="00D826FD" w:rsidRDefault="00B62F5B" w:rsidP="00B62F5B">
                  <w:pPr>
                    <w:spacing w:after="240"/>
                    <w:jc w:val="center"/>
                    <w:rPr>
                      <w:bCs/>
                      <w:iCs/>
                    </w:rPr>
                  </w:pPr>
                  <w:r w:rsidRPr="00D826FD">
                    <w:rPr>
                      <w:bCs/>
                      <w:iCs/>
                    </w:rPr>
                    <w:t xml:space="preserve">Generation Resource not on circuits subject to Load shed or </w:t>
                  </w:r>
                  <w:r w:rsidRPr="00D826FD">
                    <w:rPr>
                      <w:bCs/>
                      <w:iCs/>
                    </w:rPr>
                    <w:lastRenderedPageBreak/>
                    <w:t>Controllable Load Resource</w:t>
                  </w:r>
                </w:p>
              </w:tc>
              <w:tc>
                <w:tcPr>
                  <w:tcW w:w="2388" w:type="dxa"/>
                  <w:shd w:val="clear" w:color="auto" w:fill="auto"/>
                  <w:vAlign w:val="center"/>
                </w:tcPr>
                <w:p w14:paraId="1F9AE3CD" w14:textId="77777777" w:rsidR="00B62F5B" w:rsidRPr="00511F9B" w:rsidRDefault="00B62F5B" w:rsidP="00B62F5B">
                  <w:pPr>
                    <w:spacing w:after="240"/>
                    <w:jc w:val="center"/>
                    <w:rPr>
                      <w:iCs/>
                    </w:rPr>
                  </w:pPr>
                  <w:r w:rsidRPr="00511F9B">
                    <w:rPr>
                      <w:iCs/>
                    </w:rPr>
                    <w:lastRenderedPageBreak/>
                    <w:t>Yes</w:t>
                  </w:r>
                </w:p>
              </w:tc>
              <w:tc>
                <w:tcPr>
                  <w:tcW w:w="1839" w:type="dxa"/>
                  <w:vAlign w:val="center"/>
                </w:tcPr>
                <w:p w14:paraId="1421FD67" w14:textId="77777777" w:rsidR="00B62F5B" w:rsidRPr="00511F9B" w:rsidRDefault="00B62F5B" w:rsidP="00B62F5B">
                  <w:pPr>
                    <w:spacing w:after="240"/>
                    <w:jc w:val="center"/>
                    <w:rPr>
                      <w:iCs/>
                    </w:rPr>
                  </w:pPr>
                  <w:r w:rsidRPr="00511F9B">
                    <w:rPr>
                      <w:iCs/>
                    </w:rPr>
                    <w:t>No</w:t>
                  </w:r>
                </w:p>
              </w:tc>
              <w:tc>
                <w:tcPr>
                  <w:tcW w:w="2437" w:type="dxa"/>
                  <w:vAlign w:val="center"/>
                </w:tcPr>
                <w:p w14:paraId="7703084B" w14:textId="77777777" w:rsidR="00B62F5B" w:rsidRPr="00511F9B" w:rsidRDefault="00B62F5B" w:rsidP="00B62F5B">
                  <w:pPr>
                    <w:spacing w:after="240"/>
                    <w:jc w:val="center"/>
                    <w:rPr>
                      <w:iCs/>
                    </w:rPr>
                  </w:pPr>
                  <w:r w:rsidRPr="00511F9B">
                    <w:rPr>
                      <w:iCs/>
                    </w:rPr>
                    <w:t>No</w:t>
                  </w:r>
                </w:p>
              </w:tc>
            </w:tr>
            <w:tr w:rsidR="00B62F5B" w:rsidRPr="00511F9B" w14:paraId="6822C8CD" w14:textId="77777777" w:rsidTr="00C643BC">
              <w:trPr>
                <w:trHeight w:val="343"/>
              </w:trPr>
              <w:tc>
                <w:tcPr>
                  <w:tcW w:w="1981" w:type="dxa"/>
                  <w:shd w:val="clear" w:color="auto" w:fill="auto"/>
                  <w:vAlign w:val="center"/>
                </w:tcPr>
                <w:p w14:paraId="32A81A13" w14:textId="77777777" w:rsidR="00B62F5B" w:rsidRPr="00D826FD" w:rsidRDefault="00B62F5B" w:rsidP="00B62F5B">
                  <w:pPr>
                    <w:spacing w:after="240"/>
                    <w:jc w:val="center"/>
                    <w:rPr>
                      <w:bCs/>
                      <w:iCs/>
                    </w:rPr>
                  </w:pPr>
                  <w:r w:rsidRPr="00A76E59">
                    <w:rPr>
                      <w:bCs/>
                      <w:iCs/>
                    </w:rPr>
                    <w:t xml:space="preserve">DGRs </w:t>
                  </w:r>
                  <w:r>
                    <w:rPr>
                      <w:bCs/>
                      <w:iCs/>
                    </w:rPr>
                    <w:t xml:space="preserve">and </w:t>
                  </w:r>
                  <w:r w:rsidRPr="00A76E59">
                    <w:rPr>
                      <w:bCs/>
                      <w:iCs/>
                    </w:rPr>
                    <w:t>DESRs on a</w:t>
                  </w:r>
                  <w:r>
                    <w:rPr>
                      <w:bCs/>
                      <w:iCs/>
                    </w:rPr>
                    <w:t xml:space="preserve"> </w:t>
                  </w:r>
                  <w:r w:rsidRPr="00A76E59">
                    <w:rPr>
                      <w:bCs/>
                      <w:iCs/>
                    </w:rPr>
                    <w:t>Load shed circuit</w:t>
                  </w:r>
                </w:p>
              </w:tc>
              <w:tc>
                <w:tcPr>
                  <w:tcW w:w="2388" w:type="dxa"/>
                  <w:shd w:val="clear" w:color="auto" w:fill="auto"/>
                  <w:vAlign w:val="center"/>
                </w:tcPr>
                <w:p w14:paraId="75FD1514" w14:textId="77777777" w:rsidR="00B62F5B" w:rsidRPr="00511F9B" w:rsidRDefault="00B62F5B" w:rsidP="00B62F5B">
                  <w:pPr>
                    <w:spacing w:after="240"/>
                    <w:jc w:val="center"/>
                    <w:rPr>
                      <w:iCs/>
                    </w:rPr>
                  </w:pPr>
                  <w:r w:rsidRPr="00511F9B">
                    <w:rPr>
                      <w:iCs/>
                    </w:rPr>
                    <w:t>Yes</w:t>
                  </w:r>
                </w:p>
              </w:tc>
              <w:tc>
                <w:tcPr>
                  <w:tcW w:w="1839" w:type="dxa"/>
                  <w:vAlign w:val="center"/>
                </w:tcPr>
                <w:p w14:paraId="091E99BA" w14:textId="77777777" w:rsidR="00B62F5B" w:rsidRPr="00511F9B" w:rsidRDefault="00B62F5B" w:rsidP="00B62F5B">
                  <w:pPr>
                    <w:spacing w:after="240"/>
                    <w:jc w:val="center"/>
                    <w:rPr>
                      <w:iCs/>
                    </w:rPr>
                  </w:pPr>
                  <w:r w:rsidRPr="00511F9B">
                    <w:rPr>
                      <w:iCs/>
                    </w:rPr>
                    <w:t>Yes</w:t>
                  </w:r>
                </w:p>
              </w:tc>
              <w:tc>
                <w:tcPr>
                  <w:tcW w:w="2437" w:type="dxa"/>
                  <w:vAlign w:val="center"/>
                </w:tcPr>
                <w:p w14:paraId="75FC38FA" w14:textId="77777777" w:rsidR="00B62F5B" w:rsidRPr="00511F9B" w:rsidRDefault="00B62F5B" w:rsidP="00B62F5B">
                  <w:pPr>
                    <w:spacing w:after="240"/>
                    <w:jc w:val="center"/>
                    <w:rPr>
                      <w:iCs/>
                    </w:rPr>
                  </w:pPr>
                  <w:r w:rsidRPr="00511F9B">
                    <w:rPr>
                      <w:iCs/>
                    </w:rPr>
                    <w:t>No</w:t>
                  </w:r>
                </w:p>
              </w:tc>
            </w:tr>
            <w:tr w:rsidR="00B62F5B" w:rsidRPr="00511F9B" w14:paraId="188A5454" w14:textId="77777777" w:rsidTr="00C643BC">
              <w:trPr>
                <w:trHeight w:val="343"/>
              </w:trPr>
              <w:tc>
                <w:tcPr>
                  <w:tcW w:w="1981" w:type="dxa"/>
                  <w:shd w:val="clear" w:color="auto" w:fill="auto"/>
                  <w:vAlign w:val="center"/>
                </w:tcPr>
                <w:p w14:paraId="197E5597" w14:textId="77777777" w:rsidR="00B62F5B" w:rsidRPr="00D826FD" w:rsidRDefault="00B62F5B" w:rsidP="00B62F5B">
                  <w:pPr>
                    <w:spacing w:after="240"/>
                    <w:jc w:val="center"/>
                    <w:rPr>
                      <w:bCs/>
                      <w:iCs/>
                    </w:rPr>
                  </w:pPr>
                  <w:r w:rsidRPr="00D826FD">
                    <w:rPr>
                      <w:bCs/>
                      <w:iCs/>
                    </w:rPr>
                    <w:t>Load Resource other than a Controllable Load Resource</w:t>
                  </w:r>
                </w:p>
              </w:tc>
              <w:tc>
                <w:tcPr>
                  <w:tcW w:w="2388" w:type="dxa"/>
                  <w:shd w:val="clear" w:color="auto" w:fill="auto"/>
                  <w:vAlign w:val="center"/>
                </w:tcPr>
                <w:p w14:paraId="1EA631A9" w14:textId="77777777" w:rsidR="00B62F5B" w:rsidRPr="00511F9B" w:rsidRDefault="00B62F5B" w:rsidP="00B62F5B">
                  <w:pPr>
                    <w:spacing w:after="240"/>
                    <w:jc w:val="center"/>
                    <w:rPr>
                      <w:iCs/>
                    </w:rPr>
                  </w:pPr>
                  <w:r w:rsidRPr="00511F9B">
                    <w:rPr>
                      <w:iCs/>
                    </w:rPr>
                    <w:t>Yes</w:t>
                  </w:r>
                </w:p>
              </w:tc>
              <w:tc>
                <w:tcPr>
                  <w:tcW w:w="1839" w:type="dxa"/>
                  <w:vAlign w:val="center"/>
                </w:tcPr>
                <w:p w14:paraId="68CBF5E3" w14:textId="77777777" w:rsidR="00B62F5B" w:rsidRPr="00511F9B" w:rsidRDefault="00B62F5B" w:rsidP="00B62F5B">
                  <w:pPr>
                    <w:spacing w:after="240"/>
                    <w:jc w:val="center"/>
                    <w:rPr>
                      <w:iCs/>
                    </w:rPr>
                  </w:pPr>
                  <w:r w:rsidRPr="00511F9B">
                    <w:rPr>
                      <w:iCs/>
                    </w:rPr>
                    <w:t>No</w:t>
                  </w:r>
                </w:p>
              </w:tc>
              <w:tc>
                <w:tcPr>
                  <w:tcW w:w="2437" w:type="dxa"/>
                  <w:vAlign w:val="center"/>
                </w:tcPr>
                <w:p w14:paraId="73A4E8F7" w14:textId="77777777" w:rsidR="00B62F5B" w:rsidRPr="00511F9B" w:rsidRDefault="00B62F5B" w:rsidP="00B62F5B">
                  <w:pPr>
                    <w:spacing w:after="240"/>
                    <w:jc w:val="center"/>
                    <w:rPr>
                      <w:iCs/>
                    </w:rPr>
                  </w:pPr>
                  <w:r w:rsidRPr="00511F9B">
                    <w:rPr>
                      <w:iCs/>
                    </w:rPr>
                    <w:t>Yes</w:t>
                  </w:r>
                </w:p>
              </w:tc>
            </w:tr>
            <w:bookmarkEnd w:id="351"/>
          </w:tbl>
          <w:p w14:paraId="0F7F14EF" w14:textId="77777777" w:rsidR="00B62F5B" w:rsidRPr="00BE69DE" w:rsidRDefault="00B62F5B" w:rsidP="00C643BC">
            <w:pPr>
              <w:spacing w:after="240"/>
              <w:ind w:left="720" w:hanging="720"/>
            </w:pPr>
          </w:p>
        </w:tc>
      </w:tr>
    </w:tbl>
    <w:p w14:paraId="1C8A96FA" w14:textId="18B7260B" w:rsidR="00AA7EC3" w:rsidRPr="003A562E" w:rsidRDefault="00AA7EC3" w:rsidP="00AA7EC3">
      <w:pPr>
        <w:spacing w:before="240" w:after="240"/>
        <w:ind w:left="720" w:hanging="720"/>
        <w:rPr>
          <w:bCs/>
        </w:rPr>
      </w:pPr>
      <w:r w:rsidRPr="003A562E">
        <w:rPr>
          <w:bCs/>
        </w:rPr>
        <w:lastRenderedPageBreak/>
        <w:t>(</w:t>
      </w:r>
      <w:r>
        <w:rPr>
          <w:bCs/>
        </w:rPr>
        <w:t>9</w:t>
      </w:r>
      <w:r w:rsidRPr="003A562E">
        <w:rPr>
          <w:bCs/>
        </w:rPr>
        <w:t>)</w:t>
      </w:r>
      <w:r w:rsidRPr="003A562E">
        <w:rPr>
          <w:bCs/>
        </w:rPr>
        <w:tab/>
      </w:r>
      <w:r w:rsidRPr="0003648D">
        <w:t xml:space="preserve">A QSE with an Ancillary Service </w:t>
      </w:r>
      <w:r>
        <w:t>Supply Responsibility</w:t>
      </w:r>
      <w:r w:rsidRPr="0003648D">
        <w:t xml:space="preserve"> for</w:t>
      </w:r>
      <w:r>
        <w:t xml:space="preserve"> Regulation Service</w:t>
      </w:r>
      <w:r w:rsidRPr="003A562E">
        <w:rPr>
          <w:bCs/>
        </w:rPr>
        <w:t xml:space="preserve"> </w:t>
      </w:r>
      <w:r w:rsidRPr="0003648D">
        <w:t xml:space="preserve">may transfer </w:t>
      </w:r>
      <w:r>
        <w:t xml:space="preserve">that portion of </w:t>
      </w:r>
      <w:r w:rsidRPr="0003648D">
        <w:t xml:space="preserve">its </w:t>
      </w:r>
      <w:r>
        <w:t>Ancillary Service Supply Responsibility</w:t>
      </w:r>
      <w:r w:rsidRPr="0003648D">
        <w:t xml:space="preserve"> via Ancillary Service Trade(s) to another QSE only if that QSE </w:t>
      </w:r>
      <w:r>
        <w:t xml:space="preserve">provides the transferred portion with </w:t>
      </w:r>
      <w:r w:rsidRPr="00DF76EA">
        <w:t>Regulation Service that is not Fast Responding Regulation Service (FRRS)</w:t>
      </w:r>
      <w:r>
        <w:t xml:space="preserve">.  </w:t>
      </w:r>
      <w:r w:rsidRPr="003A562E">
        <w:rPr>
          <w:bCs/>
        </w:rPr>
        <w:t>The table below shows the Regulation Service trades that are allowed for each type of original responsibility.  The same limitations apply separately to both Reg-Up and Reg-Down</w:t>
      </w:r>
      <w:r>
        <w:rPr>
          <w:bC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0"/>
        <w:gridCol w:w="2865"/>
        <w:gridCol w:w="2790"/>
      </w:tblGrid>
      <w:tr w:rsidR="00AA7EC3" w:rsidRPr="0003648D" w14:paraId="554B1698" w14:textId="77777777" w:rsidTr="00EB39F2">
        <w:trPr>
          <w:trHeight w:val="343"/>
        </w:trPr>
        <w:tc>
          <w:tcPr>
            <w:tcW w:w="2170" w:type="dxa"/>
            <w:shd w:val="clear" w:color="auto" w:fill="auto"/>
            <w:vAlign w:val="center"/>
          </w:tcPr>
          <w:p w14:paraId="0BCEB51A" w14:textId="77777777" w:rsidR="00AA7EC3" w:rsidRPr="0003648D" w:rsidRDefault="00AA7EC3" w:rsidP="00EB39F2">
            <w:pPr>
              <w:pStyle w:val="BodyTextNumbered"/>
              <w:ind w:left="0" w:firstLine="0"/>
              <w:jc w:val="center"/>
            </w:pPr>
          </w:p>
        </w:tc>
        <w:tc>
          <w:tcPr>
            <w:tcW w:w="5655" w:type="dxa"/>
            <w:gridSpan w:val="2"/>
          </w:tcPr>
          <w:p w14:paraId="14066B32" w14:textId="77777777" w:rsidR="00AA7EC3" w:rsidRPr="005758E5" w:rsidRDefault="00AA7EC3" w:rsidP="00EB39F2">
            <w:pPr>
              <w:pStyle w:val="BodyTextNumbered"/>
              <w:ind w:left="0" w:firstLine="0"/>
              <w:jc w:val="center"/>
              <w:rPr>
                <w:b/>
                <w:bCs/>
              </w:rPr>
            </w:pPr>
            <w:r>
              <w:rPr>
                <w:b/>
                <w:bCs/>
              </w:rPr>
              <w:t>Allowable Regulation Ancillary Service Trades</w:t>
            </w:r>
          </w:p>
        </w:tc>
      </w:tr>
      <w:tr w:rsidR="00AA7EC3" w:rsidRPr="0003648D" w14:paraId="149E8D7B" w14:textId="77777777" w:rsidTr="00EB39F2">
        <w:trPr>
          <w:trHeight w:val="527"/>
        </w:trPr>
        <w:tc>
          <w:tcPr>
            <w:tcW w:w="2170" w:type="dxa"/>
            <w:shd w:val="clear" w:color="auto" w:fill="auto"/>
            <w:vAlign w:val="center"/>
          </w:tcPr>
          <w:p w14:paraId="3CAEBAF8" w14:textId="77777777" w:rsidR="00AA7EC3" w:rsidRPr="0003648D" w:rsidRDefault="00AA7EC3" w:rsidP="00EB39F2">
            <w:pPr>
              <w:pStyle w:val="BodyTextNumbered"/>
              <w:ind w:left="0" w:firstLine="0"/>
              <w:jc w:val="center"/>
              <w:rPr>
                <w:b/>
              </w:rPr>
            </w:pPr>
            <w:r w:rsidRPr="0003648D">
              <w:rPr>
                <w:b/>
              </w:rPr>
              <w:t>Original Responsibility</w:t>
            </w:r>
          </w:p>
        </w:tc>
        <w:tc>
          <w:tcPr>
            <w:tcW w:w="2865" w:type="dxa"/>
            <w:shd w:val="clear" w:color="auto" w:fill="auto"/>
            <w:vAlign w:val="center"/>
          </w:tcPr>
          <w:p w14:paraId="164793EA" w14:textId="77777777" w:rsidR="00AA7EC3" w:rsidRPr="0003648D" w:rsidRDefault="00AA7EC3" w:rsidP="00EB39F2">
            <w:pPr>
              <w:pStyle w:val="BodyTextNumbered"/>
              <w:ind w:left="0" w:firstLine="0"/>
              <w:jc w:val="center"/>
              <w:rPr>
                <w:b/>
              </w:rPr>
            </w:pPr>
            <w:r>
              <w:rPr>
                <w:b/>
              </w:rPr>
              <w:t>Regulation Service that is not FRRS</w:t>
            </w:r>
          </w:p>
        </w:tc>
        <w:tc>
          <w:tcPr>
            <w:tcW w:w="2790" w:type="dxa"/>
            <w:shd w:val="clear" w:color="auto" w:fill="auto"/>
            <w:vAlign w:val="center"/>
          </w:tcPr>
          <w:p w14:paraId="530226FD" w14:textId="77777777" w:rsidR="00AA7EC3" w:rsidRPr="0003648D" w:rsidRDefault="00AA7EC3" w:rsidP="00EB39F2">
            <w:pPr>
              <w:pStyle w:val="BodyTextNumbered"/>
              <w:ind w:left="0" w:firstLine="0"/>
              <w:jc w:val="center"/>
              <w:rPr>
                <w:b/>
              </w:rPr>
            </w:pPr>
            <w:r>
              <w:rPr>
                <w:b/>
              </w:rPr>
              <w:t>FRRS</w:t>
            </w:r>
          </w:p>
        </w:tc>
      </w:tr>
      <w:tr w:rsidR="00AA7EC3" w:rsidRPr="0003648D" w14:paraId="609D986A" w14:textId="77777777" w:rsidTr="00EB39F2">
        <w:trPr>
          <w:trHeight w:val="343"/>
        </w:trPr>
        <w:tc>
          <w:tcPr>
            <w:tcW w:w="2170" w:type="dxa"/>
            <w:shd w:val="clear" w:color="auto" w:fill="auto"/>
            <w:vAlign w:val="center"/>
          </w:tcPr>
          <w:p w14:paraId="21A66BCC" w14:textId="77777777" w:rsidR="00AA7EC3" w:rsidRPr="0003648D" w:rsidRDefault="00AA7EC3" w:rsidP="00EB39F2">
            <w:pPr>
              <w:pStyle w:val="BodyTextNumbered"/>
              <w:ind w:left="0" w:firstLine="0"/>
              <w:jc w:val="center"/>
            </w:pPr>
            <w:r>
              <w:t>Regulation Service that is not FRRS</w:t>
            </w:r>
          </w:p>
        </w:tc>
        <w:tc>
          <w:tcPr>
            <w:tcW w:w="2865" w:type="dxa"/>
            <w:shd w:val="clear" w:color="auto" w:fill="auto"/>
            <w:vAlign w:val="center"/>
          </w:tcPr>
          <w:p w14:paraId="088228DC" w14:textId="77777777" w:rsidR="00AA7EC3" w:rsidRPr="0003648D" w:rsidRDefault="00AA7EC3" w:rsidP="00EB39F2">
            <w:pPr>
              <w:pStyle w:val="BodyTextNumbered"/>
              <w:ind w:left="0" w:firstLine="0"/>
              <w:jc w:val="center"/>
            </w:pPr>
            <w:r w:rsidRPr="0003648D">
              <w:t>Yes</w:t>
            </w:r>
          </w:p>
        </w:tc>
        <w:tc>
          <w:tcPr>
            <w:tcW w:w="2790" w:type="dxa"/>
            <w:shd w:val="clear" w:color="auto" w:fill="auto"/>
            <w:vAlign w:val="center"/>
          </w:tcPr>
          <w:p w14:paraId="046638CC" w14:textId="77777777" w:rsidR="00AA7EC3" w:rsidRPr="0003648D" w:rsidRDefault="00AA7EC3" w:rsidP="00EB39F2">
            <w:pPr>
              <w:pStyle w:val="BodyTextNumbered"/>
              <w:ind w:left="0" w:firstLine="0"/>
              <w:jc w:val="center"/>
            </w:pPr>
            <w:r w:rsidRPr="0003648D">
              <w:t>No</w:t>
            </w:r>
          </w:p>
        </w:tc>
      </w:tr>
      <w:tr w:rsidR="00AA7EC3" w:rsidRPr="0003648D" w14:paraId="2FCF43B3" w14:textId="77777777" w:rsidTr="00EB39F2">
        <w:trPr>
          <w:trHeight w:val="366"/>
        </w:trPr>
        <w:tc>
          <w:tcPr>
            <w:tcW w:w="2170" w:type="dxa"/>
            <w:shd w:val="clear" w:color="auto" w:fill="auto"/>
            <w:vAlign w:val="center"/>
          </w:tcPr>
          <w:p w14:paraId="18ECFE17" w14:textId="77777777" w:rsidR="00AA7EC3" w:rsidRPr="0003648D" w:rsidRDefault="00AA7EC3" w:rsidP="00EB39F2">
            <w:pPr>
              <w:pStyle w:val="BodyTextNumbered"/>
              <w:ind w:left="0" w:firstLine="0"/>
              <w:jc w:val="center"/>
            </w:pPr>
            <w:r>
              <w:t>FRRS</w:t>
            </w:r>
          </w:p>
        </w:tc>
        <w:tc>
          <w:tcPr>
            <w:tcW w:w="2865" w:type="dxa"/>
            <w:shd w:val="clear" w:color="auto" w:fill="auto"/>
            <w:vAlign w:val="center"/>
          </w:tcPr>
          <w:p w14:paraId="56DC7B31" w14:textId="77777777" w:rsidR="00AA7EC3" w:rsidRPr="0003648D" w:rsidRDefault="00AA7EC3" w:rsidP="00EB39F2">
            <w:pPr>
              <w:pStyle w:val="BodyTextNumbered"/>
              <w:ind w:left="0" w:firstLine="0"/>
              <w:jc w:val="center"/>
            </w:pPr>
            <w:r w:rsidRPr="0003648D">
              <w:t>Yes</w:t>
            </w:r>
          </w:p>
        </w:tc>
        <w:tc>
          <w:tcPr>
            <w:tcW w:w="2790" w:type="dxa"/>
            <w:shd w:val="clear" w:color="auto" w:fill="auto"/>
            <w:vAlign w:val="center"/>
          </w:tcPr>
          <w:p w14:paraId="636EE189" w14:textId="77777777" w:rsidR="00AA7EC3" w:rsidRPr="0003648D" w:rsidRDefault="00AA7EC3" w:rsidP="00EB39F2">
            <w:pPr>
              <w:pStyle w:val="BodyTextNumbered"/>
              <w:ind w:left="0" w:firstLine="0"/>
              <w:jc w:val="center"/>
            </w:pPr>
            <w:r>
              <w:t>No</w:t>
            </w:r>
          </w:p>
        </w:tc>
      </w:tr>
    </w:tbl>
    <w:p w14:paraId="1A1D7894" w14:textId="77777777" w:rsidR="00FF2129" w:rsidRDefault="00482EF3" w:rsidP="00FB5955">
      <w:pPr>
        <w:pStyle w:val="H5"/>
        <w:spacing w:before="480"/>
        <w:ind w:left="1627" w:hanging="1627"/>
      </w:pPr>
      <w:bookmarkStart w:id="352" w:name="_Toc135990641"/>
      <w:r>
        <w:t>4.4.7.3.1</w:t>
      </w:r>
      <w:r>
        <w:tab/>
        <w:t>Ancillary Service Trade Criteria</w:t>
      </w:r>
      <w:bookmarkEnd w:id="340"/>
      <w:bookmarkEnd w:id="341"/>
      <w:bookmarkEnd w:id="342"/>
      <w:bookmarkEnd w:id="343"/>
      <w:bookmarkEnd w:id="344"/>
      <w:bookmarkEnd w:id="345"/>
      <w:bookmarkEnd w:id="346"/>
      <w:bookmarkEnd w:id="347"/>
      <w:bookmarkEnd w:id="352"/>
    </w:p>
    <w:bookmarkEnd w:id="337"/>
    <w:p w14:paraId="77A778A4" w14:textId="77777777" w:rsidR="00FF2129" w:rsidRDefault="00482EF3">
      <w:pPr>
        <w:pStyle w:val="BodyTextNumbered"/>
      </w:pPr>
      <w:r>
        <w:t>(1)</w:t>
      </w:r>
      <w:r>
        <w:tab/>
        <w:t xml:space="preserve">Each Ancillary Service Trade must be reported by a QSE and must include the following information: </w:t>
      </w:r>
    </w:p>
    <w:p w14:paraId="6ECC123A" w14:textId="77777777" w:rsidR="00FF2129" w:rsidRDefault="00482EF3">
      <w:pPr>
        <w:pStyle w:val="List"/>
        <w:ind w:left="1440"/>
      </w:pPr>
      <w:r>
        <w:t>(a)</w:t>
      </w:r>
      <w:r>
        <w:tab/>
        <w:t>The buying QSE;</w:t>
      </w:r>
    </w:p>
    <w:p w14:paraId="25E43594" w14:textId="77777777" w:rsidR="00FF2129" w:rsidRDefault="00482EF3">
      <w:pPr>
        <w:pStyle w:val="List"/>
        <w:ind w:left="1440"/>
      </w:pPr>
      <w:r>
        <w:t>(b)</w:t>
      </w:r>
      <w:r>
        <w:tab/>
        <w:t>The selling QSE;</w:t>
      </w:r>
    </w:p>
    <w:p w14:paraId="3EE84801" w14:textId="77777777" w:rsidR="00FF2129" w:rsidRDefault="00482EF3">
      <w:pPr>
        <w:pStyle w:val="List"/>
        <w:ind w:left="1440"/>
      </w:pPr>
      <w:r>
        <w:t>(c)</w:t>
      </w:r>
      <w:r>
        <w:tab/>
        <w:t>The type of Ancillary Service;</w:t>
      </w:r>
    </w:p>
    <w:p w14:paraId="701F3503" w14:textId="77777777" w:rsidR="00FF2129" w:rsidRDefault="00482EF3">
      <w:pPr>
        <w:pStyle w:val="List"/>
        <w:ind w:left="1440"/>
      </w:pPr>
      <w:r>
        <w:t>(d)</w:t>
      </w:r>
      <w:r>
        <w:tab/>
        <w:t>The quantity in MW; and</w:t>
      </w:r>
    </w:p>
    <w:p w14:paraId="7841AE72" w14:textId="77777777" w:rsidR="00FF2129" w:rsidRDefault="00482EF3">
      <w:pPr>
        <w:pStyle w:val="List"/>
        <w:ind w:left="1440"/>
      </w:pPr>
      <w:r>
        <w:t>(e)</w:t>
      </w:r>
      <w:r>
        <w:tab/>
        <w:t>The first and last hours of the trade.</w:t>
      </w:r>
    </w:p>
    <w:p w14:paraId="0ACE3D15" w14:textId="77777777" w:rsidR="00FF2129" w:rsidRDefault="00482EF3">
      <w:pPr>
        <w:pStyle w:val="List"/>
        <w:ind w:left="1440"/>
      </w:pPr>
      <w:r>
        <w:t>(f)</w:t>
      </w:r>
      <w:r>
        <w:tab/>
        <w:t xml:space="preserve">For </w:t>
      </w:r>
      <w:r w:rsidR="0030230F">
        <w:t>RRS</w:t>
      </w:r>
      <w:r>
        <w:t>, the QSE shall indicate the quantity of the service that is provided from:</w:t>
      </w:r>
    </w:p>
    <w:p w14:paraId="250A173D" w14:textId="321947F4" w:rsidR="00FF2129" w:rsidRDefault="00482EF3">
      <w:pPr>
        <w:pStyle w:val="List2"/>
        <w:spacing w:after="240"/>
        <w:ind w:left="2160" w:hanging="720"/>
      </w:pPr>
      <w:r>
        <w:lastRenderedPageBreak/>
        <w:t>(i)</w:t>
      </w:r>
      <w:r>
        <w:tab/>
        <w:t>Resources</w:t>
      </w:r>
      <w:r w:rsidR="00A61BFA" w:rsidRPr="00A61BFA">
        <w:rPr>
          <w:szCs w:val="20"/>
        </w:rPr>
        <w:t xml:space="preserve"> </w:t>
      </w:r>
      <w:r w:rsidR="00A61BFA" w:rsidRPr="00321CA1">
        <w:rPr>
          <w:szCs w:val="20"/>
        </w:rPr>
        <w:t>providing Primary Frequency Response</w:t>
      </w:r>
      <w:r>
        <w:t>;</w:t>
      </w:r>
    </w:p>
    <w:p w14:paraId="0F2A3304" w14:textId="0EEA27C5" w:rsidR="00FF2129" w:rsidRDefault="00482EF3">
      <w:pPr>
        <w:pStyle w:val="List2"/>
        <w:spacing w:after="240"/>
        <w:ind w:left="2160" w:hanging="720"/>
      </w:pPr>
      <w:r>
        <w:t>(ii)</w:t>
      </w:r>
      <w:r>
        <w:tab/>
      </w:r>
      <w:r w:rsidR="00A61BFA">
        <w:t>FFR</w:t>
      </w:r>
      <w:r>
        <w:t xml:space="preserve"> Resources; and</w:t>
      </w:r>
    </w:p>
    <w:p w14:paraId="60F3C83D" w14:textId="77777777" w:rsidR="00FF2129" w:rsidRDefault="00482EF3">
      <w:pPr>
        <w:pStyle w:val="List2"/>
        <w:spacing w:after="240"/>
        <w:ind w:left="2160" w:hanging="720"/>
      </w:pPr>
      <w:r>
        <w:t>(iii)</w:t>
      </w:r>
      <w:r>
        <w:tab/>
        <w:t>Load Resources controlled by high-set under-frequency relays.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21CA1" w:rsidRPr="004B32CF" w14:paraId="456D8559" w14:textId="77777777" w:rsidTr="006C374D">
        <w:trPr>
          <w:trHeight w:val="386"/>
        </w:trPr>
        <w:tc>
          <w:tcPr>
            <w:tcW w:w="9350" w:type="dxa"/>
            <w:shd w:val="pct12" w:color="auto" w:fill="auto"/>
          </w:tcPr>
          <w:p w14:paraId="2CEB9C9F" w14:textId="722B6B84" w:rsidR="00321CA1" w:rsidRPr="004B32CF" w:rsidRDefault="00321CA1" w:rsidP="006C374D">
            <w:pPr>
              <w:spacing w:before="120" w:after="240"/>
              <w:rPr>
                <w:b/>
                <w:i/>
                <w:iCs/>
              </w:rPr>
            </w:pPr>
            <w:r>
              <w:rPr>
                <w:b/>
                <w:i/>
                <w:iCs/>
              </w:rPr>
              <w:t>[</w:t>
            </w:r>
            <w:r w:rsidR="00363569">
              <w:rPr>
                <w:b/>
                <w:i/>
                <w:iCs/>
              </w:rPr>
              <w:t>NPRR1014</w:t>
            </w:r>
            <w:r>
              <w:rPr>
                <w:b/>
                <w:i/>
                <w:iCs/>
              </w:rPr>
              <w:t>:  Replace</w:t>
            </w:r>
            <w:r w:rsidR="00363569">
              <w:rPr>
                <w:b/>
                <w:i/>
                <w:iCs/>
              </w:rPr>
              <w:t xml:space="preserve"> </w:t>
            </w:r>
            <w:r>
              <w:rPr>
                <w:b/>
                <w:i/>
                <w:iCs/>
              </w:rPr>
              <w:t>paragraph (f) above with the following</w:t>
            </w:r>
            <w:r w:rsidRPr="004B32CF">
              <w:rPr>
                <w:b/>
                <w:i/>
                <w:iCs/>
              </w:rPr>
              <w:t xml:space="preserve"> upon system implementation:]</w:t>
            </w:r>
          </w:p>
          <w:p w14:paraId="72B9A4DF" w14:textId="77777777" w:rsidR="00321CA1" w:rsidRPr="00321CA1" w:rsidRDefault="00321CA1" w:rsidP="00321CA1">
            <w:pPr>
              <w:spacing w:after="240"/>
              <w:ind w:left="1440" w:hanging="720"/>
              <w:rPr>
                <w:szCs w:val="20"/>
              </w:rPr>
            </w:pPr>
            <w:r w:rsidRPr="00321CA1">
              <w:rPr>
                <w:szCs w:val="20"/>
              </w:rPr>
              <w:t>(f)</w:t>
            </w:r>
            <w:r w:rsidRPr="00321CA1">
              <w:rPr>
                <w:szCs w:val="20"/>
              </w:rPr>
              <w:tab/>
              <w:t>For RRS, the QSE shall indicate the quantity of the service that is provided from:</w:t>
            </w:r>
          </w:p>
          <w:p w14:paraId="56F6ECEE" w14:textId="6B3031DA" w:rsidR="00321CA1" w:rsidRPr="00321CA1" w:rsidRDefault="00321CA1" w:rsidP="00321CA1">
            <w:pPr>
              <w:spacing w:after="240"/>
              <w:ind w:left="2160" w:hanging="720"/>
              <w:rPr>
                <w:szCs w:val="20"/>
              </w:rPr>
            </w:pPr>
            <w:r w:rsidRPr="00321CA1">
              <w:rPr>
                <w:szCs w:val="20"/>
              </w:rPr>
              <w:t>(i)</w:t>
            </w:r>
            <w:r w:rsidRPr="00321CA1">
              <w:rPr>
                <w:szCs w:val="20"/>
              </w:rPr>
              <w:tab/>
              <w:t xml:space="preserve">Resources </w:t>
            </w:r>
            <w:r w:rsidR="00363569">
              <w:rPr>
                <w:szCs w:val="20"/>
              </w:rPr>
              <w:t xml:space="preserve">capable of </w:t>
            </w:r>
            <w:r w:rsidRPr="00321CA1">
              <w:rPr>
                <w:szCs w:val="20"/>
              </w:rPr>
              <w:t>providing Primary Frequency Response;</w:t>
            </w:r>
          </w:p>
          <w:p w14:paraId="59EC5248" w14:textId="7BDA1C4B" w:rsidR="00321CA1" w:rsidRPr="00321CA1" w:rsidRDefault="00321CA1" w:rsidP="00321CA1">
            <w:pPr>
              <w:spacing w:after="240"/>
              <w:ind w:left="2160" w:hanging="720"/>
              <w:rPr>
                <w:szCs w:val="20"/>
              </w:rPr>
            </w:pPr>
            <w:r w:rsidRPr="00321CA1">
              <w:rPr>
                <w:szCs w:val="20"/>
              </w:rPr>
              <w:t>(ii)</w:t>
            </w:r>
            <w:r w:rsidRPr="00321CA1">
              <w:rPr>
                <w:szCs w:val="20"/>
              </w:rPr>
              <w:tab/>
            </w:r>
            <w:r w:rsidR="00363569" w:rsidRPr="00A552C3">
              <w:t xml:space="preserve">ESRs and Load Resources providing </w:t>
            </w:r>
            <w:r w:rsidRPr="00321CA1">
              <w:rPr>
                <w:szCs w:val="20"/>
              </w:rPr>
              <w:t>FFR; and</w:t>
            </w:r>
          </w:p>
          <w:p w14:paraId="427CB661" w14:textId="38422817" w:rsidR="00321CA1" w:rsidRPr="00321CA1" w:rsidRDefault="00321CA1" w:rsidP="00321CA1">
            <w:pPr>
              <w:spacing w:after="240"/>
              <w:ind w:left="2160" w:hanging="720"/>
              <w:rPr>
                <w:szCs w:val="20"/>
              </w:rPr>
            </w:pPr>
            <w:r w:rsidRPr="00321CA1">
              <w:rPr>
                <w:szCs w:val="20"/>
              </w:rPr>
              <w:t>(iii)</w:t>
            </w:r>
            <w:r w:rsidRPr="00321CA1">
              <w:rPr>
                <w:szCs w:val="20"/>
              </w:rPr>
              <w:tab/>
              <w:t>Load Resources controlled by high-set under-frequency relays.</w:t>
            </w:r>
          </w:p>
        </w:tc>
      </w:tr>
    </w:tbl>
    <w:p w14:paraId="46D0F59B" w14:textId="70E5C4CE" w:rsidR="00321CA1" w:rsidRDefault="00D46800" w:rsidP="00D46800">
      <w:pPr>
        <w:spacing w:before="240" w:after="240"/>
        <w:ind w:left="720" w:hanging="720"/>
      </w:pPr>
      <w:r>
        <w:t>(2)</w:t>
      </w:r>
      <w:r>
        <w:tab/>
      </w:r>
      <w:r>
        <w:rPr>
          <w:szCs w:val="20"/>
        </w:rPr>
        <w:t>For</w:t>
      </w:r>
      <w:r w:rsidRPr="0003648D">
        <w:rPr>
          <w:szCs w:val="20"/>
        </w:rPr>
        <w:t xml:space="preserve"> </w:t>
      </w:r>
      <w:r>
        <w:rPr>
          <w:szCs w:val="20"/>
        </w:rPr>
        <w:t>ECRS</w:t>
      </w:r>
      <w:r w:rsidRPr="0003648D">
        <w:rPr>
          <w:szCs w:val="20"/>
        </w:rPr>
        <w:t>, the QSE shall indicate the quantity of the service that is provided from</w:t>
      </w:r>
      <w:r>
        <w:rPr>
          <w:szCs w:val="20"/>
        </w:rPr>
        <w:t xml:space="preserve"> Resources that are manually dispatched and those that are SCED-dispatchable.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B62F5B" w:rsidRPr="004B32CF" w14:paraId="09E84DE1" w14:textId="77777777" w:rsidTr="00C643BC">
        <w:trPr>
          <w:trHeight w:val="386"/>
        </w:trPr>
        <w:tc>
          <w:tcPr>
            <w:tcW w:w="9350" w:type="dxa"/>
            <w:shd w:val="pct12" w:color="auto" w:fill="auto"/>
          </w:tcPr>
          <w:p w14:paraId="1AF9F7D1" w14:textId="2FEBE750" w:rsidR="00B62F5B" w:rsidRPr="004B32CF" w:rsidRDefault="00B62F5B" w:rsidP="00C643BC">
            <w:pPr>
              <w:spacing w:before="120" w:after="240"/>
              <w:rPr>
                <w:b/>
                <w:i/>
                <w:iCs/>
              </w:rPr>
            </w:pPr>
            <w:r>
              <w:rPr>
                <w:b/>
                <w:i/>
                <w:iCs/>
              </w:rPr>
              <w:t>[NPRR1213:  Replace paragraph (2</w:t>
            </w:r>
            <w:r w:rsidRPr="004B32CF">
              <w:rPr>
                <w:b/>
                <w:i/>
                <w:iCs/>
              </w:rPr>
              <w:t>) above with the following upon system implementation</w:t>
            </w:r>
            <w:r>
              <w:rPr>
                <w:b/>
                <w:i/>
                <w:iCs/>
              </w:rPr>
              <w:t>, and upon system implementation of NPRR117</w:t>
            </w:r>
            <w:r w:rsidR="0019129E">
              <w:rPr>
                <w:b/>
                <w:i/>
                <w:iCs/>
              </w:rPr>
              <w:t>1</w:t>
            </w:r>
            <w:r>
              <w:rPr>
                <w:b/>
                <w:i/>
                <w:iCs/>
              </w:rPr>
              <w:t>, and renumber accordingly</w:t>
            </w:r>
            <w:r w:rsidRPr="004B32CF">
              <w:rPr>
                <w:b/>
                <w:i/>
                <w:iCs/>
              </w:rPr>
              <w:t>:]</w:t>
            </w:r>
          </w:p>
          <w:p w14:paraId="6DE453C5" w14:textId="77777777" w:rsidR="00B62F5B" w:rsidRPr="00511F9B" w:rsidRDefault="00B62F5B" w:rsidP="00B62F5B">
            <w:pPr>
              <w:spacing w:before="240" w:after="240"/>
              <w:ind w:left="720" w:hanging="720"/>
              <w:rPr>
                <w:szCs w:val="20"/>
              </w:rPr>
            </w:pPr>
            <w:r w:rsidRPr="00511F9B">
              <w:t>(2)</w:t>
            </w:r>
            <w:r w:rsidRPr="00511F9B">
              <w:tab/>
            </w:r>
            <w:r w:rsidRPr="00511F9B">
              <w:rPr>
                <w:szCs w:val="20"/>
              </w:rPr>
              <w:t>For ECRS, the QSE shall indicate the quantity of the service that is provided from</w:t>
            </w:r>
            <w:r>
              <w:rPr>
                <w:szCs w:val="20"/>
              </w:rPr>
              <w:t>:</w:t>
            </w:r>
          </w:p>
          <w:p w14:paraId="6B6E8C66" w14:textId="77777777" w:rsidR="00B62F5B" w:rsidRPr="00511F9B" w:rsidRDefault="00B62F5B" w:rsidP="00B62F5B">
            <w:pPr>
              <w:spacing w:after="240"/>
              <w:ind w:left="1440" w:hanging="720"/>
            </w:pPr>
            <w:r w:rsidRPr="00511F9B">
              <w:t>(a)</w:t>
            </w:r>
            <w:r>
              <w:tab/>
            </w:r>
            <w:r w:rsidRPr="00511F9B">
              <w:t xml:space="preserve">Manually dispatched Resources; </w:t>
            </w:r>
          </w:p>
          <w:p w14:paraId="0B0D0B2F" w14:textId="77777777" w:rsidR="00B62F5B" w:rsidRPr="00511F9B" w:rsidRDefault="00B62F5B" w:rsidP="00B62F5B">
            <w:pPr>
              <w:spacing w:after="240"/>
              <w:ind w:left="1440" w:hanging="720"/>
            </w:pPr>
            <w:r w:rsidRPr="00511F9B">
              <w:t>(b)</w:t>
            </w:r>
            <w:r>
              <w:tab/>
            </w:r>
            <w:r w:rsidRPr="00511F9B">
              <w:t>SCED-dispatchable Resources</w:t>
            </w:r>
            <w:r>
              <w:t xml:space="preserve"> that are not DGRs and DESRs on circuits subject to Load shed</w:t>
            </w:r>
            <w:r w:rsidRPr="00511F9B">
              <w:t>; and</w:t>
            </w:r>
          </w:p>
          <w:p w14:paraId="0E72D3BB" w14:textId="77777777" w:rsidR="00B62F5B" w:rsidRPr="00511F9B" w:rsidRDefault="00B62F5B" w:rsidP="00B62F5B">
            <w:pPr>
              <w:spacing w:after="240"/>
              <w:ind w:left="1440" w:hanging="720"/>
            </w:pPr>
            <w:r w:rsidRPr="00511F9B">
              <w:t>(</w:t>
            </w:r>
            <w:r>
              <w:t>c</w:t>
            </w:r>
            <w:r w:rsidRPr="00511F9B">
              <w:t>)</w:t>
            </w:r>
            <w:r>
              <w:tab/>
            </w:r>
            <w:r w:rsidRPr="00511F9B">
              <w:t>DGR</w:t>
            </w:r>
            <w:r>
              <w:t xml:space="preserve">s and </w:t>
            </w:r>
            <w:r w:rsidRPr="00511F9B">
              <w:t>DESR</w:t>
            </w:r>
            <w:r>
              <w:t>s</w:t>
            </w:r>
            <w:r w:rsidRPr="00511F9B">
              <w:t xml:space="preserve"> </w:t>
            </w:r>
            <w:r w:rsidRPr="00EB5420">
              <w:t xml:space="preserve">on circuits subject to </w:t>
            </w:r>
            <w:r>
              <w:t>L</w:t>
            </w:r>
            <w:r w:rsidRPr="00EB5420">
              <w:t>oad shed</w:t>
            </w:r>
            <w:r w:rsidRPr="00511F9B">
              <w:t>.</w:t>
            </w:r>
          </w:p>
          <w:p w14:paraId="6631759D" w14:textId="77777777" w:rsidR="00B62F5B" w:rsidRPr="00511F9B" w:rsidRDefault="00B62F5B" w:rsidP="00B62F5B">
            <w:pPr>
              <w:spacing w:after="240"/>
              <w:rPr>
                <w:szCs w:val="20"/>
              </w:rPr>
            </w:pPr>
            <w:r w:rsidRPr="00511F9B">
              <w:rPr>
                <w:szCs w:val="20"/>
              </w:rPr>
              <w:t>(3)</w:t>
            </w:r>
            <w:r w:rsidRPr="00511F9B">
              <w:rPr>
                <w:szCs w:val="20"/>
              </w:rPr>
              <w:tab/>
              <w:t>For Non-Spin, the QSE shall indicate the quantity of the service that is provided from</w:t>
            </w:r>
            <w:r>
              <w:rPr>
                <w:szCs w:val="20"/>
              </w:rPr>
              <w:t>:</w:t>
            </w:r>
          </w:p>
          <w:p w14:paraId="1279E938" w14:textId="77777777" w:rsidR="00B62F5B" w:rsidRPr="00511F9B" w:rsidRDefault="00B62F5B" w:rsidP="00B62F5B">
            <w:pPr>
              <w:spacing w:after="240"/>
              <w:ind w:left="1440" w:hanging="720"/>
            </w:pPr>
            <w:r w:rsidRPr="00511F9B">
              <w:t>(a)</w:t>
            </w:r>
            <w:r>
              <w:tab/>
            </w:r>
            <w:r w:rsidRPr="00511F9B">
              <w:t xml:space="preserve">Load Resources that are not </w:t>
            </w:r>
            <w:r>
              <w:t>C</w:t>
            </w:r>
            <w:r w:rsidRPr="00511F9B">
              <w:t>ontrollable</w:t>
            </w:r>
            <w:r>
              <w:t xml:space="preserve"> Load Resources</w:t>
            </w:r>
            <w:r w:rsidRPr="00511F9B">
              <w:t xml:space="preserve">; </w:t>
            </w:r>
          </w:p>
          <w:p w14:paraId="69F4D35F" w14:textId="77777777" w:rsidR="00B62F5B" w:rsidRPr="00511F9B" w:rsidRDefault="00B62F5B" w:rsidP="00B62F5B">
            <w:pPr>
              <w:spacing w:after="240"/>
              <w:ind w:left="1440" w:hanging="720"/>
            </w:pPr>
            <w:r w:rsidRPr="00511F9B">
              <w:t>(b)</w:t>
            </w:r>
            <w:r>
              <w:tab/>
            </w:r>
            <w:r w:rsidRPr="00511F9B">
              <w:t>Generation Resources that are not DGR</w:t>
            </w:r>
            <w:r>
              <w:t xml:space="preserve">s or </w:t>
            </w:r>
            <w:r w:rsidRPr="00511F9B">
              <w:t>DESR</w:t>
            </w:r>
            <w:r>
              <w:t>s</w:t>
            </w:r>
            <w:r w:rsidRPr="00511F9B">
              <w:t xml:space="preserve"> on circuits subject to </w:t>
            </w:r>
            <w:r>
              <w:t>L</w:t>
            </w:r>
            <w:r w:rsidRPr="00511F9B">
              <w:t>oad shed and Controllable Load Resources; and</w:t>
            </w:r>
          </w:p>
          <w:p w14:paraId="02A4DE14" w14:textId="34791557" w:rsidR="00B62F5B" w:rsidRPr="00BE69DE" w:rsidRDefault="00B62F5B" w:rsidP="00B62F5B">
            <w:pPr>
              <w:spacing w:after="240"/>
              <w:ind w:left="1440" w:hanging="720"/>
            </w:pPr>
            <w:r w:rsidRPr="00511F9B">
              <w:t>(</w:t>
            </w:r>
            <w:r>
              <w:t>c</w:t>
            </w:r>
            <w:r w:rsidRPr="00511F9B">
              <w:t>)</w:t>
            </w:r>
            <w:r>
              <w:tab/>
            </w:r>
            <w:r w:rsidRPr="00511F9B">
              <w:t>DGR</w:t>
            </w:r>
            <w:r>
              <w:t xml:space="preserve">s and </w:t>
            </w:r>
            <w:r w:rsidRPr="00511F9B">
              <w:t>DESR</w:t>
            </w:r>
            <w:r>
              <w:t>s</w:t>
            </w:r>
            <w:r w:rsidRPr="00511F9B">
              <w:t xml:space="preserve"> on circuits subject to </w:t>
            </w:r>
            <w:r>
              <w:t>L</w:t>
            </w:r>
            <w:r w:rsidRPr="00511F9B">
              <w:t>oad shed.</w:t>
            </w:r>
          </w:p>
        </w:tc>
      </w:tr>
    </w:tbl>
    <w:p w14:paraId="0355B750" w14:textId="71BF6C0F" w:rsidR="00FF2129" w:rsidRDefault="00482EF3" w:rsidP="005506CA">
      <w:pPr>
        <w:pStyle w:val="BodyTextNumbered"/>
        <w:spacing w:before="240"/>
      </w:pPr>
      <w:r>
        <w:t>(</w:t>
      </w:r>
      <w:r w:rsidR="00D46800">
        <w:t>3</w:t>
      </w:r>
      <w:r>
        <w:t>)</w:t>
      </w:r>
      <w:r>
        <w:tab/>
        <w:t>An Ancillary Service Trade must be confirmed by both the buying QSE and selling QSE to be considered valid and to be used in an ERCOT process.</w:t>
      </w:r>
    </w:p>
    <w:p w14:paraId="0A6621CD" w14:textId="77777777" w:rsidR="00FF2129" w:rsidRDefault="00482EF3" w:rsidP="004555CF">
      <w:pPr>
        <w:pStyle w:val="H5"/>
        <w:spacing w:before="480"/>
        <w:ind w:left="1627" w:hanging="1627"/>
      </w:pPr>
      <w:bookmarkStart w:id="353" w:name="_Toc90197162"/>
      <w:bookmarkStart w:id="354" w:name="_Toc92873950"/>
      <w:bookmarkStart w:id="355" w:name="_Toc142108925"/>
      <w:bookmarkStart w:id="356" w:name="_Toc142113770"/>
      <w:bookmarkStart w:id="357" w:name="_Toc402345594"/>
      <w:bookmarkStart w:id="358" w:name="_Toc405383877"/>
      <w:bookmarkStart w:id="359" w:name="_Toc405536979"/>
      <w:bookmarkStart w:id="360" w:name="_Toc440871766"/>
      <w:bookmarkStart w:id="361" w:name="_Toc135990642"/>
      <w:r>
        <w:lastRenderedPageBreak/>
        <w:t>4.4.7.3.2</w:t>
      </w:r>
      <w:r>
        <w:tab/>
        <w:t>Ancillary Service Trade Validation</w:t>
      </w:r>
      <w:bookmarkEnd w:id="353"/>
      <w:bookmarkEnd w:id="354"/>
      <w:bookmarkEnd w:id="355"/>
      <w:bookmarkEnd w:id="356"/>
      <w:bookmarkEnd w:id="357"/>
      <w:bookmarkEnd w:id="358"/>
      <w:bookmarkEnd w:id="359"/>
      <w:bookmarkEnd w:id="360"/>
      <w:bookmarkEnd w:id="361"/>
    </w:p>
    <w:p w14:paraId="0B2B6F9F" w14:textId="77777777" w:rsidR="00FF2129" w:rsidRDefault="00482EF3">
      <w:pPr>
        <w:pStyle w:val="BodyTextNumbered"/>
      </w:pPr>
      <w:r>
        <w:t>(1)</w:t>
      </w:r>
      <w:r>
        <w:tab/>
        <w:t>A valid Ancillary Service Trade is an Ancillary Service Trade that ERCOT has determined meets the criteria listed in Section 4.4.7.3.1, Ancillary Service Trade Criteria.  Only one confirmed Ancillary Service Trade is allowed for the same buying and selling QSEs for each type of Ancillary Service for each hour.</w:t>
      </w:r>
    </w:p>
    <w:p w14:paraId="1C65D871" w14:textId="77777777" w:rsidR="00FF2129" w:rsidRDefault="00482EF3">
      <w:pPr>
        <w:pStyle w:val="BodyTextNumbered"/>
      </w:pPr>
      <w:r>
        <w:t>(2)</w:t>
      </w:r>
      <w:r>
        <w:tab/>
        <w:t xml:space="preserve">When an Ancillary Service Trade is reported to ERCOT, ERCOT shall notify both the buying and selling QSEs by using the Messaging System if available and the MIS Certified Area.  </w:t>
      </w:r>
    </w:p>
    <w:p w14:paraId="0A2D2AF0" w14:textId="77777777" w:rsidR="00FF2129" w:rsidRDefault="00EC5548">
      <w:pPr>
        <w:pStyle w:val="BodyTextNumbered"/>
      </w:pPr>
      <w:r w:rsidRPr="009D114C">
        <w:rPr>
          <w:iCs w:val="0"/>
        </w:rPr>
        <w:t>(3)</w:t>
      </w:r>
      <w:r w:rsidRPr="009D114C">
        <w:rPr>
          <w:iCs w:val="0"/>
        </w:rPr>
        <w:tab/>
        <w:t>ERCOT shall continuously validate Ancillary Service Trades and continuously display on the MIS Certified Area information that allows any QSE named in an Ancillary Service Trade to view its confirmed and unconfirmed Ancillary Service Trades.  ERCOT shall also post to the MIS Certified Area any unconfirmed Ancillary Service Trades for QSEs on an hourly basis for all remaining hours of the current Operating Day and all hours of the next Operating Day.</w:t>
      </w:r>
      <w:r w:rsidR="00482EF3">
        <w:t xml:space="preserve"> </w:t>
      </w:r>
    </w:p>
    <w:p w14:paraId="01D50266" w14:textId="77777777" w:rsidR="00FF2129" w:rsidRDefault="00482EF3" w:rsidP="004555CF">
      <w:pPr>
        <w:pStyle w:val="BodyTextNumbered"/>
      </w:pPr>
      <w:r>
        <w:t>(4)</w:t>
      </w:r>
      <w:r>
        <w:tab/>
        <w:t xml:space="preserve">The QSE that first reports the Ancillary Service Trade to ERCOT is deemed to have confirmed the Ancillary Service Trade unless it subsequently affirmatively rejects it.  The QSE that first reports an Ancillary Service Trade may reject, edit, or delete an Ancillary Service Trade that its counterpart has not confirmed.  The counterpart is deemed to have confirmed the Ancillary Service Trade when it submits an identical Ancillary Service Trade.  After both the buyer and seller have confirmed an Ancillary Service Trade, either party may reject it at any time, but the rejection is effective only for any ERCOT process for which the deadline for reporting Ancillary Service Trades has not yet passed.  </w:t>
      </w:r>
    </w:p>
    <w:p w14:paraId="63C9A1EC" w14:textId="77777777" w:rsidR="000F1D1F" w:rsidRDefault="000F1D1F" w:rsidP="004555CF">
      <w:pPr>
        <w:pStyle w:val="H4"/>
        <w:spacing w:before="480"/>
        <w:ind w:left="1267" w:hanging="1267"/>
      </w:pPr>
      <w:bookmarkStart w:id="362" w:name="_Toc90197163"/>
      <w:bookmarkStart w:id="363" w:name="_Toc92873951"/>
      <w:bookmarkStart w:id="364" w:name="_Toc142108926"/>
      <w:bookmarkStart w:id="365" w:name="_Toc142113771"/>
      <w:bookmarkStart w:id="366" w:name="_Toc402345595"/>
      <w:bookmarkStart w:id="367" w:name="_Toc405383878"/>
      <w:bookmarkStart w:id="368" w:name="_Toc405536980"/>
      <w:bookmarkStart w:id="369" w:name="_Toc440871767"/>
      <w:bookmarkStart w:id="370" w:name="_Toc135990643"/>
      <w:bookmarkStart w:id="371" w:name="_Toc142108927"/>
      <w:bookmarkStart w:id="372" w:name="_Toc142113772"/>
      <w:r>
        <w:t>4.4.7.4</w:t>
      </w:r>
      <w:r>
        <w:tab/>
        <w:t>Ancillary Service Supply Responsibility</w:t>
      </w:r>
      <w:bookmarkEnd w:id="362"/>
      <w:bookmarkEnd w:id="363"/>
      <w:bookmarkEnd w:id="364"/>
      <w:bookmarkEnd w:id="365"/>
      <w:bookmarkEnd w:id="366"/>
      <w:bookmarkEnd w:id="367"/>
      <w:bookmarkEnd w:id="368"/>
      <w:bookmarkEnd w:id="369"/>
      <w:bookmarkEnd w:id="370"/>
    </w:p>
    <w:p w14:paraId="4955D4A5" w14:textId="77777777" w:rsidR="000F1D1F" w:rsidRDefault="000F1D1F" w:rsidP="000F1D1F">
      <w:pPr>
        <w:pStyle w:val="BodyTextNumbered"/>
      </w:pPr>
      <w:r>
        <w:t>(1)</w:t>
      </w:r>
      <w:r>
        <w:tab/>
        <w:t>A QSE’s Ancillary Service Supply Responsibility is the net amount of Ancillary Service capacity that the QSE is obligated to deliver to ERCOT, by hour and service type, from Resources represented by the QSE.  The Ancillary Service Supply Responsibility is the difference in MW, by hour and service type, between the amounts specified in items (a) and (b) defined as follows: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1C3D31" w:rsidRPr="004B32CF" w14:paraId="2E5BAB70" w14:textId="77777777" w:rsidTr="0033343C">
        <w:trPr>
          <w:trHeight w:val="386"/>
        </w:trPr>
        <w:tc>
          <w:tcPr>
            <w:tcW w:w="9350" w:type="dxa"/>
            <w:shd w:val="pct12" w:color="auto" w:fill="auto"/>
          </w:tcPr>
          <w:p w14:paraId="5BC614E4" w14:textId="3C1FB49E" w:rsidR="001C3D31" w:rsidRPr="004B32CF" w:rsidRDefault="001C3D31" w:rsidP="0033343C">
            <w:pPr>
              <w:spacing w:before="120" w:after="240"/>
              <w:rPr>
                <w:b/>
                <w:i/>
                <w:iCs/>
              </w:rPr>
            </w:pPr>
            <w:r>
              <w:rPr>
                <w:b/>
                <w:i/>
                <w:iCs/>
              </w:rPr>
              <w:t>[NPRR1149:  Replace paragraph (1) above with the following</w:t>
            </w:r>
            <w:r w:rsidRPr="004B32CF">
              <w:rPr>
                <w:b/>
                <w:i/>
                <w:iCs/>
              </w:rPr>
              <w:t xml:space="preserve"> upon system implementation:]</w:t>
            </w:r>
          </w:p>
          <w:p w14:paraId="591C50FC" w14:textId="58184969" w:rsidR="001C3D31" w:rsidRPr="001C3D31" w:rsidRDefault="001C3D31" w:rsidP="001C3D31">
            <w:pPr>
              <w:spacing w:after="240"/>
              <w:ind w:left="720" w:hanging="720"/>
              <w:rPr>
                <w:szCs w:val="20"/>
              </w:rPr>
            </w:pPr>
            <w:r w:rsidRPr="00DD1A20">
              <w:rPr>
                <w:szCs w:val="20"/>
              </w:rPr>
              <w:t>(1)</w:t>
            </w:r>
            <w:r w:rsidRPr="00DD1A20">
              <w:rPr>
                <w:szCs w:val="20"/>
              </w:rPr>
              <w:tab/>
              <w:t>A QSE’s Ancillary Service Supply Responsibility is the net amount of Ancillary Service capacity that the QSE is obligated to deliver to ERCOT, by hour and service type.  The Ancillary Service Supply Responsibility is the difference in MW, by hour and service type, between the amounts specified in items (a) and (b) defined as follows:</w:t>
            </w:r>
          </w:p>
        </w:tc>
      </w:tr>
    </w:tbl>
    <w:p w14:paraId="7CCB9CB9" w14:textId="03880573" w:rsidR="000F1D1F" w:rsidRDefault="000F1D1F" w:rsidP="00411084">
      <w:pPr>
        <w:pStyle w:val="List"/>
        <w:spacing w:before="240"/>
        <w:ind w:left="1440"/>
      </w:pPr>
      <w:r>
        <w:t>(a)</w:t>
      </w:r>
      <w:r>
        <w:tab/>
        <w:t>The sum of:</w:t>
      </w:r>
    </w:p>
    <w:p w14:paraId="2A485CCB" w14:textId="77777777" w:rsidR="000F1D1F" w:rsidRDefault="000F1D1F" w:rsidP="000F1D1F">
      <w:pPr>
        <w:pStyle w:val="List2"/>
        <w:spacing w:after="240"/>
        <w:ind w:left="2160" w:hanging="720"/>
      </w:pPr>
      <w:r>
        <w:lastRenderedPageBreak/>
        <w:t>(i)</w:t>
      </w:r>
      <w:r>
        <w:tab/>
        <w:t>The QSE’s Self-Arranged Ancillary Service Quantity; plus</w:t>
      </w:r>
    </w:p>
    <w:p w14:paraId="351CADB1" w14:textId="77777777" w:rsidR="000F1D1F" w:rsidRDefault="000F1D1F" w:rsidP="000F1D1F">
      <w:pPr>
        <w:pStyle w:val="List2"/>
        <w:spacing w:after="240"/>
        <w:ind w:left="2160" w:hanging="720"/>
      </w:pPr>
      <w:r>
        <w:t>(ii)</w:t>
      </w:r>
      <w:r>
        <w:tab/>
        <w:t>The total (in MW) of Ancillary Service Trades for which the QSE is the seller; plus</w:t>
      </w:r>
    </w:p>
    <w:p w14:paraId="28401FE4" w14:textId="77777777" w:rsidR="000F1D1F" w:rsidRDefault="000F1D1F" w:rsidP="000F1D1F">
      <w:pPr>
        <w:pStyle w:val="List2"/>
        <w:spacing w:after="240"/>
        <w:ind w:left="2160" w:hanging="720"/>
      </w:pPr>
      <w:r>
        <w:t>(iii)</w:t>
      </w:r>
      <w:r>
        <w:tab/>
        <w:t>Awards to the QSE of Ancillary Service Offers in the DAM; plus</w:t>
      </w:r>
    </w:p>
    <w:p w14:paraId="3F143755" w14:textId="77777777" w:rsidR="000F1D1F" w:rsidRDefault="000F1D1F" w:rsidP="000F1D1F">
      <w:pPr>
        <w:pStyle w:val="List2"/>
        <w:spacing w:after="240"/>
        <w:ind w:left="2160" w:hanging="720"/>
      </w:pPr>
      <w:r>
        <w:t>(iv)</w:t>
      </w:r>
      <w:r>
        <w:tab/>
        <w:t>Awards to the QSE of Ancillary Service Offers in the SASM; plus</w:t>
      </w:r>
    </w:p>
    <w:p w14:paraId="059B98FD" w14:textId="77777777" w:rsidR="000F1D1F" w:rsidRDefault="000F1D1F" w:rsidP="000F1D1F">
      <w:pPr>
        <w:pStyle w:val="List2"/>
        <w:spacing w:after="240"/>
        <w:ind w:left="2160" w:hanging="720"/>
      </w:pPr>
      <w:r>
        <w:t>(v)</w:t>
      </w:r>
      <w:r>
        <w:tab/>
        <w:t xml:space="preserve">RUC-committed Ancillary Service quantities to the QSE from its Resources committed by the RUC process to provide Ancillary Service; and </w:t>
      </w:r>
    </w:p>
    <w:p w14:paraId="3D48E4F9" w14:textId="77777777" w:rsidR="00D0065D" w:rsidRDefault="00D0065D" w:rsidP="00D0065D">
      <w:pPr>
        <w:pStyle w:val="List"/>
        <w:ind w:left="1440"/>
      </w:pPr>
      <w:r>
        <w:t>(b)</w:t>
      </w:r>
      <w:r>
        <w:tab/>
        <w:t>The sum of:</w:t>
      </w:r>
    </w:p>
    <w:p w14:paraId="3084EDBD" w14:textId="77777777" w:rsidR="00D0065D" w:rsidRDefault="00D0065D" w:rsidP="00D0065D">
      <w:pPr>
        <w:pStyle w:val="List"/>
        <w:ind w:left="2156"/>
      </w:pPr>
      <w:r>
        <w:t>(i)</w:t>
      </w:r>
      <w:r>
        <w:tab/>
        <w:t>The total Ancillary Service Trades for which the QSE is the buyer; plus</w:t>
      </w:r>
    </w:p>
    <w:p w14:paraId="76A137DC" w14:textId="77777777" w:rsidR="00D0065D" w:rsidRDefault="00D0065D" w:rsidP="00D0065D">
      <w:pPr>
        <w:pStyle w:val="List"/>
        <w:ind w:left="2160"/>
      </w:pPr>
      <w:r>
        <w:t>(ii)</w:t>
      </w:r>
      <w:r>
        <w:tab/>
        <w:t>The total Ancillary Service identified as to the QSE’s failure to provide as described in Section 6.4.</w:t>
      </w:r>
      <w:r w:rsidR="005F637C">
        <w:t>9</w:t>
      </w:r>
      <w:r>
        <w:t>.1.3, Replacement of Ancillary Service Due to Failure to Provide; plus</w:t>
      </w:r>
    </w:p>
    <w:p w14:paraId="21E8E8B6" w14:textId="77777777" w:rsidR="00D0065D" w:rsidRDefault="00D0065D" w:rsidP="00D0065D">
      <w:pPr>
        <w:pStyle w:val="BodyText"/>
        <w:spacing w:after="120"/>
        <w:ind w:left="2160" w:hanging="720"/>
      </w:pPr>
      <w:r>
        <w:t>(iii)</w:t>
      </w:r>
      <w:r>
        <w:tab/>
      </w:r>
      <w:r w:rsidR="00C3297F" w:rsidRPr="007779E2">
        <w:rPr>
          <w:iCs w:val="0"/>
        </w:rPr>
        <w:t>The total Ancillary Service identified as</w:t>
      </w:r>
      <w:r w:rsidR="004E1191">
        <w:rPr>
          <w:iCs w:val="0"/>
        </w:rPr>
        <w:t xml:space="preserve"> the</w:t>
      </w:r>
      <w:r w:rsidR="00C3297F" w:rsidRPr="007779E2">
        <w:rPr>
          <w:iCs w:val="0"/>
        </w:rPr>
        <w:t xml:space="preserve"> QSE’s </w:t>
      </w:r>
      <w:r w:rsidR="00C3297F">
        <w:rPr>
          <w:iCs w:val="0"/>
        </w:rPr>
        <w:t>infeasible</w:t>
      </w:r>
      <w:r w:rsidR="00C3297F" w:rsidRPr="007779E2">
        <w:rPr>
          <w:iCs w:val="0"/>
        </w:rPr>
        <w:t xml:space="preserve"> Ancillary Service, as described in Section 6.4.9.1.2, Replacement of </w:t>
      </w:r>
      <w:r w:rsidR="00C3297F">
        <w:rPr>
          <w:iCs w:val="0"/>
        </w:rPr>
        <w:t>Infeasible</w:t>
      </w:r>
      <w:r w:rsidR="00C3297F" w:rsidRPr="007779E2">
        <w:rPr>
          <w:iCs w:val="0"/>
        </w:rPr>
        <w:t xml:space="preserve"> Ancillary Service Due to</w:t>
      </w:r>
      <w:r w:rsidR="00C3297F">
        <w:rPr>
          <w:iCs w:val="0"/>
        </w:rPr>
        <w:t xml:space="preserve"> Transmission Constraints; plus</w:t>
      </w:r>
    </w:p>
    <w:p w14:paraId="7F345645" w14:textId="77777777" w:rsidR="000F1D1F" w:rsidRDefault="00D0065D" w:rsidP="00B23635">
      <w:pPr>
        <w:pStyle w:val="List"/>
        <w:ind w:left="2160"/>
      </w:pPr>
      <w:r>
        <w:t>(iv)</w:t>
      </w:r>
      <w:r>
        <w:tab/>
        <w:t>The total Ancillary Service identified as the QSE’s reconfiguration amount as described in Section 6.4.</w:t>
      </w:r>
      <w:r w:rsidR="005F637C">
        <w:t>9</w:t>
      </w:r>
      <w:r>
        <w:t>.2, Supplemental Ancillary Services Market</w:t>
      </w:r>
      <w:r w:rsidRPr="00022855">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1C3D31" w:rsidRPr="004B32CF" w14:paraId="6C14E58E" w14:textId="77777777" w:rsidTr="0033343C">
        <w:trPr>
          <w:trHeight w:val="386"/>
        </w:trPr>
        <w:tc>
          <w:tcPr>
            <w:tcW w:w="9350" w:type="dxa"/>
            <w:shd w:val="pct12" w:color="auto" w:fill="auto"/>
          </w:tcPr>
          <w:p w14:paraId="7BAA8247" w14:textId="712683B1" w:rsidR="001C3D31" w:rsidRPr="004B32CF" w:rsidRDefault="001C3D31" w:rsidP="0033343C">
            <w:pPr>
              <w:spacing w:before="120" w:after="240"/>
              <w:rPr>
                <w:b/>
                <w:i/>
                <w:iCs/>
              </w:rPr>
            </w:pPr>
            <w:r>
              <w:rPr>
                <w:b/>
                <w:i/>
                <w:iCs/>
              </w:rPr>
              <w:t>[NPRR1149:  Replace paragraph (b) above with the following</w:t>
            </w:r>
            <w:r w:rsidRPr="004B32CF">
              <w:rPr>
                <w:b/>
                <w:i/>
                <w:iCs/>
              </w:rPr>
              <w:t xml:space="preserve"> upon system implementation:]</w:t>
            </w:r>
          </w:p>
          <w:p w14:paraId="3F02C87E" w14:textId="77777777" w:rsidR="001C3D31" w:rsidRPr="00DD1A20" w:rsidRDefault="001C3D31" w:rsidP="001C3D31">
            <w:pPr>
              <w:spacing w:after="240"/>
              <w:ind w:left="1440" w:hanging="720"/>
              <w:rPr>
                <w:szCs w:val="20"/>
              </w:rPr>
            </w:pPr>
            <w:r w:rsidRPr="00DD1A20">
              <w:rPr>
                <w:szCs w:val="20"/>
              </w:rPr>
              <w:t>(b)</w:t>
            </w:r>
            <w:r w:rsidRPr="00DD1A20">
              <w:rPr>
                <w:szCs w:val="20"/>
              </w:rPr>
              <w:tab/>
              <w:t>The sum of:</w:t>
            </w:r>
          </w:p>
          <w:p w14:paraId="68D25EBD" w14:textId="77777777" w:rsidR="001C3D31" w:rsidRPr="00DD1A20" w:rsidRDefault="001C3D31" w:rsidP="001C3D31">
            <w:pPr>
              <w:spacing w:after="240"/>
              <w:ind w:left="2156" w:hanging="720"/>
              <w:rPr>
                <w:szCs w:val="20"/>
              </w:rPr>
            </w:pPr>
            <w:r w:rsidRPr="00DD1A20">
              <w:rPr>
                <w:szCs w:val="20"/>
              </w:rPr>
              <w:t>(i)</w:t>
            </w:r>
            <w:r w:rsidRPr="00DD1A20">
              <w:rPr>
                <w:szCs w:val="20"/>
              </w:rPr>
              <w:tab/>
              <w:t>The total Ancillary Service Trades for which the QSE is the buyer; plus</w:t>
            </w:r>
          </w:p>
          <w:p w14:paraId="6989781C" w14:textId="77777777" w:rsidR="001C3D31" w:rsidRPr="00DD1A20" w:rsidRDefault="001C3D31" w:rsidP="001C3D31">
            <w:pPr>
              <w:spacing w:after="240"/>
              <w:ind w:left="2160" w:hanging="720"/>
              <w:rPr>
                <w:szCs w:val="20"/>
              </w:rPr>
            </w:pPr>
            <w:r w:rsidRPr="00DD1A20">
              <w:rPr>
                <w:szCs w:val="20"/>
              </w:rPr>
              <w:t>(ii)</w:t>
            </w:r>
            <w:r w:rsidRPr="00DD1A20">
              <w:rPr>
                <w:szCs w:val="20"/>
              </w:rPr>
              <w:tab/>
              <w:t>The total Ancillary Service capacity identified as the QSE’s failure to provide, as described in Section 6.4.9.1.3, Failure to Provide Ancillary Service; plus</w:t>
            </w:r>
          </w:p>
          <w:p w14:paraId="59D1C940" w14:textId="77777777" w:rsidR="001C3D31" w:rsidRPr="00DD1A20" w:rsidRDefault="001C3D31" w:rsidP="001C3D31">
            <w:pPr>
              <w:spacing w:before="120" w:after="120"/>
              <w:ind w:left="2160" w:hanging="720"/>
            </w:pPr>
            <w:r w:rsidRPr="00DD1A20">
              <w:t>(iii)</w:t>
            </w:r>
            <w:r w:rsidRPr="00DD1A20">
              <w:tab/>
            </w:r>
            <w:r w:rsidRPr="00DD1A20">
              <w:rPr>
                <w:iCs/>
              </w:rPr>
              <w:t>The total Ancillary Service capacity identified as the QSE’s infeasible Ancillary Service, as described in Section 6.4.9.1.2, Replacement of Infeasible Ancillary Service Due to Transmission Constraints; plus</w:t>
            </w:r>
          </w:p>
          <w:p w14:paraId="5754D24E" w14:textId="759A8889" w:rsidR="001C3D31" w:rsidRPr="001C3D31" w:rsidRDefault="001C3D31" w:rsidP="001C3D31">
            <w:pPr>
              <w:spacing w:after="240"/>
              <w:ind w:left="2160" w:hanging="720"/>
              <w:rPr>
                <w:szCs w:val="20"/>
              </w:rPr>
            </w:pPr>
            <w:r w:rsidRPr="00DD1A20">
              <w:rPr>
                <w:szCs w:val="20"/>
              </w:rPr>
              <w:t>(iv)</w:t>
            </w:r>
            <w:r w:rsidRPr="00DD1A20">
              <w:rPr>
                <w:szCs w:val="20"/>
              </w:rPr>
              <w:tab/>
              <w:t>The total Ancillary Service capacity identified as the QSE’s reconfiguration amount, as described in Section 6.4.9.2, Supplemental Ancillary Services Market.</w:t>
            </w:r>
          </w:p>
        </w:tc>
      </w:tr>
    </w:tbl>
    <w:p w14:paraId="15DE9233" w14:textId="313753FE" w:rsidR="000F1D1F" w:rsidRPr="004C2200" w:rsidRDefault="000F1D1F" w:rsidP="00411084">
      <w:pPr>
        <w:pStyle w:val="BodyTextNumbered"/>
        <w:spacing w:before="240"/>
      </w:pPr>
      <w:r>
        <w:lastRenderedPageBreak/>
        <w:t>(2)</w:t>
      </w:r>
      <w:r>
        <w:tab/>
        <w:t>A QSE may only use a RUC-committed Resource during that Resource’s RUC-Committed Interval to meet the QSE’s Ancillary Service Supply Responsibility i</w:t>
      </w:r>
      <w:r w:rsidRPr="005167AE">
        <w:t xml:space="preserve">f the Resource has been </w:t>
      </w:r>
      <w:r w:rsidRPr="004C2200">
        <w:t>committed by the RUC process to provide Ancillary Service.  The QSE shall only provide from the RUC-committed Resource the exact amount and type of Ancillary Service for which it was committed by RUC.</w:t>
      </w:r>
    </w:p>
    <w:p w14:paraId="169B6F31" w14:textId="77777777" w:rsidR="000F1D1F" w:rsidRDefault="000F1D1F" w:rsidP="000F1D1F">
      <w:pPr>
        <w:pStyle w:val="BodyTextNumbered"/>
      </w:pPr>
      <w:r>
        <w:t>(3)</w:t>
      </w:r>
      <w:r>
        <w:tab/>
        <w:t xml:space="preserve">By 1430 in the Day-Ahead, the QSE must notify ERCOT, in the QSE’s COP, which Resources represented by the QSE will provide the Ancillary Service capacity necessary to meet the QSE’s Ancillary Service Supply Responsibility, specified by Resource, hour, and service type.  The DAM Ancillary Service awards are Resource-specific; the QSE must include those DAM awards in its COP, and the QSE may not change that Resource-specific DAM award information until after 1600 under the conditions set out in Section 3.9, Current Operating Plan (COP). </w:t>
      </w:r>
    </w:p>
    <w:p w14:paraId="275149C6" w14:textId="5B874985" w:rsidR="001C3D31" w:rsidRDefault="000F1D1F" w:rsidP="004555CF">
      <w:pPr>
        <w:pStyle w:val="BodyTextNumbered"/>
      </w:pPr>
      <w:r>
        <w:t>(4)</w:t>
      </w:r>
      <w:r>
        <w:tab/>
        <w:t>Section 6.4.</w:t>
      </w:r>
      <w:r w:rsidR="005F637C">
        <w:t>9</w:t>
      </w:r>
      <w:r>
        <w:t xml:space="preserve">.1.3 specifies what happens if the QSE fails </w:t>
      </w:r>
      <w:r w:rsidR="001C3D31">
        <w:t>to provide</w:t>
      </w:r>
      <w:r>
        <w:t xml:space="preserve"> its Ancillary Service Supply Responsibility.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1C3D31" w:rsidRPr="004B32CF" w14:paraId="16857D60" w14:textId="77777777" w:rsidTr="0033343C">
        <w:trPr>
          <w:trHeight w:val="386"/>
        </w:trPr>
        <w:tc>
          <w:tcPr>
            <w:tcW w:w="9350" w:type="dxa"/>
            <w:shd w:val="pct12" w:color="auto" w:fill="auto"/>
          </w:tcPr>
          <w:p w14:paraId="7487EBF8" w14:textId="63F7CE2E" w:rsidR="001C3D31" w:rsidRPr="004B32CF" w:rsidRDefault="001C3D31" w:rsidP="0033343C">
            <w:pPr>
              <w:spacing w:before="120" w:after="240"/>
              <w:rPr>
                <w:b/>
                <w:i/>
                <w:iCs/>
              </w:rPr>
            </w:pPr>
            <w:r>
              <w:rPr>
                <w:b/>
                <w:i/>
                <w:iCs/>
              </w:rPr>
              <w:t>[NPRR1149:  Insert paragraph (5) below</w:t>
            </w:r>
            <w:r w:rsidRPr="004B32CF">
              <w:rPr>
                <w:b/>
                <w:i/>
                <w:iCs/>
              </w:rPr>
              <w:t xml:space="preserve"> upon system implementation:]</w:t>
            </w:r>
          </w:p>
          <w:p w14:paraId="453B7F0A" w14:textId="0EB735E3" w:rsidR="001C3D31" w:rsidRPr="001C3D31" w:rsidRDefault="001C3D31" w:rsidP="001C3D31">
            <w:pPr>
              <w:spacing w:after="240"/>
              <w:ind w:left="720" w:hanging="720"/>
              <w:rPr>
                <w:szCs w:val="20"/>
              </w:rPr>
            </w:pPr>
            <w:r w:rsidRPr="00DD1A20">
              <w:rPr>
                <w:szCs w:val="20"/>
              </w:rPr>
              <w:t>(5)</w:t>
            </w:r>
            <w:r w:rsidRPr="00DD1A20">
              <w:rPr>
                <w:szCs w:val="20"/>
              </w:rPr>
              <w:tab/>
            </w:r>
            <w:r w:rsidRPr="00DD1A20" w:rsidDel="00C7637F">
              <w:t xml:space="preserve">A QSE’s Ancillary Service Supply Responsibility </w:t>
            </w:r>
            <w:r w:rsidRPr="00DD1A20" w:rsidDel="00C7637F">
              <w:rPr>
                <w:szCs w:val="20"/>
              </w:rPr>
              <w:t xml:space="preserve">must be met by </w:t>
            </w:r>
            <w:r w:rsidRPr="00DD1A20">
              <w:rPr>
                <w:szCs w:val="20"/>
              </w:rPr>
              <w:t xml:space="preserve">identified </w:t>
            </w:r>
            <w:r w:rsidRPr="00DD1A20" w:rsidDel="00C7637F">
              <w:rPr>
                <w:szCs w:val="20"/>
              </w:rPr>
              <w:t xml:space="preserve">Resources that are qualified to provide the </w:t>
            </w:r>
            <w:r w:rsidRPr="00DD1A20">
              <w:rPr>
                <w:szCs w:val="20"/>
              </w:rPr>
              <w:t>Ancillary S</w:t>
            </w:r>
            <w:r w:rsidRPr="00DD1A20" w:rsidDel="00C7637F">
              <w:rPr>
                <w:szCs w:val="20"/>
              </w:rPr>
              <w:t>ervice, per Section 8.1.1.2.1</w:t>
            </w:r>
            <w:r w:rsidR="00702197">
              <w:rPr>
                <w:szCs w:val="20"/>
              </w:rPr>
              <w:t>,</w:t>
            </w:r>
            <w:r w:rsidRPr="00DD1A20" w:rsidDel="00C7637F">
              <w:rPr>
                <w:szCs w:val="20"/>
              </w:rPr>
              <w:t xml:space="preserve"> Ancillary Service Technical Requirements and Qualification Criteria and Test Methods</w:t>
            </w:r>
            <w:r w:rsidRPr="00DD1A20">
              <w:rPr>
                <w:szCs w:val="20"/>
              </w:rPr>
              <w:t xml:space="preserve">, and </w:t>
            </w:r>
            <w:r w:rsidRPr="00DD1A20" w:rsidDel="00C7637F">
              <w:rPr>
                <w:szCs w:val="20"/>
              </w:rPr>
              <w:t>available</w:t>
            </w:r>
            <w:r w:rsidRPr="00DD1A20">
              <w:rPr>
                <w:szCs w:val="20"/>
              </w:rPr>
              <w:t xml:space="preserve"> to act on Dispatch Instructions.</w:t>
            </w:r>
          </w:p>
        </w:tc>
      </w:tr>
    </w:tbl>
    <w:p w14:paraId="2D146C7C" w14:textId="77777777" w:rsidR="001C3D31" w:rsidRDefault="001C3D31" w:rsidP="001C3D31">
      <w:pPr>
        <w:pStyle w:val="BodyTextNumbered"/>
        <w:spacing w:after="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8A33E9" w:rsidRPr="004B32CF" w14:paraId="393C7D8E" w14:textId="77777777" w:rsidTr="007258B7">
        <w:trPr>
          <w:trHeight w:val="386"/>
        </w:trPr>
        <w:tc>
          <w:tcPr>
            <w:tcW w:w="9350" w:type="dxa"/>
            <w:shd w:val="pct12" w:color="auto" w:fill="auto"/>
          </w:tcPr>
          <w:p w14:paraId="6E07B876" w14:textId="71E68FC3" w:rsidR="008A33E9" w:rsidRPr="00B11AAC" w:rsidRDefault="008A33E9" w:rsidP="008A33E9">
            <w:pPr>
              <w:spacing w:before="120" w:after="240"/>
            </w:pPr>
            <w:r>
              <w:rPr>
                <w:b/>
                <w:i/>
                <w:iCs/>
              </w:rPr>
              <w:t>[NPRR1008:  Delete Section 4.4.7.4 above</w:t>
            </w:r>
            <w:r w:rsidRPr="004B32CF">
              <w:rPr>
                <w:b/>
                <w:i/>
                <w:iCs/>
              </w:rPr>
              <w:t xml:space="preserve"> upon system implementation</w:t>
            </w:r>
            <w:r>
              <w:rPr>
                <w:b/>
                <w:i/>
                <w:iCs/>
              </w:rPr>
              <w:t xml:space="preserve"> of the Real-Time Co-Optimization (RTC) project.</w:t>
            </w:r>
            <w:r w:rsidRPr="004B32CF">
              <w:rPr>
                <w:b/>
                <w:i/>
                <w:iCs/>
              </w:rPr>
              <w:t>]</w:t>
            </w:r>
          </w:p>
        </w:tc>
      </w:tr>
    </w:tbl>
    <w:p w14:paraId="4157096A" w14:textId="77777777" w:rsidR="0037023E" w:rsidRDefault="0037023E" w:rsidP="004555CF">
      <w:pPr>
        <w:pStyle w:val="H3"/>
        <w:spacing w:before="480"/>
        <w:ind w:left="0" w:firstLine="0"/>
      </w:pPr>
      <w:bookmarkStart w:id="373" w:name="_Toc402345596"/>
      <w:bookmarkStart w:id="374" w:name="_Toc405383879"/>
      <w:bookmarkStart w:id="375" w:name="_Toc405536981"/>
      <w:bookmarkStart w:id="376" w:name="_Toc440871768"/>
      <w:bookmarkStart w:id="377" w:name="_Toc135990644"/>
      <w:r>
        <w:t>4.4.8</w:t>
      </w:r>
      <w:r>
        <w:tab/>
        <w:t>RMR Offers</w:t>
      </w:r>
      <w:bookmarkEnd w:id="373"/>
      <w:bookmarkEnd w:id="374"/>
      <w:bookmarkEnd w:id="375"/>
      <w:bookmarkEnd w:id="376"/>
      <w:bookmarkEnd w:id="377"/>
    </w:p>
    <w:p w14:paraId="4311114F" w14:textId="77777777" w:rsidR="0037023E" w:rsidRDefault="002E0760" w:rsidP="00C73E78">
      <w:pPr>
        <w:pStyle w:val="BodyTextNumbered"/>
      </w:pPr>
      <w:r>
        <w:t>(1)</w:t>
      </w:r>
      <w:r>
        <w:tab/>
      </w:r>
      <w:r w:rsidR="0037023E">
        <w:t xml:space="preserve">ERCOT shall decide, in its sole discretion, to </w:t>
      </w:r>
      <w:r>
        <w:t>commit</w:t>
      </w:r>
      <w:r w:rsidR="0037023E">
        <w:t xml:space="preserve"> a Reliability Must-Run (RMR) Unit </w:t>
      </w:r>
      <w:r>
        <w:t>using the</w:t>
      </w:r>
      <w:r w:rsidR="0037023E">
        <w:t xml:space="preserve"> DRUC or HRUC </w:t>
      </w:r>
      <w:r>
        <w:t xml:space="preserve">process </w:t>
      </w:r>
      <w:r w:rsidR="0037023E">
        <w:t xml:space="preserve">only when it has determined that the RMR Unit is likely to be needed in Real-Time for reliability reasons, taking into consideration whether </w:t>
      </w:r>
      <w:r w:rsidR="0037023E">
        <w:rPr>
          <w:rStyle w:val="BodyTextNumberedChar"/>
        </w:rPr>
        <w:t>SCED will solve</w:t>
      </w:r>
      <w:r w:rsidR="0037023E">
        <w:t xml:space="preserve"> transmission constraints without the RMR Resource, contractual constraints on the Resource, and any other adverse effects on the RMR Unit that may occur as the result of the dispatch of the RMR Resource.</w:t>
      </w:r>
    </w:p>
    <w:p w14:paraId="00D1C976" w14:textId="77777777" w:rsidR="0037023E" w:rsidRDefault="0037023E" w:rsidP="00DF5449">
      <w:pPr>
        <w:spacing w:after="240"/>
        <w:ind w:left="1440" w:hanging="720"/>
        <w:rPr>
          <w:bCs/>
        </w:rPr>
      </w:pPr>
      <w:r>
        <w:t>(a)</w:t>
      </w:r>
      <w:r>
        <w:tab/>
        <w:t xml:space="preserve">If ERCOT has determined that an RMR </w:t>
      </w:r>
      <w:r w:rsidR="002E0760">
        <w:t>U</w:t>
      </w:r>
      <w:r>
        <w:t xml:space="preserve">nit will be needed in Real-Time to resolve a transmission constraint, then ERCOT shall </w:t>
      </w:r>
      <w:r w:rsidR="002E0760">
        <w:t>manually commit the Resource</w:t>
      </w:r>
      <w:r>
        <w:t xml:space="preserve"> for the capacity required to resolve the transmission constraint </w:t>
      </w:r>
      <w:r w:rsidR="002E0760">
        <w:t>using the</w:t>
      </w:r>
      <w:r>
        <w:t xml:space="preserve"> DRUC or HRUC</w:t>
      </w:r>
      <w:r w:rsidR="002E0760">
        <w:t xml:space="preserve"> process</w:t>
      </w:r>
      <w:r>
        <w:t>.</w:t>
      </w:r>
      <w:r>
        <w:rPr>
          <w:bCs/>
        </w:rPr>
        <w:t xml:space="preserve"> </w:t>
      </w:r>
    </w:p>
    <w:p w14:paraId="0B2A6B78" w14:textId="77777777" w:rsidR="0037023E" w:rsidRPr="006265FF" w:rsidRDefault="0037023E" w:rsidP="00DF5449">
      <w:pPr>
        <w:spacing w:after="240"/>
        <w:ind w:left="1440" w:hanging="720"/>
      </w:pPr>
      <w:r>
        <w:rPr>
          <w:bCs/>
        </w:rPr>
        <w:t>(b)</w:t>
      </w:r>
      <w:r>
        <w:rPr>
          <w:bCs/>
        </w:rPr>
        <w:tab/>
      </w:r>
      <w:r>
        <w:t xml:space="preserve">ERCOT may submit Energy Offer Curves at the SWCAP in $/MWh on behalf of RMR Units committed in the DRUC or HRUC, and subsequently available for </w:t>
      </w:r>
      <w:r>
        <w:lastRenderedPageBreak/>
        <w:t>Dispatch by SCED</w:t>
      </w:r>
      <w:r w:rsidR="003E67C9" w:rsidRPr="0086627E">
        <w:t xml:space="preserve">, unless ERCOT declares </w:t>
      </w:r>
      <w:r w:rsidR="003E67C9" w:rsidRPr="0086627E">
        <w:rPr>
          <w:color w:val="000000"/>
          <w:szCs w:val="23"/>
        </w:rPr>
        <w:t xml:space="preserve">a Market Suspension, in which case no Energy Offer Curves will be submitted, and </w:t>
      </w:r>
      <w:r w:rsidR="003E67C9" w:rsidRPr="0086627E">
        <w:t>ERCOT may, at its discretion, Dispatch RMR Units to restore the ERCOT Transmission Grid</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DF5449" w:rsidRPr="004B32CF" w14:paraId="401D1958" w14:textId="77777777" w:rsidTr="007258B7">
        <w:trPr>
          <w:trHeight w:val="386"/>
        </w:trPr>
        <w:tc>
          <w:tcPr>
            <w:tcW w:w="9350" w:type="dxa"/>
            <w:shd w:val="pct12" w:color="auto" w:fill="auto"/>
          </w:tcPr>
          <w:p w14:paraId="68DBD969" w14:textId="09E92010" w:rsidR="00DF5449" w:rsidRPr="004B32CF" w:rsidRDefault="00DF5449" w:rsidP="007258B7">
            <w:pPr>
              <w:spacing w:before="120" w:after="240"/>
              <w:rPr>
                <w:b/>
                <w:i/>
                <w:iCs/>
              </w:rPr>
            </w:pPr>
            <w:r>
              <w:rPr>
                <w:b/>
                <w:i/>
                <w:iCs/>
              </w:rPr>
              <w:t>[NPRR1008:  Replace paragraph (</w:t>
            </w:r>
            <w:r w:rsidR="00526266">
              <w:rPr>
                <w:b/>
                <w:i/>
                <w:iCs/>
              </w:rPr>
              <w:t>b</w:t>
            </w:r>
            <w:r w:rsidRPr="004B32CF">
              <w:rPr>
                <w:b/>
                <w:i/>
                <w:iCs/>
              </w:rPr>
              <w:t>) above with the following upon system implementation</w:t>
            </w:r>
            <w:r>
              <w:rPr>
                <w:b/>
                <w:i/>
                <w:iCs/>
              </w:rPr>
              <w:t xml:space="preserve"> of the Real-Time Co-Optimization (RTC) project</w:t>
            </w:r>
            <w:r w:rsidRPr="004B32CF">
              <w:rPr>
                <w:b/>
                <w:i/>
                <w:iCs/>
              </w:rPr>
              <w:t>:]</w:t>
            </w:r>
          </w:p>
          <w:p w14:paraId="55307C4B" w14:textId="1108456C" w:rsidR="00DF5449" w:rsidRPr="00B11AAC" w:rsidRDefault="00DF5449" w:rsidP="00DF5449">
            <w:pPr>
              <w:spacing w:after="240"/>
              <w:ind w:left="1440" w:hanging="720"/>
            </w:pPr>
            <w:r>
              <w:rPr>
                <w:bCs/>
              </w:rPr>
              <w:t>(b)</w:t>
            </w:r>
            <w:r>
              <w:rPr>
                <w:bCs/>
              </w:rPr>
              <w:tab/>
            </w:r>
            <w:r>
              <w:t xml:space="preserve">ERCOT may submit Energy Offer Curves at the </w:t>
            </w:r>
            <w:r>
              <w:rPr>
                <w:szCs w:val="20"/>
              </w:rPr>
              <w:t>effective Value of Lost Load (VOLL)</w:t>
            </w:r>
            <w:r w:rsidR="00A85E9A">
              <w:rPr>
                <w:szCs w:val="20"/>
              </w:rPr>
              <w:t xml:space="preserve"> </w:t>
            </w:r>
            <w:r>
              <w:t>in $/MWh on behalf of RMR Units committed in the DRUC or HRUC, and subsequently available for Dispatch by SCED</w:t>
            </w:r>
            <w:r w:rsidRPr="0086627E">
              <w:t xml:space="preserve">, unless ERCOT declares </w:t>
            </w:r>
            <w:r w:rsidRPr="0086627E">
              <w:rPr>
                <w:color w:val="000000"/>
                <w:szCs w:val="23"/>
              </w:rPr>
              <w:t xml:space="preserve">a Market Suspension, in which case no Energy Offer Curves will be submitted, and </w:t>
            </w:r>
            <w:r w:rsidRPr="0086627E">
              <w:t>ERCOT may, at its discretion, Dispatch RMR Units to restore the ERCOT Transmission Grid</w:t>
            </w:r>
            <w:r>
              <w:t>.</w:t>
            </w:r>
          </w:p>
        </w:tc>
      </w:tr>
    </w:tbl>
    <w:p w14:paraId="75698587" w14:textId="4B44915C" w:rsidR="00E859C8" w:rsidRDefault="0037023E" w:rsidP="00F539C2">
      <w:pPr>
        <w:spacing w:before="240" w:after="240"/>
        <w:ind w:left="1440" w:hanging="720"/>
      </w:pPr>
      <w:r w:rsidRPr="007B72A6">
        <w:t>(c)</w:t>
      </w:r>
      <w:r w:rsidRPr="007B72A6">
        <w:tab/>
        <w:t>RMR offers shall be treated as if they were Resource offers for purposes of posting under Section 3.2.5, Publication of Resource and Load Information</w:t>
      </w:r>
      <w:r w:rsidRPr="0055518E">
        <w:rPr>
          <w:i/>
        </w:rPr>
        <w:t>.</w:t>
      </w:r>
      <w:bookmarkEnd w:id="371"/>
      <w:bookmarkEnd w:id="372"/>
    </w:p>
    <w:p w14:paraId="6C347474" w14:textId="77777777" w:rsidR="00FF2129" w:rsidRDefault="00482EF3" w:rsidP="004555CF">
      <w:pPr>
        <w:pStyle w:val="H3"/>
        <w:spacing w:before="480"/>
      </w:pPr>
      <w:bookmarkStart w:id="378" w:name="_Toc92873954"/>
      <w:bookmarkStart w:id="379" w:name="_Toc142108928"/>
      <w:bookmarkStart w:id="380" w:name="_Toc142113773"/>
      <w:bookmarkStart w:id="381" w:name="_Toc402345597"/>
      <w:bookmarkStart w:id="382" w:name="_Toc405383880"/>
      <w:bookmarkStart w:id="383" w:name="_Toc405536982"/>
      <w:bookmarkStart w:id="384" w:name="_Toc440871769"/>
      <w:bookmarkStart w:id="385" w:name="_Toc135990645"/>
      <w:r>
        <w:t>4.4.9</w:t>
      </w:r>
      <w:r>
        <w:tab/>
        <w:t>Energy Offers and Bids</w:t>
      </w:r>
      <w:bookmarkEnd w:id="378"/>
      <w:bookmarkEnd w:id="379"/>
      <w:bookmarkEnd w:id="380"/>
      <w:bookmarkEnd w:id="381"/>
      <w:bookmarkEnd w:id="382"/>
      <w:bookmarkEnd w:id="383"/>
      <w:bookmarkEnd w:id="384"/>
      <w:bookmarkEnd w:id="385"/>
    </w:p>
    <w:p w14:paraId="336477A8" w14:textId="77777777" w:rsidR="00FF2129" w:rsidRDefault="00482EF3" w:rsidP="004555CF">
      <w:pPr>
        <w:pStyle w:val="H4"/>
        <w:spacing w:before="480"/>
      </w:pPr>
      <w:bookmarkStart w:id="386" w:name="_Toc92873955"/>
      <w:bookmarkStart w:id="387" w:name="_Toc142108929"/>
      <w:bookmarkStart w:id="388" w:name="_Toc142113774"/>
      <w:bookmarkStart w:id="389" w:name="_Toc402345598"/>
      <w:bookmarkStart w:id="390" w:name="_Toc405383881"/>
      <w:bookmarkStart w:id="391" w:name="_Toc405536983"/>
      <w:bookmarkStart w:id="392" w:name="_Toc440871770"/>
      <w:bookmarkStart w:id="393" w:name="_Toc135990646"/>
      <w:r>
        <w:t>4.4.9.1</w:t>
      </w:r>
      <w:r>
        <w:tab/>
        <w:t>Three-Part Supply Offers</w:t>
      </w:r>
      <w:bookmarkEnd w:id="386"/>
      <w:bookmarkEnd w:id="387"/>
      <w:bookmarkEnd w:id="388"/>
      <w:bookmarkEnd w:id="389"/>
      <w:bookmarkEnd w:id="390"/>
      <w:bookmarkEnd w:id="391"/>
      <w:bookmarkEnd w:id="392"/>
      <w:bookmarkEnd w:id="393"/>
    </w:p>
    <w:p w14:paraId="304F4911" w14:textId="77777777" w:rsidR="00FF2129" w:rsidRDefault="00482EF3">
      <w:pPr>
        <w:pStyle w:val="BodyTextNumbered"/>
      </w:pPr>
      <w:r>
        <w:t>(1)</w:t>
      </w:r>
      <w:r>
        <w:tab/>
        <w:t>A Three-Part Supply Offer consists of a Startup Offer, a Minimum-Energy Offer, and an Energy Offer Curve.  ERCOT must validate each Startup Offer, Minimum-Energy Offer, and Energy Offer Curve before it can be used in any ERCOT process.</w:t>
      </w:r>
    </w:p>
    <w:p w14:paraId="6CB2CD44" w14:textId="77777777" w:rsidR="00FF2129" w:rsidRDefault="00482EF3">
      <w:pPr>
        <w:pStyle w:val="BodyTextNumbered"/>
      </w:pPr>
      <w:r>
        <w:t>(2)</w:t>
      </w:r>
      <w:r>
        <w:tab/>
        <w:t xml:space="preserve">The DAM uses all three parts of the Three-Part Supply Offer and also uses Energy Offer Curves submitted without a Startup Offer and without a Minimum-Energy Offer.  The RUC only uses the Startup Offer and the Minimum-Energy Offer components for determining RUC commitments, but the Energy Offer Curve may be used in Settlement to claw back some or all of a RUC-committed Resource’s energy payments.  The Energy Offer Curve may also be used by SCED in Real-Time Operations. </w:t>
      </w:r>
    </w:p>
    <w:p w14:paraId="22799D78" w14:textId="77777777" w:rsidR="00FF2129" w:rsidRDefault="00482EF3">
      <w:pPr>
        <w:pStyle w:val="BodyTextNumbered"/>
      </w:pPr>
      <w:r>
        <w:t>(3)</w:t>
      </w:r>
      <w:r>
        <w:tab/>
        <w:t>A QSE may submit an Energy Offer Curve without also submitting a Startup Offer and a Minimum-Energy Offer for the DAM and during the Adjustment Period, but only Three-Part Supply Offers are used in the RUC process.  A QSE that submits an Energy Offer Curve without also submitting a Startup Offer and a Minimum-Energy Offer is considered not to be offering the Resource into the RUC, but that does not prevent the Resource from being committed in the RUC process like any other Resource that does not submit an offer in the RUC.</w:t>
      </w:r>
    </w:p>
    <w:p w14:paraId="2E9AD07F" w14:textId="77777777" w:rsidR="00951F5A" w:rsidRPr="00306853" w:rsidRDefault="00951F5A" w:rsidP="00951F5A">
      <w:pPr>
        <w:spacing w:after="240"/>
        <w:ind w:left="1440" w:hanging="720"/>
      </w:pPr>
      <w:r w:rsidRPr="00306853">
        <w:t>(a)</w:t>
      </w:r>
      <w:r w:rsidRPr="00306853">
        <w:tab/>
        <w:t>A QSE that submits an Energy Offer Curve without a Startup Offer and a Minimum-Energy Offer for the DAM for any given hour will be considered by the DAM to be self-committed for that hour, as long as an Ancillary Service Offer for Off-Line Non-Spin Service was not also submitted for that hour.</w:t>
      </w:r>
    </w:p>
    <w:p w14:paraId="043D720E" w14:textId="77777777" w:rsidR="00951F5A" w:rsidRPr="00306853" w:rsidRDefault="00951F5A" w:rsidP="00951F5A">
      <w:pPr>
        <w:spacing w:after="240"/>
        <w:ind w:left="1440" w:hanging="720"/>
      </w:pPr>
      <w:r w:rsidRPr="00306853">
        <w:lastRenderedPageBreak/>
        <w:t>(b)</w:t>
      </w:r>
      <w:r w:rsidRPr="00306853">
        <w:tab/>
        <w:t>A Combined Cycle Generation Resource will be considered by the DAM to be self-committed if:</w:t>
      </w:r>
    </w:p>
    <w:p w14:paraId="444D355D" w14:textId="77777777" w:rsidR="00951F5A" w:rsidRPr="00306853" w:rsidRDefault="00951F5A" w:rsidP="00951F5A">
      <w:pPr>
        <w:spacing w:after="240"/>
        <w:ind w:left="2160" w:hanging="720"/>
        <w:rPr>
          <w:szCs w:val="20"/>
        </w:rPr>
      </w:pPr>
      <w:r w:rsidRPr="00306853">
        <w:rPr>
          <w:szCs w:val="20"/>
        </w:rPr>
        <w:t>(i)</w:t>
      </w:r>
      <w:r w:rsidRPr="00306853">
        <w:rPr>
          <w:szCs w:val="20"/>
        </w:rPr>
        <w:tab/>
        <w:t>Its QSE submits an Energy Offer Curve without a Startup Offer and a Minimum-Energy Offer for the DAM for that Combined Cycle Generation Resource and no other Combined Cycle Generation Resource within the Combined Cycle Train; and</w:t>
      </w:r>
    </w:p>
    <w:p w14:paraId="6105060D" w14:textId="77777777" w:rsidR="00951F5A" w:rsidRPr="00306853" w:rsidRDefault="00951F5A" w:rsidP="00951F5A">
      <w:pPr>
        <w:spacing w:after="240"/>
        <w:ind w:left="2160" w:hanging="720"/>
        <w:rPr>
          <w:szCs w:val="20"/>
        </w:rPr>
      </w:pPr>
      <w:r w:rsidRPr="00306853">
        <w:rPr>
          <w:szCs w:val="20"/>
        </w:rPr>
        <w:t>(ii)</w:t>
      </w:r>
      <w:r w:rsidRPr="00306853">
        <w:rPr>
          <w:szCs w:val="20"/>
        </w:rPr>
        <w:tab/>
        <w:t>Its QSE submits no Ancillary Service Offer for Off-Line Non-Spin for any Combined Cycle Generation Resource within the Combined Cycle Train.</w:t>
      </w:r>
    </w:p>
    <w:p w14:paraId="18C615B0" w14:textId="77777777" w:rsidR="00951F5A" w:rsidRDefault="00951F5A" w:rsidP="00951F5A">
      <w:pPr>
        <w:spacing w:after="240"/>
        <w:ind w:left="1440" w:hanging="720"/>
      </w:pPr>
      <w:r w:rsidRPr="0078468B">
        <w:t>(c)</w:t>
      </w:r>
      <w:r w:rsidRPr="0078468B">
        <w:tab/>
        <w:t>When the DAM considers a self-committed offer for clearing, the Resource constraints identified in paragraph (4)(c)(ii) of Section 4.5.1, DAM Clearing Process, other than HSL, are ignored.</w:t>
      </w:r>
    </w:p>
    <w:p w14:paraId="023AC92C" w14:textId="77777777" w:rsidR="00FF2129" w:rsidRDefault="00482EF3" w:rsidP="001142A3">
      <w:pPr>
        <w:pStyle w:val="BodyTextNumbered"/>
      </w:pPr>
      <w:r>
        <w:t>(4)</w:t>
      </w:r>
      <w:r>
        <w:tab/>
        <w:t xml:space="preserve">For any hours in which the Resource is not RUC-committed, ERCOT shall consider all Three-Part Supply Offers in the RUC process until: </w:t>
      </w:r>
    </w:p>
    <w:p w14:paraId="2444545C" w14:textId="77777777" w:rsidR="00FF2129" w:rsidRDefault="00482EF3">
      <w:pPr>
        <w:pStyle w:val="BodyTextNumbered"/>
        <w:ind w:left="1440"/>
      </w:pPr>
      <w:r>
        <w:t xml:space="preserve">(a) </w:t>
      </w:r>
      <w:r>
        <w:tab/>
        <w:t xml:space="preserve">The QSE withdraws the offer; or </w:t>
      </w:r>
    </w:p>
    <w:p w14:paraId="6C6509D0" w14:textId="77777777" w:rsidR="00FF2129" w:rsidRDefault="00482EF3">
      <w:pPr>
        <w:pStyle w:val="BodyTextNumbered"/>
        <w:ind w:left="1440"/>
      </w:pPr>
      <w:r>
        <w:t xml:space="preserve">(b) </w:t>
      </w:r>
      <w:r>
        <w:tab/>
        <w:t xml:space="preserve">The offer expires by its terms. </w:t>
      </w:r>
    </w:p>
    <w:p w14:paraId="7B3670D6" w14:textId="77777777" w:rsidR="00FF2129" w:rsidRDefault="00482EF3" w:rsidP="004555CF">
      <w:pPr>
        <w:pStyle w:val="H4"/>
        <w:spacing w:before="480"/>
        <w:ind w:left="1267" w:hanging="1267"/>
      </w:pPr>
      <w:bookmarkStart w:id="394" w:name="_Toc90197103"/>
      <w:bookmarkStart w:id="395" w:name="_Toc142108930"/>
      <w:bookmarkStart w:id="396" w:name="_Toc142113775"/>
      <w:bookmarkStart w:id="397" w:name="_Toc402345599"/>
      <w:bookmarkStart w:id="398" w:name="_Toc405383882"/>
      <w:bookmarkStart w:id="399" w:name="_Toc405536984"/>
      <w:bookmarkStart w:id="400" w:name="_Toc416684922"/>
      <w:bookmarkStart w:id="401" w:name="_Toc440871771"/>
      <w:bookmarkStart w:id="402" w:name="_Toc135990647"/>
      <w:r>
        <w:t>4.4.9.2</w:t>
      </w:r>
      <w:r>
        <w:tab/>
        <w:t>Startup Offer and Minimum-Energy Offer</w:t>
      </w:r>
      <w:bookmarkEnd w:id="394"/>
      <w:bookmarkEnd w:id="395"/>
      <w:bookmarkEnd w:id="396"/>
      <w:bookmarkEnd w:id="397"/>
      <w:bookmarkEnd w:id="398"/>
      <w:bookmarkEnd w:id="399"/>
      <w:bookmarkEnd w:id="400"/>
      <w:bookmarkEnd w:id="401"/>
      <w:bookmarkEnd w:id="402"/>
      <w:r>
        <w:t xml:space="preserve"> </w:t>
      </w:r>
    </w:p>
    <w:p w14:paraId="7293C0BE" w14:textId="77777777" w:rsidR="00FF2129" w:rsidRDefault="002E0760" w:rsidP="00C73E78">
      <w:pPr>
        <w:pStyle w:val="BodyTextNumbered"/>
      </w:pPr>
      <w:r>
        <w:t>(1)</w:t>
      </w:r>
      <w:r>
        <w:tab/>
      </w:r>
      <w:r w:rsidR="00482EF3">
        <w:t xml:space="preserve">The Startup Offer component represents all costs incurred by a Generation Resource in starting up and reaching </w:t>
      </w:r>
      <w:r w:rsidR="001F169A">
        <w:t xml:space="preserve">its LSL.  </w:t>
      </w:r>
      <w:r w:rsidR="00482EF3">
        <w:t xml:space="preserve">The Minimum-Energy Offer component represents a proxy for the costs incurred by a Resource in producing energy </w:t>
      </w:r>
      <w:r w:rsidR="001F169A">
        <w:t xml:space="preserve">at </w:t>
      </w:r>
      <w:r w:rsidR="00482EF3">
        <w:t xml:space="preserve">the Resource’s LSL.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63569" w:rsidRPr="004B32CF" w14:paraId="3D40D0EE" w14:textId="77777777" w:rsidTr="00363569">
        <w:trPr>
          <w:trHeight w:val="386"/>
        </w:trPr>
        <w:tc>
          <w:tcPr>
            <w:tcW w:w="9350" w:type="dxa"/>
            <w:shd w:val="pct12" w:color="auto" w:fill="auto"/>
          </w:tcPr>
          <w:p w14:paraId="099BC6E5" w14:textId="3B3DE783" w:rsidR="00363569" w:rsidRPr="004B32CF" w:rsidRDefault="00363569" w:rsidP="007258B7">
            <w:pPr>
              <w:spacing w:before="120" w:after="240"/>
              <w:rPr>
                <w:b/>
                <w:i/>
                <w:iCs/>
              </w:rPr>
            </w:pPr>
            <w:bookmarkStart w:id="403" w:name="_Toc90197104"/>
            <w:bookmarkStart w:id="404" w:name="_Toc142108931"/>
            <w:bookmarkStart w:id="405" w:name="_Toc142113776"/>
            <w:bookmarkStart w:id="406" w:name="_Toc402345600"/>
            <w:bookmarkStart w:id="407" w:name="_Toc405383883"/>
            <w:bookmarkStart w:id="408" w:name="_Toc405536986"/>
            <w:bookmarkStart w:id="409" w:name="_Toc440871773"/>
            <w:r>
              <w:rPr>
                <w:b/>
                <w:i/>
                <w:iCs/>
              </w:rPr>
              <w:t>[NPRR1014:  Replace paragraph (1) above with the following</w:t>
            </w:r>
            <w:r w:rsidRPr="004B32CF">
              <w:rPr>
                <w:b/>
                <w:i/>
                <w:iCs/>
              </w:rPr>
              <w:t xml:space="preserve"> upon system implementation:]</w:t>
            </w:r>
          </w:p>
          <w:p w14:paraId="3829F8F6" w14:textId="31826BD3" w:rsidR="00363569" w:rsidRPr="00321CA1" w:rsidRDefault="00363569" w:rsidP="00363569">
            <w:pPr>
              <w:pStyle w:val="BodyTextNumbered"/>
            </w:pPr>
            <w:r w:rsidRPr="00A552C3">
              <w:t>(1)</w:t>
            </w:r>
            <w:r w:rsidRPr="00A552C3">
              <w:tab/>
              <w:t>The Startup Offer component represents all costs incurred by a Generation Resource in starting up and reaching its LSL.  The Minimum-Energy Offer component represents a proxy for the costs incurred by a Resource in producing energy at the Resource’s LSL.   Startup Offers and Minimum-Energy Offers are not applicable to ESRs.</w:t>
            </w:r>
          </w:p>
        </w:tc>
      </w:tr>
    </w:tbl>
    <w:p w14:paraId="295634BB" w14:textId="77777777" w:rsidR="00FF2129" w:rsidRDefault="00482EF3" w:rsidP="00F539C2">
      <w:pPr>
        <w:pStyle w:val="H5"/>
        <w:spacing w:before="480"/>
        <w:ind w:left="1627" w:hanging="1627"/>
      </w:pPr>
      <w:bookmarkStart w:id="410" w:name="_Toc135990648"/>
      <w:r>
        <w:t>4.4.9.2.1</w:t>
      </w:r>
      <w:r>
        <w:tab/>
        <w:t>Startup Offer and Minimum-Energy Offer Criteria</w:t>
      </w:r>
      <w:bookmarkEnd w:id="403"/>
      <w:bookmarkEnd w:id="404"/>
      <w:bookmarkEnd w:id="405"/>
      <w:bookmarkEnd w:id="406"/>
      <w:bookmarkEnd w:id="407"/>
      <w:bookmarkEnd w:id="408"/>
      <w:bookmarkEnd w:id="409"/>
      <w:bookmarkEnd w:id="410"/>
      <w:r>
        <w:t xml:space="preserve"> </w:t>
      </w:r>
    </w:p>
    <w:p w14:paraId="6B31BF93" w14:textId="77777777" w:rsidR="00FF2129" w:rsidRDefault="00482EF3">
      <w:pPr>
        <w:pStyle w:val="BodyTextNumbered"/>
      </w:pPr>
      <w:r>
        <w:t>(1)</w:t>
      </w:r>
      <w:r>
        <w:tab/>
        <w:t>Each Startup Offer and Minimum-Energy Offer must be reported by a QSE and must include the following information:</w:t>
      </w:r>
    </w:p>
    <w:p w14:paraId="6E8F5BD7" w14:textId="77777777" w:rsidR="00FF2129" w:rsidRDefault="00482EF3">
      <w:pPr>
        <w:pStyle w:val="List"/>
        <w:ind w:left="1440"/>
      </w:pPr>
      <w:r>
        <w:t>(a)</w:t>
      </w:r>
      <w:r>
        <w:tab/>
        <w:t>The selling QSE;</w:t>
      </w:r>
    </w:p>
    <w:p w14:paraId="0CC3479C" w14:textId="77777777" w:rsidR="00FF2129" w:rsidRDefault="00482EF3">
      <w:pPr>
        <w:pStyle w:val="List"/>
        <w:ind w:left="1440"/>
      </w:pPr>
      <w:r>
        <w:t>(b)</w:t>
      </w:r>
      <w:r>
        <w:tab/>
        <w:t>The Resource represented by the QSE from which the offer would be supplied;</w:t>
      </w:r>
    </w:p>
    <w:p w14:paraId="3A9EF2EE" w14:textId="77777777" w:rsidR="00FF2129" w:rsidRDefault="00482EF3">
      <w:pPr>
        <w:pStyle w:val="List"/>
        <w:ind w:left="1440"/>
      </w:pPr>
      <w:r>
        <w:lastRenderedPageBreak/>
        <w:t>(c)</w:t>
      </w:r>
      <w:r>
        <w:tab/>
        <w:t xml:space="preserve">The Resource’s hot, intermediate, and cold Startup Offer in dollars; </w:t>
      </w:r>
    </w:p>
    <w:p w14:paraId="7EDA6455" w14:textId="77777777" w:rsidR="00FF2129" w:rsidRDefault="00482EF3">
      <w:pPr>
        <w:pStyle w:val="List"/>
        <w:ind w:left="1440"/>
      </w:pPr>
      <w:r>
        <w:t>(d)</w:t>
      </w:r>
      <w:r>
        <w:tab/>
        <w:t xml:space="preserve">The Resource’s Minimum-Energy Offer in dollars per MWh; </w:t>
      </w:r>
    </w:p>
    <w:p w14:paraId="1B4802D9" w14:textId="77777777" w:rsidR="00FF2129" w:rsidRDefault="00482EF3">
      <w:pPr>
        <w:pStyle w:val="List"/>
        <w:ind w:left="1440"/>
      </w:pPr>
      <w:r>
        <w:t>(e)</w:t>
      </w:r>
      <w:r>
        <w:tab/>
        <w:t>The first and last hour of the Startup and Minimum-Energy Offers</w:t>
      </w:r>
    </w:p>
    <w:p w14:paraId="34A1FCF3" w14:textId="77777777" w:rsidR="00FF2129" w:rsidRDefault="00482EF3">
      <w:pPr>
        <w:pStyle w:val="List"/>
        <w:ind w:left="1440"/>
      </w:pPr>
      <w:r>
        <w:t>(f)</w:t>
      </w:r>
      <w:r>
        <w:tab/>
        <w:t xml:space="preserve">The expiration time and date of the offer; </w:t>
      </w:r>
    </w:p>
    <w:p w14:paraId="4571C002" w14:textId="77777777" w:rsidR="00FF2129" w:rsidRDefault="00482EF3">
      <w:pPr>
        <w:pStyle w:val="List"/>
        <w:ind w:left="1440"/>
        <w:rPr>
          <w:rStyle w:val="msoins0"/>
          <w:u w:val="none"/>
        </w:rPr>
      </w:pPr>
      <w:r>
        <w:t>(g)</w:t>
      </w:r>
      <w:r>
        <w:tab/>
        <w:t xml:space="preserve">Percentage of the </w:t>
      </w:r>
      <w:r w:rsidR="00B70700">
        <w:t>Fuel Index Price (</w:t>
      </w:r>
      <w:r>
        <w:t>FIP</w:t>
      </w:r>
      <w:r w:rsidR="00B70700">
        <w:t>)</w:t>
      </w:r>
      <w:r>
        <w:t xml:space="preserve"> to the extent that</w:t>
      </w:r>
      <w:r>
        <w:rPr>
          <w:rStyle w:val="msoins0"/>
          <w:u w:val="none"/>
        </w:rPr>
        <w:t xml:space="preserve"> the startup and minimum energy will be supplied by gas to determine the offer cap; and</w:t>
      </w:r>
    </w:p>
    <w:p w14:paraId="6EA668DA" w14:textId="77777777" w:rsidR="00FF2129" w:rsidRDefault="00482EF3" w:rsidP="00163271">
      <w:pPr>
        <w:pStyle w:val="List"/>
        <w:ind w:left="1440"/>
        <w:rPr>
          <w:rStyle w:val="msoins0"/>
          <w:u w:val="none"/>
        </w:rPr>
      </w:pPr>
      <w:r>
        <w:rPr>
          <w:rStyle w:val="msoins0"/>
          <w:u w:val="none"/>
        </w:rPr>
        <w:t>(h)</w:t>
      </w:r>
      <w:r>
        <w:rPr>
          <w:rStyle w:val="msoins0"/>
          <w:u w:val="none"/>
        </w:rPr>
        <w:tab/>
        <w:t xml:space="preserve">Percentage of the </w:t>
      </w:r>
      <w:r w:rsidR="00B70700">
        <w:rPr>
          <w:rStyle w:val="msoins0"/>
          <w:u w:val="none"/>
        </w:rPr>
        <w:t>Fuel Oil Price (</w:t>
      </w:r>
      <w:r>
        <w:rPr>
          <w:rStyle w:val="msoins0"/>
          <w:u w:val="none"/>
        </w:rPr>
        <w:t>FOP</w:t>
      </w:r>
      <w:r w:rsidR="00B70700">
        <w:rPr>
          <w:rStyle w:val="msoins0"/>
          <w:u w:val="none"/>
        </w:rPr>
        <w:t>)</w:t>
      </w:r>
      <w:r>
        <w:rPr>
          <w:rStyle w:val="msoins0"/>
          <w:u w:val="none"/>
        </w:rPr>
        <w:t xml:space="preserve"> to the extent that the startup and minimum energy will be supplied by oil to determine the offer cap.</w:t>
      </w:r>
    </w:p>
    <w:p w14:paraId="011177E6" w14:textId="77777777" w:rsidR="00FF2129" w:rsidRDefault="00482EF3">
      <w:pPr>
        <w:pStyle w:val="BodyTextNumbered"/>
      </w:pPr>
      <w:r>
        <w:t>(2)</w:t>
      </w:r>
      <w:r>
        <w:tab/>
        <w:t xml:space="preserve">Valid Startup Offers and Minimum-Energy Offers (which must be part of a Three-Part Supply Offer) must be received before 1000 for the effective DAM and DRUC. </w:t>
      </w:r>
    </w:p>
    <w:p w14:paraId="16315A0B" w14:textId="77777777" w:rsidR="00D87B8B" w:rsidRDefault="00482EF3" w:rsidP="00D87B8B">
      <w:pPr>
        <w:pStyle w:val="BodyTextNumbered"/>
        <w:spacing w:before="240"/>
      </w:pPr>
      <w:r>
        <w:t>(3)</w:t>
      </w:r>
      <w:r>
        <w:tab/>
        <w:t xml:space="preserve">A QSE may update and submit a </w:t>
      </w:r>
      <w:r w:rsidR="00910A1B">
        <w:t>Startup Offer and/or Minimum-Energy Offer</w:t>
      </w:r>
      <w:r>
        <w:t xml:space="preserve"> for a Resource during the Adjustment Period for any hours in which the Resource is not </w:t>
      </w:r>
      <w:r w:rsidR="00910A1B">
        <w:t xml:space="preserve">DAM- or </w:t>
      </w:r>
      <w:r>
        <w:t xml:space="preserve">RUC-committed before the offer is updated or submitted.  </w:t>
      </w:r>
    </w:p>
    <w:p w14:paraId="7E582745" w14:textId="77777777" w:rsidR="00FF2129" w:rsidRDefault="00482EF3" w:rsidP="00D87B8B">
      <w:pPr>
        <w:pStyle w:val="BodyTextNumbered"/>
        <w:spacing w:before="240"/>
      </w:pPr>
      <w:r>
        <w:t>(4)</w:t>
      </w:r>
      <w:r>
        <w:tab/>
        <w:t xml:space="preserve">The Resource’s Startup Offer must </w:t>
      </w:r>
      <w:r w:rsidR="00951F5A" w:rsidRPr="006A7952">
        <w:rPr>
          <w:iCs w:val="0"/>
        </w:rPr>
        <w:t>not be greater than 200%</w:t>
      </w:r>
      <w:r w:rsidR="00951F5A">
        <w:rPr>
          <w:iCs w:val="0"/>
        </w:rPr>
        <w:t xml:space="preserve"> of</w:t>
      </w:r>
      <w:r>
        <w:t xml:space="preserve"> the Resource Category Generic Startup Cost for that type of Resource listed in Section 4.4.9.2.3, Startup Offer and Minimum-Energy Offer Generic Caps, unless ERCOT has approved verifiable Resource-specific startup costs for that Resource, under Section 4.4.9.2.4, Verifiable Startup Offer and Minimum-Energy Offer Caps, in which case the Resource’s Startup Offer must </w:t>
      </w:r>
      <w:r w:rsidR="00951F5A" w:rsidRPr="006A7952">
        <w:rPr>
          <w:iCs w:val="0"/>
        </w:rPr>
        <w:t>not be greater than 200%</w:t>
      </w:r>
      <w:r w:rsidR="00951F5A">
        <w:rPr>
          <w:iCs w:val="0"/>
        </w:rPr>
        <w:t xml:space="preserve"> of</w:t>
      </w:r>
      <w:r>
        <w:t xml:space="preserve"> those approved verifiable Resource-specific </w:t>
      </w:r>
      <w:r w:rsidR="00B70700">
        <w:t>S</w:t>
      </w:r>
      <w:r>
        <w:t xml:space="preserve">tartup </w:t>
      </w:r>
      <w:r w:rsidR="00B70700">
        <w:t>C</w:t>
      </w:r>
      <w:r>
        <w:t>osts.</w:t>
      </w:r>
    </w:p>
    <w:p w14:paraId="16E76E27" w14:textId="77777777" w:rsidR="00855AB8" w:rsidRDefault="00482EF3" w:rsidP="001142A3">
      <w:pPr>
        <w:pStyle w:val="BodyTextNumbered"/>
      </w:pPr>
      <w:r>
        <w:t>(5)</w:t>
      </w:r>
      <w:r>
        <w:tab/>
        <w:t xml:space="preserve">The Resource’s Minimum-Energy Offer must </w:t>
      </w:r>
      <w:r w:rsidR="00951F5A" w:rsidRPr="006A7952">
        <w:rPr>
          <w:iCs w:val="0"/>
        </w:rPr>
        <w:t>not be greater than 200%</w:t>
      </w:r>
      <w:r w:rsidR="00951F5A">
        <w:rPr>
          <w:iCs w:val="0"/>
        </w:rPr>
        <w:t xml:space="preserve"> of</w:t>
      </w:r>
      <w:r>
        <w:t xml:space="preserve"> the Resource Category Generic Minimum-Energy Cost for that type of Resource listed in Section 4.4.9.2.3 unless ERCOT has </w:t>
      </w:r>
      <w:bookmarkStart w:id="411" w:name="OLE_LINK4"/>
      <w:r>
        <w:t xml:space="preserve">approved verifiable Resource-specific minimum-energy costs </w:t>
      </w:r>
      <w:bookmarkEnd w:id="411"/>
      <w:r>
        <w:t xml:space="preserve">for that Resource, under Section 4.4.9.2.4 in which case the Resource’s Minimum-Energy Offer must </w:t>
      </w:r>
      <w:r w:rsidR="00951F5A" w:rsidRPr="006A7952">
        <w:rPr>
          <w:iCs w:val="0"/>
        </w:rPr>
        <w:t>not be greater than 200%</w:t>
      </w:r>
      <w:r w:rsidR="00951F5A">
        <w:rPr>
          <w:iCs w:val="0"/>
        </w:rPr>
        <w:t xml:space="preserve"> of</w:t>
      </w:r>
      <w:r>
        <w:t xml:space="preserve"> those approved verifiable Resource-specific minimum-energy costs.</w:t>
      </w:r>
    </w:p>
    <w:p w14:paraId="47799593" w14:textId="77777777" w:rsidR="00716EA4" w:rsidRDefault="00716EA4" w:rsidP="001142A3">
      <w:pPr>
        <w:pStyle w:val="BodyTextNumbered"/>
      </w:pPr>
      <w:r w:rsidRPr="00CB755F">
        <w:t>(</w:t>
      </w:r>
      <w:r>
        <w:t>6</w:t>
      </w:r>
      <w:r w:rsidRPr="00CB755F">
        <w:t>)</w:t>
      </w:r>
      <w:r w:rsidRPr="00CB755F">
        <w:tab/>
        <w:t xml:space="preserve">Prior to 1000 for the effective DAM, a QSE may submit and update a Three-Part Supply Offer for a Resource for any hours which were </w:t>
      </w:r>
      <w:r w:rsidRPr="00147EAA">
        <w:t>Weekly Reliability Unit Commitment (</w:t>
      </w:r>
      <w:r w:rsidRPr="00CB755F">
        <w:t>WRUC</w:t>
      </w:r>
      <w:r>
        <w:t>)</w:t>
      </w:r>
      <w:r w:rsidRPr="00CB755F">
        <w:t>-instructed.</w:t>
      </w:r>
    </w:p>
    <w:p w14:paraId="1E6C0637" w14:textId="77777777" w:rsidR="00FF2129" w:rsidRDefault="00482EF3" w:rsidP="004555CF">
      <w:pPr>
        <w:pStyle w:val="H5"/>
        <w:spacing w:before="480"/>
        <w:ind w:left="1627" w:hanging="1627"/>
      </w:pPr>
      <w:bookmarkStart w:id="412" w:name="_Toc90197105"/>
      <w:bookmarkStart w:id="413" w:name="_Toc142108932"/>
      <w:bookmarkStart w:id="414" w:name="_Toc142113777"/>
      <w:bookmarkStart w:id="415" w:name="_Toc402345601"/>
      <w:bookmarkStart w:id="416" w:name="_Toc405383884"/>
      <w:bookmarkStart w:id="417" w:name="_Toc405536987"/>
      <w:bookmarkStart w:id="418" w:name="_Toc440871774"/>
      <w:bookmarkStart w:id="419" w:name="_Toc135990649"/>
      <w:r>
        <w:t>4.4.9.2.2</w:t>
      </w:r>
      <w:r>
        <w:tab/>
        <w:t>Startup Offer and Minimum-Energy Offer Validation</w:t>
      </w:r>
      <w:bookmarkEnd w:id="412"/>
      <w:bookmarkEnd w:id="413"/>
      <w:bookmarkEnd w:id="414"/>
      <w:bookmarkEnd w:id="415"/>
      <w:bookmarkEnd w:id="416"/>
      <w:bookmarkEnd w:id="417"/>
      <w:bookmarkEnd w:id="418"/>
      <w:bookmarkEnd w:id="419"/>
      <w:r>
        <w:t xml:space="preserve"> </w:t>
      </w:r>
    </w:p>
    <w:p w14:paraId="31372F58" w14:textId="77777777" w:rsidR="00FF2129" w:rsidRDefault="00482EF3">
      <w:pPr>
        <w:pStyle w:val="BodyTextNumbered"/>
      </w:pPr>
      <w:r>
        <w:t>(1)</w:t>
      </w:r>
      <w:r>
        <w:tab/>
        <w:t xml:space="preserve">A valid Startup Offer and Minimum-Energy Offer is an offer that ERCOT has determined meets the criteria listed in Section 4.4.9.2.1, Startup Offer and Minimum-Energy Offer Criteria, and </w:t>
      </w:r>
      <w:r>
        <w:rPr>
          <w:rStyle w:val="msoins0"/>
          <w:u w:val="none"/>
        </w:rPr>
        <w:t>that are part of a Three-Part Supply Offer for which the Energy Offer Curve has also been validated</w:t>
      </w:r>
      <w:r>
        <w:t xml:space="preserve">. </w:t>
      </w:r>
    </w:p>
    <w:p w14:paraId="2D2001C3" w14:textId="77777777" w:rsidR="00FF2129" w:rsidRDefault="00482EF3">
      <w:pPr>
        <w:pStyle w:val="BodyTextNumbered"/>
      </w:pPr>
      <w:r>
        <w:lastRenderedPageBreak/>
        <w:t>(2)</w:t>
      </w:r>
      <w:r>
        <w:tab/>
        <w:t xml:space="preserve">ERCOT shall continuously display on the MIS Certified Area information that allows any QSE submitting a Startup Offer and Minimum-Energy Offer to view its valid Startup Offers and Minimum-Energy Offers. </w:t>
      </w:r>
    </w:p>
    <w:p w14:paraId="3FF0518F" w14:textId="77777777" w:rsidR="00FF2129" w:rsidRDefault="00482EF3">
      <w:pPr>
        <w:pStyle w:val="BodyTextNumbered"/>
      </w:pPr>
      <w:r>
        <w:t>(3)</w:t>
      </w:r>
      <w:r>
        <w:tab/>
        <w:t xml:space="preserve">ERCOT shall notify the QSE submitting a Startup Offer and Minimum-Energy Offer (which must be part of a Three-Part Supply Offer) if the offer was rejected or was considered invalid for any reason.  The QSE may then resubmit the offer within the appropriate market timeline. </w:t>
      </w:r>
    </w:p>
    <w:p w14:paraId="0175ABE0" w14:textId="7147CBAC" w:rsidR="00FF2129" w:rsidRDefault="00482EF3">
      <w:pPr>
        <w:pStyle w:val="BodyTextNumbered"/>
      </w:pPr>
      <w:r>
        <w:t>(4)</w:t>
      </w:r>
      <w:r>
        <w:tab/>
        <w:t>Where a Split Generation Resource has submitted a Startup Offer and Minimum-Energy Offer, ERCOT shall validate the offers in accordance with Section 3.8, Special Considerations.</w:t>
      </w:r>
    </w:p>
    <w:p w14:paraId="1A4F6A72" w14:textId="77777777" w:rsidR="00FF2129" w:rsidRDefault="00482EF3" w:rsidP="004555CF">
      <w:pPr>
        <w:pStyle w:val="H5"/>
        <w:spacing w:before="480"/>
        <w:ind w:left="1627" w:hanging="1627"/>
      </w:pPr>
      <w:bookmarkStart w:id="420" w:name="_Toc90197106"/>
      <w:bookmarkStart w:id="421" w:name="_Toc142108933"/>
      <w:bookmarkStart w:id="422" w:name="_Toc142113778"/>
      <w:bookmarkStart w:id="423" w:name="_Toc402345602"/>
      <w:bookmarkStart w:id="424" w:name="_Toc405383885"/>
      <w:bookmarkStart w:id="425" w:name="_Toc405536988"/>
      <w:bookmarkStart w:id="426" w:name="_Toc440871775"/>
      <w:bookmarkStart w:id="427" w:name="_Toc135990650"/>
      <w:r>
        <w:t>4.4.9.2.3</w:t>
      </w:r>
      <w:r>
        <w:tab/>
        <w:t>Startup Offer and Minimum-Energy Offer Generic Caps</w:t>
      </w:r>
      <w:bookmarkEnd w:id="420"/>
      <w:bookmarkEnd w:id="421"/>
      <w:bookmarkEnd w:id="422"/>
      <w:bookmarkEnd w:id="423"/>
      <w:bookmarkEnd w:id="424"/>
      <w:bookmarkEnd w:id="425"/>
      <w:bookmarkEnd w:id="426"/>
      <w:bookmarkEnd w:id="427"/>
      <w:r>
        <w:t xml:space="preserve"> </w:t>
      </w:r>
    </w:p>
    <w:p w14:paraId="73B3687C" w14:textId="77777777" w:rsidR="00FF2129" w:rsidRDefault="00482EF3">
      <w:pPr>
        <w:pStyle w:val="BodyTextNumbered"/>
      </w:pPr>
      <w:bookmarkStart w:id="428" w:name="OLE_LINK9"/>
      <w:r>
        <w:t>(1)</w:t>
      </w:r>
      <w:r>
        <w:tab/>
        <w:t xml:space="preserve">The Resource Category Startup Offer Generic Cap, by applicable Resource category, is determined by the following Operations and Maintenance (O&amp;M) costs by Resource category: </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8"/>
        <w:gridCol w:w="2362"/>
      </w:tblGrid>
      <w:tr w:rsidR="00FF2129" w14:paraId="4B18602B" w14:textId="77777777" w:rsidTr="00F46812">
        <w:trPr>
          <w:tblHeader/>
          <w:jc w:val="center"/>
        </w:trPr>
        <w:tc>
          <w:tcPr>
            <w:tcW w:w="4568" w:type="dxa"/>
          </w:tcPr>
          <w:bookmarkEnd w:id="428"/>
          <w:p w14:paraId="44BC56EB" w14:textId="77777777" w:rsidR="00FF2129" w:rsidRDefault="00482EF3">
            <w:pPr>
              <w:rPr>
                <w:b/>
                <w:sz w:val="20"/>
                <w:szCs w:val="20"/>
              </w:rPr>
            </w:pPr>
            <w:r>
              <w:rPr>
                <w:b/>
                <w:sz w:val="20"/>
                <w:szCs w:val="20"/>
              </w:rPr>
              <w:t>Resource Category</w:t>
            </w:r>
          </w:p>
        </w:tc>
        <w:tc>
          <w:tcPr>
            <w:tcW w:w="2362" w:type="dxa"/>
          </w:tcPr>
          <w:p w14:paraId="085F4CF7" w14:textId="77777777" w:rsidR="00FF2129" w:rsidRDefault="00482EF3">
            <w:pPr>
              <w:rPr>
                <w:b/>
                <w:sz w:val="20"/>
                <w:szCs w:val="20"/>
              </w:rPr>
            </w:pPr>
            <w:r>
              <w:rPr>
                <w:b/>
                <w:sz w:val="20"/>
                <w:szCs w:val="20"/>
              </w:rPr>
              <w:t>O&amp;M Costs ($)</w:t>
            </w:r>
          </w:p>
        </w:tc>
      </w:tr>
      <w:tr w:rsidR="00FF2129" w14:paraId="19E976B8" w14:textId="77777777" w:rsidTr="00F46812">
        <w:trPr>
          <w:jc w:val="center"/>
        </w:trPr>
        <w:tc>
          <w:tcPr>
            <w:tcW w:w="4568" w:type="dxa"/>
          </w:tcPr>
          <w:p w14:paraId="012E338E" w14:textId="77777777" w:rsidR="00FF2129" w:rsidRDefault="00482EF3" w:rsidP="006133A1">
            <w:pPr>
              <w:rPr>
                <w:sz w:val="20"/>
                <w:szCs w:val="20"/>
              </w:rPr>
            </w:pPr>
            <w:r>
              <w:rPr>
                <w:sz w:val="20"/>
                <w:szCs w:val="20"/>
              </w:rPr>
              <w:t xml:space="preserve">Nuclear, </w:t>
            </w:r>
            <w:r w:rsidR="007E1FE9">
              <w:rPr>
                <w:sz w:val="20"/>
                <w:szCs w:val="20"/>
              </w:rPr>
              <w:t>c</w:t>
            </w:r>
            <w:r>
              <w:rPr>
                <w:sz w:val="20"/>
                <w:szCs w:val="20"/>
              </w:rPr>
              <w:t xml:space="preserve">oal, </w:t>
            </w:r>
            <w:r w:rsidR="007E1FE9">
              <w:rPr>
                <w:sz w:val="20"/>
                <w:szCs w:val="20"/>
              </w:rPr>
              <w:t>l</w:t>
            </w:r>
            <w:r>
              <w:rPr>
                <w:sz w:val="20"/>
                <w:szCs w:val="20"/>
              </w:rPr>
              <w:t xml:space="preserve">ignite and </w:t>
            </w:r>
            <w:r w:rsidR="007E1FE9">
              <w:rPr>
                <w:sz w:val="20"/>
                <w:szCs w:val="20"/>
              </w:rPr>
              <w:t>h</w:t>
            </w:r>
            <w:r>
              <w:rPr>
                <w:sz w:val="20"/>
                <w:szCs w:val="20"/>
              </w:rPr>
              <w:t>ydro</w:t>
            </w:r>
          </w:p>
        </w:tc>
        <w:tc>
          <w:tcPr>
            <w:tcW w:w="2362" w:type="dxa"/>
          </w:tcPr>
          <w:p w14:paraId="647C9192" w14:textId="77777777" w:rsidR="00FF2129" w:rsidRDefault="00482EF3">
            <w:pPr>
              <w:rPr>
                <w:sz w:val="20"/>
                <w:szCs w:val="20"/>
              </w:rPr>
            </w:pPr>
            <w:r>
              <w:rPr>
                <w:sz w:val="20"/>
                <w:szCs w:val="20"/>
              </w:rPr>
              <w:t>7,200</w:t>
            </w:r>
          </w:p>
        </w:tc>
      </w:tr>
      <w:tr w:rsidR="00FF2129" w14:paraId="50725C6A" w14:textId="77777777" w:rsidTr="00F46812">
        <w:trPr>
          <w:jc w:val="center"/>
        </w:trPr>
        <w:tc>
          <w:tcPr>
            <w:tcW w:w="4568" w:type="dxa"/>
          </w:tcPr>
          <w:p w14:paraId="2C7C2645" w14:textId="77777777" w:rsidR="00FF2129" w:rsidRDefault="00482EF3" w:rsidP="001C6BC6">
            <w:pPr>
              <w:rPr>
                <w:sz w:val="20"/>
                <w:szCs w:val="20"/>
              </w:rPr>
            </w:pPr>
            <w:r>
              <w:rPr>
                <w:sz w:val="20"/>
                <w:szCs w:val="20"/>
              </w:rPr>
              <w:t>Combined</w:t>
            </w:r>
            <w:r w:rsidR="009652DE">
              <w:rPr>
                <w:sz w:val="20"/>
                <w:szCs w:val="20"/>
              </w:rPr>
              <w:t xml:space="preserve"> </w:t>
            </w:r>
            <w:r>
              <w:rPr>
                <w:sz w:val="20"/>
                <w:szCs w:val="20"/>
              </w:rPr>
              <w:t xml:space="preserve">Cycle </w:t>
            </w:r>
            <w:r w:rsidR="001C6BC6">
              <w:rPr>
                <w:sz w:val="20"/>
                <w:szCs w:val="20"/>
              </w:rPr>
              <w:t xml:space="preserve">Generation Resource with a combustion turbine ≥ </w:t>
            </w:r>
            <w:r>
              <w:rPr>
                <w:sz w:val="20"/>
                <w:szCs w:val="20"/>
              </w:rPr>
              <w:t>90 MW</w:t>
            </w:r>
            <w:r w:rsidR="001C6BC6">
              <w:rPr>
                <w:sz w:val="20"/>
                <w:szCs w:val="20"/>
              </w:rPr>
              <w:t>,</w:t>
            </w:r>
            <w:r>
              <w:rPr>
                <w:sz w:val="20"/>
                <w:szCs w:val="20"/>
              </w:rPr>
              <w:t xml:space="preserve"> </w:t>
            </w:r>
            <w:r w:rsidR="001C6BC6">
              <w:rPr>
                <w:sz w:val="20"/>
                <w:szCs w:val="20"/>
              </w:rPr>
              <w:t>as determined by the largest combustion turbine in the Combined Cycle Generation Resource and for each combustion turbine in the Combined Cycle Generation Resource</w:t>
            </w:r>
          </w:p>
        </w:tc>
        <w:tc>
          <w:tcPr>
            <w:tcW w:w="2362" w:type="dxa"/>
          </w:tcPr>
          <w:p w14:paraId="31D4EC1A" w14:textId="77777777" w:rsidR="00FF2129" w:rsidRDefault="00482EF3">
            <w:pPr>
              <w:rPr>
                <w:sz w:val="20"/>
                <w:szCs w:val="20"/>
              </w:rPr>
            </w:pPr>
            <w:r>
              <w:rPr>
                <w:sz w:val="20"/>
                <w:szCs w:val="20"/>
              </w:rPr>
              <w:t xml:space="preserve">6,810 </w:t>
            </w:r>
          </w:p>
        </w:tc>
      </w:tr>
      <w:tr w:rsidR="00FF2129" w14:paraId="1314987D" w14:textId="77777777" w:rsidTr="00F46812">
        <w:trPr>
          <w:jc w:val="center"/>
        </w:trPr>
        <w:tc>
          <w:tcPr>
            <w:tcW w:w="4568" w:type="dxa"/>
          </w:tcPr>
          <w:p w14:paraId="4E502679" w14:textId="77777777" w:rsidR="00FF2129" w:rsidRDefault="00482EF3" w:rsidP="009652DE">
            <w:pPr>
              <w:rPr>
                <w:sz w:val="20"/>
                <w:szCs w:val="20"/>
              </w:rPr>
            </w:pPr>
            <w:r>
              <w:rPr>
                <w:sz w:val="20"/>
                <w:szCs w:val="20"/>
              </w:rPr>
              <w:t>Combined</w:t>
            </w:r>
            <w:r w:rsidR="009652DE">
              <w:rPr>
                <w:sz w:val="20"/>
                <w:szCs w:val="20"/>
              </w:rPr>
              <w:t xml:space="preserve"> </w:t>
            </w:r>
            <w:r>
              <w:rPr>
                <w:sz w:val="20"/>
                <w:szCs w:val="20"/>
              </w:rPr>
              <w:t xml:space="preserve">Cycle </w:t>
            </w:r>
            <w:r w:rsidR="001C6BC6">
              <w:rPr>
                <w:sz w:val="20"/>
                <w:szCs w:val="20"/>
              </w:rPr>
              <w:t>Generation Resource with a combustion turbine &lt;</w:t>
            </w:r>
            <w:r>
              <w:rPr>
                <w:sz w:val="20"/>
                <w:szCs w:val="20"/>
              </w:rPr>
              <w:t xml:space="preserve"> 90 MW</w:t>
            </w:r>
            <w:r w:rsidR="001C6BC6">
              <w:rPr>
                <w:sz w:val="20"/>
                <w:szCs w:val="20"/>
              </w:rPr>
              <w:t>,</w:t>
            </w:r>
            <w:r>
              <w:rPr>
                <w:sz w:val="20"/>
                <w:szCs w:val="20"/>
              </w:rPr>
              <w:t xml:space="preserve"> </w:t>
            </w:r>
            <w:r w:rsidR="001C6BC6">
              <w:rPr>
                <w:sz w:val="20"/>
                <w:szCs w:val="20"/>
              </w:rPr>
              <w:t>as determined by the largest combustion turbine in the Combined Cycle Generation Resource and for each combustion turbine in the Combined Cycle Generation Resource</w:t>
            </w:r>
          </w:p>
        </w:tc>
        <w:tc>
          <w:tcPr>
            <w:tcW w:w="2362" w:type="dxa"/>
          </w:tcPr>
          <w:p w14:paraId="73E0D33C" w14:textId="77777777" w:rsidR="00FF2129" w:rsidRDefault="001C6BC6">
            <w:pPr>
              <w:rPr>
                <w:sz w:val="20"/>
                <w:szCs w:val="20"/>
              </w:rPr>
            </w:pPr>
            <w:r>
              <w:rPr>
                <w:sz w:val="20"/>
                <w:szCs w:val="20"/>
              </w:rPr>
              <w:t>6,810</w:t>
            </w:r>
          </w:p>
        </w:tc>
      </w:tr>
      <w:tr w:rsidR="00FF2129" w14:paraId="2EB422BD" w14:textId="77777777" w:rsidTr="00F46812">
        <w:trPr>
          <w:jc w:val="center"/>
        </w:trPr>
        <w:tc>
          <w:tcPr>
            <w:tcW w:w="4568" w:type="dxa"/>
          </w:tcPr>
          <w:p w14:paraId="182AB846" w14:textId="77777777" w:rsidR="00FF2129" w:rsidRDefault="00482EF3">
            <w:pPr>
              <w:rPr>
                <w:sz w:val="20"/>
                <w:szCs w:val="20"/>
              </w:rPr>
            </w:pPr>
            <w:r>
              <w:rPr>
                <w:sz w:val="20"/>
                <w:szCs w:val="20"/>
              </w:rPr>
              <w:t>Gas steam supercritical boiler</w:t>
            </w:r>
          </w:p>
        </w:tc>
        <w:tc>
          <w:tcPr>
            <w:tcW w:w="2362" w:type="dxa"/>
          </w:tcPr>
          <w:p w14:paraId="39EC0622" w14:textId="77777777" w:rsidR="00FF2129" w:rsidRDefault="00482EF3">
            <w:pPr>
              <w:rPr>
                <w:sz w:val="20"/>
                <w:szCs w:val="20"/>
              </w:rPr>
            </w:pPr>
            <w:r>
              <w:rPr>
                <w:sz w:val="20"/>
                <w:szCs w:val="20"/>
              </w:rPr>
              <w:t>4,800</w:t>
            </w:r>
          </w:p>
        </w:tc>
      </w:tr>
      <w:tr w:rsidR="00FF2129" w14:paraId="3D5DCB74" w14:textId="77777777" w:rsidTr="00F46812">
        <w:trPr>
          <w:trHeight w:val="250"/>
          <w:jc w:val="center"/>
        </w:trPr>
        <w:tc>
          <w:tcPr>
            <w:tcW w:w="4568" w:type="dxa"/>
          </w:tcPr>
          <w:p w14:paraId="4FA58513" w14:textId="77777777" w:rsidR="00FF2129" w:rsidRDefault="00482EF3">
            <w:pPr>
              <w:rPr>
                <w:sz w:val="20"/>
                <w:szCs w:val="20"/>
              </w:rPr>
            </w:pPr>
            <w:r>
              <w:rPr>
                <w:sz w:val="20"/>
                <w:szCs w:val="20"/>
              </w:rPr>
              <w:t xml:space="preserve">Gas steam reheat boiler </w:t>
            </w:r>
          </w:p>
        </w:tc>
        <w:tc>
          <w:tcPr>
            <w:tcW w:w="2362" w:type="dxa"/>
          </w:tcPr>
          <w:p w14:paraId="1BEF10A2" w14:textId="77777777" w:rsidR="00FF2129" w:rsidRDefault="00482EF3">
            <w:pPr>
              <w:rPr>
                <w:sz w:val="20"/>
                <w:szCs w:val="20"/>
              </w:rPr>
            </w:pPr>
            <w:r>
              <w:rPr>
                <w:sz w:val="20"/>
                <w:szCs w:val="20"/>
              </w:rPr>
              <w:t>3,000</w:t>
            </w:r>
          </w:p>
        </w:tc>
      </w:tr>
      <w:tr w:rsidR="00FF2129" w14:paraId="33C88249" w14:textId="77777777" w:rsidTr="00F46812">
        <w:trPr>
          <w:jc w:val="center"/>
        </w:trPr>
        <w:tc>
          <w:tcPr>
            <w:tcW w:w="4568" w:type="dxa"/>
          </w:tcPr>
          <w:p w14:paraId="5252E83F" w14:textId="77777777" w:rsidR="00FF2129" w:rsidRDefault="00482EF3">
            <w:pPr>
              <w:rPr>
                <w:sz w:val="20"/>
                <w:szCs w:val="20"/>
              </w:rPr>
            </w:pPr>
            <w:r>
              <w:rPr>
                <w:sz w:val="20"/>
                <w:szCs w:val="20"/>
              </w:rPr>
              <w:t xml:space="preserve">Gas steam non-reheat or boiler w/o air-preheater </w:t>
            </w:r>
          </w:p>
        </w:tc>
        <w:tc>
          <w:tcPr>
            <w:tcW w:w="2362" w:type="dxa"/>
          </w:tcPr>
          <w:p w14:paraId="51A4A130" w14:textId="77777777" w:rsidR="00FF2129" w:rsidRDefault="00482EF3">
            <w:pPr>
              <w:rPr>
                <w:sz w:val="20"/>
                <w:szCs w:val="20"/>
              </w:rPr>
            </w:pPr>
            <w:r>
              <w:rPr>
                <w:sz w:val="20"/>
                <w:szCs w:val="20"/>
              </w:rPr>
              <w:t>2,310</w:t>
            </w:r>
          </w:p>
        </w:tc>
      </w:tr>
      <w:tr w:rsidR="00FF2129" w14:paraId="223B4CC5" w14:textId="77777777" w:rsidTr="00F46812">
        <w:trPr>
          <w:jc w:val="center"/>
        </w:trPr>
        <w:tc>
          <w:tcPr>
            <w:tcW w:w="4568" w:type="dxa"/>
          </w:tcPr>
          <w:p w14:paraId="2E3AE7D0" w14:textId="77777777" w:rsidR="00FF2129" w:rsidRDefault="00482EF3">
            <w:pPr>
              <w:rPr>
                <w:sz w:val="20"/>
                <w:szCs w:val="20"/>
              </w:rPr>
            </w:pPr>
            <w:r>
              <w:rPr>
                <w:sz w:val="20"/>
                <w:szCs w:val="20"/>
              </w:rPr>
              <w:t xml:space="preserve">Simple cycle greater than 90 MW </w:t>
            </w:r>
          </w:p>
        </w:tc>
        <w:tc>
          <w:tcPr>
            <w:tcW w:w="2362" w:type="dxa"/>
          </w:tcPr>
          <w:p w14:paraId="24DBE05E" w14:textId="77777777" w:rsidR="00FF2129" w:rsidRDefault="00482EF3">
            <w:pPr>
              <w:rPr>
                <w:sz w:val="20"/>
                <w:szCs w:val="20"/>
              </w:rPr>
            </w:pPr>
            <w:r>
              <w:rPr>
                <w:sz w:val="20"/>
                <w:szCs w:val="20"/>
              </w:rPr>
              <w:t>5,000</w:t>
            </w:r>
          </w:p>
        </w:tc>
      </w:tr>
      <w:tr w:rsidR="00FF2129" w14:paraId="1388FAD3" w14:textId="77777777" w:rsidTr="00F46812">
        <w:trPr>
          <w:jc w:val="center"/>
        </w:trPr>
        <w:tc>
          <w:tcPr>
            <w:tcW w:w="4568" w:type="dxa"/>
          </w:tcPr>
          <w:p w14:paraId="57FCD424" w14:textId="77777777" w:rsidR="00FF2129" w:rsidRDefault="00482EF3">
            <w:pPr>
              <w:rPr>
                <w:sz w:val="20"/>
                <w:szCs w:val="20"/>
              </w:rPr>
            </w:pPr>
            <w:r>
              <w:rPr>
                <w:sz w:val="20"/>
                <w:szCs w:val="20"/>
              </w:rPr>
              <w:t>Simple cycle less than or equal to 90 MW</w:t>
            </w:r>
          </w:p>
        </w:tc>
        <w:tc>
          <w:tcPr>
            <w:tcW w:w="2362" w:type="dxa"/>
          </w:tcPr>
          <w:p w14:paraId="19635A39" w14:textId="77777777" w:rsidR="00FF2129" w:rsidRDefault="00482EF3">
            <w:pPr>
              <w:rPr>
                <w:sz w:val="20"/>
                <w:szCs w:val="20"/>
              </w:rPr>
            </w:pPr>
            <w:r>
              <w:rPr>
                <w:sz w:val="20"/>
                <w:szCs w:val="20"/>
              </w:rPr>
              <w:t>2,300</w:t>
            </w:r>
          </w:p>
        </w:tc>
      </w:tr>
      <w:tr w:rsidR="00FF2129" w14:paraId="32902150" w14:textId="77777777" w:rsidTr="00F46812">
        <w:trPr>
          <w:jc w:val="center"/>
        </w:trPr>
        <w:tc>
          <w:tcPr>
            <w:tcW w:w="4568" w:type="dxa"/>
          </w:tcPr>
          <w:p w14:paraId="090B3A63" w14:textId="77777777" w:rsidR="00FF2129" w:rsidRDefault="00482EF3">
            <w:pPr>
              <w:rPr>
                <w:sz w:val="20"/>
                <w:szCs w:val="20"/>
              </w:rPr>
            </w:pPr>
            <w:r>
              <w:rPr>
                <w:sz w:val="20"/>
                <w:szCs w:val="20"/>
              </w:rPr>
              <w:t>Reciprocating Engines</w:t>
            </w:r>
          </w:p>
        </w:tc>
        <w:tc>
          <w:tcPr>
            <w:tcW w:w="2362" w:type="dxa"/>
          </w:tcPr>
          <w:p w14:paraId="0ECB9141" w14:textId="77777777" w:rsidR="00FF2129" w:rsidRDefault="009B5863">
            <w:pPr>
              <w:rPr>
                <w:sz w:val="20"/>
                <w:szCs w:val="20"/>
              </w:rPr>
            </w:pPr>
            <w:r w:rsidRPr="009E5389">
              <w:rPr>
                <w:sz w:val="20"/>
                <w:szCs w:val="20"/>
              </w:rPr>
              <w:t>$58 /MW * the average of the seasonal net max sustainable ratings</w:t>
            </w:r>
          </w:p>
        </w:tc>
      </w:tr>
      <w:tr w:rsidR="00FF2129" w14:paraId="594642C4" w14:textId="77777777" w:rsidTr="00F46812">
        <w:trPr>
          <w:cantSplit/>
          <w:trHeight w:val="70"/>
          <w:jc w:val="center"/>
        </w:trPr>
        <w:tc>
          <w:tcPr>
            <w:tcW w:w="4568" w:type="dxa"/>
          </w:tcPr>
          <w:p w14:paraId="5E5AC477" w14:textId="77777777" w:rsidR="00FF2129" w:rsidRDefault="00482EF3">
            <w:pPr>
              <w:rPr>
                <w:sz w:val="20"/>
                <w:szCs w:val="20"/>
              </w:rPr>
            </w:pPr>
            <w:r>
              <w:rPr>
                <w:sz w:val="20"/>
                <w:szCs w:val="20"/>
              </w:rPr>
              <w:t>RMR Resource</w:t>
            </w:r>
          </w:p>
        </w:tc>
        <w:tc>
          <w:tcPr>
            <w:tcW w:w="2362" w:type="dxa"/>
          </w:tcPr>
          <w:p w14:paraId="5B2FF13B" w14:textId="77777777" w:rsidR="00FF2129" w:rsidRDefault="00482EF3">
            <w:pPr>
              <w:rPr>
                <w:sz w:val="20"/>
                <w:szCs w:val="20"/>
              </w:rPr>
            </w:pPr>
            <w:r>
              <w:rPr>
                <w:sz w:val="20"/>
                <w:szCs w:val="20"/>
              </w:rPr>
              <w:t>Not Applicable</w:t>
            </w:r>
          </w:p>
        </w:tc>
      </w:tr>
      <w:tr w:rsidR="00FF2129" w14:paraId="56C7EF35" w14:textId="77777777" w:rsidTr="00F46812">
        <w:trPr>
          <w:cantSplit/>
          <w:trHeight w:val="70"/>
          <w:jc w:val="center"/>
        </w:trPr>
        <w:tc>
          <w:tcPr>
            <w:tcW w:w="4568" w:type="dxa"/>
          </w:tcPr>
          <w:p w14:paraId="777C4D57" w14:textId="77777777" w:rsidR="00FF2129" w:rsidRDefault="00482EF3" w:rsidP="006133A1">
            <w:pPr>
              <w:rPr>
                <w:sz w:val="20"/>
                <w:szCs w:val="20"/>
              </w:rPr>
            </w:pPr>
            <w:r>
              <w:rPr>
                <w:sz w:val="20"/>
                <w:szCs w:val="20"/>
              </w:rPr>
              <w:t xml:space="preserve">Wind </w:t>
            </w:r>
            <w:r w:rsidR="007E1FE9">
              <w:rPr>
                <w:sz w:val="20"/>
                <w:szCs w:val="20"/>
              </w:rPr>
              <w:t>g</w:t>
            </w:r>
            <w:r>
              <w:rPr>
                <w:sz w:val="20"/>
                <w:szCs w:val="20"/>
              </w:rPr>
              <w:t>eneration Resources</w:t>
            </w:r>
          </w:p>
        </w:tc>
        <w:tc>
          <w:tcPr>
            <w:tcW w:w="2362" w:type="dxa"/>
          </w:tcPr>
          <w:p w14:paraId="76AFF146" w14:textId="77777777" w:rsidR="00FF2129" w:rsidRDefault="00482EF3">
            <w:pPr>
              <w:rPr>
                <w:sz w:val="20"/>
                <w:szCs w:val="20"/>
              </w:rPr>
            </w:pPr>
            <w:r>
              <w:rPr>
                <w:sz w:val="20"/>
                <w:szCs w:val="20"/>
              </w:rPr>
              <w:t>0</w:t>
            </w:r>
          </w:p>
        </w:tc>
      </w:tr>
      <w:tr w:rsidR="00DA4035" w14:paraId="6315C071" w14:textId="77777777" w:rsidTr="00F46812">
        <w:trPr>
          <w:cantSplit/>
          <w:trHeight w:val="70"/>
          <w:jc w:val="center"/>
        </w:trPr>
        <w:tc>
          <w:tcPr>
            <w:tcW w:w="4568" w:type="dxa"/>
          </w:tcPr>
          <w:p w14:paraId="4F30A9EE" w14:textId="77777777" w:rsidR="00DA4035" w:rsidRDefault="00DA4035">
            <w:pPr>
              <w:rPr>
                <w:sz w:val="20"/>
                <w:szCs w:val="20"/>
              </w:rPr>
            </w:pPr>
            <w:r>
              <w:rPr>
                <w:sz w:val="20"/>
                <w:szCs w:val="20"/>
              </w:rPr>
              <w:t>PhotoVoltaic Generation Resources (PVGRs)</w:t>
            </w:r>
          </w:p>
        </w:tc>
        <w:tc>
          <w:tcPr>
            <w:tcW w:w="2362" w:type="dxa"/>
          </w:tcPr>
          <w:p w14:paraId="18F3FBF6" w14:textId="77777777" w:rsidR="00DA4035" w:rsidRDefault="00DA4035">
            <w:pPr>
              <w:rPr>
                <w:sz w:val="20"/>
                <w:szCs w:val="20"/>
              </w:rPr>
            </w:pPr>
            <w:r>
              <w:rPr>
                <w:sz w:val="20"/>
                <w:szCs w:val="20"/>
              </w:rPr>
              <w:t>0</w:t>
            </w:r>
          </w:p>
        </w:tc>
      </w:tr>
      <w:tr w:rsidR="00FF2129" w14:paraId="1CE53C72" w14:textId="77777777" w:rsidTr="00F46812">
        <w:trPr>
          <w:cantSplit/>
          <w:trHeight w:val="70"/>
          <w:jc w:val="center"/>
        </w:trPr>
        <w:tc>
          <w:tcPr>
            <w:tcW w:w="4568" w:type="dxa"/>
          </w:tcPr>
          <w:p w14:paraId="5484921B" w14:textId="77777777" w:rsidR="00FF2129" w:rsidRDefault="00482EF3">
            <w:pPr>
              <w:rPr>
                <w:sz w:val="20"/>
                <w:szCs w:val="20"/>
              </w:rPr>
            </w:pPr>
            <w:r>
              <w:rPr>
                <w:sz w:val="20"/>
                <w:szCs w:val="20"/>
              </w:rPr>
              <w:t>Any Resources not defined above</w:t>
            </w:r>
          </w:p>
        </w:tc>
        <w:tc>
          <w:tcPr>
            <w:tcW w:w="2362" w:type="dxa"/>
          </w:tcPr>
          <w:p w14:paraId="7CE5F497" w14:textId="3AFAD389" w:rsidR="00FF2129" w:rsidRDefault="00482EF3" w:rsidP="006F4803">
            <w:pPr>
              <w:rPr>
                <w:sz w:val="20"/>
                <w:szCs w:val="20"/>
              </w:rPr>
            </w:pPr>
            <w:r>
              <w:rPr>
                <w:sz w:val="20"/>
                <w:szCs w:val="20"/>
              </w:rPr>
              <w:t>0</w:t>
            </w:r>
          </w:p>
        </w:tc>
      </w:tr>
    </w:tbl>
    <w:p w14:paraId="214C90FF" w14:textId="77777777" w:rsidR="00CB0254" w:rsidRDefault="00FE234E" w:rsidP="00990F89">
      <w:pPr>
        <w:pStyle w:val="BodyTextNumbered"/>
        <w:tabs>
          <w:tab w:val="left" w:pos="720"/>
        </w:tabs>
        <w:spacing w:after="0"/>
      </w:pPr>
      <w:r w:rsidDel="00FE234E">
        <w:t xml:space="preserve"> </w:t>
      </w:r>
    </w:p>
    <w:p w14:paraId="1163473A" w14:textId="77777777" w:rsidR="00FF2129" w:rsidRDefault="00482EF3" w:rsidP="009D6B45">
      <w:pPr>
        <w:pStyle w:val="BodyTextNumbered"/>
        <w:tabs>
          <w:tab w:val="left" w:pos="720"/>
        </w:tabs>
      </w:pPr>
      <w:r>
        <w:t>(2)</w:t>
      </w:r>
      <w:r>
        <w:tab/>
        <w:t xml:space="preserve">The Resource Category Minimum-Energy Generic Cap is the cost per MWh of energy for a Resource </w:t>
      </w:r>
      <w:r w:rsidR="001F169A">
        <w:t>to</w:t>
      </w:r>
      <w:r>
        <w:t xml:space="preserve"> produc</w:t>
      </w:r>
      <w:r w:rsidR="001F169A">
        <w:t>e</w:t>
      </w:r>
      <w:r>
        <w:t xml:space="preserve"> energy </w:t>
      </w:r>
      <w:r w:rsidR="001F169A">
        <w:t xml:space="preserve">at </w:t>
      </w:r>
      <w:r>
        <w:t>the Resource’s LSL</w:t>
      </w:r>
      <w:r w:rsidR="001F169A">
        <w:t xml:space="preserve"> and is as</w:t>
      </w:r>
      <w:r>
        <w:t xml:space="preserve"> </w:t>
      </w:r>
      <w:r w:rsidR="001F169A">
        <w:t>follows</w:t>
      </w:r>
      <w:r>
        <w:t xml:space="preserve">:  </w:t>
      </w:r>
    </w:p>
    <w:p w14:paraId="28B04594" w14:textId="77777777" w:rsidR="00FF2129" w:rsidRDefault="00482EF3">
      <w:pPr>
        <w:pStyle w:val="BodyTextNumbered"/>
        <w:ind w:left="1440"/>
      </w:pPr>
      <w:r>
        <w:t>(a)</w:t>
      </w:r>
      <w:r>
        <w:tab/>
        <w:t>Hydro = $10.00/MWh;</w:t>
      </w:r>
    </w:p>
    <w:p w14:paraId="0D69F983" w14:textId="77777777" w:rsidR="00FF2129" w:rsidRDefault="00482EF3">
      <w:pPr>
        <w:pStyle w:val="BulletIndent"/>
        <w:numPr>
          <w:ilvl w:val="0"/>
          <w:numId w:val="0"/>
        </w:numPr>
        <w:ind w:left="720"/>
      </w:pPr>
      <w:r>
        <w:t>(b)</w:t>
      </w:r>
      <w:r>
        <w:tab/>
        <w:t>Coal and lignite = $18.00/MWh;</w:t>
      </w:r>
    </w:p>
    <w:p w14:paraId="3595D9A7" w14:textId="77777777" w:rsidR="00FF2129" w:rsidRDefault="00482EF3">
      <w:pPr>
        <w:pStyle w:val="BulletIndent"/>
        <w:numPr>
          <w:ilvl w:val="0"/>
          <w:numId w:val="0"/>
        </w:numPr>
        <w:ind w:left="1440" w:hanging="720"/>
      </w:pPr>
      <w:r>
        <w:lastRenderedPageBreak/>
        <w:t>(c)</w:t>
      </w:r>
      <w:r>
        <w:tab/>
        <w:t xml:space="preserve">Combined-cycle greater than 90 MW = </w:t>
      </w:r>
      <w:r w:rsidR="00327B25">
        <w:t>8</w:t>
      </w:r>
      <w:r>
        <w:t xml:space="preserve"> MMBtu/MWh * ((Percentage of FIP * FIP) + (Percentage of FOP * FOP))/100, as specified in Minimum-Energy Offer;</w:t>
      </w:r>
    </w:p>
    <w:p w14:paraId="50CBA4F2" w14:textId="77777777" w:rsidR="00FF2129" w:rsidRDefault="00482EF3">
      <w:pPr>
        <w:pStyle w:val="BulletIndent"/>
        <w:numPr>
          <w:ilvl w:val="0"/>
          <w:numId w:val="0"/>
        </w:numPr>
        <w:ind w:left="1440" w:hanging="720"/>
      </w:pPr>
      <w:r>
        <w:t>(d)</w:t>
      </w:r>
      <w:r>
        <w:tab/>
        <w:t xml:space="preserve">Combined-cycle less than or equal to 90 MW = </w:t>
      </w:r>
      <w:r w:rsidR="00327B25">
        <w:t>9</w:t>
      </w:r>
      <w:r>
        <w:t xml:space="preserve"> MMBtu/MWh * ((Percentage of FIP * FIP) + (Percentage of FOP * FOP))/100, as specified in Minimum-Energy Offer;</w:t>
      </w:r>
    </w:p>
    <w:p w14:paraId="2F83CA7B" w14:textId="77777777" w:rsidR="00FF2129" w:rsidRDefault="00482EF3">
      <w:pPr>
        <w:pStyle w:val="BulletIndent"/>
        <w:numPr>
          <w:ilvl w:val="0"/>
          <w:numId w:val="0"/>
        </w:numPr>
        <w:ind w:left="1440" w:hanging="720"/>
      </w:pPr>
      <w:r>
        <w:t>(e)</w:t>
      </w:r>
      <w:r>
        <w:tab/>
        <w:t>Gas steam supercritical boiler = 1</w:t>
      </w:r>
      <w:r w:rsidR="00327B25">
        <w:t>4</w:t>
      </w:r>
      <w:r>
        <w:t xml:space="preserve"> MMBtu/MWh * ((Percentage of FIP * FIP) + (Percentage of FOP * FOP))/100, as specified in Minimum-Energy Offer;</w:t>
      </w:r>
    </w:p>
    <w:p w14:paraId="6DFBA01B" w14:textId="77777777" w:rsidR="00FF2129" w:rsidRDefault="00482EF3">
      <w:pPr>
        <w:pStyle w:val="BulletIndent"/>
        <w:numPr>
          <w:ilvl w:val="0"/>
          <w:numId w:val="0"/>
        </w:numPr>
        <w:ind w:left="1440" w:hanging="720"/>
      </w:pPr>
      <w:r>
        <w:t>(f)</w:t>
      </w:r>
      <w:r>
        <w:tab/>
        <w:t>Gas steam reheat boiler = 1</w:t>
      </w:r>
      <w:r w:rsidR="00327B25">
        <w:t>4.5</w:t>
      </w:r>
      <w:r>
        <w:t xml:space="preserve"> MMBtu/MWh * ((Percentage of FIP * FIP) + (Percentage of FOP * FOP))/100, as specified in Minimum-Energy Offer;</w:t>
      </w:r>
    </w:p>
    <w:p w14:paraId="693A1A53" w14:textId="77777777" w:rsidR="00FF2129" w:rsidRDefault="00482EF3">
      <w:pPr>
        <w:pStyle w:val="BulletIndent"/>
        <w:numPr>
          <w:ilvl w:val="0"/>
          <w:numId w:val="0"/>
        </w:numPr>
        <w:ind w:left="1440" w:hanging="720"/>
      </w:pPr>
      <w:r>
        <w:t>(g)</w:t>
      </w:r>
      <w:r>
        <w:tab/>
        <w:t>Gas steam non-reheat or boiler without air-preheater = 1</w:t>
      </w:r>
      <w:r w:rsidR="00327B25">
        <w:t>6</w:t>
      </w:r>
      <w:r>
        <w:t>.0 MMBtu/MWh * ((Percentage of FIP * FIP) + (Percentage of FOP * FOP))/100, as specified in Minimum-Energy Offer;</w:t>
      </w:r>
    </w:p>
    <w:p w14:paraId="7510DF5B" w14:textId="77777777" w:rsidR="00FF2129" w:rsidRDefault="00482EF3">
      <w:pPr>
        <w:pStyle w:val="BulletIndent"/>
        <w:numPr>
          <w:ilvl w:val="0"/>
          <w:numId w:val="0"/>
        </w:numPr>
        <w:ind w:left="1440" w:hanging="720"/>
      </w:pPr>
      <w:r>
        <w:t>(h)</w:t>
      </w:r>
      <w:r>
        <w:tab/>
        <w:t>Simple-cycle greater than 90 MW = 15.0 MMBtu/MWh * ((Percentage of FIP * FIP) + (Percentage of FOP * FOP))/100, as specified in Minimum-Energy Offer;</w:t>
      </w:r>
    </w:p>
    <w:p w14:paraId="235593E8" w14:textId="77777777" w:rsidR="00FF2129" w:rsidRDefault="00482EF3">
      <w:pPr>
        <w:pStyle w:val="BulletIndent"/>
        <w:numPr>
          <w:ilvl w:val="0"/>
          <w:numId w:val="0"/>
        </w:numPr>
        <w:ind w:left="1440" w:hanging="720"/>
      </w:pPr>
      <w:r>
        <w:t>(i)</w:t>
      </w:r>
      <w:r>
        <w:tab/>
        <w:t>Simple-cycle less than or equal to 90 MW = 1</w:t>
      </w:r>
      <w:r w:rsidR="00327B25">
        <w:t>4</w:t>
      </w:r>
      <w:r>
        <w:t>.0 MMBtu/MWh * ((Percentage of FIP * FIP) + (Percentage of FOP * FOP))/100, as specified in Minimum-Energy Offer;</w:t>
      </w:r>
    </w:p>
    <w:p w14:paraId="2517E9D9" w14:textId="77777777" w:rsidR="00FF2129" w:rsidRDefault="00482EF3">
      <w:pPr>
        <w:pStyle w:val="BulletIndent"/>
        <w:numPr>
          <w:ilvl w:val="0"/>
          <w:numId w:val="0"/>
        </w:numPr>
        <w:ind w:left="1440" w:hanging="720"/>
      </w:pPr>
      <w:r>
        <w:t>(j)</w:t>
      </w:r>
      <w:r>
        <w:tab/>
        <w:t>Reciprocating engines = 16.0 MMBtu/MWh * ((Percentage of FIP * FIP) + (Percentage of FOP * FOP))/100, as specified in the Minimum-Energy Offer;</w:t>
      </w:r>
    </w:p>
    <w:p w14:paraId="2172F703" w14:textId="77777777" w:rsidR="00FF2129" w:rsidRDefault="00482EF3">
      <w:pPr>
        <w:pStyle w:val="BulletIndent"/>
        <w:numPr>
          <w:ilvl w:val="0"/>
          <w:numId w:val="0"/>
        </w:numPr>
        <w:ind w:left="1440" w:hanging="720"/>
      </w:pPr>
      <w:r>
        <w:t>(k)</w:t>
      </w:r>
      <w:r>
        <w:tab/>
        <w:t xml:space="preserve">RMR Resource = RMR contract estimated fuel cost using its contract I/O curve at its LSL times FIP; </w:t>
      </w:r>
    </w:p>
    <w:p w14:paraId="2F1CDD50" w14:textId="77777777" w:rsidR="00FF2129" w:rsidRDefault="00482EF3" w:rsidP="00163271">
      <w:pPr>
        <w:pStyle w:val="BulletIndent"/>
        <w:numPr>
          <w:ilvl w:val="0"/>
          <w:numId w:val="0"/>
        </w:numPr>
        <w:spacing w:after="240"/>
        <w:ind w:left="1440" w:hanging="720"/>
      </w:pPr>
      <w:r>
        <w:t>(l)</w:t>
      </w:r>
      <w:r>
        <w:tab/>
        <w:t xml:space="preserve">Nuclear = Not Applicable; </w:t>
      </w:r>
    </w:p>
    <w:p w14:paraId="016306A8" w14:textId="77777777" w:rsidR="00FF2129" w:rsidRDefault="00482EF3" w:rsidP="009D6B45">
      <w:pPr>
        <w:pStyle w:val="BulletIndent"/>
        <w:numPr>
          <w:ilvl w:val="0"/>
          <w:numId w:val="0"/>
        </w:numPr>
        <w:spacing w:after="240"/>
        <w:ind w:left="1440" w:hanging="720"/>
      </w:pPr>
      <w:r>
        <w:t>(m)</w:t>
      </w:r>
      <w:r>
        <w:tab/>
        <w:t xml:space="preserve">Wind </w:t>
      </w:r>
      <w:r w:rsidR="007E1FE9">
        <w:t>g</w:t>
      </w:r>
      <w:r>
        <w:t>eneration Resources = $0</w:t>
      </w:r>
      <w:r w:rsidR="00235A6A">
        <w:t>;</w:t>
      </w:r>
    </w:p>
    <w:p w14:paraId="4F02FE2C" w14:textId="77777777" w:rsidR="00DA4035" w:rsidRDefault="00DA4035" w:rsidP="009D6B45">
      <w:pPr>
        <w:pStyle w:val="BulletIndent"/>
        <w:numPr>
          <w:ilvl w:val="0"/>
          <w:numId w:val="0"/>
        </w:numPr>
        <w:spacing w:after="240"/>
        <w:ind w:left="1440" w:hanging="720"/>
      </w:pPr>
      <w:r>
        <w:t>(n)</w:t>
      </w:r>
      <w:r>
        <w:tab/>
        <w:t>PVGRs = $0; and</w:t>
      </w:r>
    </w:p>
    <w:p w14:paraId="40DDBF18" w14:textId="6BA660A5" w:rsidR="00FE234E" w:rsidRDefault="00482EF3" w:rsidP="009D6B45">
      <w:pPr>
        <w:pStyle w:val="BulletIndent"/>
        <w:widowControl w:val="0"/>
        <w:numPr>
          <w:ilvl w:val="0"/>
          <w:numId w:val="0"/>
        </w:numPr>
        <w:spacing w:after="240"/>
        <w:ind w:left="1440" w:hanging="720"/>
      </w:pPr>
      <w:r>
        <w:t>(</w:t>
      </w:r>
      <w:r w:rsidR="00DA4035">
        <w:t>o</w:t>
      </w:r>
      <w:r>
        <w:t>)</w:t>
      </w:r>
      <w:r>
        <w:tab/>
        <w:t>Other Resources not defined above = $0.</w:t>
      </w:r>
    </w:p>
    <w:p w14:paraId="15F8CA3F" w14:textId="00D651AB" w:rsidR="00FF2129" w:rsidRDefault="00482EF3" w:rsidP="00F46812">
      <w:pPr>
        <w:pStyle w:val="BulletIndent"/>
        <w:widowControl w:val="0"/>
        <w:numPr>
          <w:ilvl w:val="0"/>
          <w:numId w:val="0"/>
        </w:numPr>
        <w:spacing w:after="240"/>
        <w:ind w:left="720" w:hanging="720"/>
      </w:pPr>
      <w:r>
        <w:t>(3)</w:t>
      </w:r>
      <w:r>
        <w:tab/>
        <w:t>The FIP and FOP used to calculate the Resource Category Minimum-Energy Generic Cap shall be the FIP or FOP for the Operating Day.  In the event the Resource Category Minimum-Energy Generic Cap must be calculated before the FIP or FOP is available for the particular Operating Day, the FIP and FOP for the most recent preceding Operating Day shall be used.  Once the FIP and FOP are available for a particular Operating Day, those values shall be used in the calculations.  If the percentage fuel mix is not specified for Resource categories having the option to specify the fuel mix, then the minimum of FIP or FOP shall be used.</w:t>
      </w:r>
    </w:p>
    <w:p w14:paraId="26E828BA" w14:textId="77777777" w:rsidR="00FF2129" w:rsidRDefault="00482EF3" w:rsidP="00163271">
      <w:pPr>
        <w:pStyle w:val="List3"/>
        <w:spacing w:after="240"/>
        <w:ind w:left="720" w:hanging="720"/>
      </w:pPr>
      <w:r>
        <w:t>(4)</w:t>
      </w:r>
      <w:r>
        <w:tab/>
        <w:t xml:space="preserve">Items (2)(c) and (2)(d) </w:t>
      </w:r>
      <w:r w:rsidR="00727873">
        <w:t xml:space="preserve">above </w:t>
      </w:r>
      <w:r>
        <w:t>are determined by capacity of largest simple-cycle combustion turbine in the train.</w:t>
      </w:r>
    </w:p>
    <w:p w14:paraId="336F3785" w14:textId="77777777" w:rsidR="00FF2129" w:rsidRDefault="00482EF3" w:rsidP="004555CF">
      <w:pPr>
        <w:pStyle w:val="H5"/>
        <w:spacing w:before="480"/>
        <w:ind w:left="1627" w:hanging="1627"/>
      </w:pPr>
      <w:bookmarkStart w:id="429" w:name="_Toc142108934"/>
      <w:bookmarkStart w:id="430" w:name="_Toc142113779"/>
      <w:bookmarkStart w:id="431" w:name="_Toc402345603"/>
      <w:bookmarkStart w:id="432" w:name="_Toc405383886"/>
      <w:bookmarkStart w:id="433" w:name="_Toc405536989"/>
      <w:bookmarkStart w:id="434" w:name="_Toc440871776"/>
      <w:bookmarkStart w:id="435" w:name="_Toc135990651"/>
      <w:bookmarkStart w:id="436" w:name="_Toc90197107"/>
      <w:r>
        <w:lastRenderedPageBreak/>
        <w:t>4.4.9.2.4</w:t>
      </w:r>
      <w:r>
        <w:tab/>
        <w:t>Verifiable Startup Offer and Minimum-Energy Offer Caps</w:t>
      </w:r>
      <w:bookmarkEnd w:id="429"/>
      <w:bookmarkEnd w:id="430"/>
      <w:bookmarkEnd w:id="431"/>
      <w:bookmarkEnd w:id="432"/>
      <w:bookmarkEnd w:id="433"/>
      <w:bookmarkEnd w:id="434"/>
      <w:bookmarkEnd w:id="435"/>
      <w:r>
        <w:t xml:space="preserve"> </w:t>
      </w:r>
    </w:p>
    <w:p w14:paraId="4CB1BBE3" w14:textId="77777777" w:rsidR="00FF2129" w:rsidRDefault="002E0760" w:rsidP="00C73E78">
      <w:pPr>
        <w:pStyle w:val="BodyTextNumbered"/>
        <w:tabs>
          <w:tab w:val="left" w:pos="720"/>
        </w:tabs>
      </w:pPr>
      <w:r>
        <w:t>(1)</w:t>
      </w:r>
      <w:r>
        <w:tab/>
      </w:r>
      <w:r w:rsidR="00482EF3">
        <w:t>Once verifiable Resource-specific startup costs and minimum-energy costs are established and approved by ERCOT in accordance with Section 5.6.1, Verifiable Costs, then they are used in place of generic costs as described in Section 4.4.9.2.3, Startup Offer and Minimum-Energy Offer Generic Caps.  A QSE may file verifiable unit-specific costs for a Resource at any time, but it is not required to file those costs only because of a DAM commitment. The most recent approved verifiable costs on file must be used going forward.</w:t>
      </w:r>
    </w:p>
    <w:p w14:paraId="5981D3BF" w14:textId="77777777" w:rsidR="009F1CEA" w:rsidRDefault="009F1CEA" w:rsidP="004555CF">
      <w:pPr>
        <w:pStyle w:val="H4"/>
        <w:keepNext w:val="0"/>
        <w:spacing w:before="480"/>
        <w:ind w:left="1267" w:hanging="1267"/>
      </w:pPr>
      <w:bookmarkStart w:id="437" w:name="_Toc402345604"/>
      <w:bookmarkStart w:id="438" w:name="_Toc405383887"/>
      <w:bookmarkStart w:id="439" w:name="_Toc405536990"/>
      <w:bookmarkStart w:id="440" w:name="_Toc440871777"/>
      <w:bookmarkStart w:id="441" w:name="_Toc135990652"/>
      <w:r>
        <w:t>4.4.9.3</w:t>
      </w:r>
      <w:r>
        <w:tab/>
        <w:t>Energy Offer Curve</w:t>
      </w:r>
      <w:bookmarkEnd w:id="437"/>
      <w:bookmarkEnd w:id="438"/>
      <w:bookmarkEnd w:id="439"/>
      <w:bookmarkEnd w:id="440"/>
      <w:bookmarkEnd w:id="441"/>
    </w:p>
    <w:p w14:paraId="64A52FE2" w14:textId="77777777" w:rsidR="009F1CEA" w:rsidRDefault="009F1CEA" w:rsidP="009F1CEA">
      <w:pPr>
        <w:pStyle w:val="BodyTextNumbered"/>
        <w:tabs>
          <w:tab w:val="left" w:pos="720"/>
        </w:tabs>
      </w:pPr>
      <w:r>
        <w:t>(1)</w:t>
      </w:r>
      <w:r>
        <w:tab/>
        <w:t xml:space="preserve">The Energy Offer Curve represents the QSE’s willingness to sell energy at or above a certain price and at a certain quantity in the DAM or its willingness to be dispatched by SCED in Real-Time Operations.   </w:t>
      </w:r>
    </w:p>
    <w:p w14:paraId="302AE7B7" w14:textId="77777777" w:rsidR="009F1CEA" w:rsidRDefault="009F1CEA" w:rsidP="009F1CEA">
      <w:pPr>
        <w:pStyle w:val="BodyTextNumbered"/>
        <w:tabs>
          <w:tab w:val="left" w:pos="720"/>
        </w:tabs>
      </w:pPr>
      <w:r>
        <w:t>(2)</w:t>
      </w:r>
      <w:r>
        <w:tab/>
        <w:t xml:space="preserve">A QSE may submit Resource-specific Energy Offer Curves to ERCOT.  Such Energy Offer Curves will be bounded in the DAM for each Operating Hour by the LSL and HSL of the Generation Resource specified in the COP, and bounded in SCED by the LSL and HSL of the Generation Resource as shown by telemetry. </w:t>
      </w:r>
    </w:p>
    <w:p w14:paraId="79081F8F" w14:textId="77777777" w:rsidR="009F1CEA" w:rsidRDefault="009F1CEA" w:rsidP="009F1CEA">
      <w:pPr>
        <w:pStyle w:val="BodyTextNumbered"/>
      </w:pPr>
      <w:r>
        <w:t>(3)</w:t>
      </w:r>
      <w:r>
        <w:tab/>
        <w:t xml:space="preserve">Energy Offer Curves remain active for the offered period until either:  </w:t>
      </w:r>
    </w:p>
    <w:p w14:paraId="47AFA71C" w14:textId="77777777" w:rsidR="009F1CEA" w:rsidRDefault="009F1CEA" w:rsidP="009F1CEA">
      <w:pPr>
        <w:pStyle w:val="List"/>
        <w:ind w:left="1440"/>
      </w:pPr>
      <w:r>
        <w:t>(a)</w:t>
      </w:r>
      <w:r>
        <w:tab/>
        <w:t xml:space="preserve">Selected by ERCOT; or </w:t>
      </w:r>
    </w:p>
    <w:p w14:paraId="38AAC83F" w14:textId="77777777" w:rsidR="009F1CEA" w:rsidRDefault="009F1CEA" w:rsidP="009F1CEA">
      <w:pPr>
        <w:pStyle w:val="List"/>
        <w:ind w:left="1440"/>
      </w:pPr>
      <w:r>
        <w:t>(b)</w:t>
      </w:r>
      <w:r>
        <w:tab/>
        <w:t>Automatically inactivated by the software at the offer expiration time selected by the QSE.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341E3" w:rsidRPr="004B32CF" w14:paraId="199F4FD3" w14:textId="77777777" w:rsidTr="000341E3">
        <w:trPr>
          <w:trHeight w:val="386"/>
        </w:trPr>
        <w:tc>
          <w:tcPr>
            <w:tcW w:w="9350" w:type="dxa"/>
            <w:shd w:val="pct12" w:color="auto" w:fill="auto"/>
          </w:tcPr>
          <w:p w14:paraId="1FAEDBAE" w14:textId="20BF0FAA" w:rsidR="000341E3" w:rsidRPr="004B32CF" w:rsidRDefault="000341E3" w:rsidP="008E5783">
            <w:pPr>
              <w:spacing w:before="120" w:after="240"/>
              <w:rPr>
                <w:b/>
                <w:i/>
                <w:iCs/>
              </w:rPr>
            </w:pPr>
            <w:r>
              <w:rPr>
                <w:b/>
                <w:i/>
                <w:iCs/>
              </w:rPr>
              <w:t>[NPRR1058:  Replace paragraph (3</w:t>
            </w:r>
            <w:r w:rsidRPr="004B32CF">
              <w:rPr>
                <w:b/>
                <w:i/>
                <w:iCs/>
              </w:rPr>
              <w:t>) above with the following upon system implementation:]</w:t>
            </w:r>
          </w:p>
          <w:p w14:paraId="122E69D8" w14:textId="3994D979" w:rsidR="000341E3" w:rsidRPr="000341E3" w:rsidRDefault="000341E3" w:rsidP="000341E3">
            <w:pPr>
              <w:spacing w:after="240"/>
              <w:ind w:left="720" w:hanging="720"/>
              <w:rPr>
                <w:iCs/>
              </w:rPr>
            </w:pPr>
            <w:r w:rsidRPr="00221D04">
              <w:rPr>
                <w:iCs/>
              </w:rPr>
              <w:t>(3)</w:t>
            </w:r>
            <w:r w:rsidRPr="00221D04">
              <w:rPr>
                <w:iCs/>
              </w:rPr>
              <w:tab/>
              <w:t>Energy Offer Curves remain active for the offered period until automatically inactivated by the software at the offer expiration time selected by the QSE.</w:t>
            </w:r>
          </w:p>
        </w:tc>
      </w:tr>
    </w:tbl>
    <w:p w14:paraId="0AD0E205" w14:textId="3B46AE95" w:rsidR="009F1CEA" w:rsidRDefault="009F1CEA" w:rsidP="0006187D">
      <w:pPr>
        <w:pStyle w:val="BodyTextNumbered"/>
        <w:spacing w:before="240"/>
      </w:pPr>
      <w:r>
        <w:t>(4)</w:t>
      </w:r>
      <w:r>
        <w:tab/>
        <w:t>For any Operating Hour, the QSE for a Resource may submit or change Energy Offer Curves in the Adjustment Period and a QSE may withdraw an Energy Offer Curve if:</w:t>
      </w:r>
    </w:p>
    <w:p w14:paraId="0A7B9816" w14:textId="77777777" w:rsidR="009F1CEA" w:rsidRDefault="009F1CEA" w:rsidP="009F1CEA">
      <w:pPr>
        <w:pStyle w:val="List"/>
        <w:ind w:left="1440"/>
      </w:pPr>
      <w:r>
        <w:t>(a)</w:t>
      </w:r>
      <w:r>
        <w:tab/>
        <w:t>An Output Schedule is submitted for all intervals for which an Energy Offer Curve is withdrawn; or</w:t>
      </w:r>
    </w:p>
    <w:p w14:paraId="4286354C" w14:textId="77777777" w:rsidR="009F1CEA" w:rsidRDefault="009F1CEA" w:rsidP="009F1CEA">
      <w:pPr>
        <w:pStyle w:val="List"/>
        <w:ind w:left="1440"/>
      </w:pPr>
      <w:r>
        <w:t>(b)</w:t>
      </w:r>
      <w:r>
        <w:tab/>
        <w:t>The Resource is forced Off-Line and notifies ERCOT of the Forced Outage by changing the Resource Status appropriately and updating its COP.</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341E3" w:rsidRPr="004B32CF" w14:paraId="60F2D5D4" w14:textId="77777777" w:rsidTr="008E5783">
        <w:trPr>
          <w:trHeight w:val="386"/>
        </w:trPr>
        <w:tc>
          <w:tcPr>
            <w:tcW w:w="9350" w:type="dxa"/>
            <w:shd w:val="pct12" w:color="auto" w:fill="auto"/>
          </w:tcPr>
          <w:p w14:paraId="6449865A" w14:textId="1E5C448B" w:rsidR="000341E3" w:rsidRPr="004B32CF" w:rsidRDefault="000341E3" w:rsidP="008E5783">
            <w:pPr>
              <w:spacing w:before="120" w:after="240"/>
              <w:rPr>
                <w:b/>
                <w:i/>
                <w:iCs/>
              </w:rPr>
            </w:pPr>
            <w:r>
              <w:rPr>
                <w:b/>
                <w:i/>
                <w:iCs/>
              </w:rPr>
              <w:lastRenderedPageBreak/>
              <w:t>[NPRR1058:  Replace paragraph (4</w:t>
            </w:r>
            <w:r w:rsidRPr="004B32CF">
              <w:rPr>
                <w:b/>
                <w:i/>
                <w:iCs/>
              </w:rPr>
              <w:t>) above with the following upon system implementation</w:t>
            </w:r>
            <w:r>
              <w:rPr>
                <w:b/>
                <w:i/>
                <w:iCs/>
              </w:rPr>
              <w:t xml:space="preserve"> and renumber accordingly</w:t>
            </w:r>
            <w:r w:rsidRPr="004B32CF">
              <w:rPr>
                <w:b/>
                <w:i/>
                <w:iCs/>
              </w:rPr>
              <w:t>:]</w:t>
            </w:r>
          </w:p>
          <w:p w14:paraId="48DB3B2A" w14:textId="77777777" w:rsidR="000341E3" w:rsidRPr="00221D04" w:rsidRDefault="000341E3" w:rsidP="000341E3">
            <w:pPr>
              <w:spacing w:after="240"/>
              <w:ind w:left="720" w:hanging="720"/>
              <w:rPr>
                <w:iCs/>
              </w:rPr>
            </w:pPr>
            <w:r w:rsidRPr="00221D04">
              <w:rPr>
                <w:iCs/>
              </w:rPr>
              <w:t>(4)</w:t>
            </w:r>
            <w:r w:rsidRPr="00221D04">
              <w:rPr>
                <w:iCs/>
              </w:rPr>
              <w:tab/>
              <w:t xml:space="preserve">For any Operating Hour, the QSE for a Resource may submit or change Energy Offer Curve information at any time prior to SCED execution, except for the percentage of FIP and percentage of FOP, and SCED will use the latest updated Energy Offer Curve available in the system.  The QSE must provide a brief freeform reason at the time of the submission of the Energy Offer Curve if submitted after the end of the Adjustment Period.  For the percentage FIP and percentage of FOP within the Energy Offer Curve, submissions and updates must be received by ERCOT’s systems in the Adjustment Period.  </w:t>
            </w:r>
            <w:r w:rsidRPr="00221D04">
              <w:rPr>
                <w:snapToGrid w:val="0"/>
              </w:rPr>
              <w:t xml:space="preserve">If a new Energy Offer Curve is not deemed to be valid, then the most recent valid Energy Offer Curve available in the system at the time of SCED execution will be used and ERCOT will notify the QSE that the invalid Energy Offer Curve was rejected.  </w:t>
            </w:r>
            <w:r w:rsidRPr="00221D04">
              <w:rPr>
                <w:iCs/>
              </w:rPr>
              <w:t>Once an Operating Hour ends, an Energy Offer Curve for that hour cannot be submitted, updated, or canceled.</w:t>
            </w:r>
          </w:p>
          <w:p w14:paraId="1D798A22" w14:textId="77777777" w:rsidR="000341E3" w:rsidRPr="00221D04" w:rsidRDefault="000341E3" w:rsidP="000341E3">
            <w:pPr>
              <w:spacing w:after="240"/>
              <w:ind w:left="720" w:hanging="720"/>
              <w:rPr>
                <w:iCs/>
              </w:rPr>
            </w:pPr>
            <w:r w:rsidRPr="00221D04">
              <w:rPr>
                <w:iCs/>
              </w:rPr>
              <w:t>(5)</w:t>
            </w:r>
            <w:r w:rsidRPr="00221D04">
              <w:rPr>
                <w:iCs/>
              </w:rPr>
              <w:tab/>
              <w:t>A QSE may withdraw an Energy Offer Curve if:</w:t>
            </w:r>
          </w:p>
          <w:p w14:paraId="5AB505F4" w14:textId="77777777" w:rsidR="000341E3" w:rsidRPr="00221D04" w:rsidRDefault="000341E3" w:rsidP="000341E3">
            <w:pPr>
              <w:spacing w:after="240"/>
              <w:ind w:left="1440" w:hanging="720"/>
              <w:rPr>
                <w:szCs w:val="20"/>
              </w:rPr>
            </w:pPr>
            <w:r w:rsidRPr="00221D04">
              <w:rPr>
                <w:szCs w:val="20"/>
              </w:rPr>
              <w:t>(a)</w:t>
            </w:r>
            <w:r w:rsidRPr="00221D04">
              <w:rPr>
                <w:szCs w:val="20"/>
              </w:rPr>
              <w:tab/>
              <w:t>An Output Schedule is submitted for all intervals for which an Energy Offer Curve is withdrawn; or</w:t>
            </w:r>
          </w:p>
          <w:p w14:paraId="73B424C0" w14:textId="548C898A" w:rsidR="000341E3" w:rsidRPr="000341E3" w:rsidRDefault="000341E3" w:rsidP="000341E3">
            <w:pPr>
              <w:spacing w:after="240"/>
              <w:ind w:left="1440" w:hanging="720"/>
              <w:rPr>
                <w:szCs w:val="20"/>
              </w:rPr>
            </w:pPr>
            <w:r w:rsidRPr="00221D04">
              <w:rPr>
                <w:szCs w:val="20"/>
              </w:rPr>
              <w:t>(b)</w:t>
            </w:r>
            <w:r w:rsidRPr="00221D04">
              <w:rPr>
                <w:szCs w:val="20"/>
              </w:rPr>
              <w:tab/>
              <w:t>The Resource is forced Off-Line and notifies ERCOT of the Forced Outage by changing the Resource Status appropriately and updating its COP.</w:t>
            </w:r>
          </w:p>
        </w:tc>
      </w:tr>
    </w:tbl>
    <w:p w14:paraId="31B76C04" w14:textId="6F561177" w:rsidR="00DD5D25" w:rsidRPr="00150AB2" w:rsidRDefault="009F1CEA" w:rsidP="0006187D">
      <w:pPr>
        <w:pStyle w:val="BodyTextNumbered"/>
        <w:spacing w:before="240"/>
      </w:pPr>
      <w:r>
        <w:t>(5)</w:t>
      </w:r>
      <w:r>
        <w:tab/>
        <w:t xml:space="preserve">For any Operating Hour that is a RUC-Committed Interval or a DAM-Committed Interval for a Resource, a QSE for that Resource may not change a Startup Offer or </w:t>
      </w:r>
      <w:r w:rsidRPr="00150AB2">
        <w:t xml:space="preserve">Minimum-Energy Offer.    </w:t>
      </w:r>
    </w:p>
    <w:p w14:paraId="64B7B343" w14:textId="77777777" w:rsidR="00150AB2" w:rsidRDefault="009F1CEA" w:rsidP="00DD5D25">
      <w:pPr>
        <w:pStyle w:val="BodyTextNumbered"/>
      </w:pPr>
      <w:bookmarkStart w:id="442" w:name="_Toc310941012"/>
      <w:r w:rsidRPr="00150AB2">
        <w:t>(6)</w:t>
      </w:r>
      <w:r w:rsidRPr="00150AB2">
        <w:tab/>
        <w:t>If a valid Energy Offer Curve or an Output Schedule does not exist for a Resource that has a status of On-Line at the end of the Adjustment Period, then ERCOT shall notify the QSE and set the Output Schedule equal to the then current telemetered output of the Resource until an Output Schedule or Energy Offer Curve is submitted in a subsequent Adjustment Period.</w:t>
      </w:r>
      <w:bookmarkStart w:id="443" w:name="_Toc142108935"/>
      <w:bookmarkStart w:id="444" w:name="_Toc142113780"/>
      <w:bookmarkEnd w:id="442"/>
      <w:r w:rsidRPr="00150AB2" w:rsidDel="009F1CEA">
        <w:t xml:space="preserve"> </w:t>
      </w:r>
      <w:bookmarkStart w:id="445" w:name="_Toc90197108"/>
      <w:bookmarkStart w:id="446" w:name="_Toc142108936"/>
      <w:bookmarkStart w:id="447" w:name="_Toc142113781"/>
      <w:bookmarkEnd w:id="436"/>
      <w:bookmarkEnd w:id="443"/>
      <w:bookmarkEnd w:id="444"/>
    </w:p>
    <w:p w14:paraId="23A0D9F7" w14:textId="762DF4A2" w:rsidR="006F4803" w:rsidRPr="00150AB2" w:rsidRDefault="006F4803" w:rsidP="00DD5D25">
      <w:pPr>
        <w:pStyle w:val="BodyTextNumbered"/>
      </w:pPr>
      <w:r>
        <w:t>(7)</w:t>
      </w:r>
      <w:r>
        <w:tab/>
        <w:t>Notwithstanding any other provision in this subsection, a</w:t>
      </w:r>
      <w:r w:rsidRPr="004D2B13">
        <w:t xml:space="preserve"> QSE </w:t>
      </w:r>
      <w:r>
        <w:t>representing</w:t>
      </w:r>
      <w:r w:rsidRPr="004D2B13">
        <w:t xml:space="preserve"> an </w:t>
      </w:r>
      <w:r w:rsidR="00AA5DBF">
        <w:t>Energy Storage Resource (</w:t>
      </w:r>
      <w:r w:rsidR="00AA5DBF" w:rsidRPr="004D2B13">
        <w:t>ESR</w:t>
      </w:r>
      <w:r w:rsidR="00AA5DBF">
        <w:t xml:space="preserve">) </w:t>
      </w:r>
      <w:r w:rsidRPr="0019021D">
        <w:t xml:space="preserve">may submit </w:t>
      </w:r>
      <w:r>
        <w:t>or update its</w:t>
      </w:r>
      <w:r w:rsidRPr="0019021D">
        <w:t xml:space="preserve"> Energy Offer Curve </w:t>
      </w:r>
      <w:r>
        <w:t>for that ESR at any time prior to SCED execution</w:t>
      </w:r>
      <w:r w:rsidRPr="004D2B13">
        <w:t xml:space="preserve">, and </w:t>
      </w:r>
      <w:r w:rsidRPr="0019021D">
        <w:t xml:space="preserve">SCED will use the latest updated Energy Offer Curve available </w:t>
      </w:r>
      <w:r>
        <w:t>in</w:t>
      </w:r>
      <w:r w:rsidRPr="0019021D">
        <w:t xml:space="preserve"> the system.</w:t>
      </w:r>
      <w:r>
        <w:t xml:space="preserve">  </w:t>
      </w:r>
      <w:r>
        <w:rPr>
          <w:snapToGrid w:val="0"/>
        </w:rPr>
        <w:t xml:space="preserve">If a new Energy Offer Curve is not deemed to be valid, then the most recent valid Energy Offer Curve available in the system at the time of SCED execution will be used and ERCOT will notify the QSE that the invalid Energy Offer Curve was rejected.  </w:t>
      </w:r>
      <w:r w:rsidRPr="00A160B5">
        <w:t xml:space="preserve">Once </w:t>
      </w:r>
      <w:r>
        <w:t>an</w:t>
      </w:r>
      <w:r w:rsidRPr="00A160B5">
        <w:t xml:space="preserve"> Operating Hour </w:t>
      </w:r>
      <w:r>
        <w:t>ends</w:t>
      </w:r>
      <w:r w:rsidRPr="00A160B5">
        <w:t>, an Energy Offer Curve for that hour cannot be submitted, updated, or canceled.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258B7" w:rsidRPr="004B32CF" w14:paraId="1832FBA5" w14:textId="77777777" w:rsidTr="007258B7">
        <w:trPr>
          <w:trHeight w:val="386"/>
        </w:trPr>
        <w:tc>
          <w:tcPr>
            <w:tcW w:w="9350" w:type="dxa"/>
            <w:shd w:val="pct12" w:color="auto" w:fill="auto"/>
          </w:tcPr>
          <w:p w14:paraId="203123B1" w14:textId="113E1FD3" w:rsidR="007258B7" w:rsidRPr="00321CA1" w:rsidRDefault="007258B7" w:rsidP="00B96815">
            <w:pPr>
              <w:spacing w:before="120" w:after="240"/>
            </w:pPr>
            <w:bookmarkStart w:id="448" w:name="_Toc402345605"/>
            <w:bookmarkStart w:id="449" w:name="_Toc405383888"/>
            <w:bookmarkStart w:id="450" w:name="_Toc405536991"/>
            <w:bookmarkStart w:id="451" w:name="_Toc440871778"/>
            <w:r>
              <w:rPr>
                <w:b/>
                <w:i/>
                <w:iCs/>
              </w:rPr>
              <w:t>[NPRR1014</w:t>
            </w:r>
            <w:r w:rsidR="000341E3">
              <w:rPr>
                <w:b/>
                <w:i/>
                <w:iCs/>
              </w:rPr>
              <w:t xml:space="preserve"> and NPRR1058</w:t>
            </w:r>
            <w:r>
              <w:rPr>
                <w:b/>
                <w:i/>
                <w:iCs/>
              </w:rPr>
              <w:t xml:space="preserve">:  Delete paragraph (7) above </w:t>
            </w:r>
            <w:r w:rsidRPr="004B32CF">
              <w:rPr>
                <w:b/>
                <w:i/>
                <w:iCs/>
              </w:rPr>
              <w:t>upon system implementation</w:t>
            </w:r>
            <w:r w:rsidR="00B96815">
              <w:rPr>
                <w:b/>
                <w:i/>
                <w:iCs/>
              </w:rPr>
              <w:t>.</w:t>
            </w:r>
            <w:r w:rsidRPr="004B32CF">
              <w:rPr>
                <w:b/>
                <w:i/>
                <w:iCs/>
              </w:rPr>
              <w:t>]</w:t>
            </w:r>
          </w:p>
        </w:tc>
      </w:tr>
    </w:tbl>
    <w:p w14:paraId="7664FB10" w14:textId="6BD3B878" w:rsidR="00FF2129" w:rsidRDefault="00482EF3" w:rsidP="0093304E">
      <w:pPr>
        <w:pStyle w:val="H5"/>
        <w:spacing w:before="480"/>
        <w:ind w:left="1627" w:hanging="1627"/>
      </w:pPr>
      <w:bookmarkStart w:id="452" w:name="_Toc135990653"/>
      <w:r>
        <w:lastRenderedPageBreak/>
        <w:t>4.4.9.3.1</w:t>
      </w:r>
      <w:r>
        <w:tab/>
        <w:t xml:space="preserve">Energy Offer Curve </w:t>
      </w:r>
      <w:bookmarkEnd w:id="445"/>
      <w:r>
        <w:t>Criteria</w:t>
      </w:r>
      <w:bookmarkEnd w:id="446"/>
      <w:bookmarkEnd w:id="447"/>
      <w:bookmarkEnd w:id="448"/>
      <w:bookmarkEnd w:id="449"/>
      <w:bookmarkEnd w:id="450"/>
      <w:bookmarkEnd w:id="451"/>
      <w:bookmarkEnd w:id="452"/>
    </w:p>
    <w:p w14:paraId="1B0079F8" w14:textId="77777777" w:rsidR="00FF2129" w:rsidRDefault="00482EF3">
      <w:pPr>
        <w:pStyle w:val="BodyTextNumbered"/>
      </w:pPr>
      <w:r>
        <w:t>(1)</w:t>
      </w:r>
      <w:r>
        <w:tab/>
        <w:t>Each Energy Offer Curve must be reported by a QSE and must include the following information:</w:t>
      </w:r>
    </w:p>
    <w:p w14:paraId="7C53DAF5" w14:textId="77777777" w:rsidR="00FF2129" w:rsidRDefault="00482EF3">
      <w:pPr>
        <w:pStyle w:val="List"/>
        <w:ind w:left="1440"/>
      </w:pPr>
      <w:r>
        <w:t>(a)</w:t>
      </w:r>
      <w:r>
        <w:tab/>
        <w:t>The selling QSE;</w:t>
      </w:r>
    </w:p>
    <w:p w14:paraId="3803EE3A" w14:textId="77777777" w:rsidR="00FF2129" w:rsidRDefault="00482EF3">
      <w:pPr>
        <w:pStyle w:val="List"/>
        <w:ind w:left="1440"/>
      </w:pPr>
      <w:r>
        <w:t>(b)</w:t>
      </w:r>
      <w:r>
        <w:tab/>
        <w:t>The Resource represented by the QSE from which the offer would be supplied;</w:t>
      </w:r>
    </w:p>
    <w:p w14:paraId="09D6FF6A" w14:textId="77777777" w:rsidR="00FF2129" w:rsidRDefault="00482EF3">
      <w:pPr>
        <w:pStyle w:val="List"/>
        <w:ind w:left="1440"/>
      </w:pPr>
      <w:r>
        <w:t>(c)</w:t>
      </w:r>
      <w:r>
        <w:tab/>
        <w:t>A monotonically increasing offer curve for both price (in $/MWh) and quantity (in MW) with no more than ten price/quantity pairs;</w:t>
      </w:r>
    </w:p>
    <w:p w14:paraId="18113EE8" w14:textId="77777777" w:rsidR="00FF2129" w:rsidRDefault="00482EF3">
      <w:pPr>
        <w:pStyle w:val="List"/>
        <w:ind w:left="1440"/>
      </w:pPr>
      <w:r>
        <w:t>(d)</w:t>
      </w:r>
      <w:r>
        <w:tab/>
        <w:t xml:space="preserve">The first and last hour of the Offer; </w:t>
      </w:r>
    </w:p>
    <w:p w14:paraId="68A70300" w14:textId="77777777" w:rsidR="00FF2129" w:rsidRDefault="00482EF3">
      <w:pPr>
        <w:pStyle w:val="List"/>
        <w:ind w:left="1440"/>
      </w:pPr>
      <w:r>
        <w:t>(e)</w:t>
      </w:r>
      <w:r>
        <w:tab/>
        <w:t xml:space="preserve">The expiration time and date of the offer; </w:t>
      </w:r>
    </w:p>
    <w:p w14:paraId="6A2B0418" w14:textId="77777777" w:rsidR="00FF2129" w:rsidRDefault="00482EF3">
      <w:pPr>
        <w:pStyle w:val="List"/>
        <w:ind w:left="1440"/>
      </w:pPr>
      <w:r>
        <w:t>(f)</w:t>
      </w:r>
      <w:r>
        <w:tab/>
      </w:r>
      <w:r>
        <w:rPr>
          <w:rStyle w:val="msoins0"/>
          <w:u w:val="none"/>
        </w:rPr>
        <w:t xml:space="preserve">List of Ancillary Service Offers from the same Resource; </w:t>
      </w:r>
    </w:p>
    <w:p w14:paraId="0F48F88B" w14:textId="77777777" w:rsidR="00FF2129" w:rsidRDefault="00482EF3">
      <w:pPr>
        <w:pStyle w:val="List"/>
        <w:ind w:left="1440"/>
      </w:pPr>
      <w:r>
        <w:t>(g)</w:t>
      </w:r>
      <w:r>
        <w:tab/>
        <w:t>Inclusive or exclusive designation relative to other DAM offers; and</w:t>
      </w:r>
    </w:p>
    <w:p w14:paraId="7D73AE94" w14:textId="77777777" w:rsidR="00FF2129" w:rsidRDefault="00482EF3">
      <w:pPr>
        <w:pStyle w:val="List"/>
        <w:ind w:left="1440"/>
      </w:pPr>
      <w:r>
        <w:t>(h)</w:t>
      </w:r>
      <w:r>
        <w:tab/>
        <w:t>Percentage of FIP and percentage of FOP for generation above LSL subject to the sum of the percentages not exceeding 100%.</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26266" w:rsidRPr="004B32CF" w14:paraId="43C96630" w14:textId="77777777" w:rsidTr="007258B7">
        <w:trPr>
          <w:trHeight w:val="386"/>
        </w:trPr>
        <w:tc>
          <w:tcPr>
            <w:tcW w:w="9350" w:type="dxa"/>
            <w:shd w:val="pct12" w:color="auto" w:fill="auto"/>
          </w:tcPr>
          <w:p w14:paraId="0BBE9EFA" w14:textId="71D9E45F" w:rsidR="00526266" w:rsidRPr="004B32CF" w:rsidRDefault="00526266" w:rsidP="007258B7">
            <w:pPr>
              <w:spacing w:before="120" w:after="240"/>
              <w:rPr>
                <w:b/>
                <w:i/>
                <w:iCs/>
              </w:rPr>
            </w:pPr>
            <w:r>
              <w:rPr>
                <w:b/>
                <w:i/>
                <w:iCs/>
              </w:rPr>
              <w:t>[NPRR1008</w:t>
            </w:r>
            <w:r w:rsidR="000341E3">
              <w:rPr>
                <w:b/>
                <w:i/>
                <w:iCs/>
              </w:rPr>
              <w:t xml:space="preserve"> and NPRR1058</w:t>
            </w:r>
            <w:r>
              <w:rPr>
                <w:b/>
                <w:i/>
                <w:iCs/>
              </w:rPr>
              <w:t xml:space="preserve">:  Replace </w:t>
            </w:r>
            <w:r w:rsidR="000341E3">
              <w:rPr>
                <w:b/>
                <w:i/>
                <w:iCs/>
              </w:rPr>
              <w:t xml:space="preserve">applicable portions of </w:t>
            </w:r>
            <w:r>
              <w:rPr>
                <w:b/>
                <w:i/>
                <w:iCs/>
              </w:rPr>
              <w:t>paragraph (1</w:t>
            </w:r>
            <w:r w:rsidRPr="004B32CF">
              <w:rPr>
                <w:b/>
                <w:i/>
                <w:iCs/>
              </w:rPr>
              <w:t>) above with the following upon system implementation</w:t>
            </w:r>
            <w:r>
              <w:rPr>
                <w:b/>
                <w:i/>
                <w:iCs/>
              </w:rPr>
              <w:t xml:space="preserve"> of the Real-Time Co-Optimization (RTC) project</w:t>
            </w:r>
            <w:r w:rsidR="000341E3">
              <w:rPr>
                <w:b/>
                <w:i/>
                <w:iCs/>
              </w:rPr>
              <w:t xml:space="preserve"> for NPRR1008; or upon system implementation for NPRR1058</w:t>
            </w:r>
            <w:r w:rsidRPr="004B32CF">
              <w:rPr>
                <w:b/>
                <w:i/>
                <w:iCs/>
              </w:rPr>
              <w:t>:]</w:t>
            </w:r>
          </w:p>
          <w:p w14:paraId="651766DA" w14:textId="77777777" w:rsidR="00526266" w:rsidRDefault="00526266" w:rsidP="00526266">
            <w:pPr>
              <w:pStyle w:val="BodyTextNumbered"/>
            </w:pPr>
            <w:r>
              <w:t>(1)</w:t>
            </w:r>
            <w:r>
              <w:tab/>
              <w:t>Each Energy Offer Curve must be reported by a QSE and must include the following information:</w:t>
            </w:r>
          </w:p>
          <w:p w14:paraId="4DD1AB3C" w14:textId="77777777" w:rsidR="00526266" w:rsidRDefault="00526266" w:rsidP="00526266">
            <w:pPr>
              <w:pStyle w:val="List"/>
              <w:ind w:left="1440"/>
            </w:pPr>
            <w:r>
              <w:t>(a)</w:t>
            </w:r>
            <w:r>
              <w:tab/>
              <w:t>The selling QSE;</w:t>
            </w:r>
          </w:p>
          <w:p w14:paraId="7FA3082A" w14:textId="77777777" w:rsidR="00526266" w:rsidRDefault="00526266" w:rsidP="00526266">
            <w:pPr>
              <w:pStyle w:val="List"/>
              <w:ind w:left="1440"/>
            </w:pPr>
            <w:r>
              <w:t>(b)</w:t>
            </w:r>
            <w:r>
              <w:tab/>
              <w:t>The Resource represented by the QSE from which the offer would be supplied;</w:t>
            </w:r>
          </w:p>
          <w:p w14:paraId="2C7D3EA0" w14:textId="77777777" w:rsidR="00526266" w:rsidRDefault="00526266" w:rsidP="00526266">
            <w:pPr>
              <w:pStyle w:val="List"/>
              <w:ind w:left="1440"/>
            </w:pPr>
            <w:r>
              <w:t>(c)</w:t>
            </w:r>
            <w:r>
              <w:tab/>
              <w:t>A monotonically increasing offer curve for both price (in $/MWh) and quantity (in MW) with no more than ten price/quantity pairs;</w:t>
            </w:r>
          </w:p>
          <w:p w14:paraId="5BD85445" w14:textId="77777777" w:rsidR="00526266" w:rsidRDefault="00526266" w:rsidP="00526266">
            <w:pPr>
              <w:pStyle w:val="List"/>
              <w:ind w:left="1440"/>
            </w:pPr>
            <w:r>
              <w:t>(d)</w:t>
            </w:r>
            <w:r>
              <w:tab/>
              <w:t xml:space="preserve">The first and last hour of the Offer; </w:t>
            </w:r>
          </w:p>
          <w:p w14:paraId="1525B43C" w14:textId="77777777" w:rsidR="00526266" w:rsidRPr="00243541" w:rsidRDefault="00526266" w:rsidP="00526266">
            <w:pPr>
              <w:pStyle w:val="List"/>
              <w:ind w:left="1440"/>
            </w:pPr>
            <w:r w:rsidRPr="00243541">
              <w:t>(e)</w:t>
            </w:r>
            <w:r w:rsidRPr="00243541">
              <w:tab/>
              <w:t xml:space="preserve">The expiration time and date of the offer; </w:t>
            </w:r>
          </w:p>
          <w:p w14:paraId="62801B1E" w14:textId="177F5515" w:rsidR="00526266" w:rsidRPr="00243541" w:rsidRDefault="00526266" w:rsidP="00526266">
            <w:pPr>
              <w:pStyle w:val="List"/>
              <w:ind w:left="1440"/>
            </w:pPr>
            <w:r w:rsidRPr="00243541">
              <w:t>(f)</w:t>
            </w:r>
            <w:r w:rsidRPr="00243541">
              <w:tab/>
              <w:t>Inclusive or exclusive designation relative to other DAM offers (for Real-Time, Energy Offer Curves are always considered to be inclusive with Ancillary Service Offers);</w:t>
            </w:r>
          </w:p>
          <w:p w14:paraId="2D6C2354" w14:textId="0AEFD322" w:rsidR="00526266" w:rsidRDefault="00526266" w:rsidP="00526266">
            <w:pPr>
              <w:pStyle w:val="List"/>
              <w:ind w:left="1440"/>
            </w:pPr>
            <w:r w:rsidRPr="00243541">
              <w:t>(g)</w:t>
            </w:r>
            <w:r w:rsidRPr="00243541">
              <w:tab/>
              <w:t>Percentage of FIP and percentage of FOP for generation above LSL subject to the sum of the</w:t>
            </w:r>
            <w:r>
              <w:t xml:space="preserve"> percentages not exceeding 100%</w:t>
            </w:r>
            <w:r w:rsidR="000341E3">
              <w:t>; and</w:t>
            </w:r>
          </w:p>
          <w:p w14:paraId="2AE58FC6" w14:textId="47A724C8" w:rsidR="000341E3" w:rsidRPr="00B11AAC" w:rsidRDefault="000341E3" w:rsidP="00526266">
            <w:pPr>
              <w:pStyle w:val="List"/>
              <w:ind w:left="1440"/>
            </w:pPr>
            <w:r w:rsidRPr="00221D04">
              <w:rPr>
                <w:szCs w:val="20"/>
              </w:rPr>
              <w:lastRenderedPageBreak/>
              <w:t>(h</w:t>
            </w:r>
            <w:r>
              <w:rPr>
                <w:szCs w:val="20"/>
              </w:rPr>
              <w:t>)</w:t>
            </w:r>
            <w:r w:rsidRPr="00221D04">
              <w:rPr>
                <w:szCs w:val="20"/>
              </w:rPr>
              <w:tab/>
              <w:t>Reason for update of the offer, if submitting after the end of the Adjustment Period.</w:t>
            </w:r>
          </w:p>
        </w:tc>
      </w:tr>
    </w:tbl>
    <w:p w14:paraId="5F818ED4" w14:textId="6CF23BAA" w:rsidR="00FF2129" w:rsidRDefault="00482EF3" w:rsidP="00F539C2">
      <w:pPr>
        <w:pStyle w:val="BodyTextNumbered"/>
        <w:spacing w:before="240"/>
      </w:pPr>
      <w:r>
        <w:lastRenderedPageBreak/>
        <w:t>(2)</w:t>
      </w:r>
      <w:r>
        <w:tab/>
        <w:t>An Energy Offer Curve must be within the range of -$250.00 per MWh and the SWCAP in dollars per MWh.  The software systems must be able to provide ERCOT with the ability to enter Resource-specific Energy Offer Curve floors and caps.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26266" w:rsidRPr="004B32CF" w14:paraId="3F903411" w14:textId="77777777" w:rsidTr="007258B7">
        <w:trPr>
          <w:trHeight w:val="386"/>
        </w:trPr>
        <w:tc>
          <w:tcPr>
            <w:tcW w:w="9350" w:type="dxa"/>
            <w:shd w:val="pct12" w:color="auto" w:fill="auto"/>
          </w:tcPr>
          <w:p w14:paraId="5C24D0DD" w14:textId="43BE15F3" w:rsidR="00526266" w:rsidRPr="004B32CF" w:rsidRDefault="00526266" w:rsidP="007258B7">
            <w:pPr>
              <w:spacing w:before="120" w:after="240"/>
              <w:rPr>
                <w:b/>
                <w:i/>
                <w:iCs/>
              </w:rPr>
            </w:pPr>
            <w:r>
              <w:rPr>
                <w:b/>
                <w:i/>
                <w:iCs/>
              </w:rPr>
              <w:t>[NPRR1008:  Replace paragraph (2</w:t>
            </w:r>
            <w:r w:rsidRPr="004B32CF">
              <w:rPr>
                <w:b/>
                <w:i/>
                <w:iCs/>
              </w:rPr>
              <w:t>) above with the following upon system implementation</w:t>
            </w:r>
            <w:r>
              <w:rPr>
                <w:b/>
                <w:i/>
                <w:iCs/>
              </w:rPr>
              <w:t xml:space="preserve"> of the Real-Time Co-Optimization (RTC) project</w:t>
            </w:r>
            <w:r w:rsidRPr="004B32CF">
              <w:rPr>
                <w:b/>
                <w:i/>
                <w:iCs/>
              </w:rPr>
              <w:t>:]</w:t>
            </w:r>
          </w:p>
          <w:p w14:paraId="2F67E385" w14:textId="09C1EE4C" w:rsidR="00526266" w:rsidRPr="00B11AAC" w:rsidRDefault="00526266" w:rsidP="00526266">
            <w:pPr>
              <w:pStyle w:val="BodyTextNumbered"/>
            </w:pPr>
            <w:r>
              <w:t>(2)</w:t>
            </w:r>
            <w:r>
              <w:tab/>
              <w:t>An Energy Offer Curve must be within the range of -$250.00 per MWh and either the DASWCAP or RTSWCAP, depending on the timing of the submission, in dollars per MWh.</w:t>
            </w:r>
          </w:p>
        </w:tc>
      </w:tr>
    </w:tbl>
    <w:p w14:paraId="0851317D" w14:textId="62D97376" w:rsidR="00FF2129" w:rsidRDefault="00482EF3" w:rsidP="00F539C2">
      <w:pPr>
        <w:pStyle w:val="BodyTextNumbered"/>
        <w:spacing w:before="240"/>
      </w:pPr>
      <w:r>
        <w:t>(3)</w:t>
      </w:r>
      <w:r>
        <w:tab/>
        <w:t>The minimum amount per Resource for each Energy Offer Curve that may be offered is one MW.</w:t>
      </w:r>
    </w:p>
    <w:p w14:paraId="2DE42D0D" w14:textId="77777777" w:rsidR="00FF2129" w:rsidRDefault="00482EF3" w:rsidP="00003B06">
      <w:pPr>
        <w:pStyle w:val="H5"/>
        <w:spacing w:before="480"/>
        <w:ind w:left="1627" w:hanging="1627"/>
      </w:pPr>
      <w:bookmarkStart w:id="453" w:name="_Toc90197109"/>
      <w:bookmarkStart w:id="454" w:name="_Toc142108937"/>
      <w:bookmarkStart w:id="455" w:name="_Toc142113782"/>
      <w:bookmarkStart w:id="456" w:name="_Toc402345606"/>
      <w:bookmarkStart w:id="457" w:name="_Toc405383889"/>
      <w:bookmarkStart w:id="458" w:name="_Toc405536992"/>
      <w:bookmarkStart w:id="459" w:name="_Toc440871779"/>
      <w:bookmarkStart w:id="460" w:name="_Toc135990654"/>
      <w:r>
        <w:t>4.4.9.3.2</w:t>
      </w:r>
      <w:r>
        <w:tab/>
        <w:t>Energy Offer Curve Validation</w:t>
      </w:r>
      <w:bookmarkEnd w:id="453"/>
      <w:bookmarkEnd w:id="454"/>
      <w:bookmarkEnd w:id="455"/>
      <w:bookmarkEnd w:id="456"/>
      <w:bookmarkEnd w:id="457"/>
      <w:bookmarkEnd w:id="458"/>
      <w:bookmarkEnd w:id="459"/>
      <w:bookmarkEnd w:id="460"/>
    </w:p>
    <w:p w14:paraId="25A11EBF" w14:textId="77777777" w:rsidR="00FF2129" w:rsidRDefault="00482EF3">
      <w:pPr>
        <w:pStyle w:val="BodyTextNumbered"/>
      </w:pPr>
      <w:r>
        <w:t>(1)</w:t>
      </w:r>
      <w:r>
        <w:tab/>
        <w:t>A valid Energy Offer Curve is an offer curve that ERCOT has determined meets the criteria listed in Section 4.4.9.3.1, Energy Offer Curve Criteria, and the Energy Offer Curve that is part of a Three-Part Supply Offer for which the Startup Offer and Minimum-Energy Offer has also been validated.</w:t>
      </w:r>
    </w:p>
    <w:p w14:paraId="312542C1" w14:textId="77777777" w:rsidR="00FF2129" w:rsidRDefault="00482EF3">
      <w:pPr>
        <w:pStyle w:val="BodyTextNumbered"/>
      </w:pPr>
      <w:r>
        <w:t>(2)</w:t>
      </w:r>
      <w:r>
        <w:tab/>
        <w:t>ERCOT shall notify the QSE submitting an Energy Offer Curve by the Messaging System if the offer was rejected or was considered invalid for any reason.  The QSE may then resubmit the offer within the appropriate market timeline.</w:t>
      </w:r>
    </w:p>
    <w:p w14:paraId="7D7EB6E2" w14:textId="77777777" w:rsidR="00FF2129" w:rsidRDefault="00482EF3">
      <w:pPr>
        <w:pStyle w:val="BodyTextNumbered"/>
      </w:pPr>
      <w:r>
        <w:t>(3)</w:t>
      </w:r>
      <w:r>
        <w:tab/>
        <w:t xml:space="preserve">ERCOT shall continuously validate Energy Offer Curves and continuously display on the MIS Certified Area information that allows any QSE to view its valid Energy Offer Curves.  </w:t>
      </w:r>
    </w:p>
    <w:p w14:paraId="013AF4F7" w14:textId="4ED475C9" w:rsidR="00FF2129" w:rsidRDefault="00482EF3" w:rsidP="00003B06">
      <w:pPr>
        <w:pStyle w:val="H5"/>
        <w:spacing w:before="480"/>
        <w:ind w:left="1627" w:hanging="1627"/>
      </w:pPr>
      <w:bookmarkStart w:id="461" w:name="_Toc142108938"/>
      <w:bookmarkStart w:id="462" w:name="_Toc142113783"/>
      <w:bookmarkStart w:id="463" w:name="_Toc402345607"/>
      <w:bookmarkStart w:id="464" w:name="_Toc405383890"/>
      <w:bookmarkStart w:id="465" w:name="_Toc405536993"/>
      <w:bookmarkStart w:id="466" w:name="_Toc440871780"/>
      <w:bookmarkStart w:id="467" w:name="_Toc135990655"/>
      <w:r>
        <w:t>4.4.9.3.3</w:t>
      </w:r>
      <w:r>
        <w:tab/>
        <w:t xml:space="preserve">Energy Offer Curve </w:t>
      </w:r>
      <w:r w:rsidR="005A7FF5">
        <w:t xml:space="preserve">Cost </w:t>
      </w:r>
      <w:r>
        <w:t>Caps</w:t>
      </w:r>
      <w:bookmarkEnd w:id="461"/>
      <w:bookmarkEnd w:id="462"/>
      <w:bookmarkEnd w:id="463"/>
      <w:bookmarkEnd w:id="464"/>
      <w:bookmarkEnd w:id="465"/>
      <w:bookmarkEnd w:id="466"/>
      <w:bookmarkEnd w:id="467"/>
    </w:p>
    <w:p w14:paraId="4DD45AC2" w14:textId="730CEAC5" w:rsidR="00FF2129" w:rsidRDefault="00482EF3" w:rsidP="00F46812">
      <w:pPr>
        <w:pStyle w:val="BodyTextNumbered"/>
      </w:pPr>
      <w:r>
        <w:t>(1)</w:t>
      </w:r>
      <w:r>
        <w:tab/>
        <w:t xml:space="preserve">The following Energy Offer Curve </w:t>
      </w:r>
      <w:r w:rsidR="005A7FF5">
        <w:t xml:space="preserve">Cost </w:t>
      </w:r>
      <w:r>
        <w:t>Caps must be used for the purpose of make-whole Settlements</w:t>
      </w:r>
      <w:r w:rsidR="005A7FF5" w:rsidRPr="005A4F98">
        <w:t>, Real-Time High Dispatch Limit Override Energy Payments, and Voltage Support Service Payments</w:t>
      </w:r>
      <w:r>
        <w:t>:</w:t>
      </w:r>
    </w:p>
    <w:p w14:paraId="66AA92B3" w14:textId="53D93B71" w:rsidR="00FF2129" w:rsidRDefault="00482EF3" w:rsidP="00F46812">
      <w:pPr>
        <w:pStyle w:val="BulletIndent"/>
        <w:numPr>
          <w:ilvl w:val="0"/>
          <w:numId w:val="0"/>
        </w:numPr>
        <w:spacing w:after="240"/>
        <w:ind w:left="1440" w:hanging="720"/>
      </w:pPr>
      <w:r>
        <w:t>(a)</w:t>
      </w:r>
      <w:r>
        <w:tab/>
        <w:t>Nuclear = $15.00/MWh;</w:t>
      </w:r>
    </w:p>
    <w:p w14:paraId="38CADA9C" w14:textId="77777777" w:rsidR="00FF2129" w:rsidRDefault="00482EF3">
      <w:pPr>
        <w:pStyle w:val="BulletIndent"/>
        <w:numPr>
          <w:ilvl w:val="0"/>
          <w:numId w:val="0"/>
        </w:numPr>
        <w:spacing w:after="240"/>
        <w:ind w:left="1440" w:hanging="720"/>
      </w:pPr>
      <w:r>
        <w:t>(b)</w:t>
      </w:r>
      <w:r>
        <w:tab/>
        <w:t>Coal and Lignite = $18.00/MWh;</w:t>
      </w:r>
    </w:p>
    <w:p w14:paraId="593156A1" w14:textId="77777777" w:rsidR="00FF2129" w:rsidRDefault="00482EF3">
      <w:pPr>
        <w:pStyle w:val="BulletIndent"/>
        <w:numPr>
          <w:ilvl w:val="0"/>
          <w:numId w:val="0"/>
        </w:numPr>
        <w:spacing w:after="240"/>
        <w:ind w:left="1440" w:hanging="720"/>
      </w:pPr>
      <w:r>
        <w:lastRenderedPageBreak/>
        <w:t>(c)</w:t>
      </w:r>
      <w:r>
        <w:tab/>
        <w:t>Combined Cycle greater than 90 MW = 9 MMBtu/MWh * ((Percentage of FIP * FIP) + (Percentage of FOP * FOP))/100, as specified in the Energy Offer Curve;</w:t>
      </w:r>
    </w:p>
    <w:p w14:paraId="54D55506" w14:textId="77777777" w:rsidR="00FF2129" w:rsidRDefault="00482EF3">
      <w:pPr>
        <w:pStyle w:val="BulletIndent"/>
        <w:numPr>
          <w:ilvl w:val="0"/>
          <w:numId w:val="0"/>
        </w:numPr>
        <w:spacing w:after="240"/>
        <w:ind w:left="1440" w:hanging="720"/>
      </w:pPr>
      <w:r>
        <w:t>(d)</w:t>
      </w:r>
      <w:r>
        <w:tab/>
        <w:t>Combined Cycle less than or equal to 90 MW = 10 MMBtu/MWh * ((Percentage of FIP * FIP) + (Percentage of FOP * FOP))/100, as specified in the Energy Offer Curve;</w:t>
      </w:r>
    </w:p>
    <w:p w14:paraId="172BAEA9" w14:textId="77777777" w:rsidR="00FF2129" w:rsidRDefault="00482EF3">
      <w:pPr>
        <w:pStyle w:val="BulletIndent"/>
        <w:numPr>
          <w:ilvl w:val="0"/>
          <w:numId w:val="0"/>
        </w:numPr>
        <w:spacing w:after="240"/>
        <w:ind w:left="1440" w:hanging="720"/>
      </w:pPr>
      <w:r>
        <w:t>(e)</w:t>
      </w:r>
      <w:r>
        <w:tab/>
        <w:t>Gas - Steam Supercritical Boiler = 10.5 MMBtu/MWh * ((Percentage of FIP * FIP) + (Percentage of FOP * FOP))/100, as specified in the Energy Offer Curve;</w:t>
      </w:r>
    </w:p>
    <w:p w14:paraId="01D836F4" w14:textId="77777777" w:rsidR="00FF2129" w:rsidRDefault="00482EF3">
      <w:pPr>
        <w:pStyle w:val="BulletIndent"/>
        <w:numPr>
          <w:ilvl w:val="0"/>
          <w:numId w:val="0"/>
        </w:numPr>
        <w:spacing w:after="240"/>
        <w:ind w:left="1440" w:hanging="720"/>
      </w:pPr>
      <w:r>
        <w:t>(f)</w:t>
      </w:r>
      <w:r>
        <w:tab/>
        <w:t>Gas Steam Reheat Boiler = 11.5 MMBtu/MWh * ((Percentage of FIP * FIP) + (Percentage of FOP * FOP))/100, as specified in the Energy Offer Curve;</w:t>
      </w:r>
    </w:p>
    <w:p w14:paraId="5EC0F2E6" w14:textId="77777777" w:rsidR="00FF2129" w:rsidRDefault="00482EF3">
      <w:pPr>
        <w:pStyle w:val="BulletIndent"/>
        <w:numPr>
          <w:ilvl w:val="0"/>
          <w:numId w:val="0"/>
        </w:numPr>
        <w:spacing w:after="240"/>
        <w:ind w:left="1440" w:hanging="720"/>
      </w:pPr>
      <w:r>
        <w:t>(g)</w:t>
      </w:r>
      <w:r>
        <w:tab/>
        <w:t>Gas Steam Non-reheat or boiler without air-preheater = 14.5 MMBtu/MWh * ((Percentage of FIP * FIP) + (Percentage of FOP * FOP))/100, as specified in the Energy Offer Curve;</w:t>
      </w:r>
    </w:p>
    <w:p w14:paraId="2B334D9B" w14:textId="77777777" w:rsidR="00FF2129" w:rsidRDefault="00482EF3">
      <w:pPr>
        <w:pStyle w:val="BulletIndent"/>
        <w:numPr>
          <w:ilvl w:val="0"/>
          <w:numId w:val="0"/>
        </w:numPr>
        <w:spacing w:after="240"/>
        <w:ind w:left="1440" w:hanging="720"/>
      </w:pPr>
      <w:r>
        <w:t>(h)</w:t>
      </w:r>
      <w:r>
        <w:tab/>
        <w:t>Simple Cycle greater than 90 MW = 14 MMBtu/MWh * ((Percentage of FIP * FIP) + (Percentage of FOP * FOP))/100, as specified in the Energy Offer Curve;</w:t>
      </w:r>
    </w:p>
    <w:p w14:paraId="6A34FAF0" w14:textId="77777777" w:rsidR="00FF2129" w:rsidRDefault="00482EF3">
      <w:pPr>
        <w:pStyle w:val="BulletIndent"/>
        <w:numPr>
          <w:ilvl w:val="0"/>
          <w:numId w:val="0"/>
        </w:numPr>
        <w:spacing w:after="240"/>
        <w:ind w:left="1440" w:hanging="720"/>
      </w:pPr>
      <w:r>
        <w:t>(i)</w:t>
      </w:r>
      <w:r>
        <w:tab/>
        <w:t>Simple Cycle less than or equal to 90 MW = 15 MMBtu/MWh * ((Percentage of FIP * FIP) + (Percentage of FOP * FOP))/100, as specified in the Energy Offer Curve;</w:t>
      </w:r>
    </w:p>
    <w:p w14:paraId="0D8BBBE8" w14:textId="77777777" w:rsidR="00FF2129" w:rsidRDefault="00482EF3">
      <w:pPr>
        <w:pStyle w:val="BulletIndent"/>
        <w:numPr>
          <w:ilvl w:val="0"/>
          <w:numId w:val="0"/>
        </w:numPr>
        <w:spacing w:after="240"/>
        <w:ind w:left="1440" w:hanging="720"/>
      </w:pPr>
      <w:r>
        <w:t>(j)</w:t>
      </w:r>
      <w:r>
        <w:tab/>
        <w:t>Reciprocating Engines = 16 MMBtu/MWh * ((Percentage of FIP * FIP) + (Percentage of FOP * FOP))/100, as specified in the Energy Offer Curve;</w:t>
      </w:r>
    </w:p>
    <w:p w14:paraId="1EAB33FB" w14:textId="77777777" w:rsidR="00FF2129" w:rsidRDefault="00482EF3" w:rsidP="00163271">
      <w:pPr>
        <w:pStyle w:val="BulletIndent"/>
        <w:numPr>
          <w:ilvl w:val="0"/>
          <w:numId w:val="0"/>
        </w:numPr>
        <w:spacing w:after="240"/>
        <w:ind w:left="1440" w:hanging="720"/>
      </w:pPr>
      <w:r>
        <w:t>(k)</w:t>
      </w:r>
      <w:r>
        <w:tab/>
        <w:t>Hydro = $10.00/MWh;</w:t>
      </w:r>
    </w:p>
    <w:p w14:paraId="28F5DD95" w14:textId="77777777" w:rsidR="00FF2129" w:rsidRDefault="00482EF3">
      <w:pPr>
        <w:pStyle w:val="BulletIndent"/>
        <w:numPr>
          <w:ilvl w:val="0"/>
          <w:numId w:val="0"/>
        </w:numPr>
        <w:tabs>
          <w:tab w:val="left" w:pos="720"/>
          <w:tab w:val="left" w:pos="1440"/>
          <w:tab w:val="left" w:pos="2160"/>
          <w:tab w:val="left" w:pos="2880"/>
          <w:tab w:val="left" w:pos="3600"/>
          <w:tab w:val="left" w:pos="4320"/>
          <w:tab w:val="left" w:pos="7185"/>
        </w:tabs>
        <w:spacing w:after="240"/>
        <w:ind w:left="1440" w:hanging="720"/>
      </w:pPr>
      <w:r>
        <w:t>(l)</w:t>
      </w:r>
      <w:r>
        <w:tab/>
        <w:t xml:space="preserve">Other = </w:t>
      </w:r>
      <w:r w:rsidR="00DA4035">
        <w:t>SWCAP</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26266" w:rsidRPr="004B32CF" w14:paraId="77828099" w14:textId="77777777" w:rsidTr="007258B7">
        <w:trPr>
          <w:trHeight w:val="386"/>
        </w:trPr>
        <w:tc>
          <w:tcPr>
            <w:tcW w:w="9350" w:type="dxa"/>
            <w:shd w:val="pct12" w:color="auto" w:fill="auto"/>
          </w:tcPr>
          <w:p w14:paraId="1813036E" w14:textId="01DF1988" w:rsidR="00526266" w:rsidRPr="004B32CF" w:rsidRDefault="00526266" w:rsidP="007258B7">
            <w:pPr>
              <w:spacing w:before="120" w:after="240"/>
              <w:rPr>
                <w:b/>
                <w:i/>
                <w:iCs/>
              </w:rPr>
            </w:pPr>
            <w:r>
              <w:rPr>
                <w:b/>
                <w:i/>
                <w:iCs/>
              </w:rPr>
              <w:t>[NPRR1008</w:t>
            </w:r>
            <w:r w:rsidRPr="004B32CF">
              <w:rPr>
                <w:b/>
                <w:i/>
                <w:iCs/>
              </w:rPr>
              <w:t xml:space="preserve">:  Replace </w:t>
            </w:r>
            <w:r>
              <w:rPr>
                <w:b/>
                <w:i/>
                <w:iCs/>
              </w:rPr>
              <w:t>item (l)</w:t>
            </w:r>
            <w:r w:rsidRPr="004B32CF">
              <w:rPr>
                <w:b/>
                <w:i/>
                <w:iCs/>
              </w:rPr>
              <w:t xml:space="preserve"> above with the following upon system implementation</w:t>
            </w:r>
            <w:r>
              <w:rPr>
                <w:b/>
                <w:i/>
                <w:iCs/>
              </w:rPr>
              <w:t xml:space="preserve"> of the Real-Time Co-Optimization (RTC) project</w:t>
            </w:r>
            <w:r w:rsidRPr="004B32CF">
              <w:rPr>
                <w:b/>
                <w:i/>
                <w:iCs/>
              </w:rPr>
              <w:t>:]</w:t>
            </w:r>
          </w:p>
          <w:p w14:paraId="2C774AEF" w14:textId="1840F07B" w:rsidR="00526266" w:rsidRPr="00526266" w:rsidRDefault="00526266" w:rsidP="00526266">
            <w:pPr>
              <w:pStyle w:val="BulletIndent"/>
              <w:numPr>
                <w:ilvl w:val="0"/>
                <w:numId w:val="0"/>
              </w:numPr>
              <w:tabs>
                <w:tab w:val="left" w:pos="720"/>
                <w:tab w:val="left" w:pos="1440"/>
                <w:tab w:val="left" w:pos="2160"/>
                <w:tab w:val="left" w:pos="2880"/>
                <w:tab w:val="left" w:pos="3600"/>
                <w:tab w:val="left" w:pos="4320"/>
                <w:tab w:val="left" w:pos="7185"/>
              </w:tabs>
              <w:spacing w:after="240"/>
              <w:ind w:left="1440" w:hanging="720"/>
            </w:pPr>
            <w:r>
              <w:t>(l)</w:t>
            </w:r>
            <w:r>
              <w:tab/>
              <w:t>Other = DASWCAP or RTSWCAP;</w:t>
            </w:r>
          </w:p>
        </w:tc>
      </w:tr>
    </w:tbl>
    <w:p w14:paraId="7B4255D9" w14:textId="47B772F7" w:rsidR="00FF2129" w:rsidRDefault="00482EF3" w:rsidP="00F539C2">
      <w:pPr>
        <w:pStyle w:val="BulletIndent"/>
        <w:numPr>
          <w:ilvl w:val="0"/>
          <w:numId w:val="0"/>
        </w:numPr>
        <w:spacing w:before="240" w:after="240"/>
        <w:ind w:left="1440" w:hanging="720"/>
      </w:pPr>
      <w:r>
        <w:t>(m)</w:t>
      </w:r>
      <w:r>
        <w:tab/>
        <w:t xml:space="preserve">RMR Resource = </w:t>
      </w:r>
      <w:r w:rsidR="005A7FF5">
        <w:t>SWCAP</w:t>
      </w:r>
      <w:r w:rsidR="00DA4035">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717AD" w:rsidRPr="004B32CF" w14:paraId="458DF56C" w14:textId="77777777" w:rsidTr="00EE28DA">
        <w:trPr>
          <w:trHeight w:val="386"/>
        </w:trPr>
        <w:tc>
          <w:tcPr>
            <w:tcW w:w="9350" w:type="dxa"/>
            <w:shd w:val="pct12" w:color="auto" w:fill="auto"/>
          </w:tcPr>
          <w:p w14:paraId="3BD7040A" w14:textId="66D8E95C" w:rsidR="004717AD" w:rsidRPr="004B32CF" w:rsidRDefault="004717AD" w:rsidP="00EE28DA">
            <w:pPr>
              <w:spacing w:before="120" w:after="240"/>
              <w:rPr>
                <w:b/>
                <w:i/>
                <w:iCs/>
              </w:rPr>
            </w:pPr>
            <w:r>
              <w:rPr>
                <w:b/>
                <w:i/>
                <w:iCs/>
              </w:rPr>
              <w:t>[</w:t>
            </w:r>
            <w:r w:rsidR="00526266">
              <w:rPr>
                <w:b/>
                <w:i/>
                <w:iCs/>
              </w:rPr>
              <w:t>NPRR1008</w:t>
            </w:r>
            <w:r w:rsidRPr="004B32CF">
              <w:rPr>
                <w:b/>
                <w:i/>
                <w:iCs/>
              </w:rPr>
              <w:t xml:space="preserve">:  Replace </w:t>
            </w:r>
            <w:r>
              <w:rPr>
                <w:b/>
                <w:i/>
                <w:iCs/>
              </w:rPr>
              <w:t>item (m)</w:t>
            </w:r>
            <w:r w:rsidRPr="004B32CF">
              <w:rPr>
                <w:b/>
                <w:i/>
                <w:iCs/>
              </w:rPr>
              <w:t xml:space="preserve"> above with the following upon system implementation</w:t>
            </w:r>
            <w:r w:rsidR="00526266">
              <w:rPr>
                <w:b/>
                <w:i/>
                <w:iCs/>
              </w:rPr>
              <w:t xml:space="preserve"> of the Real-Time Co-Optimization (RTC) project</w:t>
            </w:r>
            <w:r w:rsidRPr="004B32CF">
              <w:rPr>
                <w:b/>
                <w:i/>
                <w:iCs/>
              </w:rPr>
              <w:t>:]</w:t>
            </w:r>
          </w:p>
          <w:p w14:paraId="42C2C860" w14:textId="24316221" w:rsidR="004717AD" w:rsidRPr="004717AD" w:rsidRDefault="004717AD" w:rsidP="00526266">
            <w:pPr>
              <w:pStyle w:val="BulletIndent"/>
              <w:numPr>
                <w:ilvl w:val="0"/>
                <w:numId w:val="0"/>
              </w:numPr>
              <w:spacing w:after="240"/>
              <w:ind w:left="1440" w:hanging="720"/>
              <w:rPr>
                <w:iCs/>
              </w:rPr>
            </w:pPr>
            <w:r w:rsidRPr="005A4F98">
              <w:rPr>
                <w:szCs w:val="20"/>
              </w:rPr>
              <w:t>(m)</w:t>
            </w:r>
            <w:r w:rsidRPr="005A4F98">
              <w:rPr>
                <w:szCs w:val="20"/>
              </w:rPr>
              <w:tab/>
              <w:t xml:space="preserve">RMR </w:t>
            </w:r>
            <w:r w:rsidRPr="004717AD">
              <w:t>Resource</w:t>
            </w:r>
            <w:r w:rsidRPr="005A4F98">
              <w:rPr>
                <w:szCs w:val="20"/>
              </w:rPr>
              <w:t xml:space="preserve"> = </w:t>
            </w:r>
            <w:r w:rsidR="00526266">
              <w:rPr>
                <w:szCs w:val="20"/>
              </w:rPr>
              <w:t>effective Value of Lost Load (VOLL)</w:t>
            </w:r>
            <w:r>
              <w:rPr>
                <w:szCs w:val="20"/>
              </w:rPr>
              <w:t>;</w:t>
            </w:r>
          </w:p>
        </w:tc>
      </w:tr>
    </w:tbl>
    <w:p w14:paraId="3AE452EE" w14:textId="7AF7792C" w:rsidR="00DA4035" w:rsidRPr="00F724D2" w:rsidRDefault="00DA4035" w:rsidP="00DA4035">
      <w:pPr>
        <w:spacing w:before="240" w:after="240"/>
        <w:ind w:left="1440" w:hanging="720"/>
        <w:rPr>
          <w:szCs w:val="20"/>
        </w:rPr>
      </w:pPr>
      <w:r w:rsidRPr="00F724D2">
        <w:rPr>
          <w:szCs w:val="20"/>
        </w:rPr>
        <w:t>(n)</w:t>
      </w:r>
      <w:r w:rsidRPr="00F724D2">
        <w:rPr>
          <w:szCs w:val="20"/>
        </w:rPr>
        <w:tab/>
        <w:t>Wind Generation Resources = $0.00/MWh; and</w:t>
      </w:r>
    </w:p>
    <w:p w14:paraId="644E39EB" w14:textId="77777777" w:rsidR="00DA4035" w:rsidRPr="00F724D2" w:rsidRDefault="00DA4035" w:rsidP="00DA4035">
      <w:pPr>
        <w:spacing w:before="240" w:after="240"/>
        <w:ind w:left="1440" w:hanging="720"/>
        <w:rPr>
          <w:szCs w:val="20"/>
        </w:rPr>
      </w:pPr>
      <w:r w:rsidRPr="00F724D2">
        <w:rPr>
          <w:szCs w:val="20"/>
        </w:rPr>
        <w:lastRenderedPageBreak/>
        <w:t xml:space="preserve">(o) </w:t>
      </w:r>
      <w:r w:rsidRPr="00F724D2">
        <w:rPr>
          <w:szCs w:val="20"/>
        </w:rPr>
        <w:tab/>
        <w:t>PhotoVoltaic Generation Resource (PVGR) = $0.00/MWh.</w:t>
      </w:r>
    </w:p>
    <w:p w14:paraId="2810D4D3" w14:textId="77777777" w:rsidR="00DA4035" w:rsidRDefault="00DA4035" w:rsidP="00DA4035">
      <w:pPr>
        <w:spacing w:after="240"/>
        <w:ind w:left="720" w:hanging="720"/>
      </w:pPr>
      <w:r w:rsidRPr="00F724D2">
        <w:t>(2)</w:t>
      </w:r>
      <w:r w:rsidRPr="00F724D2">
        <w:tab/>
      </w:r>
      <w:r w:rsidRPr="00F724D2">
        <w:rPr>
          <w:iCs/>
        </w:rPr>
        <w:t>ERCOT shall produce an annual report each April that provides the amount of DAM and RUC Make-Whole Payments during the previous calendar year for Resources categorized as Other, per item (1)(l) above, as a percentage of the total amount of DAM and RUC Make-Whole Payments made during the previous calendar year.  The report shall be based on final Settlements and include the total number of Resources classified as Other.  ERCOT shall present this report annually to the appropriate Technical Advisory Committee (TAC) subcommittee.  If there are no Make-Whole Payments for Resources categorized as Other for a given calendar year, then ERCOT will not be required to produce the annual report.</w:t>
      </w:r>
    </w:p>
    <w:p w14:paraId="28C15E12" w14:textId="77777777" w:rsidR="00FF2129" w:rsidRDefault="00482EF3" w:rsidP="009D6B45">
      <w:pPr>
        <w:pStyle w:val="BodyTextNumbered"/>
      </w:pPr>
      <w:r>
        <w:t>(</w:t>
      </w:r>
      <w:r w:rsidR="00DA4035">
        <w:t>3</w:t>
      </w:r>
      <w:r>
        <w:t>)</w:t>
      </w:r>
      <w:r>
        <w:tab/>
        <w:t>Items in paragraphs (1)(</w:t>
      </w:r>
      <w:r w:rsidR="00327B25">
        <w:t>c</w:t>
      </w:r>
      <w:r>
        <w:t>) and (</w:t>
      </w:r>
      <w:r w:rsidR="00327B25">
        <w:t>d</w:t>
      </w:r>
      <w:r>
        <w:t>) above are determined by capacity of largest simple-cycle combustion turbine in the train selected.</w:t>
      </w:r>
    </w:p>
    <w:p w14:paraId="1D42B3F4" w14:textId="77777777" w:rsidR="00FF2129" w:rsidRDefault="00482EF3">
      <w:pPr>
        <w:pStyle w:val="BodyTextNumbered"/>
      </w:pPr>
      <w:r>
        <w:t>(</w:t>
      </w:r>
      <w:r w:rsidR="00DA4035">
        <w:t>4</w:t>
      </w:r>
      <w:r>
        <w:t>)</w:t>
      </w:r>
      <w:r>
        <w:tab/>
        <w:t>The FIP and FOP used to calculate the Energy Offer Curve Cap for Make-Whole Payment calculation purposes shall be the FIP or FOP for the Operating Day.  In the event the Energy Offer Curve Cap for Make-Whole Payment calculation purposes must be calculated before the FIP or FOP is available for the particular Operating Day, the FIP and FOP for the most recent preceding Operating Day shall be used.  Once the FIP and FOP are available for a particular Operating Day, those values shall be used in the calculations.  If the percentage fuel mix is not specified or if no Energy Offer Curve exists, then the minimum of FIP or FOP shall be used.</w:t>
      </w:r>
    </w:p>
    <w:p w14:paraId="795EA1A3" w14:textId="77777777" w:rsidR="00FF2129" w:rsidRDefault="00482EF3" w:rsidP="00B96815">
      <w:pPr>
        <w:pStyle w:val="H4"/>
        <w:spacing w:before="480"/>
        <w:ind w:left="1267" w:hanging="1267"/>
      </w:pPr>
      <w:bookmarkStart w:id="468" w:name="_Toc88050873"/>
      <w:bookmarkStart w:id="469" w:name="_Toc142108939"/>
      <w:bookmarkStart w:id="470" w:name="_Toc142113784"/>
      <w:bookmarkStart w:id="471" w:name="_Toc402345608"/>
      <w:bookmarkStart w:id="472" w:name="_Toc405383891"/>
      <w:bookmarkStart w:id="473" w:name="_Toc405536994"/>
      <w:bookmarkStart w:id="474" w:name="_Toc440871781"/>
      <w:bookmarkStart w:id="475" w:name="_Toc135990656"/>
      <w:r>
        <w:t>4.4.9.4</w:t>
      </w:r>
      <w:r>
        <w:tab/>
        <w:t>Mitigated Offer Cap</w:t>
      </w:r>
      <w:bookmarkEnd w:id="468"/>
      <w:r>
        <w:t xml:space="preserve"> and Mitigated Offer Floor</w:t>
      </w:r>
      <w:bookmarkEnd w:id="469"/>
      <w:bookmarkEnd w:id="470"/>
      <w:bookmarkEnd w:id="471"/>
      <w:bookmarkEnd w:id="472"/>
      <w:bookmarkEnd w:id="473"/>
      <w:bookmarkEnd w:id="474"/>
      <w:bookmarkEnd w:id="475"/>
    </w:p>
    <w:p w14:paraId="3E6BD1D7" w14:textId="77777777" w:rsidR="0037023E" w:rsidRDefault="0037023E" w:rsidP="00003B06">
      <w:pPr>
        <w:pStyle w:val="H5"/>
        <w:spacing w:before="480"/>
      </w:pPr>
      <w:bookmarkStart w:id="476" w:name="_Toc402345609"/>
      <w:bookmarkStart w:id="477" w:name="_Toc405383892"/>
      <w:bookmarkStart w:id="478" w:name="_Toc405536995"/>
      <w:bookmarkStart w:id="479" w:name="_Toc440871782"/>
      <w:bookmarkStart w:id="480" w:name="_Toc135990657"/>
      <w:bookmarkStart w:id="481" w:name="_Toc142108940"/>
      <w:bookmarkStart w:id="482" w:name="_Toc142113785"/>
      <w:r>
        <w:t>4.4.9.4.1</w:t>
      </w:r>
      <w:r>
        <w:tab/>
        <w:t>Mitigated Offer Cap</w:t>
      </w:r>
      <w:bookmarkEnd w:id="476"/>
      <w:bookmarkEnd w:id="477"/>
      <w:bookmarkEnd w:id="478"/>
      <w:bookmarkEnd w:id="479"/>
      <w:bookmarkEnd w:id="480"/>
      <w:r>
        <w:t xml:space="preserve"> </w:t>
      </w:r>
    </w:p>
    <w:p w14:paraId="495E0709" w14:textId="77777777" w:rsidR="00B53E1C" w:rsidRDefault="00B53E1C" w:rsidP="00B53E1C">
      <w:pPr>
        <w:spacing w:after="240"/>
        <w:ind w:left="720" w:hanging="720"/>
        <w:rPr>
          <w:iCs/>
        </w:rPr>
      </w:pPr>
      <w:r w:rsidRPr="00D631BA">
        <w:rPr>
          <w:iCs/>
        </w:rPr>
        <w:t>(1)</w:t>
      </w:r>
      <w:r w:rsidRPr="00D631BA">
        <w:rPr>
          <w:iCs/>
        </w:rPr>
        <w:tab/>
        <w:t>Energy Offer Curves may be subject to mitigation in Real-Time operations under Section 6.5.7.3, Security Constrained Economic Dispatch, using a Mitigated Offer Cap</w:t>
      </w:r>
      <w:r>
        <w:rPr>
          <w:iCs/>
        </w:rPr>
        <w:t xml:space="preserve"> (MOC)</w:t>
      </w:r>
      <w:r w:rsidRPr="00D631BA">
        <w:rPr>
          <w:iCs/>
        </w:rPr>
        <w:t>.</w:t>
      </w:r>
      <w:r>
        <w:rPr>
          <w:iCs/>
        </w:rPr>
        <w:t xml:space="preserve">  </w:t>
      </w:r>
      <w:r w:rsidRPr="00752062">
        <w:rPr>
          <w:iCs/>
        </w:rPr>
        <w:t>ERCOT shall construct an incremental MOC curve</w:t>
      </w:r>
      <w:r>
        <w:rPr>
          <w:iCs/>
        </w:rPr>
        <w:t xml:space="preserve"> in accordance with</w:t>
      </w:r>
      <w:r w:rsidRPr="00752062">
        <w:rPr>
          <w:iCs/>
        </w:rPr>
        <w:t xml:space="preserve"> Section 6.5.7.3 such that each point on the MOC curve is calculated as follows</w:t>
      </w:r>
      <w:r w:rsidRPr="00D631BA">
        <w:rPr>
          <w:iCs/>
        </w:rP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630221" w:rsidRPr="004B32CF" w14:paraId="70F84068" w14:textId="77777777" w:rsidTr="009540C4">
        <w:trPr>
          <w:trHeight w:val="386"/>
        </w:trPr>
        <w:tc>
          <w:tcPr>
            <w:tcW w:w="9350" w:type="dxa"/>
            <w:shd w:val="pct12" w:color="auto" w:fill="auto"/>
          </w:tcPr>
          <w:p w14:paraId="3D129E70" w14:textId="4CD0DC0C" w:rsidR="00630221" w:rsidRPr="004B32CF" w:rsidRDefault="00630221" w:rsidP="009540C4">
            <w:pPr>
              <w:spacing w:before="120" w:after="240"/>
              <w:rPr>
                <w:b/>
                <w:i/>
                <w:iCs/>
              </w:rPr>
            </w:pPr>
            <w:bookmarkStart w:id="483" w:name="_Hlk119322165"/>
            <w:r>
              <w:rPr>
                <w:b/>
                <w:i/>
                <w:iCs/>
              </w:rPr>
              <w:t>[NPRR1014</w:t>
            </w:r>
            <w:r w:rsidRPr="004B32CF">
              <w:rPr>
                <w:b/>
                <w:i/>
                <w:iCs/>
              </w:rPr>
              <w:t xml:space="preserve">:  Replace </w:t>
            </w:r>
            <w:r>
              <w:rPr>
                <w:b/>
                <w:i/>
                <w:iCs/>
              </w:rPr>
              <w:t>paragraph (1)</w:t>
            </w:r>
            <w:r w:rsidRPr="004B32CF">
              <w:rPr>
                <w:b/>
                <w:i/>
                <w:iCs/>
              </w:rPr>
              <w:t xml:space="preserve"> above with the following upon system implementation:]</w:t>
            </w:r>
          </w:p>
          <w:p w14:paraId="0E55144B" w14:textId="67027A03" w:rsidR="00630221" w:rsidRPr="00630221" w:rsidRDefault="00630221" w:rsidP="00630221">
            <w:pPr>
              <w:spacing w:after="240"/>
              <w:ind w:left="720" w:hanging="720"/>
              <w:rPr>
                <w:iCs/>
              </w:rPr>
            </w:pPr>
            <w:r w:rsidRPr="00A552C3">
              <w:rPr>
                <w:iCs/>
              </w:rPr>
              <w:t>(1)</w:t>
            </w:r>
            <w:r w:rsidRPr="00A552C3">
              <w:rPr>
                <w:iCs/>
              </w:rPr>
              <w:tab/>
              <w:t>Energy Offer Curves and Energy Bid/Offer Curves may be subject to mitigation in Real-Time operations under Section 6.5.7.3, Security Constrained Economic Dispatch, using a Mitigated Offer Cap (MOC).  For Generation Resources, ERCOT shall construct an incremental MOC curve in accordance with Section 6.5.7.3 such that each point on the MOC c</w:t>
            </w:r>
            <w:r>
              <w:rPr>
                <w:iCs/>
              </w:rPr>
              <w:t>urve is calculated as follows:</w:t>
            </w:r>
          </w:p>
        </w:tc>
      </w:tr>
    </w:tbl>
    <w:bookmarkEnd w:id="483"/>
    <w:p w14:paraId="3740CD9F" w14:textId="77777777" w:rsidR="00B53E1C" w:rsidRDefault="00B53E1C" w:rsidP="00F539C2">
      <w:pPr>
        <w:pStyle w:val="BodyText"/>
        <w:spacing w:before="240"/>
        <w:ind w:left="720" w:hanging="720"/>
      </w:pPr>
      <w:r>
        <w:t>MOC</w:t>
      </w:r>
      <w:r w:rsidRPr="00FE76D1">
        <w:rPr>
          <w:i/>
          <w:vertAlign w:val="subscript"/>
        </w:rPr>
        <w:t xml:space="preserve"> </w:t>
      </w:r>
      <w:r w:rsidRPr="00D01E3D">
        <w:rPr>
          <w:i/>
          <w:vertAlign w:val="subscript"/>
        </w:rPr>
        <w:t>q,</w:t>
      </w:r>
      <w:r>
        <w:rPr>
          <w:i/>
          <w:vertAlign w:val="subscript"/>
        </w:rPr>
        <w:t xml:space="preserve"> </w:t>
      </w:r>
      <w:r w:rsidRPr="00D01E3D">
        <w:rPr>
          <w:i/>
          <w:vertAlign w:val="subscript"/>
        </w:rPr>
        <w:t>r,</w:t>
      </w:r>
      <w:r>
        <w:rPr>
          <w:i/>
          <w:vertAlign w:val="subscript"/>
        </w:rPr>
        <w:t xml:space="preserve"> h</w:t>
      </w:r>
      <w:r>
        <w:t xml:space="preserve"> = Max [GIHR</w:t>
      </w:r>
      <w:r w:rsidRPr="00FE76D1">
        <w:rPr>
          <w:i/>
          <w:vertAlign w:val="subscript"/>
        </w:rPr>
        <w:t xml:space="preserve"> </w:t>
      </w:r>
      <w:r w:rsidRPr="00D01E3D">
        <w:rPr>
          <w:i/>
          <w:vertAlign w:val="subscript"/>
        </w:rPr>
        <w:t>q,</w:t>
      </w:r>
      <w:r>
        <w:rPr>
          <w:i/>
          <w:vertAlign w:val="subscript"/>
        </w:rPr>
        <w:t xml:space="preserve"> </w:t>
      </w:r>
      <w:r w:rsidRPr="00D01E3D">
        <w:rPr>
          <w:i/>
          <w:vertAlign w:val="subscript"/>
        </w:rPr>
        <w:t>r</w:t>
      </w:r>
      <w:r>
        <w:t xml:space="preserve"> * Max(FIP,</w:t>
      </w:r>
      <w:r w:rsidRPr="007B3964">
        <w:t xml:space="preserve"> </w:t>
      </w:r>
      <w:r w:rsidRPr="005F3046">
        <w:t xml:space="preserve">WAFP </w:t>
      </w:r>
      <w:r w:rsidRPr="00D541AF">
        <w:rPr>
          <w:i/>
          <w:vertAlign w:val="subscript"/>
        </w:rPr>
        <w:t>q,</w:t>
      </w:r>
      <w:r>
        <w:rPr>
          <w:i/>
          <w:vertAlign w:val="subscript"/>
        </w:rPr>
        <w:t xml:space="preserve"> </w:t>
      </w:r>
      <w:r w:rsidRPr="00D541AF">
        <w:rPr>
          <w:i/>
          <w:vertAlign w:val="subscript"/>
        </w:rPr>
        <w:t>r,</w:t>
      </w:r>
      <w:r>
        <w:rPr>
          <w:i/>
          <w:vertAlign w:val="subscript"/>
        </w:rPr>
        <w:t xml:space="preserve"> </w:t>
      </w:r>
      <w:r w:rsidRPr="00D541AF">
        <w:rPr>
          <w:i/>
          <w:vertAlign w:val="subscript"/>
        </w:rPr>
        <w:t>h</w:t>
      </w:r>
      <w:r>
        <w:t>), (IHR</w:t>
      </w:r>
      <w:r w:rsidRPr="00FE76D1">
        <w:rPr>
          <w:i/>
          <w:vertAlign w:val="subscript"/>
        </w:rPr>
        <w:t xml:space="preserve"> </w:t>
      </w:r>
      <w:r w:rsidRPr="00D01E3D">
        <w:rPr>
          <w:i/>
          <w:vertAlign w:val="subscript"/>
        </w:rPr>
        <w:t>q,</w:t>
      </w:r>
      <w:r>
        <w:rPr>
          <w:i/>
          <w:vertAlign w:val="subscript"/>
        </w:rPr>
        <w:t xml:space="preserve"> </w:t>
      </w:r>
      <w:r w:rsidRPr="00D01E3D">
        <w:rPr>
          <w:i/>
          <w:vertAlign w:val="subscript"/>
        </w:rPr>
        <w:t>r</w:t>
      </w:r>
      <w:r>
        <w:t xml:space="preserve"> * FPRC</w:t>
      </w:r>
      <w:r w:rsidRPr="004C60A0">
        <w:rPr>
          <w:i/>
          <w:vertAlign w:val="subscript"/>
        </w:rPr>
        <w:t xml:space="preserve"> </w:t>
      </w:r>
      <w:r w:rsidRPr="00B67195">
        <w:rPr>
          <w:i/>
          <w:vertAlign w:val="subscript"/>
        </w:rPr>
        <w:t>q,</w:t>
      </w:r>
      <w:r>
        <w:rPr>
          <w:i/>
          <w:vertAlign w:val="subscript"/>
        </w:rPr>
        <w:t xml:space="preserve"> </w:t>
      </w:r>
      <w:r w:rsidRPr="00B67195">
        <w:rPr>
          <w:i/>
          <w:vertAlign w:val="subscript"/>
        </w:rPr>
        <w:t>r</w:t>
      </w:r>
      <w:r w:rsidRPr="00FE76D1">
        <w:rPr>
          <w:i/>
          <w:vertAlign w:val="subscript"/>
        </w:rPr>
        <w:t xml:space="preserve"> </w:t>
      </w:r>
      <w:r>
        <w:t>+ OM</w:t>
      </w:r>
      <w:r w:rsidRPr="00FE76D1">
        <w:rPr>
          <w:i/>
          <w:vertAlign w:val="subscript"/>
        </w:rPr>
        <w:t xml:space="preserve"> </w:t>
      </w:r>
      <w:r w:rsidRPr="00D01E3D">
        <w:rPr>
          <w:i/>
          <w:vertAlign w:val="subscript"/>
        </w:rPr>
        <w:t>q,</w:t>
      </w:r>
      <w:r>
        <w:rPr>
          <w:i/>
          <w:vertAlign w:val="subscript"/>
        </w:rPr>
        <w:t xml:space="preserve"> </w:t>
      </w:r>
      <w:r w:rsidRPr="00D01E3D">
        <w:rPr>
          <w:i/>
          <w:vertAlign w:val="subscript"/>
        </w:rPr>
        <w:t>r</w:t>
      </w:r>
      <w:r>
        <w:t>) * CFMLT</w:t>
      </w:r>
      <w:r w:rsidRPr="00FE76D1">
        <w:rPr>
          <w:i/>
          <w:vertAlign w:val="subscript"/>
        </w:rPr>
        <w:t xml:space="preserve"> </w:t>
      </w:r>
      <w:r w:rsidRPr="00D01E3D">
        <w:rPr>
          <w:i/>
          <w:vertAlign w:val="subscript"/>
        </w:rPr>
        <w:t>q,</w:t>
      </w:r>
      <w:r>
        <w:rPr>
          <w:i/>
          <w:vertAlign w:val="subscript"/>
        </w:rPr>
        <w:t xml:space="preserve"> </w:t>
      </w:r>
      <w:r w:rsidRPr="00D01E3D">
        <w:rPr>
          <w:i/>
          <w:vertAlign w:val="subscript"/>
        </w:rPr>
        <w:t>r</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341E3" w:rsidRPr="004B32CF" w14:paraId="10227143" w14:textId="77777777" w:rsidTr="008E5783">
        <w:trPr>
          <w:trHeight w:val="386"/>
        </w:trPr>
        <w:tc>
          <w:tcPr>
            <w:tcW w:w="9350" w:type="dxa"/>
            <w:shd w:val="pct12" w:color="auto" w:fill="auto"/>
          </w:tcPr>
          <w:p w14:paraId="376BA854" w14:textId="0FFE87A7" w:rsidR="000341E3" w:rsidRPr="004B32CF" w:rsidRDefault="000341E3" w:rsidP="008E5783">
            <w:pPr>
              <w:spacing w:before="120" w:after="240"/>
              <w:rPr>
                <w:b/>
                <w:i/>
                <w:iCs/>
              </w:rPr>
            </w:pPr>
            <w:r>
              <w:rPr>
                <w:b/>
                <w:i/>
                <w:iCs/>
              </w:rPr>
              <w:lastRenderedPageBreak/>
              <w:t>[NPRR1058</w:t>
            </w:r>
            <w:r w:rsidR="00A61EA0">
              <w:rPr>
                <w:b/>
                <w:i/>
                <w:iCs/>
              </w:rPr>
              <w:t xml:space="preserve"> and NPRR1172</w:t>
            </w:r>
            <w:r w:rsidRPr="004B32CF">
              <w:rPr>
                <w:b/>
                <w:i/>
                <w:iCs/>
              </w:rPr>
              <w:t xml:space="preserve">:  Replace </w:t>
            </w:r>
            <w:r>
              <w:rPr>
                <w:b/>
                <w:i/>
                <w:iCs/>
              </w:rPr>
              <w:t>the formula “</w:t>
            </w:r>
            <w:r w:rsidRPr="000341E3">
              <w:rPr>
                <w:b/>
                <w:i/>
                <w:iCs/>
              </w:rPr>
              <w:t>MOC</w:t>
            </w:r>
            <w:r w:rsidRPr="000341E3">
              <w:rPr>
                <w:b/>
                <w:i/>
                <w:iCs/>
                <w:vertAlign w:val="subscript"/>
              </w:rPr>
              <w:t xml:space="preserve"> q, r, h</w:t>
            </w:r>
            <w:r>
              <w:rPr>
                <w:b/>
                <w:i/>
                <w:iCs/>
              </w:rPr>
              <w:t>”</w:t>
            </w:r>
            <w:r w:rsidRPr="004B32CF">
              <w:rPr>
                <w:b/>
                <w:i/>
                <w:iCs/>
              </w:rPr>
              <w:t xml:space="preserve"> above with the following upon system implementation:]</w:t>
            </w:r>
          </w:p>
          <w:p w14:paraId="382575BC" w14:textId="6BC73C65" w:rsidR="000341E3" w:rsidRPr="000341E3" w:rsidRDefault="000341E3" w:rsidP="000341E3">
            <w:pPr>
              <w:spacing w:before="240" w:after="240"/>
              <w:ind w:left="720" w:hanging="720"/>
            </w:pPr>
            <w:r w:rsidRPr="00221D04">
              <w:t>MOC</w:t>
            </w:r>
            <w:r w:rsidRPr="00221D04">
              <w:rPr>
                <w:i/>
                <w:vertAlign w:val="subscript"/>
              </w:rPr>
              <w:t xml:space="preserve"> q, r, h</w:t>
            </w:r>
            <w:r w:rsidRPr="00221D04">
              <w:t xml:space="preserve"> = Max [GIHR</w:t>
            </w:r>
            <w:r w:rsidRPr="00221D04">
              <w:rPr>
                <w:i/>
                <w:vertAlign w:val="subscript"/>
              </w:rPr>
              <w:t xml:space="preserve"> q, r</w:t>
            </w:r>
            <w:r w:rsidRPr="00221D04">
              <w:t xml:space="preserve"> * Max(FIP, WAFP </w:t>
            </w:r>
            <w:r w:rsidRPr="00221D04">
              <w:rPr>
                <w:i/>
                <w:vertAlign w:val="subscript"/>
              </w:rPr>
              <w:t>q, r, h</w:t>
            </w:r>
            <w:r w:rsidRPr="00221D04">
              <w:t>), (IHR</w:t>
            </w:r>
            <w:r w:rsidRPr="00221D04">
              <w:rPr>
                <w:i/>
                <w:vertAlign w:val="subscript"/>
              </w:rPr>
              <w:t xml:space="preserve"> q, r</w:t>
            </w:r>
            <w:r w:rsidRPr="00221D04">
              <w:t xml:space="preserve"> * FPRC</w:t>
            </w:r>
            <w:r w:rsidRPr="00221D04">
              <w:rPr>
                <w:i/>
                <w:vertAlign w:val="subscript"/>
              </w:rPr>
              <w:t xml:space="preserve"> q, r </w:t>
            </w:r>
            <w:r w:rsidRPr="00221D04">
              <w:t>+ OM</w:t>
            </w:r>
            <w:r w:rsidRPr="00221D04">
              <w:rPr>
                <w:i/>
                <w:vertAlign w:val="subscript"/>
              </w:rPr>
              <w:t xml:space="preserve"> q, r</w:t>
            </w:r>
            <w:r w:rsidRPr="00221D04">
              <w:t>)]</w:t>
            </w:r>
          </w:p>
        </w:tc>
      </w:tr>
    </w:tbl>
    <w:p w14:paraId="163AECF1" w14:textId="77777777" w:rsidR="00B53E1C" w:rsidRDefault="00B53E1C" w:rsidP="0006187D">
      <w:pPr>
        <w:pStyle w:val="BodyText"/>
        <w:spacing w:before="240"/>
        <w:ind w:left="720" w:hanging="720"/>
      </w:pPr>
      <w:r>
        <w:t xml:space="preserve">Where, </w:t>
      </w:r>
    </w:p>
    <w:p w14:paraId="6DA09E8F" w14:textId="77777777" w:rsidR="00B53E1C" w:rsidRDefault="00B53E1C" w:rsidP="00B53E1C">
      <w:pPr>
        <w:pStyle w:val="BodyText"/>
        <w:ind w:left="720"/>
      </w:pPr>
      <w:r>
        <w:t xml:space="preserve">If a QSE has submitted an Energy Offer Curve on behalf of a Generation Resource and the Generation Resource has approved verifiable costs, then </w:t>
      </w:r>
    </w:p>
    <w:p w14:paraId="45EFB8F4" w14:textId="77777777" w:rsidR="00B53E1C" w:rsidRPr="005075CC" w:rsidRDefault="00B53E1C" w:rsidP="00B53E1C">
      <w:pPr>
        <w:pStyle w:val="BodyText"/>
        <w:ind w:left="810" w:hanging="810"/>
      </w:pPr>
      <w:r>
        <w:t>FPRC</w:t>
      </w:r>
      <w:r w:rsidRPr="00DE2D75">
        <w:rPr>
          <w:i/>
          <w:vertAlign w:val="subscript"/>
        </w:rPr>
        <w:t xml:space="preserve"> </w:t>
      </w:r>
      <w:r w:rsidRPr="00B67195">
        <w:rPr>
          <w:i/>
          <w:vertAlign w:val="subscript"/>
        </w:rPr>
        <w:t>q,</w:t>
      </w:r>
      <w:r>
        <w:rPr>
          <w:i/>
          <w:vertAlign w:val="subscript"/>
        </w:rPr>
        <w:t xml:space="preserve"> </w:t>
      </w:r>
      <w:r w:rsidRPr="00B67195">
        <w:rPr>
          <w:i/>
          <w:vertAlign w:val="subscript"/>
        </w:rPr>
        <w:t>r</w:t>
      </w:r>
      <w:r>
        <w:t xml:space="preserve"> = Max(</w:t>
      </w:r>
      <w:r w:rsidRPr="005F3046">
        <w:t>WAFP</w:t>
      </w:r>
      <w:r w:rsidRPr="00B53E1C">
        <w:rPr>
          <w:i/>
        </w:rPr>
        <w:t xml:space="preserve"> </w:t>
      </w:r>
      <w:r w:rsidRPr="00B53E1C">
        <w:rPr>
          <w:i/>
          <w:vertAlign w:val="subscript"/>
        </w:rPr>
        <w:t>q, r, h</w:t>
      </w:r>
      <w:r>
        <w:t>, FIP +</w:t>
      </w:r>
      <w:r w:rsidRPr="00543174">
        <w:t xml:space="preserve"> FA</w:t>
      </w:r>
      <w:r w:rsidRPr="00032386">
        <w:t xml:space="preserve"> </w:t>
      </w:r>
      <w:r w:rsidRPr="00CE2093">
        <w:rPr>
          <w:i/>
          <w:vertAlign w:val="subscript"/>
        </w:rPr>
        <w:t>q,</w:t>
      </w:r>
      <w:r>
        <w:rPr>
          <w:i/>
          <w:vertAlign w:val="subscript"/>
        </w:rPr>
        <w:t xml:space="preserve"> </w:t>
      </w:r>
      <w:r w:rsidRPr="00CE2093">
        <w:rPr>
          <w:i/>
          <w:vertAlign w:val="subscript"/>
        </w:rPr>
        <w:t>r</w:t>
      </w:r>
      <w:r>
        <w:t>) * RTPERFIP</w:t>
      </w:r>
      <w:r w:rsidRPr="00531780">
        <w:rPr>
          <w:i/>
          <w:vertAlign w:val="subscript"/>
        </w:rPr>
        <w:t xml:space="preserve"> </w:t>
      </w:r>
      <w:r w:rsidRPr="00B67195">
        <w:rPr>
          <w:i/>
          <w:vertAlign w:val="subscript"/>
        </w:rPr>
        <w:t>q,</w:t>
      </w:r>
      <w:r>
        <w:rPr>
          <w:i/>
          <w:vertAlign w:val="subscript"/>
        </w:rPr>
        <w:t xml:space="preserve"> </w:t>
      </w:r>
      <w:r w:rsidRPr="00B67195">
        <w:rPr>
          <w:i/>
          <w:vertAlign w:val="subscript"/>
        </w:rPr>
        <w:t>r</w:t>
      </w:r>
      <w:r>
        <w:t xml:space="preserve"> / 100 + FOP * RTPERFOP</w:t>
      </w:r>
      <w:r w:rsidRPr="00531780">
        <w:rPr>
          <w:i/>
          <w:vertAlign w:val="subscript"/>
        </w:rPr>
        <w:t xml:space="preserve"> </w:t>
      </w:r>
      <w:r w:rsidRPr="00B67195">
        <w:rPr>
          <w:i/>
          <w:vertAlign w:val="subscript"/>
        </w:rPr>
        <w:t>q,</w:t>
      </w:r>
      <w:r>
        <w:rPr>
          <w:i/>
          <w:vertAlign w:val="subscript"/>
        </w:rPr>
        <w:t xml:space="preserve"> </w:t>
      </w:r>
      <w:r w:rsidRPr="00B67195">
        <w:rPr>
          <w:i/>
          <w:vertAlign w:val="subscript"/>
        </w:rPr>
        <w:t>r</w:t>
      </w:r>
      <w:r>
        <w:t xml:space="preserve"> / 100</w:t>
      </w:r>
    </w:p>
    <w:p w14:paraId="11CAD0AC" w14:textId="77777777" w:rsidR="00B53E1C" w:rsidRDefault="00B53E1C" w:rsidP="00163271">
      <w:pPr>
        <w:pStyle w:val="BodyText"/>
        <w:ind w:left="720"/>
      </w:pPr>
      <w:r>
        <w:t xml:space="preserve">If a QSE has not submitted an Energy Offer Curve on behalf of a Generation Resource and the Generation Resource has approved verifiable costs, then </w:t>
      </w:r>
    </w:p>
    <w:p w14:paraId="2CB401F2" w14:textId="77777777" w:rsidR="00B53E1C" w:rsidRDefault="00B53E1C" w:rsidP="00B53E1C">
      <w:pPr>
        <w:pStyle w:val="BodyText"/>
        <w:ind w:left="2520" w:hanging="1080"/>
      </w:pPr>
      <w:r>
        <w:t>FPRC</w:t>
      </w:r>
      <w:r w:rsidRPr="00B4279C">
        <w:t xml:space="preserve"> </w:t>
      </w:r>
      <w:r w:rsidRPr="007B45B4">
        <w:rPr>
          <w:i/>
          <w:vertAlign w:val="subscript"/>
        </w:rPr>
        <w:t>q,</w:t>
      </w:r>
      <w:r>
        <w:rPr>
          <w:i/>
          <w:vertAlign w:val="subscript"/>
        </w:rPr>
        <w:t xml:space="preserve"> </w:t>
      </w:r>
      <w:r w:rsidRPr="007B45B4">
        <w:rPr>
          <w:i/>
          <w:vertAlign w:val="subscript"/>
        </w:rPr>
        <w:t>r</w:t>
      </w:r>
      <w:r>
        <w:t xml:space="preserve"> = Max(</w:t>
      </w:r>
      <w:r w:rsidRPr="005F3046">
        <w:t xml:space="preserve">WAFP </w:t>
      </w:r>
      <w:r w:rsidRPr="00D541AF">
        <w:rPr>
          <w:i/>
          <w:vertAlign w:val="subscript"/>
        </w:rPr>
        <w:t>q,</w:t>
      </w:r>
      <w:r>
        <w:rPr>
          <w:i/>
          <w:vertAlign w:val="subscript"/>
        </w:rPr>
        <w:t xml:space="preserve"> </w:t>
      </w:r>
      <w:r w:rsidRPr="00D541AF">
        <w:rPr>
          <w:i/>
          <w:vertAlign w:val="subscript"/>
        </w:rPr>
        <w:t>r,</w:t>
      </w:r>
      <w:r>
        <w:rPr>
          <w:i/>
          <w:vertAlign w:val="subscript"/>
        </w:rPr>
        <w:t xml:space="preserve"> </w:t>
      </w:r>
      <w:r w:rsidRPr="00D541AF">
        <w:rPr>
          <w:i/>
          <w:vertAlign w:val="subscript"/>
        </w:rPr>
        <w:t>h</w:t>
      </w:r>
      <w:r>
        <w:t>, FIP +</w:t>
      </w:r>
      <w:r w:rsidRPr="00543174">
        <w:t xml:space="preserve"> FA</w:t>
      </w:r>
      <w:r w:rsidRPr="00032386">
        <w:t xml:space="preserve"> </w:t>
      </w:r>
      <w:r w:rsidRPr="007B45B4">
        <w:rPr>
          <w:i/>
          <w:vertAlign w:val="subscript"/>
        </w:rPr>
        <w:t>q,</w:t>
      </w:r>
      <w:r>
        <w:rPr>
          <w:i/>
          <w:vertAlign w:val="subscript"/>
        </w:rPr>
        <w:t xml:space="preserve"> </w:t>
      </w:r>
      <w:r w:rsidRPr="007B45B4">
        <w:rPr>
          <w:i/>
          <w:vertAlign w:val="subscript"/>
        </w:rPr>
        <w:t>r</w:t>
      </w:r>
      <w:r>
        <w:t>) * GASPEROL</w:t>
      </w:r>
      <w:r w:rsidRPr="00B4279C">
        <w:t xml:space="preserve"> </w:t>
      </w:r>
      <w:r w:rsidRPr="007B45B4">
        <w:rPr>
          <w:i/>
          <w:vertAlign w:val="subscript"/>
        </w:rPr>
        <w:t>q,</w:t>
      </w:r>
      <w:r>
        <w:rPr>
          <w:i/>
          <w:vertAlign w:val="subscript"/>
        </w:rPr>
        <w:t xml:space="preserve"> </w:t>
      </w:r>
      <w:r w:rsidRPr="007B45B4">
        <w:rPr>
          <w:i/>
          <w:vertAlign w:val="subscript"/>
        </w:rPr>
        <w:t>r</w:t>
      </w:r>
      <w:r>
        <w:t xml:space="preserve"> /</w:t>
      </w:r>
      <w:r w:rsidRPr="00032386">
        <w:t xml:space="preserve"> </w:t>
      </w:r>
      <w:r>
        <w:t>100 + FOP * OILPEROL</w:t>
      </w:r>
      <w:r w:rsidRPr="00B4279C">
        <w:t xml:space="preserve"> </w:t>
      </w:r>
      <w:r w:rsidRPr="007B45B4">
        <w:rPr>
          <w:i/>
          <w:vertAlign w:val="subscript"/>
        </w:rPr>
        <w:t>q,</w:t>
      </w:r>
      <w:r>
        <w:rPr>
          <w:i/>
          <w:vertAlign w:val="subscript"/>
        </w:rPr>
        <w:t xml:space="preserve"> </w:t>
      </w:r>
      <w:r w:rsidRPr="007B45B4">
        <w:rPr>
          <w:i/>
          <w:vertAlign w:val="subscript"/>
        </w:rPr>
        <w:t>r</w:t>
      </w:r>
      <w:r w:rsidRPr="00032386">
        <w:rPr>
          <w:i/>
          <w:vertAlign w:val="subscript"/>
        </w:rPr>
        <w:t xml:space="preserve"> </w:t>
      </w:r>
      <w:r w:rsidRPr="003548C1">
        <w:t>/</w:t>
      </w:r>
      <w:r>
        <w:t xml:space="preserve"> </w:t>
      </w:r>
      <w:r w:rsidRPr="003548C1">
        <w:t>100 + (SFP</w:t>
      </w:r>
      <w:r w:rsidRPr="00032386">
        <w:t xml:space="preserve"> </w:t>
      </w:r>
      <w:r w:rsidRPr="003548C1">
        <w:t>+ FA</w:t>
      </w:r>
      <w:r>
        <w:t xml:space="preserve"> </w:t>
      </w:r>
      <w:r w:rsidRPr="007B45B4">
        <w:rPr>
          <w:i/>
          <w:vertAlign w:val="subscript"/>
        </w:rPr>
        <w:t>q,</w:t>
      </w:r>
      <w:r>
        <w:rPr>
          <w:i/>
          <w:vertAlign w:val="subscript"/>
        </w:rPr>
        <w:t xml:space="preserve"> </w:t>
      </w:r>
      <w:r w:rsidRPr="007B45B4">
        <w:rPr>
          <w:i/>
          <w:vertAlign w:val="subscript"/>
        </w:rPr>
        <w:t>r</w:t>
      </w:r>
      <w:r w:rsidRPr="003548C1">
        <w:t>) * SFPEROL</w:t>
      </w:r>
      <w:r w:rsidRPr="00B4279C">
        <w:t xml:space="preserve"> </w:t>
      </w:r>
      <w:r w:rsidRPr="007B45B4">
        <w:rPr>
          <w:i/>
          <w:vertAlign w:val="subscript"/>
        </w:rPr>
        <w:t>q,</w:t>
      </w:r>
      <w:r>
        <w:rPr>
          <w:i/>
          <w:vertAlign w:val="subscript"/>
        </w:rPr>
        <w:t xml:space="preserve"> </w:t>
      </w:r>
      <w:r w:rsidRPr="007B45B4">
        <w:rPr>
          <w:i/>
          <w:vertAlign w:val="subscript"/>
        </w:rPr>
        <w:t>r</w:t>
      </w:r>
      <w:r w:rsidRPr="00032386">
        <w:rPr>
          <w:i/>
          <w:vertAlign w:val="subscript"/>
        </w:rPr>
        <w:t xml:space="preserve"> </w:t>
      </w:r>
      <w:r w:rsidRPr="003548C1">
        <w:t>/</w:t>
      </w:r>
      <w:r w:rsidRPr="00032386">
        <w:t xml:space="preserve"> </w:t>
      </w:r>
      <w:r w:rsidRPr="003548C1">
        <w:t>100</w:t>
      </w:r>
    </w:p>
    <w:p w14:paraId="13D86621" w14:textId="77777777" w:rsidR="00B53E1C" w:rsidRDefault="00B53E1C" w:rsidP="00163271">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5"/>
        <w:gridCol w:w="1366"/>
        <w:gridCol w:w="6749"/>
      </w:tblGrid>
      <w:tr w:rsidR="00B53E1C" w14:paraId="0C024303" w14:textId="77777777" w:rsidTr="005A4AB4">
        <w:trPr>
          <w:cantSplit/>
          <w:tblHeader/>
        </w:trPr>
        <w:tc>
          <w:tcPr>
            <w:tcW w:w="741" w:type="pct"/>
          </w:tcPr>
          <w:p w14:paraId="6FD2BEA0" w14:textId="77777777" w:rsidR="00B53E1C" w:rsidRDefault="00B53E1C" w:rsidP="005A4AB4">
            <w:pPr>
              <w:pStyle w:val="TableHead"/>
            </w:pPr>
            <w:r>
              <w:t>Variable</w:t>
            </w:r>
          </w:p>
        </w:tc>
        <w:tc>
          <w:tcPr>
            <w:tcW w:w="740" w:type="pct"/>
          </w:tcPr>
          <w:p w14:paraId="02E7FAA3" w14:textId="77777777" w:rsidR="00B53E1C" w:rsidRDefault="00B53E1C" w:rsidP="005A4AB4">
            <w:pPr>
              <w:pStyle w:val="TableHead"/>
            </w:pPr>
            <w:r>
              <w:t>Unit</w:t>
            </w:r>
          </w:p>
        </w:tc>
        <w:tc>
          <w:tcPr>
            <w:tcW w:w="3519" w:type="pct"/>
          </w:tcPr>
          <w:p w14:paraId="1886F218" w14:textId="77777777" w:rsidR="00B53E1C" w:rsidRDefault="00B53E1C" w:rsidP="005A4AB4">
            <w:pPr>
              <w:pStyle w:val="TableHead"/>
            </w:pPr>
            <w:r>
              <w:t>Definition</w:t>
            </w:r>
          </w:p>
        </w:tc>
      </w:tr>
      <w:tr w:rsidR="00B53E1C" w14:paraId="4324B604" w14:textId="77777777" w:rsidTr="005A4AB4">
        <w:trPr>
          <w:cantSplit/>
        </w:trPr>
        <w:tc>
          <w:tcPr>
            <w:tcW w:w="741" w:type="pct"/>
          </w:tcPr>
          <w:p w14:paraId="4DD18EB9" w14:textId="77777777" w:rsidR="00B53E1C" w:rsidRDefault="00B53E1C" w:rsidP="005A4AB4">
            <w:pPr>
              <w:pStyle w:val="TableBody"/>
              <w:rPr>
                <w:lang w:val="pt-BR"/>
              </w:rPr>
            </w:pPr>
            <w:r>
              <w:rPr>
                <w:lang w:val="pt-BR"/>
              </w:rPr>
              <w:t xml:space="preserve">MOC </w:t>
            </w:r>
            <w:r w:rsidRPr="00CE2093">
              <w:rPr>
                <w:i/>
                <w:vertAlign w:val="subscript"/>
                <w:lang w:val="pt-BR"/>
              </w:rPr>
              <w:t>q,</w:t>
            </w:r>
            <w:r>
              <w:rPr>
                <w:i/>
                <w:vertAlign w:val="subscript"/>
                <w:lang w:val="pt-BR"/>
              </w:rPr>
              <w:t xml:space="preserve"> </w:t>
            </w:r>
            <w:r w:rsidRPr="00CE2093">
              <w:rPr>
                <w:i/>
                <w:vertAlign w:val="subscript"/>
                <w:lang w:val="pt-BR"/>
              </w:rPr>
              <w:t>r,</w:t>
            </w:r>
            <w:r>
              <w:rPr>
                <w:i/>
                <w:vertAlign w:val="subscript"/>
                <w:lang w:val="pt-BR"/>
              </w:rPr>
              <w:t xml:space="preserve"> </w:t>
            </w:r>
            <w:r w:rsidRPr="00CE2093">
              <w:rPr>
                <w:i/>
                <w:vertAlign w:val="subscript"/>
                <w:lang w:val="pt-BR"/>
              </w:rPr>
              <w:t>h</w:t>
            </w:r>
          </w:p>
        </w:tc>
        <w:tc>
          <w:tcPr>
            <w:tcW w:w="740" w:type="pct"/>
          </w:tcPr>
          <w:p w14:paraId="7B5D37BB" w14:textId="77777777" w:rsidR="00B53E1C" w:rsidRDefault="00B53E1C" w:rsidP="005A4AB4">
            <w:pPr>
              <w:pStyle w:val="TableBody"/>
            </w:pPr>
            <w:r>
              <w:t>$/MWh</w:t>
            </w:r>
          </w:p>
        </w:tc>
        <w:tc>
          <w:tcPr>
            <w:tcW w:w="3519" w:type="pct"/>
          </w:tcPr>
          <w:p w14:paraId="422FE9AF" w14:textId="77777777" w:rsidR="00B53E1C" w:rsidRDefault="00B53E1C" w:rsidP="005A4AB4">
            <w:pPr>
              <w:pStyle w:val="TableBody"/>
            </w:pPr>
            <w:r>
              <w:rPr>
                <w:i/>
              </w:rPr>
              <w:t>Mitigated Offer Cap per Resource</w:t>
            </w:r>
            <w:r>
              <w:t xml:space="preserve">—The MOC for Resource </w:t>
            </w:r>
            <w:r w:rsidRPr="00CE2093">
              <w:rPr>
                <w:i/>
              </w:rPr>
              <w:t>r</w:t>
            </w:r>
            <w:r>
              <w:t xml:space="preserve">, for the hour. Where for a Combined Cycle Train, the Resource </w:t>
            </w:r>
            <w:r>
              <w:rPr>
                <w:i/>
              </w:rPr>
              <w:t xml:space="preserve">r </w:t>
            </w:r>
            <w:r>
              <w:t>is a Combined Cycle Generation Resource within the Combined Cycle Train.</w:t>
            </w:r>
          </w:p>
        </w:tc>
      </w:tr>
      <w:tr w:rsidR="00B53E1C" w14:paraId="15A9774D" w14:textId="77777777" w:rsidTr="005A4AB4">
        <w:trPr>
          <w:cantSplit/>
        </w:trPr>
        <w:tc>
          <w:tcPr>
            <w:tcW w:w="741" w:type="pct"/>
          </w:tcPr>
          <w:p w14:paraId="72679051" w14:textId="77777777" w:rsidR="00B53E1C" w:rsidRDefault="00B53E1C" w:rsidP="005A4AB4">
            <w:pPr>
              <w:pStyle w:val="TableBody"/>
            </w:pPr>
            <w:r>
              <w:t>GIHR</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0A185D9A" w14:textId="77777777" w:rsidR="00B53E1C" w:rsidRDefault="00B53E1C" w:rsidP="005A4AB4">
            <w:pPr>
              <w:pStyle w:val="TableBody"/>
            </w:pPr>
            <w:r>
              <w:t>MMBtu/MWh</w:t>
            </w:r>
          </w:p>
        </w:tc>
        <w:tc>
          <w:tcPr>
            <w:tcW w:w="3519" w:type="pct"/>
          </w:tcPr>
          <w:p w14:paraId="63CB9F41" w14:textId="77777777" w:rsidR="00B53E1C" w:rsidRDefault="00B53E1C" w:rsidP="005A4AB4">
            <w:pPr>
              <w:pStyle w:val="TableBody"/>
            </w:pPr>
            <w:r>
              <w:rPr>
                <w:i/>
              </w:rPr>
              <w:t>Generic Incremental Heat Rate</w:t>
            </w:r>
            <w:r>
              <w:t xml:space="preserve">—The generic, single-value, incremental heat rate.  For Generation Resources with a Commercial Operations Date on or before January 1, 2004, the generic incremental heat rate shall be set to 10.5.  For Generation Resources that have a Commercial Operations Date after January 1, 2004, this value shall be set to 14.5.  Where for a Combined Cycle Train, the Resource </w:t>
            </w:r>
            <w:r>
              <w:rPr>
                <w:i/>
              </w:rPr>
              <w:t xml:space="preserve">r </w:t>
            </w:r>
            <w:r>
              <w:t>is a Combined Cycle Generation Resource within the Combined Cycle Train.</w:t>
            </w:r>
          </w:p>
        </w:tc>
      </w:tr>
      <w:tr w:rsidR="00B53E1C" w14:paraId="535FB88A" w14:textId="77777777" w:rsidTr="005A4AB4">
        <w:trPr>
          <w:cantSplit/>
        </w:trPr>
        <w:tc>
          <w:tcPr>
            <w:tcW w:w="741" w:type="pct"/>
          </w:tcPr>
          <w:p w14:paraId="21529406" w14:textId="77777777" w:rsidR="00B53E1C" w:rsidRDefault="00B53E1C" w:rsidP="00B53E1C">
            <w:pPr>
              <w:pStyle w:val="TableBody"/>
            </w:pPr>
            <w:r>
              <w:t>IHR</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780575DB" w14:textId="77777777" w:rsidR="00B53E1C" w:rsidRDefault="00B53E1C" w:rsidP="005A4AB4">
            <w:pPr>
              <w:pStyle w:val="TableBody"/>
            </w:pPr>
            <w:r>
              <w:t>MMBtu/MWh</w:t>
            </w:r>
          </w:p>
        </w:tc>
        <w:tc>
          <w:tcPr>
            <w:tcW w:w="3519" w:type="pct"/>
          </w:tcPr>
          <w:p w14:paraId="04873DEF" w14:textId="77777777" w:rsidR="00B53E1C" w:rsidRDefault="00B53E1C" w:rsidP="005A4AB4">
            <w:pPr>
              <w:pStyle w:val="TableBody"/>
              <w:rPr>
                <w:i/>
              </w:rPr>
            </w:pPr>
            <w:r>
              <w:rPr>
                <w:i/>
              </w:rPr>
              <w:t>Verifiable Incremental Heat Rate per Resource</w:t>
            </w:r>
            <w:r>
              <w:t xml:space="preserve">—The verifiable incremental heat rate curve for Resource </w:t>
            </w:r>
            <w:r w:rsidRPr="00CE2093">
              <w:rPr>
                <w:i/>
              </w:rPr>
              <w:t>r,</w:t>
            </w:r>
            <w:r>
              <w:t xml:space="preserve"> as approved in the verifiable cost process.  Where for a Combined Cycle Train, the Resource </w:t>
            </w:r>
            <w:r>
              <w:rPr>
                <w:i/>
              </w:rPr>
              <w:t xml:space="preserve">r </w:t>
            </w:r>
            <w:r>
              <w:t>is a Combined Cycle Generation Resource within the Combined Cycle Train.</w:t>
            </w:r>
          </w:p>
        </w:tc>
      </w:tr>
      <w:tr w:rsidR="00B53E1C" w14:paraId="1A88F6EA" w14:textId="77777777" w:rsidTr="005A4AB4">
        <w:trPr>
          <w:cantSplit/>
        </w:trPr>
        <w:tc>
          <w:tcPr>
            <w:tcW w:w="741" w:type="pct"/>
          </w:tcPr>
          <w:p w14:paraId="1A376140" w14:textId="77777777" w:rsidR="00B53E1C" w:rsidRDefault="00B53E1C" w:rsidP="005A4AB4">
            <w:pPr>
              <w:pStyle w:val="TableBody"/>
            </w:pPr>
            <w:r>
              <w:t>FIP</w:t>
            </w:r>
          </w:p>
        </w:tc>
        <w:tc>
          <w:tcPr>
            <w:tcW w:w="740" w:type="pct"/>
          </w:tcPr>
          <w:p w14:paraId="599A82EE" w14:textId="77777777" w:rsidR="00B53E1C" w:rsidRDefault="00B53E1C" w:rsidP="005A4AB4">
            <w:pPr>
              <w:pStyle w:val="TableBody"/>
            </w:pPr>
            <w:r>
              <w:t>$/MMBtu</w:t>
            </w:r>
          </w:p>
        </w:tc>
        <w:tc>
          <w:tcPr>
            <w:tcW w:w="3519" w:type="pct"/>
          </w:tcPr>
          <w:p w14:paraId="179DC486" w14:textId="77777777" w:rsidR="00B53E1C" w:rsidRDefault="00B53E1C" w:rsidP="005A4AB4">
            <w:pPr>
              <w:pStyle w:val="TableBody"/>
              <w:rPr>
                <w:i/>
              </w:rPr>
            </w:pPr>
            <w:r>
              <w:rPr>
                <w:i/>
              </w:rPr>
              <w:t>Fuel Index Price</w:t>
            </w:r>
            <w:r>
              <w:t>—The natural gas index price as defined in Section 2.1, Definitions.</w:t>
            </w:r>
          </w:p>
        </w:tc>
      </w:tr>
      <w:tr w:rsidR="00B53E1C" w14:paraId="2753FE9C" w14:textId="77777777" w:rsidTr="005A4AB4">
        <w:trPr>
          <w:cantSplit/>
        </w:trPr>
        <w:tc>
          <w:tcPr>
            <w:tcW w:w="741" w:type="pct"/>
          </w:tcPr>
          <w:p w14:paraId="5DE258D0" w14:textId="77777777" w:rsidR="00B53E1C" w:rsidRDefault="00B53E1C" w:rsidP="005A4AB4">
            <w:pPr>
              <w:pStyle w:val="TableBody"/>
            </w:pPr>
            <w:r>
              <w:t>RTPERFIP</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4F7600EC" w14:textId="77777777" w:rsidR="00B53E1C" w:rsidRDefault="00B53E1C" w:rsidP="005A4AB4">
            <w:pPr>
              <w:pStyle w:val="TableBody"/>
            </w:pPr>
            <w:r>
              <w:t>none</w:t>
            </w:r>
          </w:p>
        </w:tc>
        <w:tc>
          <w:tcPr>
            <w:tcW w:w="3519" w:type="pct"/>
          </w:tcPr>
          <w:p w14:paraId="7D0E4402" w14:textId="77777777" w:rsidR="00B53E1C" w:rsidRDefault="00B53E1C" w:rsidP="005A4AB4">
            <w:pPr>
              <w:pStyle w:val="TableBody"/>
              <w:rPr>
                <w:i/>
              </w:rPr>
            </w:pPr>
            <w:r>
              <w:rPr>
                <w:i/>
              </w:rPr>
              <w:t>Fuel Index Price Percentage</w:t>
            </w:r>
            <w:r>
              <w:t xml:space="preserve">—The percentage of natural gas used by Resource </w:t>
            </w:r>
            <w:r>
              <w:rPr>
                <w:i/>
              </w:rPr>
              <w:t xml:space="preserve">r </w:t>
            </w:r>
            <w:r>
              <w:t>to operate above LSL, as submitted with the energy offer curve.</w:t>
            </w:r>
          </w:p>
        </w:tc>
      </w:tr>
      <w:tr w:rsidR="00B53E1C" w14:paraId="1F8EBE91" w14:textId="77777777" w:rsidTr="005A4AB4">
        <w:trPr>
          <w:cantSplit/>
        </w:trPr>
        <w:tc>
          <w:tcPr>
            <w:tcW w:w="741" w:type="pct"/>
          </w:tcPr>
          <w:p w14:paraId="5C5B6024" w14:textId="77777777" w:rsidR="00B53E1C" w:rsidRDefault="00B53E1C" w:rsidP="005A4AB4">
            <w:pPr>
              <w:pStyle w:val="TableBody"/>
            </w:pPr>
            <w:r>
              <w:t>FOP</w:t>
            </w:r>
          </w:p>
        </w:tc>
        <w:tc>
          <w:tcPr>
            <w:tcW w:w="740" w:type="pct"/>
          </w:tcPr>
          <w:p w14:paraId="38842B22" w14:textId="77777777" w:rsidR="00B53E1C" w:rsidRDefault="00B53E1C" w:rsidP="005A4AB4">
            <w:pPr>
              <w:pStyle w:val="TableBody"/>
            </w:pPr>
            <w:r>
              <w:t>$/MMBtu</w:t>
            </w:r>
          </w:p>
        </w:tc>
        <w:tc>
          <w:tcPr>
            <w:tcW w:w="3519" w:type="pct"/>
          </w:tcPr>
          <w:p w14:paraId="417779F7" w14:textId="77777777" w:rsidR="00B53E1C" w:rsidRDefault="00B53E1C" w:rsidP="005A4AB4">
            <w:pPr>
              <w:pStyle w:val="TableBody"/>
              <w:rPr>
                <w:i/>
              </w:rPr>
            </w:pPr>
            <w:r>
              <w:rPr>
                <w:i/>
              </w:rPr>
              <w:t>Fuel Oil Price</w:t>
            </w:r>
            <w:r>
              <w:t>—The fuel oil index price as defined in Section 2.1.</w:t>
            </w:r>
          </w:p>
        </w:tc>
      </w:tr>
      <w:tr w:rsidR="00B53E1C" w14:paraId="3C265672" w14:textId="77777777" w:rsidTr="005A4AB4">
        <w:trPr>
          <w:cantSplit/>
        </w:trPr>
        <w:tc>
          <w:tcPr>
            <w:tcW w:w="741" w:type="pct"/>
          </w:tcPr>
          <w:p w14:paraId="42317F3E" w14:textId="77777777" w:rsidR="00B53E1C" w:rsidRDefault="00B53E1C" w:rsidP="005A4AB4">
            <w:pPr>
              <w:pStyle w:val="TableBody"/>
            </w:pPr>
            <w:r>
              <w:t>RTPERFOP</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7FEB3AB2" w14:textId="77777777" w:rsidR="00B53E1C" w:rsidRDefault="00B53E1C" w:rsidP="005A4AB4">
            <w:pPr>
              <w:pStyle w:val="TableBody"/>
            </w:pPr>
            <w:r>
              <w:t>none</w:t>
            </w:r>
          </w:p>
        </w:tc>
        <w:tc>
          <w:tcPr>
            <w:tcW w:w="3519" w:type="pct"/>
          </w:tcPr>
          <w:p w14:paraId="7E37C24F" w14:textId="77777777" w:rsidR="00B53E1C" w:rsidRDefault="00B53E1C" w:rsidP="005A4AB4">
            <w:pPr>
              <w:pStyle w:val="TableBody"/>
              <w:rPr>
                <w:i/>
              </w:rPr>
            </w:pPr>
            <w:r>
              <w:rPr>
                <w:i/>
              </w:rPr>
              <w:t>Fuel Oil Price Percentage</w:t>
            </w:r>
            <w:r>
              <w:t xml:space="preserve">—The percentage of fuel oil used by Resource </w:t>
            </w:r>
            <w:r>
              <w:rPr>
                <w:i/>
              </w:rPr>
              <w:t xml:space="preserve">r </w:t>
            </w:r>
            <w:r>
              <w:t>to operate above LSL, as submitted with the energy offer curve.</w:t>
            </w:r>
          </w:p>
        </w:tc>
      </w:tr>
      <w:tr w:rsidR="00B53E1C" w14:paraId="4C53DDCC" w14:textId="77777777" w:rsidTr="005A4AB4">
        <w:trPr>
          <w:cantSplit/>
        </w:trPr>
        <w:tc>
          <w:tcPr>
            <w:tcW w:w="741" w:type="pct"/>
          </w:tcPr>
          <w:p w14:paraId="25CF3619" w14:textId="77777777" w:rsidR="00B53E1C" w:rsidRDefault="00B53E1C" w:rsidP="005A4AB4">
            <w:pPr>
              <w:pStyle w:val="TableBody"/>
            </w:pPr>
            <w:r>
              <w:t>SFP</w:t>
            </w:r>
          </w:p>
        </w:tc>
        <w:tc>
          <w:tcPr>
            <w:tcW w:w="740" w:type="pct"/>
          </w:tcPr>
          <w:p w14:paraId="195B1907" w14:textId="77777777" w:rsidR="00B53E1C" w:rsidRDefault="00B53E1C" w:rsidP="005A4AB4">
            <w:pPr>
              <w:pStyle w:val="TableBody"/>
            </w:pPr>
            <w:r>
              <w:t>$/MMBtu</w:t>
            </w:r>
          </w:p>
        </w:tc>
        <w:tc>
          <w:tcPr>
            <w:tcW w:w="3519" w:type="pct"/>
          </w:tcPr>
          <w:p w14:paraId="56DBE102" w14:textId="77777777" w:rsidR="00B53E1C" w:rsidRPr="00CE2093" w:rsidRDefault="00B53E1C" w:rsidP="005A4AB4">
            <w:pPr>
              <w:pStyle w:val="TableBody"/>
            </w:pPr>
            <w:r>
              <w:rPr>
                <w:i/>
              </w:rPr>
              <w:t>Solid Fuel Price</w:t>
            </w:r>
            <w:r w:rsidRPr="007277E1">
              <w:rPr>
                <w:i/>
              </w:rPr>
              <w:t>—</w:t>
            </w:r>
            <w:r>
              <w:t xml:space="preserve">The solid fuel index price is $1.50.  </w:t>
            </w:r>
          </w:p>
        </w:tc>
      </w:tr>
      <w:tr w:rsidR="00B53E1C" w14:paraId="059FA7AB" w14:textId="77777777" w:rsidTr="005A4AB4">
        <w:trPr>
          <w:cantSplit/>
        </w:trPr>
        <w:tc>
          <w:tcPr>
            <w:tcW w:w="741" w:type="pct"/>
          </w:tcPr>
          <w:p w14:paraId="4870AD4E" w14:textId="77777777" w:rsidR="00B53E1C" w:rsidRDefault="00B53E1C" w:rsidP="005A4AB4">
            <w:pPr>
              <w:pStyle w:val="TableBody"/>
            </w:pPr>
            <w:r>
              <w:t>FPRC</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25B56D24" w14:textId="77777777" w:rsidR="00B53E1C" w:rsidRDefault="00B53E1C" w:rsidP="005A4AB4">
            <w:pPr>
              <w:pStyle w:val="TableBody"/>
            </w:pPr>
            <w:r>
              <w:t>$/MMBtu</w:t>
            </w:r>
          </w:p>
        </w:tc>
        <w:tc>
          <w:tcPr>
            <w:tcW w:w="3519" w:type="pct"/>
          </w:tcPr>
          <w:p w14:paraId="3C28D5D2" w14:textId="77777777" w:rsidR="00B53E1C" w:rsidRPr="00CE2093" w:rsidRDefault="00B53E1C" w:rsidP="005A4AB4">
            <w:pPr>
              <w:pStyle w:val="TableBody"/>
            </w:pPr>
            <w:r>
              <w:rPr>
                <w:i/>
              </w:rPr>
              <w:t>Fuel Price Calculated per Resource</w:t>
            </w:r>
            <w:r>
              <w:t xml:space="preserve">—The calculated index price for fuel for the Resource based on the Resources fuel mix. </w:t>
            </w:r>
            <w:r w:rsidRPr="00471709">
              <w:t xml:space="preserve"> Where for a Combined Cycle Train, the Resource r is a Combined Cycle Generation Resource within the Combined Cycle Train.</w:t>
            </w:r>
            <w:r>
              <w:t xml:space="preserve"> </w:t>
            </w:r>
          </w:p>
        </w:tc>
      </w:tr>
      <w:tr w:rsidR="00B53E1C" w14:paraId="0F471C30" w14:textId="77777777" w:rsidTr="005A4AB4">
        <w:trPr>
          <w:cantSplit/>
        </w:trPr>
        <w:tc>
          <w:tcPr>
            <w:tcW w:w="741" w:type="pct"/>
          </w:tcPr>
          <w:p w14:paraId="58EFFE72" w14:textId="77777777" w:rsidR="00B53E1C" w:rsidRDefault="00B53E1C" w:rsidP="005A4AB4">
            <w:pPr>
              <w:pStyle w:val="TableBody"/>
            </w:pPr>
            <w:r>
              <w:lastRenderedPageBreak/>
              <w:t>GASPEROL</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0A014584" w14:textId="77777777" w:rsidR="00B53E1C" w:rsidRDefault="00B53E1C" w:rsidP="005A4AB4">
            <w:pPr>
              <w:pStyle w:val="TableBody"/>
            </w:pPr>
            <w:r>
              <w:t>none</w:t>
            </w:r>
          </w:p>
        </w:tc>
        <w:tc>
          <w:tcPr>
            <w:tcW w:w="3519" w:type="pct"/>
          </w:tcPr>
          <w:p w14:paraId="6DD49438" w14:textId="77777777" w:rsidR="00B53E1C" w:rsidRPr="00CE2093" w:rsidRDefault="00B53E1C" w:rsidP="005A4AB4">
            <w:pPr>
              <w:pStyle w:val="TableBody"/>
            </w:pPr>
            <w:r>
              <w:rPr>
                <w:i/>
              </w:rPr>
              <w:t>Percent of Natural Gas to Operate Above LSL</w:t>
            </w:r>
            <w:r>
              <w:t xml:space="preserve">—The percentage of natural gas used by Resource </w:t>
            </w:r>
            <w:r>
              <w:rPr>
                <w:i/>
              </w:rPr>
              <w:t xml:space="preserve">r </w:t>
            </w:r>
            <w:r>
              <w:t xml:space="preserve">to operate above LSL, as approved in the verifiable cost process.  </w:t>
            </w:r>
            <w:r w:rsidRPr="00471709">
              <w:t>Where for a Combined Cycle Train, the Resource r is a Combined Cycle Generation Resource within the Combined Cycle Train.</w:t>
            </w:r>
          </w:p>
        </w:tc>
      </w:tr>
      <w:tr w:rsidR="00B53E1C" w14:paraId="732A8D83" w14:textId="77777777" w:rsidTr="005A4AB4">
        <w:trPr>
          <w:cantSplit/>
        </w:trPr>
        <w:tc>
          <w:tcPr>
            <w:tcW w:w="741" w:type="pct"/>
          </w:tcPr>
          <w:p w14:paraId="36110A05" w14:textId="77777777" w:rsidR="00B53E1C" w:rsidRDefault="00B53E1C" w:rsidP="005A4AB4">
            <w:pPr>
              <w:pStyle w:val="TableBody"/>
            </w:pPr>
            <w:r>
              <w:t>OILPEROL</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46BA3E94" w14:textId="77777777" w:rsidR="00B53E1C" w:rsidRDefault="00B53E1C" w:rsidP="005A4AB4">
            <w:pPr>
              <w:pStyle w:val="TableBody"/>
            </w:pPr>
            <w:r>
              <w:t>none</w:t>
            </w:r>
          </w:p>
        </w:tc>
        <w:tc>
          <w:tcPr>
            <w:tcW w:w="3519" w:type="pct"/>
          </w:tcPr>
          <w:p w14:paraId="71FF88A8" w14:textId="77777777" w:rsidR="00B53E1C" w:rsidRDefault="00B53E1C" w:rsidP="005A4AB4">
            <w:pPr>
              <w:pStyle w:val="TableBody"/>
              <w:rPr>
                <w:i/>
              </w:rPr>
            </w:pPr>
            <w:r>
              <w:rPr>
                <w:i/>
              </w:rPr>
              <w:t>Percent of Oil to Operate Above LSL</w:t>
            </w:r>
            <w:r>
              <w:t xml:space="preserve">—The percentage of fuel oil used by Resource </w:t>
            </w:r>
            <w:r>
              <w:rPr>
                <w:i/>
              </w:rPr>
              <w:t xml:space="preserve">r </w:t>
            </w:r>
            <w:r>
              <w:t xml:space="preserve">to operate above LSL, as approved in the verifiable cost process. </w:t>
            </w:r>
            <w:r w:rsidRPr="00471709">
              <w:t>Where for a Combined Cycle Train, the Resource r is a Combined Cycle Generation Resource within the Combined Cycle Train.</w:t>
            </w:r>
          </w:p>
        </w:tc>
      </w:tr>
      <w:tr w:rsidR="00B53E1C" w14:paraId="71330B90" w14:textId="77777777" w:rsidTr="005A4AB4">
        <w:trPr>
          <w:cantSplit/>
        </w:trPr>
        <w:tc>
          <w:tcPr>
            <w:tcW w:w="741" w:type="pct"/>
          </w:tcPr>
          <w:p w14:paraId="4283DDCA" w14:textId="77777777" w:rsidR="00B53E1C" w:rsidRDefault="00B53E1C" w:rsidP="005A4AB4">
            <w:pPr>
              <w:pStyle w:val="TableBody"/>
            </w:pPr>
            <w:r>
              <w:t>SFPEROL</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57E06A52" w14:textId="77777777" w:rsidR="00B53E1C" w:rsidRDefault="00B53E1C" w:rsidP="005A4AB4">
            <w:pPr>
              <w:pStyle w:val="TableBody"/>
            </w:pPr>
            <w:r>
              <w:t>none</w:t>
            </w:r>
          </w:p>
        </w:tc>
        <w:tc>
          <w:tcPr>
            <w:tcW w:w="3519" w:type="pct"/>
          </w:tcPr>
          <w:p w14:paraId="575BA0C2" w14:textId="77777777" w:rsidR="00B53E1C" w:rsidRDefault="00B53E1C" w:rsidP="005A4AB4">
            <w:pPr>
              <w:pStyle w:val="TableBody"/>
              <w:rPr>
                <w:i/>
              </w:rPr>
            </w:pPr>
            <w:r>
              <w:rPr>
                <w:i/>
              </w:rPr>
              <w:t>Percent of Solid Fuel to Operate Above LSL</w:t>
            </w:r>
            <w:r>
              <w:t xml:space="preserve">—The percentage of solid fuel used by Resource </w:t>
            </w:r>
            <w:r>
              <w:rPr>
                <w:i/>
              </w:rPr>
              <w:t xml:space="preserve">r </w:t>
            </w:r>
            <w:r>
              <w:t xml:space="preserve">to operate above LSL, as approved in the verifiable cost process. </w:t>
            </w:r>
            <w:r w:rsidRPr="00471709">
              <w:t>Where for a Combined Cycle Train, the Resource r is a Combined Cycle Generation Resource within the Combined Cycle Train.</w:t>
            </w:r>
          </w:p>
        </w:tc>
      </w:tr>
      <w:tr w:rsidR="00B53E1C" w14:paraId="1D4D8A24" w14:textId="77777777" w:rsidTr="005A4AB4">
        <w:trPr>
          <w:cantSplit/>
        </w:trPr>
        <w:tc>
          <w:tcPr>
            <w:tcW w:w="741" w:type="pct"/>
          </w:tcPr>
          <w:p w14:paraId="4E4F9264" w14:textId="77777777" w:rsidR="00B53E1C" w:rsidRDefault="00B53E1C" w:rsidP="005A4AB4">
            <w:pPr>
              <w:pStyle w:val="TableBody"/>
            </w:pPr>
            <w:r>
              <w:t>FA</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5DAFE290" w14:textId="77777777" w:rsidR="00B53E1C" w:rsidRDefault="00B53E1C" w:rsidP="005A4AB4">
            <w:pPr>
              <w:pStyle w:val="TableBody"/>
            </w:pPr>
            <w:r>
              <w:t>$/MMBtu</w:t>
            </w:r>
          </w:p>
        </w:tc>
        <w:tc>
          <w:tcPr>
            <w:tcW w:w="3519" w:type="pct"/>
          </w:tcPr>
          <w:p w14:paraId="3F939F28" w14:textId="77777777" w:rsidR="00B53E1C" w:rsidRDefault="00B53E1C" w:rsidP="005A4AB4">
            <w:pPr>
              <w:pStyle w:val="TableBody"/>
              <w:rPr>
                <w:i/>
              </w:rPr>
            </w:pPr>
            <w:r>
              <w:rPr>
                <w:i/>
              </w:rPr>
              <w:t>Fuel Adder</w:t>
            </w:r>
            <w:r>
              <w:t xml:space="preserve">—The fuel adder is the average cost above the index price Resource </w:t>
            </w:r>
            <w:r>
              <w:rPr>
                <w:i/>
              </w:rPr>
              <w:t xml:space="preserve">r </w:t>
            </w:r>
            <w:r>
              <w:t xml:space="preserve">has paid to obtain fuel. Where for a Combined Cycle Train, the Resource </w:t>
            </w:r>
            <w:r>
              <w:rPr>
                <w:i/>
              </w:rPr>
              <w:t xml:space="preserve">r </w:t>
            </w:r>
            <w:r>
              <w:t>is a Combined Cycle Generation Resource within the Combined Cycle Train. See the Verifiable Cost Manual for additional information.</w:t>
            </w:r>
          </w:p>
        </w:tc>
      </w:tr>
      <w:tr w:rsidR="00B53E1C" w14:paraId="5511E163" w14:textId="77777777" w:rsidTr="005A4AB4">
        <w:trPr>
          <w:cantSplit/>
        </w:trPr>
        <w:tc>
          <w:tcPr>
            <w:tcW w:w="741" w:type="pct"/>
          </w:tcPr>
          <w:p w14:paraId="42B93AEE" w14:textId="77777777" w:rsidR="00B53E1C" w:rsidRDefault="00B53E1C" w:rsidP="005A4AB4">
            <w:pPr>
              <w:pStyle w:val="TableBody"/>
            </w:pPr>
            <w:r>
              <w:t>OM</w:t>
            </w:r>
            <w:r w:rsidRPr="00B67195">
              <w:rPr>
                <w:i/>
                <w:vertAlign w:val="subscript"/>
              </w:rPr>
              <w:t xml:space="preserve"> q,</w:t>
            </w:r>
            <w:r>
              <w:rPr>
                <w:i/>
                <w:vertAlign w:val="subscript"/>
              </w:rPr>
              <w:t xml:space="preserve"> </w:t>
            </w:r>
            <w:r w:rsidRPr="00B67195">
              <w:rPr>
                <w:i/>
                <w:vertAlign w:val="subscript"/>
              </w:rPr>
              <w:t>r</w:t>
            </w:r>
          </w:p>
        </w:tc>
        <w:tc>
          <w:tcPr>
            <w:tcW w:w="740" w:type="pct"/>
          </w:tcPr>
          <w:p w14:paraId="57168A9C" w14:textId="77777777" w:rsidR="00B53E1C" w:rsidRDefault="00B53E1C" w:rsidP="005A4AB4">
            <w:pPr>
              <w:pStyle w:val="TableBody"/>
            </w:pPr>
            <w:r>
              <w:t>$/MWh</w:t>
            </w:r>
          </w:p>
        </w:tc>
        <w:tc>
          <w:tcPr>
            <w:tcW w:w="3519" w:type="pct"/>
          </w:tcPr>
          <w:p w14:paraId="16D06DD2" w14:textId="77777777" w:rsidR="00B53E1C" w:rsidRDefault="00B53E1C" w:rsidP="005A4AB4">
            <w:pPr>
              <w:pStyle w:val="TableBody"/>
              <w:rPr>
                <w:i/>
              </w:rPr>
            </w:pPr>
            <w:r w:rsidRPr="009147DD">
              <w:rPr>
                <w:i/>
              </w:rPr>
              <w:t>Variable Op</w:t>
            </w:r>
            <w:r>
              <w:rPr>
                <w:i/>
              </w:rPr>
              <w:t>erations and Maintenance Cost above</w:t>
            </w:r>
            <w:r w:rsidRPr="009147DD">
              <w:rPr>
                <w:i/>
              </w:rPr>
              <w:t xml:space="preserve"> LSL</w:t>
            </w:r>
            <w:r>
              <w:t>—</w:t>
            </w:r>
            <w:r w:rsidRPr="009147DD">
              <w:t xml:space="preserve">The </w:t>
            </w:r>
            <w:r>
              <w:t>O&amp;M</w:t>
            </w:r>
            <w:r w:rsidRPr="009147DD">
              <w:t xml:space="preserve"> cost for Resource </w:t>
            </w:r>
            <w:r w:rsidRPr="009147DD">
              <w:rPr>
                <w:i/>
              </w:rPr>
              <w:t xml:space="preserve">r </w:t>
            </w:r>
            <w:r w:rsidRPr="009147DD">
              <w:t xml:space="preserve">to operate </w:t>
            </w:r>
            <w:r>
              <w:t>above</w:t>
            </w:r>
            <w:r w:rsidRPr="009147DD">
              <w:t xml:space="preserve"> LSL, including an adjustment for emissions costs</w:t>
            </w:r>
            <w:r>
              <w:t>, as approved in the verifiable cost process</w:t>
            </w:r>
            <w:r w:rsidRPr="009147DD">
              <w:t xml:space="preserve">. </w:t>
            </w:r>
            <w:r>
              <w:t xml:space="preserve"> </w:t>
            </w:r>
            <w:r w:rsidRPr="009147DD">
              <w:t>Where for a Combined Cycle Train, the Resource r is a Combined Cycle Generation Resource within the Combined Cycle Train.</w:t>
            </w:r>
            <w:r>
              <w:t xml:space="preserve">  See the Verifiable Cost Manual for additional information.</w:t>
            </w:r>
          </w:p>
        </w:tc>
      </w:tr>
      <w:tr w:rsidR="00B53E1C" w14:paraId="78822DD1" w14:textId="77777777" w:rsidTr="00394F04">
        <w:trPr>
          <w:cantSplit/>
          <w:trHeight w:val="548"/>
        </w:trPr>
        <w:tc>
          <w:tcPr>
            <w:tcW w:w="741" w:type="pct"/>
            <w:tcBorders>
              <w:bottom w:val="single" w:sz="4" w:space="0" w:color="auto"/>
            </w:tcBorders>
          </w:tcPr>
          <w:p w14:paraId="2A007379" w14:textId="77777777" w:rsidR="00B53E1C" w:rsidRDefault="00B53E1C" w:rsidP="005A4AB4">
            <w:pPr>
              <w:pStyle w:val="TableBody"/>
            </w:pPr>
            <w:r>
              <w:t>CFMLT</w:t>
            </w:r>
            <w:r w:rsidRPr="00B67195">
              <w:rPr>
                <w:i/>
                <w:vertAlign w:val="subscript"/>
              </w:rPr>
              <w:t xml:space="preserve"> q,</w:t>
            </w:r>
            <w:r>
              <w:rPr>
                <w:i/>
                <w:vertAlign w:val="subscript"/>
              </w:rPr>
              <w:t xml:space="preserve"> </w:t>
            </w:r>
            <w:r w:rsidRPr="00B67195">
              <w:rPr>
                <w:i/>
                <w:vertAlign w:val="subscript"/>
              </w:rPr>
              <w:t>r</w:t>
            </w:r>
          </w:p>
        </w:tc>
        <w:tc>
          <w:tcPr>
            <w:tcW w:w="740" w:type="pct"/>
            <w:tcBorders>
              <w:bottom w:val="single" w:sz="4" w:space="0" w:color="auto"/>
            </w:tcBorders>
          </w:tcPr>
          <w:p w14:paraId="6E5AC0FF" w14:textId="77777777" w:rsidR="00B53E1C" w:rsidRPr="006A2CB8" w:rsidRDefault="00B53E1C" w:rsidP="005A4AB4">
            <w:pPr>
              <w:pStyle w:val="TableBody"/>
            </w:pPr>
            <w:r w:rsidRPr="006A2CB8">
              <w:t>none</w:t>
            </w:r>
          </w:p>
        </w:tc>
        <w:tc>
          <w:tcPr>
            <w:tcW w:w="3519" w:type="pct"/>
            <w:tcBorders>
              <w:bottom w:val="single" w:sz="4" w:space="0" w:color="auto"/>
            </w:tcBorders>
          </w:tcPr>
          <w:p w14:paraId="2AAAE0E3" w14:textId="77777777" w:rsidR="00B53E1C" w:rsidRPr="0065730F" w:rsidRDefault="00B53E1C" w:rsidP="005A4AB4">
            <w:pPr>
              <w:spacing w:after="240"/>
              <w:rPr>
                <w:i/>
                <w:sz w:val="20"/>
                <w:szCs w:val="20"/>
              </w:rPr>
            </w:pPr>
            <w:r>
              <w:rPr>
                <w:i/>
                <w:sz w:val="20"/>
                <w:szCs w:val="20"/>
              </w:rPr>
              <w:t xml:space="preserve">Capacity Factor </w:t>
            </w:r>
            <w:r w:rsidRPr="0065730F">
              <w:rPr>
                <w:i/>
                <w:sz w:val="20"/>
                <w:szCs w:val="20"/>
              </w:rPr>
              <w:t>Multiplier</w:t>
            </w:r>
            <w:r>
              <w:t>—</w:t>
            </w:r>
            <w:r w:rsidRPr="0065730F">
              <w:rPr>
                <w:sz w:val="20"/>
                <w:szCs w:val="20"/>
              </w:rPr>
              <w:t>A multiplier based on the corresponding mont</w:t>
            </w:r>
            <w:r>
              <w:rPr>
                <w:sz w:val="20"/>
                <w:szCs w:val="20"/>
              </w:rPr>
              <w:t>h</w:t>
            </w:r>
            <w:r w:rsidRPr="0065730F">
              <w:rPr>
                <w:sz w:val="20"/>
                <w:szCs w:val="20"/>
              </w:rPr>
              <w:t>ly capacity factor as described in</w:t>
            </w:r>
            <w:r>
              <w:rPr>
                <w:sz w:val="20"/>
                <w:szCs w:val="20"/>
              </w:rPr>
              <w:t xml:space="preserve"> paragraph (1)(d) below</w:t>
            </w:r>
            <w:r w:rsidRPr="0065730F">
              <w:rPr>
                <w:sz w:val="20"/>
                <w:szCs w:val="20"/>
              </w:rPr>
              <w:t>.</w:t>
            </w:r>
            <w:r>
              <w:rPr>
                <w:sz w:val="20"/>
                <w:szCs w:val="20"/>
              </w:rPr>
              <w:t xml:space="preserve"> </w:t>
            </w:r>
          </w:p>
        </w:tc>
      </w:tr>
      <w:tr w:rsidR="000341E3" w14:paraId="59C008DF" w14:textId="77777777" w:rsidTr="00394F04">
        <w:trPr>
          <w:cantSplit/>
        </w:trPr>
        <w:tc>
          <w:tcPr>
            <w:tcW w:w="5000" w:type="pct"/>
            <w:gridSpan w:val="3"/>
            <w:shd w:val="pct12" w:color="auto" w:fill="auto"/>
          </w:tcPr>
          <w:p w14:paraId="09B0ABEB" w14:textId="22B129ED" w:rsidR="000341E3" w:rsidRDefault="000341E3" w:rsidP="000341E3">
            <w:pPr>
              <w:spacing w:before="120" w:after="240"/>
              <w:rPr>
                <w:i/>
              </w:rPr>
            </w:pPr>
            <w:r>
              <w:rPr>
                <w:b/>
                <w:i/>
                <w:iCs/>
              </w:rPr>
              <w:t>[NPRR1058</w:t>
            </w:r>
            <w:r w:rsidR="00A61EA0">
              <w:rPr>
                <w:b/>
                <w:i/>
                <w:iCs/>
              </w:rPr>
              <w:t xml:space="preserve"> and NPRR1172</w:t>
            </w:r>
            <w:r w:rsidRPr="004B32CF">
              <w:rPr>
                <w:b/>
                <w:i/>
                <w:iCs/>
              </w:rPr>
              <w:t xml:space="preserve">:  </w:t>
            </w:r>
            <w:r>
              <w:rPr>
                <w:b/>
                <w:i/>
                <w:iCs/>
              </w:rPr>
              <w:t>Delete the variable “</w:t>
            </w:r>
            <w:r w:rsidRPr="000341E3">
              <w:rPr>
                <w:b/>
                <w:i/>
                <w:iCs/>
              </w:rPr>
              <w:t>CFMLT</w:t>
            </w:r>
            <w:r w:rsidRPr="000341E3">
              <w:rPr>
                <w:b/>
                <w:i/>
                <w:iCs/>
                <w:vertAlign w:val="subscript"/>
              </w:rPr>
              <w:t xml:space="preserve"> q, r</w:t>
            </w:r>
            <w:r>
              <w:rPr>
                <w:b/>
                <w:i/>
                <w:iCs/>
              </w:rPr>
              <w:t>”</w:t>
            </w:r>
            <w:r w:rsidRPr="004B32CF">
              <w:rPr>
                <w:b/>
                <w:i/>
                <w:iCs/>
              </w:rPr>
              <w:t xml:space="preserve"> above upon system implementation</w:t>
            </w:r>
            <w:r>
              <w:rPr>
                <w:b/>
                <w:i/>
                <w:iCs/>
              </w:rPr>
              <w:t>.</w:t>
            </w:r>
            <w:r w:rsidRPr="004B32CF">
              <w:rPr>
                <w:b/>
                <w:i/>
                <w:iCs/>
              </w:rPr>
              <w:t>]</w:t>
            </w:r>
          </w:p>
        </w:tc>
      </w:tr>
      <w:tr w:rsidR="00B53E1C" w14:paraId="54CE4CFB" w14:textId="77777777" w:rsidTr="005A4AB4">
        <w:trPr>
          <w:cantSplit/>
        </w:trPr>
        <w:tc>
          <w:tcPr>
            <w:tcW w:w="741" w:type="pct"/>
          </w:tcPr>
          <w:p w14:paraId="3524A476" w14:textId="77777777" w:rsidR="00B53E1C" w:rsidRDefault="00B53E1C" w:rsidP="005A4AB4">
            <w:pPr>
              <w:pStyle w:val="TableBody"/>
            </w:pPr>
            <w:r>
              <w:t xml:space="preserve">WAFP </w:t>
            </w:r>
            <w:r w:rsidRPr="00CE2093">
              <w:rPr>
                <w:i/>
                <w:vertAlign w:val="subscript"/>
              </w:rPr>
              <w:t>q,</w:t>
            </w:r>
            <w:r>
              <w:rPr>
                <w:i/>
                <w:vertAlign w:val="subscript"/>
              </w:rPr>
              <w:t xml:space="preserve"> </w:t>
            </w:r>
            <w:r w:rsidRPr="00CE2093">
              <w:rPr>
                <w:i/>
                <w:vertAlign w:val="subscript"/>
              </w:rPr>
              <w:t>r,</w:t>
            </w:r>
            <w:r>
              <w:rPr>
                <w:i/>
                <w:vertAlign w:val="subscript"/>
              </w:rPr>
              <w:t xml:space="preserve"> </w:t>
            </w:r>
            <w:r w:rsidRPr="00CE2093">
              <w:rPr>
                <w:i/>
                <w:vertAlign w:val="subscript"/>
              </w:rPr>
              <w:t>h</w:t>
            </w:r>
          </w:p>
        </w:tc>
        <w:tc>
          <w:tcPr>
            <w:tcW w:w="740" w:type="pct"/>
          </w:tcPr>
          <w:p w14:paraId="59C60E52" w14:textId="77777777" w:rsidR="00B53E1C" w:rsidRDefault="00B53E1C" w:rsidP="005A4AB4">
            <w:pPr>
              <w:pStyle w:val="TableBody"/>
            </w:pPr>
            <w:r>
              <w:t>$/MMBtu</w:t>
            </w:r>
          </w:p>
        </w:tc>
        <w:tc>
          <w:tcPr>
            <w:tcW w:w="3519" w:type="pct"/>
          </w:tcPr>
          <w:p w14:paraId="20D4C312" w14:textId="1CA9B49D" w:rsidR="00B53E1C" w:rsidRDefault="00B53E1C" w:rsidP="005A4AB4">
            <w:pPr>
              <w:pStyle w:val="TableBody"/>
            </w:pPr>
            <w:r>
              <w:rPr>
                <w:i/>
              </w:rPr>
              <w:t>Weighted Average Fuel Price</w:t>
            </w:r>
            <w:r>
              <w:t xml:space="preserve">—The volume-weighted average intraday, same-day and spot </w:t>
            </w:r>
            <w:r w:rsidR="00AE5C32">
              <w:t xml:space="preserve">fuel </w:t>
            </w:r>
            <w:r>
              <w:t>price</w:t>
            </w:r>
            <w:r w:rsidR="00AE5C32">
              <w:t>,</w:t>
            </w:r>
            <w:r>
              <w:t xml:space="preserve"> </w:t>
            </w:r>
            <w:r w:rsidR="00AE5C32">
              <w:t>the projected incremental</w:t>
            </w:r>
            <w:r>
              <w:t xml:space="preserve"> fuel</w:t>
            </w:r>
            <w:r w:rsidR="00AE5C32">
              <w:t xml:space="preserve"> consistent with a fuel supply contract(s), or a combination of these two prices,</w:t>
            </w:r>
            <w:r>
              <w:t xml:space="preserve"> submitted to ERCOT during the Adjustment Period for a specific Resource and specific hour within the Operating Day, as described in paragraph (1)(f) below. </w:t>
            </w:r>
          </w:p>
          <w:tbl>
            <w:tblPr>
              <w:tblW w:w="6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614"/>
            </w:tblGrid>
            <w:tr w:rsidR="00AE5C32" w:rsidRPr="000A2386" w14:paraId="4F0BF90F" w14:textId="77777777" w:rsidTr="0040456E">
              <w:trPr>
                <w:trHeight w:val="206"/>
              </w:trPr>
              <w:tc>
                <w:tcPr>
                  <w:tcW w:w="6614" w:type="dxa"/>
                  <w:shd w:val="pct12" w:color="auto" w:fill="auto"/>
                </w:tcPr>
                <w:p w14:paraId="0AA3F10D" w14:textId="4B32603E" w:rsidR="00AE5C32" w:rsidRPr="000A2386" w:rsidRDefault="00AE5C32" w:rsidP="00AE5C32">
                  <w:pPr>
                    <w:pStyle w:val="TableBody"/>
                    <w:rPr>
                      <w:b/>
                      <w:i/>
                      <w:sz w:val="24"/>
                    </w:rPr>
                  </w:pPr>
                  <w:r w:rsidRPr="000A2386">
                    <w:rPr>
                      <w:b/>
                      <w:i/>
                      <w:sz w:val="24"/>
                    </w:rPr>
                    <w:t>[NPRR1</w:t>
                  </w:r>
                  <w:r>
                    <w:rPr>
                      <w:b/>
                      <w:i/>
                      <w:sz w:val="24"/>
                    </w:rPr>
                    <w:t>177</w:t>
                  </w:r>
                  <w:r w:rsidRPr="000A2386">
                    <w:rPr>
                      <w:b/>
                      <w:i/>
                      <w:sz w:val="24"/>
                    </w:rPr>
                    <w:t>:  Replace the de</w:t>
                  </w:r>
                  <w:r>
                    <w:rPr>
                      <w:b/>
                      <w:i/>
                      <w:sz w:val="24"/>
                    </w:rPr>
                    <w:t>finition</w:t>
                  </w:r>
                  <w:r w:rsidRPr="000A2386">
                    <w:rPr>
                      <w:b/>
                      <w:i/>
                      <w:sz w:val="24"/>
                    </w:rPr>
                    <w:t xml:space="preserve"> above with the following </w:t>
                  </w:r>
                  <w:r>
                    <w:rPr>
                      <w:b/>
                      <w:i/>
                      <w:sz w:val="24"/>
                    </w:rPr>
                    <w:t>on January 1, 2025</w:t>
                  </w:r>
                  <w:r w:rsidRPr="000A2386">
                    <w:rPr>
                      <w:b/>
                      <w:i/>
                      <w:sz w:val="24"/>
                    </w:rPr>
                    <w:t>:]</w:t>
                  </w:r>
                </w:p>
                <w:p w14:paraId="4E633598" w14:textId="40035CE5" w:rsidR="00AE5C32" w:rsidRPr="00AE5C32" w:rsidRDefault="00AE5C32" w:rsidP="00AE5C32">
                  <w:pPr>
                    <w:pStyle w:val="TableBody"/>
                  </w:pPr>
                  <w:r>
                    <w:rPr>
                      <w:i/>
                    </w:rPr>
                    <w:t>Weighted Average Fuel Price</w:t>
                  </w:r>
                  <w:r>
                    <w:t>—The volume-weighted average intraday, same-day and spot price of fuel submitted to ERCOT during the Adjustment Period for a specific Resource and specific hour within the Operating Day, as described in paragraph (1)(f) below.</w:t>
                  </w:r>
                </w:p>
              </w:tc>
            </w:tr>
          </w:tbl>
          <w:p w14:paraId="1E203642" w14:textId="581460DC" w:rsidR="00AE5C32" w:rsidRDefault="00AE5C32" w:rsidP="005A4AB4">
            <w:pPr>
              <w:pStyle w:val="TableBody"/>
              <w:rPr>
                <w:i/>
              </w:rPr>
            </w:pPr>
          </w:p>
        </w:tc>
      </w:tr>
      <w:tr w:rsidR="00B53E1C" w14:paraId="3DF7C844" w14:textId="77777777" w:rsidTr="005A4AB4">
        <w:trPr>
          <w:cantSplit/>
        </w:trPr>
        <w:tc>
          <w:tcPr>
            <w:tcW w:w="741" w:type="pct"/>
          </w:tcPr>
          <w:p w14:paraId="096C0C35" w14:textId="77777777" w:rsidR="00B53E1C" w:rsidRPr="00A9442A" w:rsidRDefault="00B53E1C" w:rsidP="005A4AB4">
            <w:pPr>
              <w:pStyle w:val="TableBody"/>
              <w:rPr>
                <w:i/>
              </w:rPr>
            </w:pPr>
            <w:r w:rsidRPr="00D661BC">
              <w:rPr>
                <w:i/>
              </w:rPr>
              <w:t>q</w:t>
            </w:r>
          </w:p>
        </w:tc>
        <w:tc>
          <w:tcPr>
            <w:tcW w:w="740" w:type="pct"/>
          </w:tcPr>
          <w:p w14:paraId="111D0AA0" w14:textId="77777777" w:rsidR="00B53E1C" w:rsidRDefault="00B53E1C" w:rsidP="005A4AB4">
            <w:pPr>
              <w:pStyle w:val="TableBody"/>
            </w:pPr>
            <w:r>
              <w:t>none</w:t>
            </w:r>
          </w:p>
        </w:tc>
        <w:tc>
          <w:tcPr>
            <w:tcW w:w="3519" w:type="pct"/>
          </w:tcPr>
          <w:p w14:paraId="222D4689" w14:textId="77777777" w:rsidR="00B53E1C" w:rsidRDefault="00B53E1C" w:rsidP="005A4AB4">
            <w:pPr>
              <w:pStyle w:val="TableBody"/>
            </w:pPr>
            <w:r>
              <w:t>A QSE.</w:t>
            </w:r>
          </w:p>
        </w:tc>
      </w:tr>
      <w:tr w:rsidR="00B53E1C" w14:paraId="441A1EE5" w14:textId="77777777" w:rsidTr="005A4AB4">
        <w:trPr>
          <w:cantSplit/>
        </w:trPr>
        <w:tc>
          <w:tcPr>
            <w:tcW w:w="741" w:type="pct"/>
          </w:tcPr>
          <w:p w14:paraId="65CAB204" w14:textId="77777777" w:rsidR="00B53E1C" w:rsidRPr="00A9442A" w:rsidRDefault="00B53E1C" w:rsidP="005A4AB4">
            <w:pPr>
              <w:pStyle w:val="TableBody"/>
              <w:rPr>
                <w:i/>
              </w:rPr>
            </w:pPr>
            <w:r w:rsidRPr="00D661BC">
              <w:rPr>
                <w:i/>
              </w:rPr>
              <w:t>r</w:t>
            </w:r>
          </w:p>
        </w:tc>
        <w:tc>
          <w:tcPr>
            <w:tcW w:w="740" w:type="pct"/>
          </w:tcPr>
          <w:p w14:paraId="2C1C3113" w14:textId="77777777" w:rsidR="00B53E1C" w:rsidRDefault="00B53E1C" w:rsidP="005A4AB4">
            <w:pPr>
              <w:pStyle w:val="TableBody"/>
            </w:pPr>
            <w:r>
              <w:t>none</w:t>
            </w:r>
          </w:p>
        </w:tc>
        <w:tc>
          <w:tcPr>
            <w:tcW w:w="3519" w:type="pct"/>
          </w:tcPr>
          <w:p w14:paraId="509375C6" w14:textId="77777777" w:rsidR="00B53E1C" w:rsidRDefault="00B53E1C" w:rsidP="005A4AB4">
            <w:pPr>
              <w:pStyle w:val="TableBody"/>
            </w:pPr>
            <w:r>
              <w:t>A Generation Resource.</w:t>
            </w:r>
          </w:p>
        </w:tc>
      </w:tr>
      <w:tr w:rsidR="00B53E1C" w14:paraId="3BBBFD59" w14:textId="77777777" w:rsidTr="005A4AB4">
        <w:trPr>
          <w:cantSplit/>
        </w:trPr>
        <w:tc>
          <w:tcPr>
            <w:tcW w:w="741" w:type="pct"/>
          </w:tcPr>
          <w:p w14:paraId="39201B99" w14:textId="77777777" w:rsidR="00B53E1C" w:rsidRPr="00D661BC" w:rsidRDefault="00B53E1C" w:rsidP="005A4AB4">
            <w:pPr>
              <w:pStyle w:val="TableBody"/>
              <w:rPr>
                <w:i/>
              </w:rPr>
            </w:pPr>
            <w:r>
              <w:rPr>
                <w:i/>
              </w:rPr>
              <w:t>h</w:t>
            </w:r>
          </w:p>
        </w:tc>
        <w:tc>
          <w:tcPr>
            <w:tcW w:w="740" w:type="pct"/>
          </w:tcPr>
          <w:p w14:paraId="1FCF7F58" w14:textId="77777777" w:rsidR="00B53E1C" w:rsidRDefault="00B53E1C" w:rsidP="005A4AB4">
            <w:pPr>
              <w:pStyle w:val="TableBody"/>
            </w:pPr>
            <w:r>
              <w:t>none</w:t>
            </w:r>
          </w:p>
        </w:tc>
        <w:tc>
          <w:tcPr>
            <w:tcW w:w="3519" w:type="pct"/>
          </w:tcPr>
          <w:p w14:paraId="765526BC" w14:textId="77777777" w:rsidR="00B53E1C" w:rsidRDefault="00B53E1C" w:rsidP="005A4AB4">
            <w:pPr>
              <w:pStyle w:val="TableBody"/>
            </w:pPr>
            <w:r>
              <w:t xml:space="preserve">The Operating Hour. </w:t>
            </w:r>
          </w:p>
        </w:tc>
      </w:tr>
    </w:tbl>
    <w:p w14:paraId="35F30D55" w14:textId="488090D6" w:rsidR="00B53E1C" w:rsidRPr="00D631BA" w:rsidRDefault="00B53E1C" w:rsidP="00B53E1C">
      <w:pPr>
        <w:spacing w:before="240" w:after="240"/>
        <w:ind w:left="1440" w:hanging="720"/>
        <w:rPr>
          <w:iCs/>
        </w:rPr>
      </w:pPr>
      <w:r w:rsidRPr="00D631BA">
        <w:t>(a)</w:t>
      </w:r>
      <w:r w:rsidRPr="00D631BA">
        <w:tab/>
        <w:t>For a Resource contracted by ERCOT under paragraph (</w:t>
      </w:r>
      <w:r w:rsidR="007F71E9">
        <w:t>4</w:t>
      </w:r>
      <w:r w:rsidRPr="00D631BA">
        <w:t xml:space="preserve">) of Section 6.5.1.1, ERCOT Control Area Authority, ERCOT shall increase the O&amp;M cost such that every point on the </w:t>
      </w:r>
      <w:r>
        <w:t>MOC</w:t>
      </w:r>
      <w:r w:rsidRPr="00D631BA">
        <w:t xml:space="preserve"> curve is greater than the SWCAP in $/MWh.</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26266" w:rsidRPr="004B32CF" w14:paraId="54BDB327" w14:textId="77777777" w:rsidTr="007258B7">
        <w:trPr>
          <w:trHeight w:val="386"/>
        </w:trPr>
        <w:tc>
          <w:tcPr>
            <w:tcW w:w="9350" w:type="dxa"/>
            <w:shd w:val="pct12" w:color="auto" w:fill="auto"/>
          </w:tcPr>
          <w:p w14:paraId="51951BD2" w14:textId="256FE9AF" w:rsidR="00526266" w:rsidRPr="004B32CF" w:rsidRDefault="00526266" w:rsidP="007258B7">
            <w:pPr>
              <w:spacing w:before="120" w:after="240"/>
              <w:rPr>
                <w:b/>
                <w:i/>
                <w:iCs/>
              </w:rPr>
            </w:pPr>
            <w:r>
              <w:rPr>
                <w:b/>
                <w:i/>
                <w:iCs/>
              </w:rPr>
              <w:lastRenderedPageBreak/>
              <w:t>[NPRR1008</w:t>
            </w:r>
            <w:r w:rsidR="00782B1E">
              <w:rPr>
                <w:b/>
                <w:i/>
                <w:iCs/>
              </w:rPr>
              <w:t xml:space="preserve"> and NPRR1014</w:t>
            </w:r>
            <w:r w:rsidRPr="004B32CF">
              <w:rPr>
                <w:b/>
                <w:i/>
                <w:iCs/>
              </w:rPr>
              <w:t xml:space="preserve">:  </w:t>
            </w:r>
            <w:r>
              <w:rPr>
                <w:b/>
                <w:i/>
                <w:iCs/>
              </w:rPr>
              <w:t xml:space="preserve">Replace </w:t>
            </w:r>
            <w:r w:rsidR="00782B1E">
              <w:rPr>
                <w:b/>
                <w:i/>
                <w:iCs/>
              </w:rPr>
              <w:t xml:space="preserve">applicable portions of </w:t>
            </w:r>
            <w:r>
              <w:rPr>
                <w:b/>
                <w:i/>
                <w:iCs/>
              </w:rPr>
              <w:t>paragraph (a) above with the following</w:t>
            </w:r>
            <w:r w:rsidRPr="004B32CF">
              <w:rPr>
                <w:b/>
                <w:i/>
                <w:iCs/>
              </w:rPr>
              <w:t xml:space="preserve"> upon system implementation</w:t>
            </w:r>
            <w:r>
              <w:rPr>
                <w:b/>
                <w:i/>
                <w:iCs/>
              </w:rPr>
              <w:t xml:space="preserve"> of the Real-Time Co-Optimization (RTC) project</w:t>
            </w:r>
            <w:r w:rsidR="00782B1E">
              <w:rPr>
                <w:b/>
                <w:i/>
                <w:iCs/>
              </w:rPr>
              <w:t xml:space="preserve"> for NPRR1008; or upon system implementation</w:t>
            </w:r>
            <w:r w:rsidR="00B96815">
              <w:rPr>
                <w:b/>
                <w:i/>
                <w:iCs/>
              </w:rPr>
              <w:t xml:space="preserve"> for </w:t>
            </w:r>
            <w:r w:rsidR="001B5D93">
              <w:rPr>
                <w:b/>
                <w:i/>
                <w:iCs/>
              </w:rPr>
              <w:t>NPRR1014</w:t>
            </w:r>
            <w:r w:rsidRPr="004B32CF">
              <w:rPr>
                <w:b/>
                <w:i/>
                <w:iCs/>
              </w:rPr>
              <w:t>:]</w:t>
            </w:r>
          </w:p>
          <w:p w14:paraId="60591669" w14:textId="07412EFF" w:rsidR="00526266" w:rsidRPr="00526266" w:rsidRDefault="00526266" w:rsidP="00526266">
            <w:pPr>
              <w:spacing w:before="240" w:after="240"/>
              <w:ind w:left="1440" w:hanging="720"/>
              <w:rPr>
                <w:iCs/>
              </w:rPr>
            </w:pPr>
            <w:r w:rsidRPr="00D631BA">
              <w:t>(a)</w:t>
            </w:r>
            <w:r w:rsidRPr="00D631BA">
              <w:tab/>
              <w:t>For a Resource contracted by ERCOT under paragraph (</w:t>
            </w:r>
            <w:r w:rsidR="007F71E9">
              <w:t>4</w:t>
            </w:r>
            <w:r w:rsidRPr="00D631BA">
              <w:t xml:space="preserve">) of Section 6.5.1.1, ERCOT Control Area Authority, ERCOT shall increase the O&amp;M cost such that every point on the </w:t>
            </w:r>
            <w:r>
              <w:t>MOC</w:t>
            </w:r>
            <w:r w:rsidRPr="00D631BA">
              <w:t xml:space="preserve"> curve is greater than the </w:t>
            </w:r>
            <w:r>
              <w:rPr>
                <w:szCs w:val="20"/>
              </w:rPr>
              <w:t>effective Value of Lost Load (VOLL)</w:t>
            </w:r>
            <w:r w:rsidRPr="00D631BA">
              <w:t xml:space="preserve"> in $/MWh.</w:t>
            </w:r>
          </w:p>
        </w:tc>
      </w:tr>
    </w:tbl>
    <w:p w14:paraId="48535317" w14:textId="17597263" w:rsidR="00265804" w:rsidRDefault="00B53E1C" w:rsidP="00B53E1C">
      <w:pPr>
        <w:spacing w:before="240" w:after="240"/>
        <w:ind w:left="1440" w:hanging="720"/>
      </w:pPr>
      <w:r w:rsidRPr="00D631BA">
        <w:t>(</w:t>
      </w:r>
      <w:r>
        <w:t>b</w:t>
      </w:r>
      <w:r w:rsidRPr="00D631BA">
        <w:t>)</w:t>
      </w:r>
      <w:r w:rsidRPr="00D631BA">
        <w:tab/>
      </w:r>
      <w:r w:rsidR="006F4803">
        <w:t>Notwithstanding the MOC calculation described in paragraph (1) above, t</w:t>
      </w:r>
      <w:r w:rsidR="006F4803" w:rsidRPr="008D172B">
        <w:t xml:space="preserve">he MOC for </w:t>
      </w:r>
      <w:r w:rsidR="006F4803">
        <w:t xml:space="preserve">ESRs </w:t>
      </w:r>
      <w:r w:rsidR="006F4803" w:rsidRPr="008D172B">
        <w:t xml:space="preserve">shall be </w:t>
      </w:r>
      <w:r w:rsidR="006F4803">
        <w:t>s</w:t>
      </w:r>
      <w:r w:rsidR="006F3D85">
        <w:t xml:space="preserve">et at the </w:t>
      </w:r>
      <w:r w:rsidR="006F4803">
        <w:t>SWCAP</w:t>
      </w:r>
      <w:r w:rsidR="006F4803" w:rsidRPr="008D172B">
        <w:t>.</w:t>
      </w:r>
      <w:r w:rsidR="006F4803">
        <w:t xml:space="preserve">  </w:t>
      </w:r>
      <w:r w:rsidR="006F4803" w:rsidRPr="00797B87">
        <w:rPr>
          <w:iCs/>
        </w:rPr>
        <w:t xml:space="preserve">No later than December 31, 2023, ERCOT </w:t>
      </w:r>
      <w:r w:rsidR="006F4803" w:rsidRPr="00A97E47">
        <w:t>and</w:t>
      </w:r>
      <w:r w:rsidR="006F4803" w:rsidRPr="00797B87">
        <w:rPr>
          <w:iCs/>
        </w:rPr>
        <w:t xml:space="preserve"> stakeholders shall </w:t>
      </w:r>
      <w:r w:rsidR="006F4803">
        <w:rPr>
          <w:iCs/>
        </w:rPr>
        <w:t>submit</w:t>
      </w:r>
      <w:r w:rsidR="006F4803" w:rsidRPr="00797B87">
        <w:rPr>
          <w:iCs/>
        </w:rPr>
        <w:t xml:space="preserve"> a report to TAC that includes a recommendation to continue the </w:t>
      </w:r>
      <w:r w:rsidR="006F4803">
        <w:rPr>
          <w:iCs/>
        </w:rPr>
        <w:t>existing</w:t>
      </w:r>
      <w:r w:rsidR="006F4803" w:rsidRPr="00797B87">
        <w:rPr>
          <w:iCs/>
        </w:rPr>
        <w:t xml:space="preserve"> approach or a proposal to implement an alternative approach</w:t>
      </w:r>
      <w:r w:rsidR="006F4803">
        <w:rPr>
          <w:iCs/>
        </w:rPr>
        <w:t xml:space="preserve"> to determine the MOC for ESRs</w:t>
      </w:r>
      <w:r w:rsidRPr="008D172B">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97E47" w:rsidRPr="004B32CF" w14:paraId="1CB0357C" w14:textId="77777777" w:rsidTr="00EE28DA">
        <w:trPr>
          <w:trHeight w:val="386"/>
        </w:trPr>
        <w:tc>
          <w:tcPr>
            <w:tcW w:w="9350" w:type="dxa"/>
            <w:shd w:val="pct12" w:color="auto" w:fill="auto"/>
          </w:tcPr>
          <w:p w14:paraId="7AAACAB8" w14:textId="46AB04D3" w:rsidR="00A97E47" w:rsidRPr="004B32CF" w:rsidRDefault="00A97E47" w:rsidP="00EE28DA">
            <w:pPr>
              <w:spacing w:before="120" w:after="240"/>
              <w:rPr>
                <w:b/>
                <w:i/>
                <w:iCs/>
              </w:rPr>
            </w:pPr>
            <w:r>
              <w:rPr>
                <w:b/>
                <w:i/>
                <w:iCs/>
              </w:rPr>
              <w:t>[</w:t>
            </w:r>
            <w:r w:rsidR="00526266">
              <w:rPr>
                <w:b/>
                <w:i/>
                <w:iCs/>
              </w:rPr>
              <w:t>NPRR1008</w:t>
            </w:r>
            <w:r w:rsidR="00782B1E">
              <w:rPr>
                <w:b/>
                <w:i/>
                <w:iCs/>
              </w:rPr>
              <w:t xml:space="preserve"> and NPRR1014</w:t>
            </w:r>
            <w:r w:rsidRPr="004B32CF">
              <w:rPr>
                <w:b/>
                <w:i/>
                <w:iCs/>
              </w:rPr>
              <w:t xml:space="preserve">:  </w:t>
            </w:r>
            <w:r>
              <w:rPr>
                <w:b/>
                <w:i/>
                <w:iCs/>
              </w:rPr>
              <w:t xml:space="preserve">Replace </w:t>
            </w:r>
            <w:r w:rsidR="00B96815">
              <w:rPr>
                <w:b/>
                <w:i/>
                <w:iCs/>
              </w:rPr>
              <w:t xml:space="preserve">applicable portions of </w:t>
            </w:r>
            <w:r>
              <w:rPr>
                <w:b/>
                <w:i/>
                <w:iCs/>
              </w:rPr>
              <w:t>paragraph (b) above with the following</w:t>
            </w:r>
            <w:r w:rsidRPr="004B32CF">
              <w:rPr>
                <w:b/>
                <w:i/>
                <w:iCs/>
              </w:rPr>
              <w:t xml:space="preserve"> </w:t>
            </w:r>
            <w:r w:rsidR="00000CDC">
              <w:rPr>
                <w:b/>
                <w:i/>
                <w:iCs/>
              </w:rPr>
              <w:t xml:space="preserve">upon the system implementation of the Real-Time Co-Optimization (RTC) project for NPRR1008; or </w:t>
            </w:r>
            <w:r w:rsidRPr="004B32CF">
              <w:rPr>
                <w:b/>
                <w:i/>
                <w:iCs/>
              </w:rPr>
              <w:t>upon system implementation</w:t>
            </w:r>
            <w:r w:rsidR="001B5D93">
              <w:rPr>
                <w:b/>
                <w:i/>
                <w:iCs/>
              </w:rPr>
              <w:t xml:space="preserve"> </w:t>
            </w:r>
            <w:r w:rsidR="00B96815">
              <w:rPr>
                <w:b/>
                <w:i/>
                <w:iCs/>
              </w:rPr>
              <w:t xml:space="preserve">for </w:t>
            </w:r>
            <w:r w:rsidR="00782B1E">
              <w:rPr>
                <w:b/>
                <w:i/>
                <w:iCs/>
              </w:rPr>
              <w:t>NPRR1014</w:t>
            </w:r>
            <w:r w:rsidRPr="004B32CF">
              <w:rPr>
                <w:b/>
                <w:i/>
                <w:iCs/>
              </w:rPr>
              <w:t>:]</w:t>
            </w:r>
          </w:p>
          <w:p w14:paraId="052FFAAB" w14:textId="7B13561C" w:rsidR="00A97E47" w:rsidRPr="004B32CF" w:rsidRDefault="00A97E47" w:rsidP="00F45279">
            <w:pPr>
              <w:spacing w:after="240"/>
              <w:ind w:left="1440" w:hanging="720"/>
            </w:pPr>
            <w:r w:rsidRPr="004664F8">
              <w:t>(b)</w:t>
            </w:r>
            <w:r w:rsidRPr="004664F8">
              <w:tab/>
            </w:r>
            <w:r>
              <w:t>Notwithstanding the MOC calculation described in paragraph (1) above, t</w:t>
            </w:r>
            <w:r w:rsidRPr="008D172B">
              <w:t xml:space="preserve">he MOC for </w:t>
            </w:r>
            <w:r>
              <w:t xml:space="preserve">ESRs </w:t>
            </w:r>
            <w:r w:rsidRPr="008D172B">
              <w:t xml:space="preserve">shall be </w:t>
            </w:r>
            <w:r>
              <w:t xml:space="preserve">set at the </w:t>
            </w:r>
            <w:r w:rsidR="00526266">
              <w:t>RT</w:t>
            </w:r>
            <w:r>
              <w:t>SWCAP</w:t>
            </w:r>
            <w:r w:rsidRPr="008D172B">
              <w:t>.</w:t>
            </w:r>
            <w:r>
              <w:t xml:space="preserve">  </w:t>
            </w:r>
            <w:r w:rsidRPr="00797B87">
              <w:rPr>
                <w:iCs/>
              </w:rPr>
              <w:t xml:space="preserve">No later than December 31, 2023, ERCOT </w:t>
            </w:r>
            <w:r w:rsidRPr="00A97E47">
              <w:t>and</w:t>
            </w:r>
            <w:r w:rsidRPr="00797B87">
              <w:rPr>
                <w:iCs/>
              </w:rPr>
              <w:t xml:space="preserve"> stakeholders shall </w:t>
            </w:r>
            <w:r>
              <w:rPr>
                <w:iCs/>
              </w:rPr>
              <w:t>submit</w:t>
            </w:r>
            <w:r w:rsidRPr="00797B87">
              <w:rPr>
                <w:iCs/>
              </w:rPr>
              <w:t xml:space="preserve"> a report to TAC that includes a recommendation to continue the </w:t>
            </w:r>
            <w:r>
              <w:rPr>
                <w:iCs/>
              </w:rPr>
              <w:t>existing</w:t>
            </w:r>
            <w:r w:rsidRPr="00797B87">
              <w:rPr>
                <w:iCs/>
              </w:rPr>
              <w:t xml:space="preserve"> approach or a proposal to implement an alternative approach</w:t>
            </w:r>
            <w:r>
              <w:rPr>
                <w:iCs/>
              </w:rPr>
              <w:t xml:space="preserve"> to determine the MOC for E</w:t>
            </w:r>
            <w:r w:rsidR="00F45279">
              <w:rPr>
                <w:iCs/>
              </w:rPr>
              <w:t>SRs</w:t>
            </w:r>
            <w:r>
              <w:rPr>
                <w:iCs/>
              </w:rPr>
              <w:t>.</w:t>
            </w:r>
          </w:p>
        </w:tc>
      </w:tr>
    </w:tbl>
    <w:p w14:paraId="3FA771B2" w14:textId="445AB7D3" w:rsidR="00B53E1C" w:rsidRPr="00D631BA" w:rsidRDefault="00B53E1C" w:rsidP="00B53E1C">
      <w:pPr>
        <w:spacing w:before="240" w:after="240"/>
        <w:ind w:left="1440" w:hanging="720"/>
      </w:pPr>
      <w:r w:rsidRPr="00D631BA">
        <w:t>(</w:t>
      </w:r>
      <w:r>
        <w:t>c</w:t>
      </w:r>
      <w:r w:rsidRPr="00D631BA">
        <w:t>)</w:t>
      </w:r>
      <w:r w:rsidRPr="00D631BA">
        <w:tab/>
      </w:r>
      <w:r w:rsidRPr="008206E9">
        <w:t>For Quick Start Generation Resources (QSGRs) the MOC shall be adjusted</w:t>
      </w:r>
      <w:r w:rsidR="00265804">
        <w:t xml:space="preserve"> </w:t>
      </w:r>
      <w:r w:rsidRPr="008206E9">
        <w:t>in accordance with Verifiable Cost Manual Appendix 7, Calculation of the Variable O&amp;M Value and Incremental Heat Rate used in Real Time Mitigation for Quick Start Generation Resources (QSGRs).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26266" w:rsidRPr="004B32CF" w14:paraId="0616714E" w14:textId="77777777" w:rsidTr="007258B7">
        <w:trPr>
          <w:trHeight w:val="386"/>
        </w:trPr>
        <w:tc>
          <w:tcPr>
            <w:tcW w:w="9350" w:type="dxa"/>
            <w:shd w:val="pct12" w:color="auto" w:fill="auto"/>
          </w:tcPr>
          <w:p w14:paraId="5A74E7F5" w14:textId="536AFC3B" w:rsidR="00526266" w:rsidRPr="004B32CF" w:rsidRDefault="00526266" w:rsidP="007258B7">
            <w:pPr>
              <w:spacing w:before="120" w:after="240"/>
              <w:rPr>
                <w:b/>
                <w:i/>
                <w:iCs/>
              </w:rPr>
            </w:pPr>
            <w:r>
              <w:rPr>
                <w:b/>
                <w:i/>
                <w:iCs/>
              </w:rPr>
              <w:t>[NPRR1008</w:t>
            </w:r>
            <w:r w:rsidR="00782B1E">
              <w:rPr>
                <w:b/>
                <w:i/>
                <w:iCs/>
              </w:rPr>
              <w:t xml:space="preserve"> and NPRR1014</w:t>
            </w:r>
            <w:r w:rsidRPr="004B32CF">
              <w:rPr>
                <w:b/>
                <w:i/>
                <w:iCs/>
              </w:rPr>
              <w:t xml:space="preserve">:  </w:t>
            </w:r>
            <w:r>
              <w:rPr>
                <w:b/>
                <w:i/>
                <w:iCs/>
              </w:rPr>
              <w:t xml:space="preserve">Insert </w:t>
            </w:r>
            <w:r w:rsidR="00782B1E">
              <w:rPr>
                <w:b/>
                <w:i/>
                <w:iCs/>
              </w:rPr>
              <w:t xml:space="preserve">applicable portions of </w:t>
            </w:r>
            <w:r>
              <w:rPr>
                <w:b/>
                <w:i/>
                <w:iCs/>
              </w:rPr>
              <w:t>paragraph (d) below upon</w:t>
            </w:r>
            <w:r w:rsidRPr="004B32CF">
              <w:rPr>
                <w:b/>
                <w:i/>
                <w:iCs/>
              </w:rPr>
              <w:t xml:space="preserve"> system implementation</w:t>
            </w:r>
            <w:r>
              <w:rPr>
                <w:b/>
                <w:i/>
                <w:iCs/>
              </w:rPr>
              <w:t xml:space="preserve"> of the Real-Time Co-Optimization (RTC) project</w:t>
            </w:r>
            <w:r w:rsidR="00782B1E">
              <w:rPr>
                <w:b/>
                <w:i/>
                <w:iCs/>
              </w:rPr>
              <w:t xml:space="preserve"> for NPRR1008; or upon system implementation</w:t>
            </w:r>
            <w:r w:rsidR="00B96815">
              <w:rPr>
                <w:b/>
                <w:i/>
                <w:iCs/>
              </w:rPr>
              <w:t xml:space="preserve"> for </w:t>
            </w:r>
            <w:r w:rsidR="001B5D93">
              <w:rPr>
                <w:b/>
                <w:i/>
                <w:iCs/>
              </w:rPr>
              <w:t>NPRR1014</w:t>
            </w:r>
            <w:r w:rsidR="00782B1E">
              <w:rPr>
                <w:b/>
                <w:i/>
                <w:iCs/>
              </w:rPr>
              <w:t>;</w:t>
            </w:r>
            <w:r>
              <w:rPr>
                <w:b/>
                <w:i/>
                <w:iCs/>
              </w:rPr>
              <w:t xml:space="preserve"> and renumber accordingly</w:t>
            </w:r>
            <w:r w:rsidRPr="004B32CF">
              <w:rPr>
                <w:b/>
                <w:i/>
                <w:iCs/>
              </w:rPr>
              <w:t>:]</w:t>
            </w:r>
          </w:p>
          <w:p w14:paraId="51F383DC" w14:textId="671EFE2B" w:rsidR="00526266" w:rsidRPr="00526266" w:rsidRDefault="00526266" w:rsidP="00526266">
            <w:pPr>
              <w:spacing w:after="240"/>
              <w:ind w:left="1440" w:hanging="720"/>
            </w:pPr>
            <w:r w:rsidRPr="00D631BA">
              <w:t>(</w:t>
            </w:r>
            <w:r>
              <w:t>d</w:t>
            </w:r>
            <w:r w:rsidRPr="00D631BA">
              <w:t>)</w:t>
            </w:r>
            <w:r w:rsidRPr="00D631BA">
              <w:tab/>
            </w:r>
            <w:r w:rsidRPr="008206E9">
              <w:t xml:space="preserve">For </w:t>
            </w:r>
            <w:r>
              <w:t xml:space="preserve">On-line hydro Generation Resources not operating in Synchronous Condenser Fast-Response mode, </w:t>
            </w:r>
            <w:r w:rsidRPr="008206E9">
              <w:t>the MOC shall be adjusted</w:t>
            </w:r>
            <w:r>
              <w:t xml:space="preserve"> </w:t>
            </w:r>
            <w:r w:rsidRPr="008206E9">
              <w:t>in accordance with Verifiable Cost Manual</w:t>
            </w:r>
            <w:r>
              <w:t>,</w:t>
            </w:r>
            <w:r w:rsidRPr="008206E9">
              <w:t xml:space="preserve"> Appendix </w:t>
            </w:r>
            <w:r>
              <w:t>12</w:t>
            </w:r>
            <w:r w:rsidRPr="008206E9">
              <w:t xml:space="preserve">, Calculation of the Variable O&amp;M Value and Incremental Heat Rate used in Real Time Mitigation for </w:t>
            </w:r>
            <w:r>
              <w:t>On-Line Hydro Generation Resources not operating in Synchronous Condenser Fast-Response mode.</w:t>
            </w:r>
          </w:p>
        </w:tc>
      </w:tr>
    </w:tbl>
    <w:p w14:paraId="15C1996D" w14:textId="3C9CEC84" w:rsidR="00B53E1C" w:rsidRPr="00D631BA" w:rsidRDefault="00B53E1C" w:rsidP="00F539C2">
      <w:pPr>
        <w:spacing w:before="240" w:after="240"/>
        <w:ind w:left="1440" w:hanging="720"/>
      </w:pPr>
      <w:r w:rsidRPr="00D631BA">
        <w:t>(</w:t>
      </w:r>
      <w:r>
        <w:t>d</w:t>
      </w:r>
      <w:r w:rsidRPr="00D631BA">
        <w:t>)</w:t>
      </w:r>
      <w:r w:rsidRPr="00D631BA">
        <w:tab/>
        <w:t xml:space="preserve">The multipliers for </w:t>
      </w:r>
      <w:r>
        <w:t>the MOC calculation</w:t>
      </w:r>
      <w:r w:rsidRPr="00D631BA">
        <w:t xml:space="preserve"> above are as follows:  </w:t>
      </w:r>
    </w:p>
    <w:p w14:paraId="3F27A352" w14:textId="77777777" w:rsidR="00B53E1C" w:rsidRPr="00D631BA" w:rsidRDefault="00B53E1C" w:rsidP="00B53E1C">
      <w:pPr>
        <w:spacing w:after="240"/>
        <w:ind w:left="2160" w:hanging="720"/>
      </w:pPr>
      <w:r w:rsidRPr="00D631BA">
        <w:lastRenderedPageBreak/>
        <w:t>(i)</w:t>
      </w:r>
      <w:r w:rsidRPr="00D631BA">
        <w:tab/>
        <w:t>1.10 for Resources running at a ≥ 50% capacity factor for the previous 12 months;</w:t>
      </w:r>
    </w:p>
    <w:p w14:paraId="6EB14785" w14:textId="77777777" w:rsidR="00B53E1C" w:rsidRPr="00D631BA" w:rsidRDefault="00B53E1C" w:rsidP="00B53E1C">
      <w:pPr>
        <w:spacing w:after="240"/>
        <w:ind w:left="2160" w:hanging="720"/>
      </w:pPr>
      <w:r w:rsidRPr="00D631BA">
        <w:t>(ii)</w:t>
      </w:r>
      <w:r w:rsidRPr="00D631BA">
        <w:tab/>
        <w:t>1.15 for Resources running at a ≥ 30 and &lt; 50% capacity factor for the previous 12 months;</w:t>
      </w:r>
    </w:p>
    <w:p w14:paraId="2211A524" w14:textId="77777777" w:rsidR="00B53E1C" w:rsidRPr="00D631BA" w:rsidRDefault="00B53E1C" w:rsidP="00B53E1C">
      <w:pPr>
        <w:spacing w:after="240"/>
        <w:ind w:left="2160" w:hanging="720"/>
      </w:pPr>
      <w:r w:rsidRPr="00D631BA">
        <w:t>(iii)</w:t>
      </w:r>
      <w:r w:rsidRPr="00D631BA">
        <w:tab/>
        <w:t>1.20 for Resources running at a ≥ 20 and &lt; 30% capacity factor for the previous 12 months;</w:t>
      </w:r>
    </w:p>
    <w:p w14:paraId="19F9183E" w14:textId="77777777" w:rsidR="00B53E1C" w:rsidRPr="00D631BA" w:rsidRDefault="00B53E1C" w:rsidP="00B53E1C">
      <w:pPr>
        <w:spacing w:after="240"/>
        <w:ind w:left="2160" w:hanging="720"/>
      </w:pPr>
      <w:r w:rsidRPr="00D631BA">
        <w:t>(iv)</w:t>
      </w:r>
      <w:r w:rsidRPr="00D631BA">
        <w:tab/>
        <w:t>1.25 for Resources running at a ≥ 10 and &lt; 20% capacity factor for the previous 12 months;</w:t>
      </w:r>
    </w:p>
    <w:p w14:paraId="0423C4EA" w14:textId="77777777" w:rsidR="00B53E1C" w:rsidRDefault="00B53E1C" w:rsidP="00B53E1C">
      <w:pPr>
        <w:spacing w:after="240"/>
        <w:ind w:left="2160" w:hanging="720"/>
      </w:pPr>
      <w:r w:rsidRPr="00D631BA">
        <w:t>(v)</w:t>
      </w:r>
      <w:r w:rsidRPr="00D631BA">
        <w:tab/>
        <w:t>1.30 for Resources running at a ≥ 5 and &lt; 10% capacity factor for the previous 12 months;</w:t>
      </w:r>
    </w:p>
    <w:p w14:paraId="6B45F5EF" w14:textId="77777777" w:rsidR="00B53E1C" w:rsidRDefault="00B53E1C" w:rsidP="00B53E1C">
      <w:pPr>
        <w:spacing w:after="240"/>
        <w:ind w:left="2160" w:hanging="720"/>
      </w:pPr>
      <w:r w:rsidRPr="00D631BA">
        <w:t>(vi)</w:t>
      </w:r>
      <w:r w:rsidRPr="00D631BA">
        <w:tab/>
        <w:t>1.40 for Resources running at a ≥ 1 and &lt; 5% capacity factor for the previous 12 months; and</w:t>
      </w:r>
    </w:p>
    <w:p w14:paraId="75F8C31D" w14:textId="77777777" w:rsidR="00B53E1C" w:rsidRDefault="00B53E1C" w:rsidP="00B53E1C">
      <w:pPr>
        <w:spacing w:after="240"/>
        <w:ind w:left="2160" w:hanging="720"/>
      </w:pPr>
      <w:r w:rsidRPr="00D631BA">
        <w:t>(vii)</w:t>
      </w:r>
      <w:r w:rsidRPr="00D631BA">
        <w:tab/>
        <w:t>1.50 for Resources running at a less than 1% capacity factor for the previous 12 months.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341E3" w:rsidRPr="004B32CF" w14:paraId="726C648A" w14:textId="77777777" w:rsidTr="008E5783">
        <w:trPr>
          <w:trHeight w:val="386"/>
        </w:trPr>
        <w:tc>
          <w:tcPr>
            <w:tcW w:w="9350" w:type="dxa"/>
            <w:shd w:val="pct12" w:color="auto" w:fill="auto"/>
          </w:tcPr>
          <w:p w14:paraId="68ADE663" w14:textId="4F7BA1F8" w:rsidR="000341E3" w:rsidRPr="000341E3" w:rsidRDefault="000341E3" w:rsidP="000341E3">
            <w:pPr>
              <w:spacing w:before="120" w:after="240"/>
              <w:rPr>
                <w:b/>
                <w:i/>
                <w:iCs/>
              </w:rPr>
            </w:pPr>
            <w:r>
              <w:rPr>
                <w:b/>
                <w:i/>
                <w:iCs/>
              </w:rPr>
              <w:t>[NPRR1058</w:t>
            </w:r>
            <w:r w:rsidR="00A61EA0">
              <w:rPr>
                <w:b/>
                <w:i/>
                <w:iCs/>
              </w:rPr>
              <w:t xml:space="preserve"> and NPRR1172</w:t>
            </w:r>
            <w:r>
              <w:rPr>
                <w:b/>
                <w:i/>
                <w:iCs/>
              </w:rPr>
              <w:t>:  Delete paragraph (d</w:t>
            </w:r>
            <w:r w:rsidRPr="004B32CF">
              <w:rPr>
                <w:b/>
                <w:i/>
                <w:iCs/>
              </w:rPr>
              <w:t>) above upon system implementation</w:t>
            </w:r>
            <w:r>
              <w:rPr>
                <w:b/>
                <w:i/>
                <w:iCs/>
              </w:rPr>
              <w:t xml:space="preserve"> and renumber accordingly</w:t>
            </w:r>
            <w:r w:rsidR="00394F04">
              <w:rPr>
                <w:b/>
                <w:i/>
                <w:iCs/>
              </w:rPr>
              <w:t>.</w:t>
            </w:r>
            <w:r w:rsidRPr="004B32CF">
              <w:rPr>
                <w:b/>
                <w:i/>
                <w:iCs/>
              </w:rPr>
              <w:t>]</w:t>
            </w:r>
          </w:p>
        </w:tc>
      </w:tr>
    </w:tbl>
    <w:p w14:paraId="636221F3" w14:textId="6D580329" w:rsidR="00B53E1C" w:rsidRDefault="00B53E1C" w:rsidP="0006187D">
      <w:pPr>
        <w:spacing w:before="240" w:after="240"/>
        <w:ind w:left="1440" w:hanging="720"/>
      </w:pPr>
      <w:r w:rsidRPr="00D631BA">
        <w:t>(</w:t>
      </w:r>
      <w:r>
        <w:t>e</w:t>
      </w:r>
      <w:r w:rsidRPr="00D631BA">
        <w:t>)</w:t>
      </w:r>
      <w:r w:rsidRPr="00D631BA">
        <w:tab/>
        <w:t>The previous 12 months’ capacity factor must be updated by ERCOT by the 20</w:t>
      </w:r>
      <w:r w:rsidRPr="00452688">
        <w:t>th</w:t>
      </w:r>
      <w:r w:rsidRPr="00D631BA">
        <w:t xml:space="preserve"> day of each month using the most recent data for use in the next month.  ERCOT shall post to the MIS Secure Area the capacity factor for each Resource before the start of the effective month.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94F04" w:rsidRPr="004B32CF" w14:paraId="2D258995" w14:textId="77777777" w:rsidTr="00D74C3A">
        <w:trPr>
          <w:trHeight w:val="386"/>
        </w:trPr>
        <w:tc>
          <w:tcPr>
            <w:tcW w:w="9350" w:type="dxa"/>
            <w:shd w:val="pct12" w:color="auto" w:fill="auto"/>
          </w:tcPr>
          <w:p w14:paraId="140C0B98" w14:textId="0E0B8DDF" w:rsidR="00394F04" w:rsidRPr="000341E3" w:rsidRDefault="00394F04" w:rsidP="00D74C3A">
            <w:pPr>
              <w:spacing w:before="120" w:after="240"/>
              <w:rPr>
                <w:b/>
                <w:i/>
                <w:iCs/>
              </w:rPr>
            </w:pPr>
            <w:r>
              <w:rPr>
                <w:b/>
                <w:i/>
                <w:iCs/>
              </w:rPr>
              <w:t>[NPRR1058</w:t>
            </w:r>
            <w:r w:rsidR="00A61EA0">
              <w:rPr>
                <w:b/>
                <w:i/>
                <w:iCs/>
              </w:rPr>
              <w:t xml:space="preserve"> and NPRR1172</w:t>
            </w:r>
            <w:r>
              <w:rPr>
                <w:b/>
                <w:i/>
                <w:iCs/>
              </w:rPr>
              <w:t>:  Delete paragraph (e</w:t>
            </w:r>
            <w:r w:rsidRPr="004B32CF">
              <w:rPr>
                <w:b/>
                <w:i/>
                <w:iCs/>
              </w:rPr>
              <w:t>) above upon system implementation</w:t>
            </w:r>
            <w:r>
              <w:rPr>
                <w:b/>
                <w:i/>
                <w:iCs/>
              </w:rPr>
              <w:t xml:space="preserve"> and renumber accordingly.</w:t>
            </w:r>
            <w:r w:rsidRPr="004B32CF">
              <w:rPr>
                <w:b/>
                <w:i/>
                <w:iCs/>
              </w:rPr>
              <w:t>]</w:t>
            </w:r>
          </w:p>
        </w:tc>
      </w:tr>
    </w:tbl>
    <w:p w14:paraId="46BD4F34" w14:textId="0B373475" w:rsidR="00B53E1C" w:rsidRDefault="00B53E1C" w:rsidP="0006187D">
      <w:pPr>
        <w:spacing w:before="240" w:after="240"/>
        <w:ind w:left="1440" w:hanging="720"/>
      </w:pPr>
      <w:r w:rsidRPr="00D631BA">
        <w:t>(</w:t>
      </w:r>
      <w:r>
        <w:t>f</w:t>
      </w:r>
      <w:r w:rsidRPr="00D631BA">
        <w:t>)</w:t>
      </w:r>
      <w:r w:rsidRPr="00D631BA">
        <w:tab/>
      </w:r>
      <w:r>
        <w:t>During the Adjustment Period, a QSE representing a Resource may submit Exceptional Fuel Cost as a volume-weighted average fuel price for use in the MOC calculation for that Resource.  To qualify as Exceptional Fuel Cost, the submission must meet the following conditions:</w:t>
      </w:r>
    </w:p>
    <w:p w14:paraId="67945541" w14:textId="77777777" w:rsidR="00B53E1C" w:rsidRDefault="00B53E1C" w:rsidP="00B53E1C">
      <w:pPr>
        <w:spacing w:after="240"/>
        <w:ind w:left="2160" w:hanging="720"/>
      </w:pPr>
      <w:r>
        <w:t>(i)</w:t>
      </w:r>
      <w:r>
        <w:tab/>
        <w:t xml:space="preserve">For all Resources, the weighted average fuel price must exceed FIP for the applicable Operating Day, plus a threshold parameter value of $1/MMBtu, plus the applicable fuel adder.  </w:t>
      </w:r>
      <w:r>
        <w:rPr>
          <w:iCs/>
        </w:rPr>
        <w:t>For Resources without approved verifiable costs, the f</w:t>
      </w:r>
      <w:r w:rsidRPr="002A7D38">
        <w:rPr>
          <w:iCs/>
        </w:rPr>
        <w:t xml:space="preserve">uel </w:t>
      </w:r>
      <w:r>
        <w:rPr>
          <w:iCs/>
        </w:rPr>
        <w:t>a</w:t>
      </w:r>
      <w:r w:rsidRPr="002A7D38">
        <w:rPr>
          <w:iCs/>
        </w:rPr>
        <w:t xml:space="preserve">dder </w:t>
      </w:r>
      <w:r>
        <w:rPr>
          <w:iCs/>
        </w:rPr>
        <w:t xml:space="preserve">will be set to the default value assigned to Resources with approved verifiable costs, as defined in the Verifiable Cost Manual.  </w:t>
      </w:r>
      <w:r w:rsidRPr="002A7D38">
        <w:rPr>
          <w:iCs/>
        </w:rPr>
        <w:t xml:space="preserve">The threshold </w:t>
      </w:r>
      <w:r>
        <w:rPr>
          <w:iCs/>
        </w:rPr>
        <w:t xml:space="preserve">parameter </w:t>
      </w:r>
      <w:r w:rsidRPr="002A7D38">
        <w:rPr>
          <w:iCs/>
        </w:rPr>
        <w:t xml:space="preserve">value in this paragraph shall be recommended by the Wholesale Market Subcommittee (WMS) and approved by the </w:t>
      </w:r>
      <w:r w:rsidRPr="002A7D38">
        <w:rPr>
          <w:iCs/>
        </w:rPr>
        <w:lastRenderedPageBreak/>
        <w:t xml:space="preserve">Technical Advisory Committee (TAC).  </w:t>
      </w:r>
      <w:r w:rsidRPr="00CC731E">
        <w:t xml:space="preserve">ERCOT shall update </w:t>
      </w:r>
      <w:r>
        <w:t>the threshold value</w:t>
      </w:r>
      <w:r w:rsidRPr="00CC731E">
        <w:t xml:space="preserve"> on the first day of the month following </w:t>
      </w:r>
      <w:r>
        <w:t>TAC</w:t>
      </w:r>
      <w:r w:rsidRPr="00CC731E">
        <w:t xml:space="preserve"> approval unless otherwise directed by the </w:t>
      </w:r>
      <w:r>
        <w:t>TAC</w:t>
      </w:r>
      <w:r w:rsidRPr="00CC731E">
        <w:t>.  ERCOT shall provide a Market Notice prior to implementation of a revised parameter value.</w:t>
      </w:r>
    </w:p>
    <w:p w14:paraId="61E06830" w14:textId="77777777" w:rsidR="00B53E1C" w:rsidRDefault="00B53E1C" w:rsidP="00163271">
      <w:pPr>
        <w:spacing w:after="240"/>
        <w:ind w:left="2160" w:hanging="720"/>
        <w:rPr>
          <w:iCs/>
        </w:rPr>
      </w:pPr>
      <w:r>
        <w:rPr>
          <w:iCs/>
        </w:rPr>
        <w:t>(ii)</w:t>
      </w:r>
      <w:r>
        <w:rPr>
          <w:iCs/>
        </w:rPr>
        <w:tab/>
      </w:r>
      <w:r w:rsidRPr="002A7D38">
        <w:rPr>
          <w:iCs/>
        </w:rPr>
        <w:t>Fixed cost (</w:t>
      </w:r>
      <w:r>
        <w:rPr>
          <w:iCs/>
        </w:rPr>
        <w:t>f</w:t>
      </w:r>
      <w:r w:rsidRPr="002A7D38">
        <w:rPr>
          <w:iCs/>
        </w:rPr>
        <w:t>ees, penalties and similar non-gas costs)</w:t>
      </w:r>
      <w:r>
        <w:rPr>
          <w:iCs/>
        </w:rPr>
        <w:t xml:space="preserve"> may not be included in the calculation of the weighted average fuel price.</w:t>
      </w:r>
    </w:p>
    <w:p w14:paraId="437E39BD" w14:textId="77777777" w:rsidR="00AE5C32" w:rsidRDefault="00B53E1C" w:rsidP="00AE5C32">
      <w:pPr>
        <w:spacing w:after="240"/>
        <w:ind w:left="2160" w:hanging="720"/>
        <w:rPr>
          <w:iCs/>
        </w:rPr>
      </w:pPr>
      <w:r>
        <w:rPr>
          <w:iCs/>
        </w:rPr>
        <w:t>(iii)</w:t>
      </w:r>
      <w:r>
        <w:rPr>
          <w:iCs/>
        </w:rPr>
        <w:tab/>
      </w:r>
      <w:r w:rsidR="00AE5C32">
        <w:rPr>
          <w:iCs/>
        </w:rPr>
        <w:t>The weighted average fuel price in paragraph (1) above must be a single value and based on the following fuel price options:</w:t>
      </w:r>
    </w:p>
    <w:p w14:paraId="48F84256" w14:textId="4B2ED4D3" w:rsidR="00AE5C32" w:rsidRPr="00AE5C32" w:rsidRDefault="00AE5C32" w:rsidP="00C63B4D">
      <w:pPr>
        <w:spacing w:after="240"/>
        <w:ind w:left="2880" w:hanging="720"/>
        <w:rPr>
          <w:iCs/>
        </w:rPr>
      </w:pPr>
      <w:r>
        <w:rPr>
          <w:iCs/>
        </w:rPr>
        <w:t>(A)</w:t>
      </w:r>
      <w:r>
        <w:rPr>
          <w:iCs/>
        </w:rPr>
        <w:tab/>
      </w:r>
      <w:r w:rsidRPr="00AE5C32">
        <w:rPr>
          <w:iCs/>
        </w:rPr>
        <w:t>A volume-weighted price considering a</w:t>
      </w:r>
      <w:r w:rsidR="00B53E1C" w:rsidRPr="00AE5C32">
        <w:rPr>
          <w:iCs/>
        </w:rPr>
        <w:t>ll intra-day, same day, and spot fuel purchases</w:t>
      </w:r>
      <w:r w:rsidRPr="00AE5C32">
        <w:rPr>
          <w:iCs/>
        </w:rPr>
        <w:t xml:space="preserve"> for the Resource; or</w:t>
      </w:r>
      <w:r w:rsidR="00B53E1C" w:rsidRPr="00AE5C32">
        <w:rPr>
          <w:iCs/>
        </w:rPr>
        <w:t xml:space="preserve"> </w:t>
      </w:r>
    </w:p>
    <w:p w14:paraId="5465C485" w14:textId="77777777" w:rsidR="00AE5C32" w:rsidRDefault="00AE5C32" w:rsidP="00AE5C32">
      <w:pPr>
        <w:spacing w:after="240"/>
        <w:ind w:left="2880" w:hanging="720"/>
        <w:rPr>
          <w:iCs/>
        </w:rPr>
      </w:pPr>
      <w:r>
        <w:rPr>
          <w:iCs/>
        </w:rPr>
        <w:t>(B)</w:t>
      </w:r>
      <w:r>
        <w:rPr>
          <w:iCs/>
        </w:rPr>
        <w:tab/>
        <w:t xml:space="preserve">A projected fuel price for a Resource with a fuel supply contract(s) that also has submitted an Energy Offer Curve for the Operating Hour where the Energy Offer Curve is calculated as the incremental heat rate times the incremental fuel price plus Operations and Maintenance (O&amp;M) </w:t>
      </w:r>
      <w:r w:rsidRPr="006D76EF">
        <w:rPr>
          <w:iCs/>
        </w:rPr>
        <w:t>cost</w:t>
      </w:r>
      <w:r>
        <w:rPr>
          <w:iCs/>
        </w:rPr>
        <w:t>; or</w:t>
      </w:r>
    </w:p>
    <w:p w14:paraId="5F30F21D" w14:textId="77777777" w:rsidR="00AE5C32" w:rsidRPr="00CD7125" w:rsidRDefault="00AE5C32" w:rsidP="00AE5C32">
      <w:pPr>
        <w:spacing w:after="240"/>
        <w:ind w:left="2880" w:hanging="720"/>
        <w:rPr>
          <w:iCs/>
        </w:rPr>
      </w:pPr>
      <w:r>
        <w:rPr>
          <w:iCs/>
        </w:rPr>
        <w:t>(C)</w:t>
      </w:r>
      <w:r>
        <w:rPr>
          <w:iCs/>
        </w:rPr>
        <w:tab/>
        <w:t>A combination of the above two options.</w:t>
      </w:r>
    </w:p>
    <w:p w14:paraId="7909E136" w14:textId="0879AFFE" w:rsidR="00B53E1C" w:rsidRDefault="00AE5C32" w:rsidP="00AE5C32">
      <w:pPr>
        <w:spacing w:after="240"/>
        <w:ind w:left="2160" w:hanging="720"/>
      </w:pPr>
      <w:r>
        <w:rPr>
          <w:iCs/>
        </w:rPr>
        <w:tab/>
        <w:t xml:space="preserve">A weighted average fuel price based on actual fuel purchases </w:t>
      </w:r>
      <w:r w:rsidR="00B53E1C" w:rsidRPr="00AE5C32">
        <w:rPr>
          <w:iCs/>
        </w:rPr>
        <w:t>must be included</w:t>
      </w:r>
      <w:r w:rsidR="00B53E1C">
        <w:t xml:space="preserve"> in the calculation of the weighted average fuel price</w:t>
      </w:r>
      <w:r w:rsidR="00B53E1C" w:rsidRPr="00834567">
        <w:t xml:space="preserve"> </w:t>
      </w:r>
      <w:r w:rsidR="00B53E1C">
        <w:t>in paragraph (1) above.  These must</w:t>
      </w:r>
      <w:r w:rsidR="00B53E1C" w:rsidRPr="00834567">
        <w:t xml:space="preserve"> </w:t>
      </w:r>
      <w:r w:rsidR="00B53E1C">
        <w:t>account for</w:t>
      </w:r>
      <w:r w:rsidR="00B53E1C" w:rsidRPr="00834567">
        <w:t xml:space="preserve"> at least 10% of the total fuel </w:t>
      </w:r>
      <w:r w:rsidR="00B53E1C">
        <w:t xml:space="preserve">volume </w:t>
      </w:r>
      <w:r w:rsidR="00B53E1C" w:rsidRPr="00834567">
        <w:t xml:space="preserve">burned </w:t>
      </w:r>
      <w:r w:rsidR="00B53E1C">
        <w:t xml:space="preserve">by the applicable Resource </w:t>
      </w:r>
      <w:r w:rsidR="00B53E1C" w:rsidRPr="00834567">
        <w:t>for the hour</w:t>
      </w:r>
      <w:r w:rsidR="00B53E1C" w:rsidRPr="00B95495">
        <w:t xml:space="preserve"> for which the weighted average fuel price is computed.</w:t>
      </w:r>
      <w:r w:rsidR="00B53E1C">
        <w:t xml:space="preserve">  </w:t>
      </w:r>
      <w:r>
        <w:t xml:space="preserve">A projected incremental fuel price must be consistent with the terms of the fuel supply contract(s).  A weighted average fuel price based on a combination of these options must meet the requirements described for each of the options.  </w:t>
      </w:r>
      <w:r w:rsidR="00B53E1C">
        <w:t>As noted in paragraph (l) below, the methodology used in the allocation of the cost and volume of fuel to the Resource for the hour is subject to validation by ERCOT</w:t>
      </w:r>
      <w:r w:rsidR="00B53E1C" w:rsidRPr="00834567">
        <w:t>.</w:t>
      </w: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450"/>
      </w:tblGrid>
      <w:tr w:rsidR="00AE5C32" w:rsidRPr="004B32CF" w14:paraId="2DAA4489" w14:textId="77777777" w:rsidTr="0040456E">
        <w:trPr>
          <w:trHeight w:val="386"/>
        </w:trPr>
        <w:tc>
          <w:tcPr>
            <w:tcW w:w="9450" w:type="dxa"/>
            <w:shd w:val="pct12" w:color="auto" w:fill="auto"/>
          </w:tcPr>
          <w:p w14:paraId="509AC62F" w14:textId="7FE1C251" w:rsidR="00AE5C32" w:rsidRPr="004B32CF" w:rsidRDefault="00AE5C32" w:rsidP="0040456E">
            <w:pPr>
              <w:spacing w:before="120" w:after="240"/>
              <w:rPr>
                <w:b/>
                <w:i/>
                <w:iCs/>
              </w:rPr>
            </w:pPr>
            <w:r>
              <w:rPr>
                <w:b/>
                <w:i/>
                <w:iCs/>
              </w:rPr>
              <w:t>[NPRR1177:  Replace paragraph (iii)</w:t>
            </w:r>
            <w:r w:rsidRPr="004B32CF">
              <w:rPr>
                <w:b/>
                <w:i/>
                <w:iCs/>
              </w:rPr>
              <w:t xml:space="preserve"> above with the following </w:t>
            </w:r>
            <w:r>
              <w:rPr>
                <w:b/>
                <w:i/>
                <w:iCs/>
              </w:rPr>
              <w:t>on January 1, 2025</w:t>
            </w:r>
            <w:r w:rsidRPr="004B32CF">
              <w:rPr>
                <w:b/>
                <w:i/>
                <w:iCs/>
              </w:rPr>
              <w:t>:]</w:t>
            </w:r>
          </w:p>
          <w:p w14:paraId="5CB1D7A2" w14:textId="3D1C006D" w:rsidR="00AE5C32" w:rsidRPr="004B32CF" w:rsidRDefault="00AE5C32" w:rsidP="00AE5C32">
            <w:pPr>
              <w:spacing w:after="240"/>
              <w:ind w:left="2160" w:hanging="720"/>
            </w:pPr>
            <w:r>
              <w:rPr>
                <w:iCs/>
              </w:rPr>
              <w:t>(iii)</w:t>
            </w:r>
            <w:r>
              <w:rPr>
                <w:iCs/>
              </w:rPr>
              <w:tab/>
            </w:r>
            <w:r w:rsidRPr="00B95495">
              <w:rPr>
                <w:iCs/>
              </w:rPr>
              <w:t>All intra</w:t>
            </w:r>
            <w:r>
              <w:rPr>
                <w:iCs/>
              </w:rPr>
              <w:t>-</w:t>
            </w:r>
            <w:r w:rsidRPr="00B95495">
              <w:rPr>
                <w:iCs/>
              </w:rPr>
              <w:t>day, same day</w:t>
            </w:r>
            <w:r>
              <w:rPr>
                <w:iCs/>
              </w:rPr>
              <w:t>,</w:t>
            </w:r>
            <w:r w:rsidRPr="00B95495">
              <w:rPr>
                <w:iCs/>
              </w:rPr>
              <w:t xml:space="preserve"> and spot fuel purchases must be included</w:t>
            </w:r>
            <w:r>
              <w:t xml:space="preserve"> in the calculation of the weighted average fuel price</w:t>
            </w:r>
            <w:r w:rsidRPr="00834567">
              <w:t xml:space="preserve"> </w:t>
            </w:r>
            <w:r>
              <w:t>in paragraph (1) above.  These must</w:t>
            </w:r>
            <w:r w:rsidRPr="00834567">
              <w:t xml:space="preserve"> </w:t>
            </w:r>
            <w:r>
              <w:t>account for</w:t>
            </w:r>
            <w:r w:rsidRPr="00834567">
              <w:t xml:space="preserve"> at least 10% of the total fuel </w:t>
            </w:r>
            <w:r>
              <w:t xml:space="preserve">volume </w:t>
            </w:r>
            <w:r w:rsidRPr="00834567">
              <w:t xml:space="preserve">burned </w:t>
            </w:r>
            <w:r>
              <w:t xml:space="preserve">by the applicable Resource </w:t>
            </w:r>
            <w:r w:rsidRPr="00834567">
              <w:t>for the hour</w:t>
            </w:r>
            <w:r w:rsidRPr="00B95495">
              <w:t xml:space="preserve"> for which the weighted average fuel price is computed.</w:t>
            </w:r>
            <w:r>
              <w:t xml:space="preserve">  As noted in paragraph (l) below, the methodology used in the allocation of the cost and volume of purchased fuel to the Resource for the hour is subject to validation by ERCOT</w:t>
            </w:r>
            <w:r w:rsidRPr="00834567">
              <w:t>.</w:t>
            </w:r>
          </w:p>
        </w:tc>
      </w:tr>
    </w:tbl>
    <w:p w14:paraId="0B11C46A" w14:textId="61E81BD2" w:rsidR="00B53E1C" w:rsidRDefault="00B53E1C" w:rsidP="00C63B4D">
      <w:pPr>
        <w:spacing w:before="240" w:after="240"/>
        <w:ind w:left="2160" w:hanging="720"/>
      </w:pPr>
      <w:r>
        <w:t>(iv)</w:t>
      </w:r>
      <w:r>
        <w:tab/>
        <w:t xml:space="preserve">Weighted average fuel prices must be submitted individually for each Operating Hour for which they are applicable.  Values submitted outside </w:t>
      </w:r>
      <w:r>
        <w:lastRenderedPageBreak/>
        <w:t>of the Adjustment Period will be rejected and not used in the calculation of the MOC for the designated Operating Hour.</w:t>
      </w:r>
      <w:r w:rsidDel="00DA7871">
        <w:t xml:space="preserve"> </w:t>
      </w:r>
    </w:p>
    <w:p w14:paraId="2A15C403" w14:textId="77777777" w:rsidR="00AE5C32" w:rsidRDefault="00AE5C32" w:rsidP="00AE5C32">
      <w:pPr>
        <w:spacing w:after="240"/>
        <w:ind w:left="2160" w:hanging="720"/>
      </w:pPr>
      <w:r>
        <w:t>(v)</w:t>
      </w:r>
      <w:r>
        <w:tab/>
        <w:t>A projected volume-weighted average fuel price must be consistent with the Energy Offer Curve for each Operating Hour for which they are applicable, and consistent with the signed and executed fuel supply contract(s) for each Resource.</w:t>
      </w:r>
    </w:p>
    <w:p w14:paraId="200D7CA9" w14:textId="77777777" w:rsidR="00AE5C32" w:rsidRDefault="00AE5C32" w:rsidP="00AE5C32">
      <w:pPr>
        <w:spacing w:after="240"/>
        <w:ind w:left="2160" w:hanging="720"/>
      </w:pPr>
      <w:r>
        <w:t>(vi)</w:t>
      </w:r>
      <w:r>
        <w:tab/>
        <w:t>An Exceptional Fuel Cost submitted based on projected fuel prices may not match with the actual volume-weighted average fuel price due to prospective costs and/or contractual costs.</w:t>
      </w: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450"/>
      </w:tblGrid>
      <w:tr w:rsidR="00AE5C32" w:rsidRPr="004B32CF" w14:paraId="0F130D6E" w14:textId="77777777" w:rsidTr="0040456E">
        <w:trPr>
          <w:trHeight w:val="386"/>
        </w:trPr>
        <w:tc>
          <w:tcPr>
            <w:tcW w:w="9450" w:type="dxa"/>
            <w:shd w:val="pct12" w:color="auto" w:fill="auto"/>
          </w:tcPr>
          <w:p w14:paraId="0BAD3691" w14:textId="44493B89" w:rsidR="00AE5C32" w:rsidRPr="00AE5C32" w:rsidRDefault="00AE5C32" w:rsidP="00AE5C32">
            <w:pPr>
              <w:spacing w:before="120" w:after="240"/>
              <w:rPr>
                <w:b/>
                <w:i/>
                <w:iCs/>
              </w:rPr>
            </w:pPr>
            <w:r>
              <w:rPr>
                <w:b/>
                <w:i/>
                <w:iCs/>
              </w:rPr>
              <w:t>[NPRR1177:  Delete paragraphs (v) and (vi)</w:t>
            </w:r>
            <w:r w:rsidRPr="004B32CF">
              <w:rPr>
                <w:b/>
                <w:i/>
                <w:iCs/>
              </w:rPr>
              <w:t xml:space="preserve"> above</w:t>
            </w:r>
            <w:r>
              <w:rPr>
                <w:b/>
                <w:i/>
                <w:iCs/>
              </w:rPr>
              <w:t xml:space="preserve"> on January 1, 2025.</w:t>
            </w:r>
            <w:r w:rsidRPr="004B32CF">
              <w:rPr>
                <w:b/>
                <w:i/>
                <w:iCs/>
              </w:rPr>
              <w:t>]</w:t>
            </w:r>
          </w:p>
        </w:tc>
      </w:tr>
    </w:tbl>
    <w:p w14:paraId="43A8CA49" w14:textId="631D3DF1" w:rsidR="00B53E1C" w:rsidRDefault="00B53E1C" w:rsidP="00C63B4D">
      <w:pPr>
        <w:spacing w:before="240" w:after="240"/>
        <w:ind w:left="1440" w:hanging="720"/>
      </w:pPr>
      <w:r>
        <w:t>(g)</w:t>
      </w:r>
      <w:r>
        <w:tab/>
      </w:r>
      <w:r w:rsidRPr="00EA1951">
        <w:t xml:space="preserve">ERCOT </w:t>
      </w:r>
      <w:r>
        <w:t xml:space="preserve">may </w:t>
      </w:r>
      <w:r w:rsidRPr="00EA1951">
        <w:t xml:space="preserve">notify the Independent Market Monitor (IMM) if </w:t>
      </w:r>
      <w:r>
        <w:t>a QSE submits an</w:t>
      </w:r>
      <w:r w:rsidRPr="00EA1951">
        <w:t xml:space="preserve"> Exceptional Fuel Cost.</w:t>
      </w:r>
      <w:r w:rsidRPr="00834567">
        <w:t xml:space="preserve"> </w:t>
      </w:r>
    </w:p>
    <w:p w14:paraId="3D6519B4" w14:textId="77777777" w:rsidR="00B53E1C" w:rsidRDefault="00B53E1C" w:rsidP="00B53E1C">
      <w:pPr>
        <w:spacing w:after="240"/>
        <w:ind w:left="1440" w:hanging="720"/>
      </w:pPr>
      <w:r>
        <w:t>(h)</w:t>
      </w:r>
      <w:r>
        <w:tab/>
        <w:t>No later than five Business Days after an Operating Day for which an Exceptional Fuel Cost is submitted, ERCOT shall issue a Market Notice indicating the affected Operating Hours and the number of Resources for which a QSE submitted Exceptional Fuel Cost for a particular Operating Day.</w:t>
      </w: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450"/>
      </w:tblGrid>
      <w:tr w:rsidR="0048168C" w:rsidRPr="004B32CF" w14:paraId="766F833F" w14:textId="77777777" w:rsidTr="0048168C">
        <w:trPr>
          <w:trHeight w:val="386"/>
        </w:trPr>
        <w:tc>
          <w:tcPr>
            <w:tcW w:w="9450" w:type="dxa"/>
            <w:shd w:val="pct12" w:color="auto" w:fill="auto"/>
          </w:tcPr>
          <w:p w14:paraId="73D7BBC2" w14:textId="745A4DFF" w:rsidR="0048168C" w:rsidRPr="004B32CF" w:rsidRDefault="0048168C" w:rsidP="00AD622C">
            <w:pPr>
              <w:spacing w:before="120" w:after="240"/>
              <w:rPr>
                <w:b/>
                <w:i/>
                <w:iCs/>
              </w:rPr>
            </w:pPr>
            <w:r>
              <w:rPr>
                <w:b/>
                <w:i/>
                <w:iCs/>
              </w:rPr>
              <w:t>[NPRR1121:  Replace paragraph (h)</w:t>
            </w:r>
            <w:r w:rsidRPr="004B32CF">
              <w:rPr>
                <w:b/>
                <w:i/>
                <w:iCs/>
              </w:rPr>
              <w:t xml:space="preserve"> above with the following upon system implementation:]</w:t>
            </w:r>
          </w:p>
          <w:p w14:paraId="364B00EE" w14:textId="6957164D" w:rsidR="0048168C" w:rsidRPr="004B32CF" w:rsidRDefault="0048168C" w:rsidP="0048168C">
            <w:pPr>
              <w:spacing w:after="240"/>
              <w:ind w:left="1440" w:hanging="720"/>
            </w:pPr>
            <w:r>
              <w:t>(h)</w:t>
            </w:r>
            <w:r>
              <w:tab/>
              <w:t>The day following an Operating Day for which an Exceptional Fuel Cost is submitted, ERCOT shall post a report on the ERCOT website indicating the affected Operating Hours and the number of Resources for which a QSE submitted Exceptional Fuel Cost for a particular Operating Day.</w:t>
            </w:r>
          </w:p>
        </w:tc>
      </w:tr>
    </w:tbl>
    <w:p w14:paraId="6A97D74B" w14:textId="741F5660" w:rsidR="00B53E1C" w:rsidRDefault="00B53E1C" w:rsidP="000D3293">
      <w:pPr>
        <w:spacing w:before="240" w:after="240"/>
        <w:ind w:left="1440" w:hanging="720"/>
      </w:pPr>
      <w:r>
        <w:t>(i)</w:t>
      </w:r>
      <w:r>
        <w:tab/>
        <w:t xml:space="preserve">No later than 1700 Central Prevailing Time (CPT) on the 15th day following an Exceptional Fuel Cost submission, the submitting QSE shall provide ERCOT with the calculation of the weighted average fuel price, intraday or same-day fuel purchases, </w:t>
      </w:r>
      <w:r w:rsidR="00AE5C32">
        <w:t xml:space="preserve">if applicable, </w:t>
      </w:r>
      <w:r>
        <w:t>and any available supporting documentation.  Such information may include, but is not limited to, documents of the following nature: relevant contracts between the QSE or Resource Entity and fuel supplier, trade logs, transportation, storage, balancing and distribution agreements, calculation of the weighted average fuel price, or any other documentation necessary to support the Exceptional Fuel Cost price and volume for the applicable period(s).</w:t>
      </w:r>
    </w:p>
    <w:p w14:paraId="5E2B4E55" w14:textId="53AA2F41" w:rsidR="00B53E1C" w:rsidRDefault="00B53E1C" w:rsidP="0008004C">
      <w:pPr>
        <w:spacing w:after="240"/>
        <w:ind w:left="1440" w:hanging="720"/>
      </w:pPr>
      <w:r>
        <w:t>(j)</w:t>
      </w:r>
      <w:r>
        <w:tab/>
        <w:t>No later than 1700 Central Prevailing Time (CPT) on the 60th day following an Exceptional Fuel Cost submission, the submitting QSE shall provide ERCOT with all supporting documentation not previously provided to ERCOT.  No supporting documentation will be accepted after the 60</w:t>
      </w:r>
      <w:r w:rsidRPr="00F84004">
        <w:t>th</w:t>
      </w:r>
      <w:r>
        <w:t xml:space="preserve"> day.</w:t>
      </w:r>
    </w:p>
    <w:p w14:paraId="3E68F6E9" w14:textId="6A0C63EE" w:rsidR="00B53E1C" w:rsidRDefault="00B53E1C" w:rsidP="00B53E1C">
      <w:pPr>
        <w:spacing w:after="240"/>
        <w:ind w:left="1440" w:hanging="720"/>
      </w:pPr>
      <w:r>
        <w:lastRenderedPageBreak/>
        <w:t>(k)</w:t>
      </w:r>
      <w:r>
        <w:tab/>
        <w:t>The accuracy of submitted Exceptional Fuel Cost and the need for purchasing intraday or same-day gas must be attested to by a duly authorized officer or agent of the QSE representing the Resource.  The attestation must be provided in a standardized format acceptable to ERCOT and submitted with the other documentation described in paragraph (i) above.</w:t>
      </w:r>
      <w:r w:rsidR="0008004C" w:rsidRPr="0008004C">
        <w:t xml:space="preserve"> </w:t>
      </w:r>
      <w:r w:rsidR="0008004C">
        <w:t xml:space="preserve"> An attestation for Exceptional Fuel Costs must state that the costs are accurate and variable</w:t>
      </w:r>
      <w:r w:rsidR="0008004C" w:rsidRPr="005D0A00">
        <w:t>, based on the dispatch of the Resource</w:t>
      </w:r>
      <w:r w:rsidR="0008004C">
        <w:t xml:space="preserve">.  </w:t>
      </w: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450"/>
      </w:tblGrid>
      <w:tr w:rsidR="0008004C" w:rsidRPr="004B32CF" w14:paraId="11F69975" w14:textId="77777777" w:rsidTr="0040456E">
        <w:trPr>
          <w:trHeight w:val="386"/>
        </w:trPr>
        <w:tc>
          <w:tcPr>
            <w:tcW w:w="9450" w:type="dxa"/>
            <w:shd w:val="pct12" w:color="auto" w:fill="auto"/>
          </w:tcPr>
          <w:p w14:paraId="44D3777C" w14:textId="1B59D606" w:rsidR="0008004C" w:rsidRPr="004B32CF" w:rsidRDefault="0008004C" w:rsidP="0040456E">
            <w:pPr>
              <w:spacing w:before="120" w:after="240"/>
              <w:rPr>
                <w:b/>
                <w:i/>
                <w:iCs/>
              </w:rPr>
            </w:pPr>
            <w:r>
              <w:rPr>
                <w:b/>
                <w:i/>
                <w:iCs/>
              </w:rPr>
              <w:t>[NPRR1177:  Replace paragraph (k)</w:t>
            </w:r>
            <w:r w:rsidRPr="004B32CF">
              <w:rPr>
                <w:b/>
                <w:i/>
                <w:iCs/>
              </w:rPr>
              <w:t xml:space="preserve"> above with the following </w:t>
            </w:r>
            <w:r>
              <w:rPr>
                <w:b/>
                <w:i/>
                <w:iCs/>
              </w:rPr>
              <w:t>on January 1, 2025</w:t>
            </w:r>
            <w:r w:rsidRPr="004B32CF">
              <w:rPr>
                <w:b/>
                <w:i/>
                <w:iCs/>
              </w:rPr>
              <w:t>:]</w:t>
            </w:r>
          </w:p>
          <w:p w14:paraId="7F9BAADB" w14:textId="4F80FD61" w:rsidR="0008004C" w:rsidRPr="004B32CF" w:rsidRDefault="0008004C" w:rsidP="0008004C">
            <w:pPr>
              <w:spacing w:after="240"/>
              <w:ind w:left="1440" w:hanging="720"/>
            </w:pPr>
            <w:r>
              <w:t>(k)</w:t>
            </w:r>
            <w:r>
              <w:tab/>
              <w:t>The accuracy of submitted Exceptional Fuel Cost and the need for purchasing intraday or same-day gas must be attested to by a duly authorized officer or agent of the QSE representing the Resource.  The attestation must be provided in a standardized format acceptable to ERCOT and submitted with the other documentation described in paragraph (i) above.</w:t>
            </w:r>
          </w:p>
        </w:tc>
      </w:tr>
    </w:tbl>
    <w:p w14:paraId="5BD50EED" w14:textId="18AC2C3F" w:rsidR="00B53E1C" w:rsidRDefault="00B53E1C" w:rsidP="00C63B4D">
      <w:pPr>
        <w:spacing w:before="240" w:after="240"/>
        <w:ind w:left="1440" w:hanging="720"/>
      </w:pPr>
      <w:r>
        <w:t>(l)</w:t>
      </w:r>
      <w:r>
        <w:tab/>
        <w:t>ERCOT will use the supporting documentation to validate the Exceptional Fuel Cost for the applicable period. Validation will include, but not be limited to, the cost and the quantity of purchased fuel, Resource-specific heat rates, and the methodology used in the allocation of the cost and volume of purchased fuel</w:t>
      </w:r>
      <w:r w:rsidR="0008004C">
        <w:t>, if applicable,</w:t>
      </w:r>
      <w:r>
        <w:t xml:space="preserve"> to the Resource for the applicable hour used in the weighted average fuel price calculation.  In connection with the validation process ERCOT may request additional documentation or clarification of previously submitted documentation.  Such requests must be honored within ten Business Days.</w:t>
      </w:r>
      <w:r w:rsidRPr="00834567">
        <w:t xml:space="preserve">  </w:t>
      </w:r>
    </w:p>
    <w:p w14:paraId="5A454891" w14:textId="77777777" w:rsidR="0008004C" w:rsidRDefault="00B53E1C" w:rsidP="0008004C">
      <w:pPr>
        <w:spacing w:after="240"/>
        <w:ind w:left="1440" w:hanging="720"/>
      </w:pPr>
      <w:r>
        <w:t>(m)</w:t>
      </w:r>
      <w:r>
        <w:tab/>
        <w:t>At ERCOT’s sole discretion, submission and follow-up information deadlines may be extended on a case-by-case basis.</w:t>
      </w:r>
    </w:p>
    <w:p w14:paraId="5431061B" w14:textId="6FD85BC3" w:rsidR="0008004C" w:rsidRDefault="0008004C" w:rsidP="0008004C">
      <w:pPr>
        <w:spacing w:after="240"/>
        <w:ind w:left="1440" w:hanging="720"/>
      </w:pPr>
      <w:r>
        <w:t>(n)</w:t>
      </w:r>
      <w:r>
        <w:tab/>
        <w:t xml:space="preserve">The documentation described in paragraphs (i) through (l) above is only required for the hours for which Exceptional Fuel Costs were submitted and the Resource </w:t>
      </w:r>
      <w:r w:rsidRPr="009767AF">
        <w:t>was subject</w:t>
      </w:r>
      <w:r>
        <w:t xml:space="preserve"> to mitigation.</w:t>
      </w:r>
    </w:p>
    <w:p w14:paraId="17AA827A" w14:textId="7E38DE56" w:rsidR="00B53E1C" w:rsidRDefault="0008004C" w:rsidP="00B53E1C">
      <w:pPr>
        <w:spacing w:after="240"/>
        <w:ind w:left="1440" w:hanging="720"/>
      </w:pPr>
      <w:r>
        <w:t>(o)</w:t>
      </w:r>
      <w:r>
        <w:tab/>
        <w:t xml:space="preserve">For Resources submitting Exceptional Fuel Costs based on projected incremental fuel prices based on a contract(s) the QSE must submit to ERCOT all applicable fuel supply contracts at least ten Business Days in advance of submitting Exceptional Fuel Costs.  ERCOT may, at any time, notify the QSE of any cost identified in the contract that is ineligible for inclusion in any Exceptional Fuel Cost submission.  Upon receiving such notification, the QSE shall ensure that such cost is not included in any Exceptional Fuel Cost submission or in any Energy Offer Curve submission for any hours for which Exceptional Fuel Costs are submitted.  The absence of any such notification shall not imply that such cost is eligible for inclusion in any Exceptional Fuel Cost submission or in any Energy Offer Curve submission. </w:t>
      </w: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450"/>
      </w:tblGrid>
      <w:tr w:rsidR="0008004C" w:rsidRPr="004B32CF" w14:paraId="6BC611D5" w14:textId="77777777" w:rsidTr="0040456E">
        <w:trPr>
          <w:trHeight w:val="386"/>
        </w:trPr>
        <w:tc>
          <w:tcPr>
            <w:tcW w:w="9450" w:type="dxa"/>
            <w:shd w:val="pct12" w:color="auto" w:fill="auto"/>
          </w:tcPr>
          <w:p w14:paraId="4B71E75F" w14:textId="6CCFCF11" w:rsidR="0008004C" w:rsidRPr="00AE5C32" w:rsidRDefault="0008004C" w:rsidP="0040456E">
            <w:pPr>
              <w:spacing w:before="120" w:after="240"/>
              <w:rPr>
                <w:b/>
                <w:i/>
                <w:iCs/>
              </w:rPr>
            </w:pPr>
            <w:bookmarkStart w:id="484" w:name="_Toc142108941"/>
            <w:bookmarkStart w:id="485" w:name="_Toc142113786"/>
            <w:bookmarkStart w:id="486" w:name="_Toc402345610"/>
            <w:bookmarkStart w:id="487" w:name="_Toc405383893"/>
            <w:bookmarkStart w:id="488" w:name="_Toc405536996"/>
            <w:bookmarkStart w:id="489" w:name="_Toc416684934"/>
            <w:bookmarkStart w:id="490" w:name="_Toc440871783"/>
            <w:bookmarkStart w:id="491" w:name="_Toc135990658"/>
            <w:bookmarkEnd w:id="481"/>
            <w:bookmarkEnd w:id="482"/>
            <w:r>
              <w:rPr>
                <w:b/>
                <w:i/>
                <w:iCs/>
              </w:rPr>
              <w:lastRenderedPageBreak/>
              <w:t>[NPRR1177:  Delete paragraphs (n) and (o)</w:t>
            </w:r>
            <w:r w:rsidRPr="004B32CF">
              <w:rPr>
                <w:b/>
                <w:i/>
                <w:iCs/>
              </w:rPr>
              <w:t xml:space="preserve"> above</w:t>
            </w:r>
            <w:r>
              <w:rPr>
                <w:b/>
                <w:i/>
                <w:iCs/>
              </w:rPr>
              <w:t xml:space="preserve"> on January 1, 2025.</w:t>
            </w:r>
            <w:r w:rsidRPr="004B32CF">
              <w:rPr>
                <w:b/>
                <w:i/>
                <w:iCs/>
              </w:rPr>
              <w:t>]</w:t>
            </w:r>
          </w:p>
        </w:tc>
      </w:tr>
    </w:tbl>
    <w:p w14:paraId="035C36C6" w14:textId="77777777" w:rsidR="00FF2129" w:rsidRDefault="00482EF3" w:rsidP="00EA4591">
      <w:pPr>
        <w:pStyle w:val="H5"/>
        <w:spacing w:before="480"/>
        <w:ind w:left="1627" w:hanging="1627"/>
      </w:pPr>
      <w:r>
        <w:t>4.4.9.4.2</w:t>
      </w:r>
      <w:r>
        <w:tab/>
        <w:t>Mitigated Offer Floor</w:t>
      </w:r>
      <w:bookmarkEnd w:id="484"/>
      <w:bookmarkEnd w:id="485"/>
      <w:bookmarkEnd w:id="486"/>
      <w:bookmarkEnd w:id="487"/>
      <w:bookmarkEnd w:id="488"/>
      <w:bookmarkEnd w:id="489"/>
      <w:bookmarkEnd w:id="490"/>
      <w:bookmarkEnd w:id="491"/>
    </w:p>
    <w:p w14:paraId="03AE031B" w14:textId="70AC0D46" w:rsidR="00FF2129" w:rsidRDefault="00DA4035" w:rsidP="009D6B45">
      <w:pPr>
        <w:pStyle w:val="BodyText"/>
        <w:ind w:left="720" w:hanging="720"/>
      </w:pPr>
      <w:r>
        <w:t>(1)</w:t>
      </w:r>
      <w:r>
        <w:tab/>
      </w:r>
      <w:r w:rsidR="00482EF3">
        <w:t xml:space="preserve">Energy Offer Curves may be subject to mitigation in the </w:t>
      </w:r>
      <w:r w:rsidR="00A342B9">
        <w:t>Real-Time Market (</w:t>
      </w:r>
      <w:r w:rsidR="0012639E">
        <w:t>RTM</w:t>
      </w:r>
      <w:r w:rsidR="00A342B9">
        <w:t>)</w:t>
      </w:r>
      <w:r w:rsidR="0012639E">
        <w:t xml:space="preserve"> </w:t>
      </w:r>
      <w:r w:rsidR="00482EF3">
        <w:t xml:space="preserve">under Section 6.5.7.3, Security Constrained Economic Dispatch, using a Mitigated Offer Floor.  The Mitigated Offer Floor is: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3780"/>
      </w:tblGrid>
      <w:tr w:rsidR="00FF2129" w14:paraId="0DEC3E0C" w14:textId="77777777" w:rsidTr="000264C8">
        <w:trPr>
          <w:tblHeader/>
        </w:trPr>
        <w:tc>
          <w:tcPr>
            <w:tcW w:w="3780" w:type="dxa"/>
          </w:tcPr>
          <w:p w14:paraId="45B9C6A0" w14:textId="77777777" w:rsidR="00FF2129" w:rsidRDefault="00482EF3">
            <w:pPr>
              <w:pStyle w:val="BodyText3"/>
              <w:jc w:val="center"/>
              <w:rPr>
                <w:sz w:val="24"/>
                <w:szCs w:val="24"/>
              </w:rPr>
            </w:pPr>
            <w:r>
              <w:rPr>
                <w:sz w:val="24"/>
                <w:szCs w:val="24"/>
              </w:rPr>
              <w:t>Resource Category</w:t>
            </w:r>
          </w:p>
        </w:tc>
        <w:tc>
          <w:tcPr>
            <w:tcW w:w="3780" w:type="dxa"/>
          </w:tcPr>
          <w:p w14:paraId="0305BB39" w14:textId="77777777" w:rsidR="00FF2129" w:rsidRDefault="00482EF3">
            <w:pPr>
              <w:pStyle w:val="BodyText3"/>
              <w:jc w:val="center"/>
              <w:rPr>
                <w:sz w:val="24"/>
                <w:szCs w:val="24"/>
              </w:rPr>
            </w:pPr>
            <w:r>
              <w:rPr>
                <w:sz w:val="24"/>
                <w:szCs w:val="24"/>
              </w:rPr>
              <w:t>Mitigated Offer Floor</w:t>
            </w:r>
          </w:p>
        </w:tc>
      </w:tr>
      <w:tr w:rsidR="00FF2129" w14:paraId="7A58CB6F" w14:textId="77777777" w:rsidTr="000264C8">
        <w:tc>
          <w:tcPr>
            <w:tcW w:w="3780" w:type="dxa"/>
          </w:tcPr>
          <w:p w14:paraId="3B14F8A7" w14:textId="77777777" w:rsidR="00FF2129" w:rsidRDefault="00482EF3">
            <w:pPr>
              <w:pStyle w:val="BodyText3"/>
              <w:rPr>
                <w:sz w:val="24"/>
                <w:szCs w:val="24"/>
              </w:rPr>
            </w:pPr>
            <w:r>
              <w:rPr>
                <w:sz w:val="24"/>
                <w:szCs w:val="24"/>
              </w:rPr>
              <w:t>Nuclear and Hydro</w:t>
            </w:r>
          </w:p>
        </w:tc>
        <w:tc>
          <w:tcPr>
            <w:tcW w:w="3780" w:type="dxa"/>
          </w:tcPr>
          <w:p w14:paraId="2E93E22E" w14:textId="77777777" w:rsidR="00FF2129" w:rsidRDefault="00482EF3">
            <w:pPr>
              <w:pStyle w:val="BodyText3"/>
              <w:rPr>
                <w:sz w:val="24"/>
                <w:szCs w:val="24"/>
              </w:rPr>
            </w:pPr>
            <w:r>
              <w:rPr>
                <w:sz w:val="24"/>
                <w:szCs w:val="24"/>
              </w:rPr>
              <w:t>-$250/MWh</w:t>
            </w:r>
          </w:p>
        </w:tc>
      </w:tr>
      <w:tr w:rsidR="00FF2129" w14:paraId="7A26AABD" w14:textId="77777777" w:rsidTr="000264C8">
        <w:tc>
          <w:tcPr>
            <w:tcW w:w="3780" w:type="dxa"/>
          </w:tcPr>
          <w:p w14:paraId="3B816187" w14:textId="77777777" w:rsidR="00FF2129" w:rsidRDefault="00482EF3">
            <w:pPr>
              <w:pStyle w:val="BodyText3"/>
              <w:rPr>
                <w:sz w:val="24"/>
                <w:szCs w:val="24"/>
              </w:rPr>
            </w:pPr>
            <w:r>
              <w:rPr>
                <w:sz w:val="24"/>
                <w:szCs w:val="24"/>
              </w:rPr>
              <w:t>Coal and Lignite</w:t>
            </w:r>
          </w:p>
        </w:tc>
        <w:tc>
          <w:tcPr>
            <w:tcW w:w="3780" w:type="dxa"/>
          </w:tcPr>
          <w:p w14:paraId="6D8749CA" w14:textId="77777777" w:rsidR="00FF2129" w:rsidRDefault="00482EF3">
            <w:pPr>
              <w:pStyle w:val="BodyText3"/>
              <w:rPr>
                <w:sz w:val="24"/>
                <w:szCs w:val="24"/>
              </w:rPr>
            </w:pPr>
            <w:r>
              <w:rPr>
                <w:sz w:val="24"/>
                <w:szCs w:val="24"/>
              </w:rPr>
              <w:t>-$20/MWh</w:t>
            </w:r>
          </w:p>
        </w:tc>
      </w:tr>
      <w:tr w:rsidR="00FF2129" w14:paraId="6BB4EE01" w14:textId="77777777" w:rsidTr="000264C8">
        <w:tc>
          <w:tcPr>
            <w:tcW w:w="3780" w:type="dxa"/>
          </w:tcPr>
          <w:p w14:paraId="38710547" w14:textId="77777777" w:rsidR="00FF2129" w:rsidRDefault="00482EF3">
            <w:pPr>
              <w:pStyle w:val="BodyText3"/>
              <w:rPr>
                <w:sz w:val="24"/>
                <w:szCs w:val="24"/>
              </w:rPr>
            </w:pPr>
            <w:r>
              <w:rPr>
                <w:sz w:val="24"/>
                <w:szCs w:val="24"/>
              </w:rPr>
              <w:t>Combined Cycle</w:t>
            </w:r>
          </w:p>
        </w:tc>
        <w:tc>
          <w:tcPr>
            <w:tcW w:w="3780" w:type="dxa"/>
          </w:tcPr>
          <w:p w14:paraId="62E44EEE" w14:textId="77777777" w:rsidR="00FF2129" w:rsidRDefault="00A358E6" w:rsidP="00A358E6">
            <w:pPr>
              <w:pStyle w:val="BodyText3"/>
              <w:rPr>
                <w:sz w:val="24"/>
                <w:szCs w:val="24"/>
              </w:rPr>
            </w:pPr>
            <w:r>
              <w:rPr>
                <w:sz w:val="24"/>
                <w:szCs w:val="24"/>
              </w:rPr>
              <w:t>-</w:t>
            </w:r>
            <w:r w:rsidR="00CC6708" w:rsidRPr="00CC6708">
              <w:rPr>
                <w:sz w:val="24"/>
                <w:szCs w:val="24"/>
              </w:rPr>
              <w:t>$</w:t>
            </w:r>
            <w:r>
              <w:rPr>
                <w:sz w:val="24"/>
                <w:szCs w:val="24"/>
              </w:rPr>
              <w:t>2</w:t>
            </w:r>
            <w:r w:rsidR="00CC6708" w:rsidRPr="00CC6708">
              <w:rPr>
                <w:sz w:val="24"/>
                <w:szCs w:val="24"/>
              </w:rPr>
              <w:t>0/MWh</w:t>
            </w:r>
          </w:p>
        </w:tc>
      </w:tr>
      <w:tr w:rsidR="00FF2129" w14:paraId="2821EC4E" w14:textId="77777777" w:rsidTr="000264C8">
        <w:tc>
          <w:tcPr>
            <w:tcW w:w="3780" w:type="dxa"/>
          </w:tcPr>
          <w:p w14:paraId="171B8BA2" w14:textId="77777777" w:rsidR="00FF2129" w:rsidRDefault="00482EF3">
            <w:pPr>
              <w:pStyle w:val="BodyText3"/>
              <w:rPr>
                <w:sz w:val="24"/>
                <w:szCs w:val="24"/>
              </w:rPr>
            </w:pPr>
            <w:r>
              <w:rPr>
                <w:sz w:val="24"/>
                <w:szCs w:val="24"/>
              </w:rPr>
              <w:t>Gas/Oil Steam and Combustion Turbine</w:t>
            </w:r>
          </w:p>
        </w:tc>
        <w:tc>
          <w:tcPr>
            <w:tcW w:w="3780" w:type="dxa"/>
          </w:tcPr>
          <w:p w14:paraId="16C895A7" w14:textId="77777777" w:rsidR="00FF2129" w:rsidRDefault="00A358E6" w:rsidP="00A358E6">
            <w:pPr>
              <w:pStyle w:val="BodyText3"/>
              <w:rPr>
                <w:sz w:val="24"/>
                <w:szCs w:val="24"/>
              </w:rPr>
            </w:pPr>
            <w:r>
              <w:rPr>
                <w:sz w:val="24"/>
                <w:szCs w:val="24"/>
              </w:rPr>
              <w:t>-</w:t>
            </w:r>
            <w:r w:rsidR="00CC6708" w:rsidRPr="00CC6708">
              <w:rPr>
                <w:sz w:val="24"/>
                <w:szCs w:val="24"/>
              </w:rPr>
              <w:t>$</w:t>
            </w:r>
            <w:r>
              <w:rPr>
                <w:sz w:val="24"/>
                <w:szCs w:val="24"/>
              </w:rPr>
              <w:t>2</w:t>
            </w:r>
            <w:r w:rsidR="00CC6708" w:rsidRPr="00CC6708">
              <w:rPr>
                <w:sz w:val="24"/>
                <w:szCs w:val="24"/>
              </w:rPr>
              <w:t>0/MWh</w:t>
            </w:r>
          </w:p>
        </w:tc>
      </w:tr>
      <w:tr w:rsidR="00FF2129" w14:paraId="60CE29C1" w14:textId="77777777" w:rsidTr="000264C8">
        <w:tc>
          <w:tcPr>
            <w:tcW w:w="3780" w:type="dxa"/>
          </w:tcPr>
          <w:p w14:paraId="38732E80" w14:textId="77777777" w:rsidR="00FF2129" w:rsidRDefault="00482EF3">
            <w:pPr>
              <w:pStyle w:val="BodyText3"/>
              <w:rPr>
                <w:sz w:val="24"/>
                <w:szCs w:val="24"/>
              </w:rPr>
            </w:pPr>
            <w:r>
              <w:rPr>
                <w:sz w:val="24"/>
                <w:szCs w:val="24"/>
              </w:rPr>
              <w:t xml:space="preserve">Qualifying Facility (QF) </w:t>
            </w:r>
          </w:p>
        </w:tc>
        <w:tc>
          <w:tcPr>
            <w:tcW w:w="3780" w:type="dxa"/>
          </w:tcPr>
          <w:p w14:paraId="35CBA6E3" w14:textId="77777777" w:rsidR="00FF2129" w:rsidRDefault="00482EF3">
            <w:pPr>
              <w:pStyle w:val="BodyText3"/>
              <w:rPr>
                <w:sz w:val="24"/>
                <w:szCs w:val="24"/>
              </w:rPr>
            </w:pPr>
            <w:r>
              <w:rPr>
                <w:sz w:val="24"/>
                <w:szCs w:val="24"/>
              </w:rPr>
              <w:t>-$50/MWh</w:t>
            </w:r>
          </w:p>
        </w:tc>
      </w:tr>
      <w:tr w:rsidR="00FF2129" w14:paraId="08F8623C" w14:textId="77777777" w:rsidTr="000264C8">
        <w:tc>
          <w:tcPr>
            <w:tcW w:w="3780" w:type="dxa"/>
          </w:tcPr>
          <w:p w14:paraId="6024C267" w14:textId="77777777" w:rsidR="00FF2129" w:rsidRDefault="00482EF3">
            <w:pPr>
              <w:pStyle w:val="BodyText3"/>
              <w:rPr>
                <w:sz w:val="24"/>
                <w:szCs w:val="24"/>
              </w:rPr>
            </w:pPr>
            <w:r>
              <w:rPr>
                <w:sz w:val="24"/>
                <w:szCs w:val="24"/>
              </w:rPr>
              <w:t>Wind</w:t>
            </w:r>
          </w:p>
        </w:tc>
        <w:tc>
          <w:tcPr>
            <w:tcW w:w="3780" w:type="dxa"/>
          </w:tcPr>
          <w:p w14:paraId="7D42DBD4" w14:textId="77777777" w:rsidR="00FF2129" w:rsidRDefault="00482EF3">
            <w:pPr>
              <w:pStyle w:val="BodyText3"/>
              <w:rPr>
                <w:sz w:val="24"/>
                <w:szCs w:val="24"/>
              </w:rPr>
            </w:pPr>
            <w:r>
              <w:rPr>
                <w:sz w:val="24"/>
                <w:szCs w:val="24"/>
              </w:rPr>
              <w:t>-$100/MWh</w:t>
            </w:r>
          </w:p>
        </w:tc>
      </w:tr>
      <w:tr w:rsidR="00DA4035" w14:paraId="54460A64" w14:textId="77777777" w:rsidTr="000264C8">
        <w:tc>
          <w:tcPr>
            <w:tcW w:w="3780" w:type="dxa"/>
          </w:tcPr>
          <w:p w14:paraId="3BDD41FB" w14:textId="77777777" w:rsidR="00DA4035" w:rsidRDefault="00DA4035">
            <w:pPr>
              <w:pStyle w:val="BodyText3"/>
              <w:rPr>
                <w:sz w:val="24"/>
                <w:szCs w:val="24"/>
              </w:rPr>
            </w:pPr>
            <w:r>
              <w:rPr>
                <w:sz w:val="24"/>
                <w:szCs w:val="24"/>
              </w:rPr>
              <w:t>PhotoVoltaic (PV)</w:t>
            </w:r>
          </w:p>
        </w:tc>
        <w:tc>
          <w:tcPr>
            <w:tcW w:w="3780" w:type="dxa"/>
          </w:tcPr>
          <w:p w14:paraId="32391E24" w14:textId="77777777" w:rsidR="00DA4035" w:rsidRDefault="00DA4035">
            <w:pPr>
              <w:pStyle w:val="BodyText3"/>
              <w:rPr>
                <w:sz w:val="24"/>
                <w:szCs w:val="24"/>
              </w:rPr>
            </w:pPr>
            <w:r>
              <w:rPr>
                <w:sz w:val="24"/>
                <w:szCs w:val="24"/>
              </w:rPr>
              <w:t>-$50/MWh</w:t>
            </w:r>
          </w:p>
        </w:tc>
      </w:tr>
      <w:tr w:rsidR="00FF2129" w14:paraId="2A8DA46A" w14:textId="77777777" w:rsidTr="000264C8">
        <w:tc>
          <w:tcPr>
            <w:tcW w:w="3780" w:type="dxa"/>
          </w:tcPr>
          <w:p w14:paraId="1E098AD4" w14:textId="77777777" w:rsidR="00FF2129" w:rsidRDefault="00482EF3">
            <w:pPr>
              <w:pStyle w:val="BodyText3"/>
              <w:rPr>
                <w:sz w:val="24"/>
                <w:szCs w:val="24"/>
              </w:rPr>
            </w:pPr>
            <w:r>
              <w:rPr>
                <w:sz w:val="24"/>
                <w:szCs w:val="24"/>
              </w:rPr>
              <w:t>Other</w:t>
            </w:r>
          </w:p>
        </w:tc>
        <w:tc>
          <w:tcPr>
            <w:tcW w:w="3780" w:type="dxa"/>
          </w:tcPr>
          <w:p w14:paraId="6F1F9B17" w14:textId="77777777" w:rsidR="00FF2129" w:rsidRDefault="00482EF3">
            <w:pPr>
              <w:pStyle w:val="BodyText3"/>
              <w:rPr>
                <w:sz w:val="24"/>
                <w:szCs w:val="24"/>
              </w:rPr>
            </w:pPr>
            <w:r>
              <w:rPr>
                <w:sz w:val="24"/>
                <w:szCs w:val="24"/>
              </w:rPr>
              <w:t>-$50/MWh</w:t>
            </w:r>
          </w:p>
        </w:tc>
      </w:tr>
    </w:tbl>
    <w:p w14:paraId="2B80570F" w14:textId="77777777" w:rsidR="00D32529" w:rsidRDefault="00D32529"/>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82B1E" w:rsidRPr="004B32CF" w14:paraId="14949E10" w14:textId="77777777" w:rsidTr="009540C4">
        <w:trPr>
          <w:trHeight w:val="386"/>
        </w:trPr>
        <w:tc>
          <w:tcPr>
            <w:tcW w:w="9350" w:type="dxa"/>
            <w:shd w:val="pct12" w:color="auto" w:fill="auto"/>
          </w:tcPr>
          <w:p w14:paraId="2EC79CD4" w14:textId="77777777" w:rsidR="00782B1E" w:rsidRPr="004B32CF" w:rsidRDefault="00782B1E" w:rsidP="009540C4">
            <w:pPr>
              <w:spacing w:before="120" w:after="240"/>
              <w:rPr>
                <w:b/>
                <w:i/>
                <w:iCs/>
              </w:rPr>
            </w:pPr>
            <w:r>
              <w:rPr>
                <w:b/>
                <w:i/>
                <w:iCs/>
              </w:rPr>
              <w:t>[NPRR1014</w:t>
            </w:r>
            <w:r w:rsidRPr="004B32CF">
              <w:rPr>
                <w:b/>
                <w:i/>
                <w:iCs/>
              </w:rPr>
              <w:t xml:space="preserve">:  Replace </w:t>
            </w:r>
            <w:r>
              <w:rPr>
                <w:b/>
                <w:i/>
                <w:iCs/>
              </w:rPr>
              <w:t>paragraph (1)</w:t>
            </w:r>
            <w:r w:rsidRPr="004B32CF">
              <w:rPr>
                <w:b/>
                <w:i/>
                <w:iCs/>
              </w:rPr>
              <w:t xml:space="preserve"> above with the following upon system implementation:]</w:t>
            </w:r>
          </w:p>
          <w:p w14:paraId="45203A77" w14:textId="77777777" w:rsidR="00782B1E" w:rsidRPr="00A552C3" w:rsidRDefault="00782B1E" w:rsidP="00782B1E">
            <w:pPr>
              <w:pStyle w:val="BodyText"/>
              <w:ind w:left="720" w:hanging="720"/>
            </w:pPr>
            <w:r w:rsidRPr="00A552C3">
              <w:t>(1)</w:t>
            </w:r>
            <w:r w:rsidRPr="00A552C3">
              <w:tab/>
              <w:t xml:space="preserve">Energy Offer Curves and </w:t>
            </w:r>
            <w:r w:rsidRPr="00A552C3">
              <w:rPr>
                <w:iCs w:val="0"/>
              </w:rPr>
              <w:t>Energy Bid/Offer Curves</w:t>
            </w:r>
            <w:r w:rsidRPr="00A552C3">
              <w:t xml:space="preserve"> may be subject to mitigation in the RTM under Section 6.5.7.3, Security Constrained Economic Dispatch, using a Mitigated Offer Floor.  The Mitigated Offer Floor is: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780"/>
            </w:tblGrid>
            <w:tr w:rsidR="00A7138D" w:rsidRPr="00A552C3" w14:paraId="4220040A" w14:textId="77777777" w:rsidTr="009540C4">
              <w:trPr>
                <w:tblHeader/>
              </w:trPr>
              <w:tc>
                <w:tcPr>
                  <w:tcW w:w="3780" w:type="dxa"/>
                </w:tcPr>
                <w:p w14:paraId="51D7F56C" w14:textId="77777777" w:rsidR="00A7138D" w:rsidRPr="00A552C3" w:rsidRDefault="00A7138D" w:rsidP="00A7138D">
                  <w:pPr>
                    <w:pStyle w:val="BodyText3"/>
                    <w:jc w:val="center"/>
                    <w:rPr>
                      <w:sz w:val="24"/>
                      <w:szCs w:val="24"/>
                    </w:rPr>
                  </w:pPr>
                  <w:r w:rsidRPr="00A552C3">
                    <w:rPr>
                      <w:sz w:val="24"/>
                      <w:szCs w:val="24"/>
                    </w:rPr>
                    <w:t>Resource Category</w:t>
                  </w:r>
                </w:p>
              </w:tc>
              <w:tc>
                <w:tcPr>
                  <w:tcW w:w="3780" w:type="dxa"/>
                </w:tcPr>
                <w:p w14:paraId="64EF0F04" w14:textId="77777777" w:rsidR="00A7138D" w:rsidRPr="00A552C3" w:rsidRDefault="00A7138D" w:rsidP="00A7138D">
                  <w:pPr>
                    <w:pStyle w:val="BodyText3"/>
                    <w:jc w:val="center"/>
                    <w:rPr>
                      <w:sz w:val="24"/>
                      <w:szCs w:val="24"/>
                    </w:rPr>
                  </w:pPr>
                  <w:r w:rsidRPr="00A552C3">
                    <w:rPr>
                      <w:sz w:val="24"/>
                      <w:szCs w:val="24"/>
                    </w:rPr>
                    <w:t>Mitigated Offer Floor</w:t>
                  </w:r>
                </w:p>
              </w:tc>
            </w:tr>
            <w:tr w:rsidR="00A7138D" w:rsidRPr="00A552C3" w14:paraId="7DE0B38F" w14:textId="77777777" w:rsidTr="009540C4">
              <w:tc>
                <w:tcPr>
                  <w:tcW w:w="3780" w:type="dxa"/>
                </w:tcPr>
                <w:p w14:paraId="6147C993" w14:textId="77777777" w:rsidR="00A7138D" w:rsidRPr="00A552C3" w:rsidRDefault="00A7138D" w:rsidP="00A7138D">
                  <w:pPr>
                    <w:pStyle w:val="BodyText3"/>
                    <w:rPr>
                      <w:sz w:val="24"/>
                      <w:szCs w:val="24"/>
                    </w:rPr>
                  </w:pPr>
                  <w:r w:rsidRPr="00A552C3">
                    <w:rPr>
                      <w:sz w:val="24"/>
                      <w:szCs w:val="24"/>
                    </w:rPr>
                    <w:t>Nuclear and Hydro</w:t>
                  </w:r>
                </w:p>
              </w:tc>
              <w:tc>
                <w:tcPr>
                  <w:tcW w:w="3780" w:type="dxa"/>
                </w:tcPr>
                <w:p w14:paraId="1A0CF35B" w14:textId="77777777" w:rsidR="00A7138D" w:rsidRPr="00A552C3" w:rsidRDefault="00A7138D" w:rsidP="00A7138D">
                  <w:pPr>
                    <w:pStyle w:val="BodyText3"/>
                    <w:rPr>
                      <w:sz w:val="24"/>
                      <w:szCs w:val="24"/>
                    </w:rPr>
                  </w:pPr>
                  <w:r w:rsidRPr="00A552C3">
                    <w:rPr>
                      <w:sz w:val="24"/>
                      <w:szCs w:val="24"/>
                    </w:rPr>
                    <w:t>-$250/MWh</w:t>
                  </w:r>
                </w:p>
              </w:tc>
            </w:tr>
            <w:tr w:rsidR="00A7138D" w:rsidRPr="00A552C3" w14:paraId="543272E3" w14:textId="77777777" w:rsidTr="009540C4">
              <w:tc>
                <w:tcPr>
                  <w:tcW w:w="3780" w:type="dxa"/>
                </w:tcPr>
                <w:p w14:paraId="30557C6C" w14:textId="77777777" w:rsidR="00A7138D" w:rsidRPr="00A552C3" w:rsidRDefault="00A7138D" w:rsidP="00A7138D">
                  <w:pPr>
                    <w:pStyle w:val="BodyText3"/>
                    <w:rPr>
                      <w:sz w:val="24"/>
                      <w:szCs w:val="24"/>
                    </w:rPr>
                  </w:pPr>
                  <w:r w:rsidRPr="00A552C3">
                    <w:rPr>
                      <w:sz w:val="24"/>
                      <w:szCs w:val="24"/>
                    </w:rPr>
                    <w:t>Coal and Lignite</w:t>
                  </w:r>
                </w:p>
              </w:tc>
              <w:tc>
                <w:tcPr>
                  <w:tcW w:w="3780" w:type="dxa"/>
                </w:tcPr>
                <w:p w14:paraId="5A92FE4B" w14:textId="77777777" w:rsidR="00A7138D" w:rsidRPr="00A552C3" w:rsidRDefault="00A7138D" w:rsidP="00A7138D">
                  <w:pPr>
                    <w:pStyle w:val="BodyText3"/>
                    <w:rPr>
                      <w:sz w:val="24"/>
                      <w:szCs w:val="24"/>
                    </w:rPr>
                  </w:pPr>
                  <w:r w:rsidRPr="00A552C3">
                    <w:rPr>
                      <w:sz w:val="24"/>
                      <w:szCs w:val="24"/>
                    </w:rPr>
                    <w:t>-$20/MWh</w:t>
                  </w:r>
                </w:p>
              </w:tc>
            </w:tr>
            <w:tr w:rsidR="00A7138D" w:rsidRPr="00A552C3" w14:paraId="54C36809" w14:textId="77777777" w:rsidTr="009540C4">
              <w:tc>
                <w:tcPr>
                  <w:tcW w:w="3780" w:type="dxa"/>
                </w:tcPr>
                <w:p w14:paraId="2E6E6108" w14:textId="77777777" w:rsidR="00A7138D" w:rsidRPr="00A552C3" w:rsidRDefault="00A7138D" w:rsidP="00A7138D">
                  <w:pPr>
                    <w:pStyle w:val="BodyText3"/>
                    <w:rPr>
                      <w:sz w:val="24"/>
                      <w:szCs w:val="24"/>
                    </w:rPr>
                  </w:pPr>
                  <w:r w:rsidRPr="00A552C3">
                    <w:rPr>
                      <w:sz w:val="24"/>
                      <w:szCs w:val="24"/>
                    </w:rPr>
                    <w:t>Combined Cycle</w:t>
                  </w:r>
                </w:p>
              </w:tc>
              <w:tc>
                <w:tcPr>
                  <w:tcW w:w="3780" w:type="dxa"/>
                </w:tcPr>
                <w:p w14:paraId="5B8D3F54" w14:textId="77777777" w:rsidR="00A7138D" w:rsidRPr="00A552C3" w:rsidRDefault="00A7138D" w:rsidP="00A7138D">
                  <w:pPr>
                    <w:pStyle w:val="BodyText3"/>
                    <w:rPr>
                      <w:sz w:val="24"/>
                      <w:szCs w:val="24"/>
                    </w:rPr>
                  </w:pPr>
                  <w:r w:rsidRPr="00A552C3">
                    <w:rPr>
                      <w:sz w:val="24"/>
                      <w:szCs w:val="24"/>
                    </w:rPr>
                    <w:t>-$20/MWh</w:t>
                  </w:r>
                </w:p>
              </w:tc>
            </w:tr>
            <w:tr w:rsidR="00A7138D" w:rsidRPr="00A552C3" w14:paraId="1D646C58" w14:textId="77777777" w:rsidTr="009540C4">
              <w:tc>
                <w:tcPr>
                  <w:tcW w:w="3780" w:type="dxa"/>
                </w:tcPr>
                <w:p w14:paraId="677AF809" w14:textId="77777777" w:rsidR="00A7138D" w:rsidRPr="00A552C3" w:rsidRDefault="00A7138D" w:rsidP="00A7138D">
                  <w:pPr>
                    <w:pStyle w:val="BodyText3"/>
                    <w:rPr>
                      <w:sz w:val="24"/>
                      <w:szCs w:val="24"/>
                    </w:rPr>
                  </w:pPr>
                  <w:r w:rsidRPr="00A552C3">
                    <w:rPr>
                      <w:sz w:val="24"/>
                      <w:szCs w:val="24"/>
                    </w:rPr>
                    <w:t>Gas/Oil Steam and Combustion Turbine</w:t>
                  </w:r>
                </w:p>
              </w:tc>
              <w:tc>
                <w:tcPr>
                  <w:tcW w:w="3780" w:type="dxa"/>
                </w:tcPr>
                <w:p w14:paraId="738A5825" w14:textId="77777777" w:rsidR="00A7138D" w:rsidRPr="00A552C3" w:rsidRDefault="00A7138D" w:rsidP="00A7138D">
                  <w:pPr>
                    <w:pStyle w:val="BodyText3"/>
                    <w:rPr>
                      <w:sz w:val="24"/>
                      <w:szCs w:val="24"/>
                    </w:rPr>
                  </w:pPr>
                  <w:r w:rsidRPr="00A552C3">
                    <w:rPr>
                      <w:sz w:val="24"/>
                      <w:szCs w:val="24"/>
                    </w:rPr>
                    <w:t>-$20/MWh</w:t>
                  </w:r>
                </w:p>
              </w:tc>
            </w:tr>
            <w:tr w:rsidR="00A7138D" w:rsidRPr="00A552C3" w14:paraId="2B4646C4" w14:textId="77777777" w:rsidTr="009540C4">
              <w:tc>
                <w:tcPr>
                  <w:tcW w:w="3780" w:type="dxa"/>
                </w:tcPr>
                <w:p w14:paraId="309D2AD6" w14:textId="77777777" w:rsidR="00A7138D" w:rsidRPr="00A552C3" w:rsidRDefault="00A7138D" w:rsidP="00A7138D">
                  <w:pPr>
                    <w:pStyle w:val="BodyText3"/>
                    <w:rPr>
                      <w:sz w:val="24"/>
                      <w:szCs w:val="24"/>
                    </w:rPr>
                  </w:pPr>
                  <w:r w:rsidRPr="00A552C3">
                    <w:rPr>
                      <w:sz w:val="24"/>
                      <w:szCs w:val="24"/>
                    </w:rPr>
                    <w:t xml:space="preserve">Qualifying Facility (QF) </w:t>
                  </w:r>
                </w:p>
              </w:tc>
              <w:tc>
                <w:tcPr>
                  <w:tcW w:w="3780" w:type="dxa"/>
                </w:tcPr>
                <w:p w14:paraId="1881166E" w14:textId="77777777" w:rsidR="00A7138D" w:rsidRPr="00A552C3" w:rsidRDefault="00A7138D" w:rsidP="00A7138D">
                  <w:pPr>
                    <w:pStyle w:val="BodyText3"/>
                    <w:rPr>
                      <w:sz w:val="24"/>
                      <w:szCs w:val="24"/>
                    </w:rPr>
                  </w:pPr>
                  <w:r w:rsidRPr="00A552C3">
                    <w:rPr>
                      <w:sz w:val="24"/>
                      <w:szCs w:val="24"/>
                    </w:rPr>
                    <w:t>-$50/MWh</w:t>
                  </w:r>
                </w:p>
              </w:tc>
            </w:tr>
            <w:tr w:rsidR="00A7138D" w:rsidRPr="00A552C3" w14:paraId="101D8353" w14:textId="77777777" w:rsidTr="009540C4">
              <w:tc>
                <w:tcPr>
                  <w:tcW w:w="3780" w:type="dxa"/>
                </w:tcPr>
                <w:p w14:paraId="421587A6" w14:textId="77777777" w:rsidR="00A7138D" w:rsidRPr="00A552C3" w:rsidRDefault="00A7138D" w:rsidP="00A7138D">
                  <w:pPr>
                    <w:pStyle w:val="BodyText3"/>
                    <w:rPr>
                      <w:sz w:val="24"/>
                      <w:szCs w:val="24"/>
                    </w:rPr>
                  </w:pPr>
                  <w:r w:rsidRPr="00A552C3">
                    <w:rPr>
                      <w:sz w:val="24"/>
                      <w:szCs w:val="24"/>
                    </w:rPr>
                    <w:t>Wind</w:t>
                  </w:r>
                </w:p>
              </w:tc>
              <w:tc>
                <w:tcPr>
                  <w:tcW w:w="3780" w:type="dxa"/>
                </w:tcPr>
                <w:p w14:paraId="4F01B8DB" w14:textId="77777777" w:rsidR="00A7138D" w:rsidRPr="00A552C3" w:rsidRDefault="00A7138D" w:rsidP="00A7138D">
                  <w:pPr>
                    <w:pStyle w:val="BodyText3"/>
                    <w:rPr>
                      <w:sz w:val="24"/>
                      <w:szCs w:val="24"/>
                    </w:rPr>
                  </w:pPr>
                  <w:r w:rsidRPr="00A552C3">
                    <w:rPr>
                      <w:sz w:val="24"/>
                      <w:szCs w:val="24"/>
                    </w:rPr>
                    <w:t>-$100/MWh</w:t>
                  </w:r>
                </w:p>
              </w:tc>
            </w:tr>
            <w:tr w:rsidR="00A7138D" w:rsidRPr="00A552C3" w14:paraId="472E2C64" w14:textId="77777777" w:rsidTr="009540C4">
              <w:tc>
                <w:tcPr>
                  <w:tcW w:w="3780" w:type="dxa"/>
                </w:tcPr>
                <w:p w14:paraId="5743D1DB" w14:textId="77777777" w:rsidR="00A7138D" w:rsidRPr="00A552C3" w:rsidRDefault="00A7138D" w:rsidP="00A7138D">
                  <w:pPr>
                    <w:pStyle w:val="BodyText3"/>
                    <w:rPr>
                      <w:sz w:val="24"/>
                      <w:szCs w:val="24"/>
                    </w:rPr>
                  </w:pPr>
                  <w:r w:rsidRPr="00A552C3">
                    <w:rPr>
                      <w:sz w:val="24"/>
                      <w:szCs w:val="24"/>
                    </w:rPr>
                    <w:t>PhotoVoltaic (PV)</w:t>
                  </w:r>
                </w:p>
              </w:tc>
              <w:tc>
                <w:tcPr>
                  <w:tcW w:w="3780" w:type="dxa"/>
                </w:tcPr>
                <w:p w14:paraId="5FD69C11" w14:textId="77777777" w:rsidR="00A7138D" w:rsidRPr="00A552C3" w:rsidRDefault="00A7138D" w:rsidP="00A7138D">
                  <w:pPr>
                    <w:pStyle w:val="BodyText3"/>
                    <w:rPr>
                      <w:sz w:val="24"/>
                      <w:szCs w:val="24"/>
                    </w:rPr>
                  </w:pPr>
                  <w:r w:rsidRPr="00A552C3">
                    <w:rPr>
                      <w:sz w:val="24"/>
                      <w:szCs w:val="24"/>
                    </w:rPr>
                    <w:t>-$50/MWh</w:t>
                  </w:r>
                </w:p>
              </w:tc>
            </w:tr>
            <w:tr w:rsidR="00A7138D" w:rsidRPr="00A552C3" w14:paraId="4A60FD0D" w14:textId="77777777" w:rsidTr="009540C4">
              <w:tc>
                <w:tcPr>
                  <w:tcW w:w="3780" w:type="dxa"/>
                </w:tcPr>
                <w:p w14:paraId="5169C79A" w14:textId="77777777" w:rsidR="00A7138D" w:rsidRPr="00A552C3" w:rsidRDefault="00A7138D" w:rsidP="00A7138D">
                  <w:pPr>
                    <w:pStyle w:val="BodyText3"/>
                    <w:rPr>
                      <w:sz w:val="24"/>
                      <w:szCs w:val="24"/>
                    </w:rPr>
                  </w:pPr>
                  <w:r w:rsidRPr="00A552C3">
                    <w:rPr>
                      <w:sz w:val="24"/>
                      <w:szCs w:val="24"/>
                    </w:rPr>
                    <w:lastRenderedPageBreak/>
                    <w:t>Energy Storage Resource (ESR)</w:t>
                  </w:r>
                </w:p>
              </w:tc>
              <w:tc>
                <w:tcPr>
                  <w:tcW w:w="3780" w:type="dxa"/>
                </w:tcPr>
                <w:p w14:paraId="621B3F87" w14:textId="77777777" w:rsidR="00A7138D" w:rsidRPr="00A552C3" w:rsidRDefault="00A7138D" w:rsidP="00A7138D">
                  <w:pPr>
                    <w:pStyle w:val="BodyText3"/>
                    <w:rPr>
                      <w:sz w:val="24"/>
                      <w:szCs w:val="24"/>
                    </w:rPr>
                  </w:pPr>
                  <w:r w:rsidRPr="00A552C3">
                    <w:rPr>
                      <w:sz w:val="24"/>
                      <w:szCs w:val="24"/>
                    </w:rPr>
                    <w:t>-$250/MWh</w:t>
                  </w:r>
                </w:p>
              </w:tc>
            </w:tr>
            <w:tr w:rsidR="00A7138D" w:rsidRPr="00A552C3" w14:paraId="56924101" w14:textId="77777777" w:rsidTr="009540C4">
              <w:tc>
                <w:tcPr>
                  <w:tcW w:w="3780" w:type="dxa"/>
                </w:tcPr>
                <w:p w14:paraId="05D8C1DB" w14:textId="77777777" w:rsidR="00A7138D" w:rsidRPr="00A552C3" w:rsidRDefault="00A7138D" w:rsidP="00A7138D">
                  <w:pPr>
                    <w:pStyle w:val="BodyText3"/>
                    <w:rPr>
                      <w:sz w:val="24"/>
                      <w:szCs w:val="24"/>
                    </w:rPr>
                  </w:pPr>
                  <w:r w:rsidRPr="00A552C3">
                    <w:rPr>
                      <w:sz w:val="24"/>
                      <w:szCs w:val="24"/>
                    </w:rPr>
                    <w:t>Other</w:t>
                  </w:r>
                </w:p>
              </w:tc>
              <w:tc>
                <w:tcPr>
                  <w:tcW w:w="3780" w:type="dxa"/>
                </w:tcPr>
                <w:p w14:paraId="679191C6" w14:textId="77777777" w:rsidR="00A7138D" w:rsidRPr="00A552C3" w:rsidRDefault="00A7138D" w:rsidP="00A7138D">
                  <w:pPr>
                    <w:pStyle w:val="BodyText3"/>
                    <w:rPr>
                      <w:sz w:val="24"/>
                      <w:szCs w:val="24"/>
                    </w:rPr>
                  </w:pPr>
                  <w:r w:rsidRPr="00A552C3">
                    <w:rPr>
                      <w:sz w:val="24"/>
                      <w:szCs w:val="24"/>
                    </w:rPr>
                    <w:t>-$50/MWh</w:t>
                  </w:r>
                </w:p>
              </w:tc>
            </w:tr>
          </w:tbl>
          <w:p w14:paraId="3AD83C78" w14:textId="2825970B" w:rsidR="00782B1E" w:rsidRPr="00630221" w:rsidRDefault="00782B1E" w:rsidP="009540C4">
            <w:pPr>
              <w:spacing w:after="240"/>
              <w:ind w:left="720" w:hanging="720"/>
              <w:rPr>
                <w:iCs/>
              </w:rPr>
            </w:pPr>
          </w:p>
        </w:tc>
      </w:tr>
    </w:tbl>
    <w:p w14:paraId="6FFC75A1" w14:textId="77777777" w:rsidR="00782B1E" w:rsidRDefault="00782B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top w:w="144" w:type="dxa"/>
          <w:left w:w="115" w:type="dxa"/>
          <w:right w:w="115" w:type="dxa"/>
        </w:tblCellMar>
        <w:tblLook w:val="01E0" w:firstRow="1" w:lastRow="1" w:firstColumn="1" w:lastColumn="1" w:noHBand="0" w:noVBand="0"/>
      </w:tblPr>
      <w:tblGrid>
        <w:gridCol w:w="9350"/>
      </w:tblGrid>
      <w:tr w:rsidR="00D32529" w:rsidRPr="004B32CF" w14:paraId="69B91F5D" w14:textId="77777777" w:rsidTr="00D32529">
        <w:trPr>
          <w:trHeight w:val="386"/>
        </w:trPr>
        <w:tc>
          <w:tcPr>
            <w:tcW w:w="9350" w:type="dxa"/>
            <w:shd w:val="pct12" w:color="auto" w:fill="auto"/>
          </w:tcPr>
          <w:p w14:paraId="04CC96D4" w14:textId="76190EB7" w:rsidR="00D32529" w:rsidRPr="004B32CF" w:rsidRDefault="00D32529" w:rsidP="00E30EAB">
            <w:pPr>
              <w:spacing w:before="120" w:after="240"/>
              <w:rPr>
                <w:b/>
                <w:i/>
                <w:iCs/>
              </w:rPr>
            </w:pPr>
            <w:bookmarkStart w:id="492" w:name="_Toc92873966"/>
            <w:bookmarkStart w:id="493" w:name="_Toc142108942"/>
            <w:bookmarkStart w:id="494" w:name="_Toc142113787"/>
            <w:bookmarkStart w:id="495" w:name="_Toc402345612"/>
            <w:bookmarkStart w:id="496" w:name="_Toc405383895"/>
            <w:bookmarkStart w:id="497" w:name="_Toc405536998"/>
            <w:bookmarkStart w:id="498" w:name="_Toc440871784"/>
            <w:bookmarkStart w:id="499" w:name="_Toc90197118"/>
            <w:bookmarkStart w:id="500" w:name="_Toc91388537"/>
            <w:bookmarkStart w:id="501" w:name="_Toc91399059"/>
            <w:bookmarkStart w:id="502" w:name="_Toc91400079"/>
            <w:bookmarkStart w:id="503" w:name="_Toc91400133"/>
            <w:bookmarkStart w:id="504" w:name="_Toc91400222"/>
            <w:bookmarkStart w:id="505" w:name="_Toc91400273"/>
            <w:bookmarkStart w:id="506" w:name="_Toc91400328"/>
            <w:bookmarkStart w:id="507" w:name="_Toc91400482"/>
            <w:bookmarkStart w:id="508" w:name="_Toc91400641"/>
            <w:bookmarkStart w:id="509" w:name="_Toc91400734"/>
            <w:bookmarkStart w:id="510" w:name="_Toc92505498"/>
            <w:bookmarkStart w:id="511" w:name="_Toc92524883"/>
            <w:bookmarkStart w:id="512" w:name="_Toc92525558"/>
            <w:bookmarkStart w:id="513" w:name="_Toc92525938"/>
            <w:bookmarkStart w:id="514" w:name="_Toc92533776"/>
            <w:r>
              <w:rPr>
                <w:b/>
                <w:i/>
                <w:iCs/>
              </w:rPr>
              <w:t>[NPRR826:  Insert Section 4.4.9.4.3 below</w:t>
            </w:r>
            <w:r w:rsidRPr="004B32CF">
              <w:rPr>
                <w:b/>
                <w:i/>
                <w:iCs/>
              </w:rPr>
              <w:t xml:space="preserve"> upon system implementation:]</w:t>
            </w:r>
          </w:p>
          <w:p w14:paraId="18C8444E" w14:textId="77777777" w:rsidR="00D32529" w:rsidRPr="00D32529" w:rsidRDefault="00D32529" w:rsidP="00F46812">
            <w:pPr>
              <w:pStyle w:val="H5"/>
              <w:spacing w:before="480"/>
              <w:ind w:left="1627" w:hanging="1627"/>
              <w:rPr>
                <w:b w:val="0"/>
                <w:bCs w:val="0"/>
                <w:i w:val="0"/>
                <w:iCs w:val="0"/>
              </w:rPr>
            </w:pPr>
            <w:bookmarkStart w:id="515" w:name="_Toc135990659"/>
            <w:r w:rsidRPr="00D32529">
              <w:t>4.4.9.4.3</w:t>
            </w:r>
            <w:r w:rsidRPr="00D32529">
              <w:tab/>
              <w:t>Mitigated Offer Cap for RMR Resources</w:t>
            </w:r>
            <w:bookmarkEnd w:id="515"/>
            <w:r w:rsidRPr="00D32529">
              <w:t xml:space="preserve"> </w:t>
            </w:r>
          </w:p>
          <w:p w14:paraId="55F11B42" w14:textId="77777777" w:rsidR="00D32529" w:rsidRPr="00D32529" w:rsidRDefault="00D32529" w:rsidP="00D32529">
            <w:pPr>
              <w:spacing w:after="240"/>
              <w:ind w:left="720" w:hanging="720"/>
            </w:pPr>
            <w:r w:rsidRPr="00D32529">
              <w:t>(1)</w:t>
            </w:r>
            <w:r w:rsidRPr="00D32529">
              <w:tab/>
              <w:t>For each Resource contracted by ERCOT under Section 3.14.1, Reliability Must Run, the Resource’s MOC curve for use in the SCED process is determined using the steps below when the Resource’s offer is subject to mitigation in accordance with Section 3.19, Constraint Competitiveness Tests.  The single price ($/MWh) value determined below will be used as the MOC curve for the full operating range of the Resource.  The calculations will occur between the first and second step within the SCED process as well as during the process for determining Real-Time On-Line Reliability Deployment Price Adder.  This analysis will only be applied to active constraints for which the contracted Resource has a more than 2% unloading Shift Factor on the Transmission Facility(s), more than 5% unloading impact on the Transmission Facility(s) based on telemetered HSL,</w:t>
            </w:r>
            <w:r w:rsidRPr="00D32529" w:rsidDel="00B815C8">
              <w:t xml:space="preserve"> </w:t>
            </w:r>
            <w:r w:rsidRPr="00D32529">
              <w:t xml:space="preserve">and if at least one other Resource not contracted by ERCOT under Section 3.14.1 has an unloading Shift Factor of 5% or more relative to the constraint(s).  If this criteria is not met, the MOC curve for the Resource shall be calculated in accordance with Section 4.4.9.4.1, Mitigated Offer Cap, and Section 5.6.1, Verifiable Costs. </w:t>
            </w:r>
          </w:p>
          <w:p w14:paraId="1DAF924A" w14:textId="6AB4AA86" w:rsidR="00D32529" w:rsidRPr="00D32529" w:rsidRDefault="00D32529" w:rsidP="00D32529">
            <w:pPr>
              <w:spacing w:after="240"/>
              <w:ind w:left="1440" w:hanging="720"/>
            </w:pPr>
            <w:r w:rsidRPr="00D32529">
              <w:t xml:space="preserve">(a) </w:t>
            </w:r>
            <w:r w:rsidRPr="00D32529">
              <w:tab/>
              <w:t>For each Resource that is not a Resource contracted by ERCOT under Section 3.14.1 or paragraph (</w:t>
            </w:r>
            <w:r w:rsidR="007F71E9">
              <w:t>4</w:t>
            </w:r>
            <w:r w:rsidRPr="00D32529">
              <w:t xml:space="preserve">) of Section 6.5.1.1 and that has an unloading Shift Factor of at least RMRSF percent relative to the constraint(s), determine the higher of zero or the difference between the price ($/MWh) at HSL from the Energy Offer Curves determined for use in SCED Step 2, which may or may not be mitigated, and system lambda from SCED Step 1 and divide that difference by the absolute value of that Resource’s Shift Factor for the corresponding constraint.  The value of RMRSF will default to 5% until a different value is approved by TAC considering the analysis and data used by ERCOT to determine the need for the contracted Resource under Section 3.14.1.  ERCOT shall post the current TAC-approved value(s) of RMRSF on the </w:t>
            </w:r>
            <w:r w:rsidR="00A45FAE">
              <w:t>ERCOT website</w:t>
            </w:r>
            <w:r w:rsidRPr="00D32529">
              <w:t>.</w:t>
            </w:r>
          </w:p>
          <w:p w14:paraId="738BD627" w14:textId="77777777" w:rsidR="00D32529" w:rsidRPr="00D32529" w:rsidRDefault="00D32529" w:rsidP="00D32529">
            <w:pPr>
              <w:spacing w:after="240"/>
              <w:ind w:left="1440" w:hanging="720"/>
            </w:pPr>
            <w:r w:rsidRPr="00D32529">
              <w:t xml:space="preserve">(b) </w:t>
            </w:r>
            <w:r w:rsidRPr="00D32529">
              <w:tab/>
              <w:t xml:space="preserve">For each constraint, identify the largest value that is less than maximum Shadow Price for the specific constraint.  </w:t>
            </w:r>
          </w:p>
          <w:p w14:paraId="56A39BFD" w14:textId="77777777" w:rsidR="00D32529" w:rsidRPr="00D32529" w:rsidRDefault="00D32529" w:rsidP="00D32529">
            <w:pPr>
              <w:spacing w:after="240"/>
              <w:ind w:left="1440" w:hanging="720"/>
            </w:pPr>
            <w:r w:rsidRPr="00D32529">
              <w:t xml:space="preserve">(c) </w:t>
            </w:r>
            <w:r w:rsidRPr="00D32529">
              <w:tab/>
              <w:t>For each SCED interval for each constraint, determine a value equal to the minimum of:</w:t>
            </w:r>
          </w:p>
          <w:p w14:paraId="5DA422A2" w14:textId="77777777" w:rsidR="00D32529" w:rsidRPr="00D32529" w:rsidRDefault="00D32529" w:rsidP="00D32529">
            <w:pPr>
              <w:spacing w:after="240"/>
              <w:ind w:left="1440"/>
            </w:pPr>
            <w:r w:rsidRPr="00D32529">
              <w:t>(i)</w:t>
            </w:r>
            <w:r w:rsidRPr="00D32529">
              <w:tab/>
              <w:t>The value determined in paragraph (b) above plus $0.01/MWh; and</w:t>
            </w:r>
          </w:p>
          <w:p w14:paraId="7CD18600" w14:textId="77777777" w:rsidR="00D32529" w:rsidRPr="00D32529" w:rsidRDefault="00D32529" w:rsidP="00D32529">
            <w:pPr>
              <w:spacing w:after="240"/>
              <w:ind w:left="2160" w:hanging="720"/>
            </w:pPr>
            <w:r w:rsidRPr="00D32529">
              <w:lastRenderedPageBreak/>
              <w:t>(ii)</w:t>
            </w:r>
            <w:r w:rsidRPr="00D32529">
              <w:tab/>
              <w:t>The maximum Shadow Price for the constraint minus $1/MWh.</w:t>
            </w:r>
          </w:p>
          <w:p w14:paraId="0D0EB673" w14:textId="77777777" w:rsidR="00D32529" w:rsidRPr="00D32529" w:rsidRDefault="00D32529" w:rsidP="00D32529">
            <w:pPr>
              <w:spacing w:after="240"/>
              <w:ind w:left="1440" w:hanging="720"/>
            </w:pPr>
            <w:r w:rsidRPr="00D32529">
              <w:t xml:space="preserve">(d) </w:t>
            </w:r>
            <w:r w:rsidRPr="00D32529">
              <w:tab/>
              <w:t>For each SCED interval for each constraint, multiply the resulting value from paragraph (c) above by the absolute value of the Shift Factor of the Resource contracted by ERCOT to the corresponding constraint.  For SCED intervals in which there are multiple constraints which are being analyzed, the lowest value is used for the SCED interval.</w:t>
            </w:r>
          </w:p>
          <w:p w14:paraId="589BBD47" w14:textId="4C08178C" w:rsidR="00D32529" w:rsidRPr="004B32CF" w:rsidRDefault="00D32529" w:rsidP="00D32529">
            <w:pPr>
              <w:spacing w:after="240"/>
              <w:ind w:left="1440" w:hanging="720"/>
            </w:pPr>
            <w:r w:rsidRPr="00D32529">
              <w:t>(e)</w:t>
            </w:r>
            <w:r w:rsidRPr="00D32529">
              <w:tab/>
              <w:t xml:space="preserve">If the value from paragraph (b) above for any constraint analyzed is zero, the MOC curve for the RMR Resource shall be calculated in accordance with Section 4.4.9.4.1 and Section 5.6.1.  If the value from paragraph (b) above for every constraint analyzed is greater than zero, the </w:t>
            </w:r>
            <w:r w:rsidRPr="00D32529">
              <w:rPr>
                <w:iCs/>
              </w:rPr>
              <w:t xml:space="preserve">RMR </w:t>
            </w:r>
            <w:r w:rsidRPr="00D32529">
              <w:t xml:space="preserve">Resource’s MOC curve for use in Step 2 of the SCED process is the sum of system lambda from Step 1 of SCED in the interval and the value from (d) above. </w:t>
            </w:r>
          </w:p>
        </w:tc>
      </w:tr>
    </w:tbl>
    <w:p w14:paraId="16E92F15" w14:textId="78D9CE36" w:rsidR="00FF2129" w:rsidRDefault="00482EF3" w:rsidP="00003B06">
      <w:pPr>
        <w:pStyle w:val="H4"/>
        <w:spacing w:before="480"/>
        <w:ind w:left="1267" w:hanging="1267"/>
      </w:pPr>
      <w:bookmarkStart w:id="516" w:name="_Toc135990660"/>
      <w:r>
        <w:lastRenderedPageBreak/>
        <w:t>4.4.9.5</w:t>
      </w:r>
      <w:r>
        <w:tab/>
        <w:t>DAM Energy-Only Offer Curves</w:t>
      </w:r>
      <w:bookmarkEnd w:id="492"/>
      <w:bookmarkEnd w:id="493"/>
      <w:bookmarkEnd w:id="494"/>
      <w:bookmarkEnd w:id="495"/>
      <w:bookmarkEnd w:id="496"/>
      <w:bookmarkEnd w:id="497"/>
      <w:bookmarkEnd w:id="498"/>
      <w:bookmarkEnd w:id="516"/>
    </w:p>
    <w:p w14:paraId="0ABFF16E" w14:textId="77777777" w:rsidR="00FF2129" w:rsidRDefault="00482EF3">
      <w:pPr>
        <w:pStyle w:val="BodyTextNumbered"/>
      </w:pPr>
      <w:r>
        <w:t>(1)</w:t>
      </w:r>
      <w:r>
        <w:tab/>
        <w:t xml:space="preserve">A QSE must submit any DAM Energy-Only Offer Curves by 1000 for the effective DAM. </w:t>
      </w:r>
    </w:p>
    <w:p w14:paraId="009DB04D" w14:textId="77777777" w:rsidR="00FF2129" w:rsidRDefault="00482EF3">
      <w:pPr>
        <w:pStyle w:val="BodyTextNumbered"/>
      </w:pPr>
      <w:r>
        <w:t>(2)</w:t>
      </w:r>
      <w:r>
        <w:tab/>
        <w:t>The DAM Energy-Only Offer Curve represents the QSE’s willingness to sell energy at or above a certain price and at a certain quantity at a specific Settlement Point in the DAM.  A DAM Energy-Only Offer Curve may be offered only in the DAM.</w:t>
      </w:r>
    </w:p>
    <w:p w14:paraId="3C813B50" w14:textId="77777777" w:rsidR="00FF2129" w:rsidRDefault="00482EF3">
      <w:pPr>
        <w:pStyle w:val="BodyTextNumbered"/>
      </w:pPr>
      <w:r>
        <w:t>(3)</w:t>
      </w:r>
      <w:r>
        <w:tab/>
        <w:t>DAM Energy-Only Offer Curves are not Resource-specific.</w:t>
      </w:r>
    </w:p>
    <w:p w14:paraId="44CD2E86" w14:textId="77777777" w:rsidR="00FF2129" w:rsidRDefault="00482EF3" w:rsidP="00003B06">
      <w:pPr>
        <w:pStyle w:val="H5"/>
        <w:spacing w:before="480"/>
        <w:ind w:left="1627" w:hanging="1627"/>
      </w:pPr>
      <w:bookmarkStart w:id="517" w:name="_Toc92873967"/>
      <w:bookmarkStart w:id="518" w:name="_Toc142108943"/>
      <w:bookmarkStart w:id="519" w:name="_Toc142113788"/>
      <w:bookmarkStart w:id="520" w:name="_Toc402345613"/>
      <w:bookmarkStart w:id="521" w:name="_Toc405383896"/>
      <w:bookmarkStart w:id="522" w:name="_Toc405536999"/>
      <w:bookmarkStart w:id="523" w:name="_Toc440871785"/>
      <w:bookmarkStart w:id="524" w:name="_Toc135990661"/>
      <w:r>
        <w:t>4.4.9.5.1</w:t>
      </w:r>
      <w:r>
        <w:tab/>
        <w:t>DAM Energy-Only Offer Curve Criteria</w:t>
      </w:r>
      <w:bookmarkEnd w:id="517"/>
      <w:bookmarkEnd w:id="518"/>
      <w:bookmarkEnd w:id="519"/>
      <w:bookmarkEnd w:id="520"/>
      <w:bookmarkEnd w:id="521"/>
      <w:bookmarkEnd w:id="522"/>
      <w:bookmarkEnd w:id="523"/>
      <w:bookmarkEnd w:id="524"/>
    </w:p>
    <w:p w14:paraId="0E7EB468" w14:textId="77777777" w:rsidR="00FF2129" w:rsidRDefault="00482EF3">
      <w:pPr>
        <w:pStyle w:val="BodyTextNumbered"/>
      </w:pPr>
      <w:r>
        <w:t>(1)</w:t>
      </w:r>
      <w:r>
        <w:tab/>
        <w:t>Each DAM Energy-Only Offer Curve must be reported by a QSE and must include the following information:</w:t>
      </w:r>
    </w:p>
    <w:p w14:paraId="2DDBB893" w14:textId="77777777" w:rsidR="00FF2129" w:rsidRDefault="00482EF3">
      <w:pPr>
        <w:pStyle w:val="List"/>
        <w:ind w:left="1440"/>
      </w:pPr>
      <w:r>
        <w:t>(a)</w:t>
      </w:r>
      <w:r>
        <w:tab/>
        <w:t>The selling QSE;</w:t>
      </w:r>
    </w:p>
    <w:p w14:paraId="61449B1E" w14:textId="77777777" w:rsidR="00FF2129" w:rsidRDefault="00482EF3">
      <w:pPr>
        <w:pStyle w:val="List"/>
        <w:ind w:left="1440"/>
      </w:pPr>
      <w:r>
        <w:t>(b)</w:t>
      </w:r>
      <w:r>
        <w:tab/>
        <w:t>The Settlement Point;</w:t>
      </w:r>
    </w:p>
    <w:p w14:paraId="1FFFC530" w14:textId="77777777" w:rsidR="00FF2129" w:rsidRDefault="00482EF3">
      <w:pPr>
        <w:pStyle w:val="List"/>
        <w:ind w:left="1440"/>
      </w:pPr>
      <w:r>
        <w:t>(c)</w:t>
      </w:r>
      <w:r>
        <w:tab/>
        <w:t xml:space="preserve">The fixed quantity block, variable quantity block, or curve indicator for the offer; </w:t>
      </w:r>
    </w:p>
    <w:p w14:paraId="323C7C82" w14:textId="77777777" w:rsidR="00FF2129" w:rsidRDefault="00482EF3">
      <w:pPr>
        <w:pStyle w:val="List2"/>
        <w:spacing w:after="240"/>
        <w:ind w:left="2160" w:hanging="720"/>
      </w:pPr>
      <w:r>
        <w:t>(i)</w:t>
      </w:r>
      <w:r>
        <w:tab/>
        <w:t>If a fixed quantity block, the single price (in $/MWh) and single quantity (in MW) for all hours offered in that block</w:t>
      </w:r>
      <w:r w:rsidR="00366781">
        <w:t xml:space="preserve"> </w:t>
      </w:r>
      <w:r w:rsidR="00366781" w:rsidRPr="000D693C">
        <w:t>, which may clear at a Settlement Point Price less than the offer price for that block</w:t>
      </w:r>
      <w:r>
        <w:t>;</w:t>
      </w:r>
    </w:p>
    <w:p w14:paraId="5581584C" w14:textId="77777777" w:rsidR="00FF2129" w:rsidRDefault="00482EF3">
      <w:pPr>
        <w:pStyle w:val="List2"/>
        <w:spacing w:after="240"/>
        <w:ind w:left="2160" w:hanging="720"/>
      </w:pPr>
      <w:r>
        <w:t>(ii)</w:t>
      </w:r>
      <w:r>
        <w:tab/>
        <w:t>If a variable quantity block, the single price (in $/MWh) and single “up to” quantity (in MW) contingent on the purchase of all hours offered in that block; and</w:t>
      </w:r>
    </w:p>
    <w:p w14:paraId="5E2549FA" w14:textId="77777777" w:rsidR="00FF2129" w:rsidRDefault="00482EF3">
      <w:pPr>
        <w:pStyle w:val="List2"/>
        <w:spacing w:after="240"/>
        <w:ind w:left="2160" w:hanging="720"/>
      </w:pPr>
      <w:r>
        <w:lastRenderedPageBreak/>
        <w:t>(iii)</w:t>
      </w:r>
      <w:r>
        <w:tab/>
        <w:t xml:space="preserve">If a curve, a monotonically increasing energy offer curve for both price (in $/MWh) and quantity (in MW) with no more than ten price/quantity pairs; </w:t>
      </w:r>
    </w:p>
    <w:p w14:paraId="5793EB03" w14:textId="77777777" w:rsidR="00FF2129" w:rsidRDefault="00482EF3">
      <w:pPr>
        <w:pStyle w:val="List"/>
        <w:ind w:left="1440"/>
      </w:pPr>
      <w:r>
        <w:t>(d)</w:t>
      </w:r>
      <w:r>
        <w:tab/>
        <w:t>The first and last hour of the offer; and</w:t>
      </w:r>
    </w:p>
    <w:p w14:paraId="60ABC135" w14:textId="77777777" w:rsidR="00FF2129" w:rsidRDefault="00482EF3">
      <w:pPr>
        <w:pStyle w:val="List"/>
        <w:ind w:left="1440"/>
      </w:pPr>
      <w:r>
        <w:t>(e)</w:t>
      </w:r>
      <w:r>
        <w:tab/>
        <w:t>The expiration time and date of the offer.</w:t>
      </w:r>
    </w:p>
    <w:p w14:paraId="381FF668" w14:textId="77777777" w:rsidR="00FF2129" w:rsidRDefault="00482EF3">
      <w:pPr>
        <w:pStyle w:val="BodyTextNumbered"/>
      </w:pPr>
      <w:r>
        <w:t>(2)</w:t>
      </w:r>
      <w:r>
        <w:tab/>
        <w:t xml:space="preserve">A DAM Energy-Only Offer Curve must be within the range of -$250.00 per MWh and the SWCAP in dollars per MWh.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26266" w:rsidRPr="004B32CF" w14:paraId="508295EC" w14:textId="77777777" w:rsidTr="007258B7">
        <w:trPr>
          <w:trHeight w:val="386"/>
        </w:trPr>
        <w:tc>
          <w:tcPr>
            <w:tcW w:w="9350" w:type="dxa"/>
            <w:shd w:val="pct12" w:color="auto" w:fill="auto"/>
          </w:tcPr>
          <w:p w14:paraId="73992E92" w14:textId="3F30101D" w:rsidR="00526266" w:rsidRPr="004B32CF" w:rsidRDefault="00526266" w:rsidP="007258B7">
            <w:pPr>
              <w:spacing w:before="120" w:after="240"/>
              <w:rPr>
                <w:b/>
                <w:i/>
                <w:iCs/>
              </w:rPr>
            </w:pPr>
            <w:r>
              <w:rPr>
                <w:b/>
                <w:i/>
                <w:iCs/>
              </w:rPr>
              <w:t>[NPRR1008</w:t>
            </w:r>
            <w:r w:rsidRPr="004B32CF">
              <w:rPr>
                <w:b/>
                <w:i/>
                <w:iCs/>
              </w:rPr>
              <w:t xml:space="preserve">:  </w:t>
            </w:r>
            <w:r>
              <w:rPr>
                <w:b/>
                <w:i/>
                <w:iCs/>
              </w:rPr>
              <w:t>Replace paragraph (2) above with the following</w:t>
            </w:r>
            <w:r w:rsidRPr="004B32CF">
              <w:rPr>
                <w:b/>
                <w:i/>
                <w:iCs/>
              </w:rPr>
              <w:t xml:space="preserve"> upon system implementation</w:t>
            </w:r>
            <w:r>
              <w:rPr>
                <w:b/>
                <w:i/>
                <w:iCs/>
              </w:rPr>
              <w:t xml:space="preserve"> of the Real-Time Co-Optimization (RTC) project</w:t>
            </w:r>
            <w:r w:rsidRPr="004B32CF">
              <w:rPr>
                <w:b/>
                <w:i/>
                <w:iCs/>
              </w:rPr>
              <w:t>:]</w:t>
            </w:r>
          </w:p>
          <w:p w14:paraId="569C9811" w14:textId="7282985D" w:rsidR="00526266" w:rsidRPr="00526266" w:rsidRDefault="00526266" w:rsidP="00526266">
            <w:pPr>
              <w:pStyle w:val="BodyTextNumbered"/>
            </w:pPr>
            <w:r>
              <w:t>(2)</w:t>
            </w:r>
            <w:r>
              <w:tab/>
              <w:t>A DAM Energy-Only Offer Curve must be within the range of -$250.00 per MWh and the DASWCAP in dollars per MWh.</w:t>
            </w:r>
          </w:p>
        </w:tc>
      </w:tr>
    </w:tbl>
    <w:p w14:paraId="3D3CB9B1" w14:textId="6E52E5D2" w:rsidR="00FF2129" w:rsidRDefault="00482EF3" w:rsidP="00F539C2">
      <w:pPr>
        <w:pStyle w:val="BodyTextNumbered"/>
        <w:spacing w:before="240"/>
      </w:pPr>
      <w:r>
        <w:t>(3)</w:t>
      </w:r>
      <w:r>
        <w:tab/>
        <w:t>The minimum amount for each DAM Energy-Only Offer Curve that may be offered is one MW.</w:t>
      </w:r>
    </w:p>
    <w:p w14:paraId="5DAC80D5" w14:textId="77777777" w:rsidR="008F425F" w:rsidRDefault="008F425F">
      <w:pPr>
        <w:pStyle w:val="BodyTextNumbered"/>
      </w:pPr>
      <w:r>
        <w:t>(4)</w:t>
      </w:r>
      <w:r>
        <w:tab/>
        <w:t>DAM Energy-Only O</w:t>
      </w:r>
      <w:r w:rsidRPr="005A1FC8">
        <w:t>ffers,</w:t>
      </w:r>
      <w:r>
        <w:t xml:space="preserve"> DAM Energy B</w:t>
      </w:r>
      <w:r w:rsidRPr="005A1FC8">
        <w:t>ids, and/or P</w:t>
      </w:r>
      <w:r>
        <w:t>T</w:t>
      </w:r>
      <w:r w:rsidRPr="005A1FC8">
        <w:t>P Obligation bids shall not be submitted in combination to create the net effect of a single PTP Obligation containing a source Settlement Point and a sink Settlement Point that are Electrically Similar Settlement Points for the QSE or for any combination of QSEs within the same Counter-Party.</w:t>
      </w:r>
    </w:p>
    <w:p w14:paraId="3DD75ACC" w14:textId="77777777" w:rsidR="00FF2129" w:rsidRDefault="00482EF3" w:rsidP="00003B06">
      <w:pPr>
        <w:pStyle w:val="H5"/>
        <w:spacing w:before="480"/>
        <w:ind w:left="1627" w:hanging="1627"/>
      </w:pPr>
      <w:bookmarkStart w:id="525" w:name="_Toc92873968"/>
      <w:bookmarkStart w:id="526" w:name="_Toc142108944"/>
      <w:bookmarkStart w:id="527" w:name="_Toc142113789"/>
      <w:bookmarkStart w:id="528" w:name="_Toc402345614"/>
      <w:bookmarkStart w:id="529" w:name="_Toc405383897"/>
      <w:bookmarkStart w:id="530" w:name="_Toc405537000"/>
      <w:bookmarkStart w:id="531" w:name="_Toc440871786"/>
      <w:bookmarkStart w:id="532" w:name="_Toc135990662"/>
      <w:r>
        <w:t>4.4.9.5.2</w:t>
      </w:r>
      <w:r>
        <w:tab/>
        <w:t>DAM Energy-Only Offer Validation</w:t>
      </w:r>
      <w:bookmarkEnd w:id="525"/>
      <w:bookmarkEnd w:id="526"/>
      <w:bookmarkEnd w:id="527"/>
      <w:bookmarkEnd w:id="528"/>
      <w:bookmarkEnd w:id="529"/>
      <w:bookmarkEnd w:id="530"/>
      <w:bookmarkEnd w:id="531"/>
      <w:bookmarkEnd w:id="532"/>
    </w:p>
    <w:p w14:paraId="09C321C6" w14:textId="77777777" w:rsidR="00FF2129" w:rsidRDefault="00482EF3">
      <w:pPr>
        <w:pStyle w:val="BodyTextNumbered"/>
      </w:pPr>
      <w:r>
        <w:t>(1)</w:t>
      </w:r>
      <w:r>
        <w:tab/>
        <w:t>A valid DAM Energy-Only Offer Curve is an offer that ERCOT has determined meets the criteria listed in Section 4.4.9.5.1, DAM Energy-Only Offer Curve Criteria.</w:t>
      </w:r>
    </w:p>
    <w:p w14:paraId="1DF35E5B" w14:textId="77777777" w:rsidR="00FF2129" w:rsidRDefault="00482EF3">
      <w:pPr>
        <w:pStyle w:val="BodyTextNumbered"/>
      </w:pPr>
      <w:r>
        <w:t>(2)</w:t>
      </w:r>
      <w:r>
        <w:tab/>
        <w:t>ERCOT shall notify the QSE submitting a DAM Energy-Only Offer Curve by the Messaging System if the offer was rejected or was considered invalid for any reason</w:t>
      </w:r>
      <w:r w:rsidR="008F425F">
        <w:t>, with the exception of paragraph (4) of Section 4.4.9.5.1</w:t>
      </w:r>
      <w:r>
        <w:t>.  The QSE may then resubmit the offer within the appropriate market timeline.</w:t>
      </w:r>
    </w:p>
    <w:p w14:paraId="1C779018" w14:textId="77777777" w:rsidR="00FF2129" w:rsidRDefault="00482EF3">
      <w:pPr>
        <w:pStyle w:val="BodyTextNumbered"/>
      </w:pPr>
      <w:r>
        <w:t>(3)</w:t>
      </w:r>
      <w:r>
        <w:tab/>
        <w:t xml:space="preserve">ERCOT shall continuously validate DAM Energy-Only Offers and continuously display on the MIS Certified Area information that allows any QSE to view its valid DAM Energy-Only Offers.  </w:t>
      </w:r>
    </w:p>
    <w:p w14:paraId="31DFA3B0" w14:textId="77777777" w:rsidR="00FF2129" w:rsidRDefault="00482EF3" w:rsidP="00003B06">
      <w:pPr>
        <w:pStyle w:val="H4"/>
        <w:spacing w:before="480"/>
        <w:ind w:left="1267" w:hanging="1267"/>
      </w:pPr>
      <w:bookmarkStart w:id="533" w:name="_Toc90197122"/>
      <w:bookmarkStart w:id="534" w:name="_Toc142108945"/>
      <w:bookmarkStart w:id="535" w:name="_Toc142113790"/>
      <w:bookmarkStart w:id="536" w:name="_Toc402345615"/>
      <w:bookmarkStart w:id="537" w:name="_Toc405383898"/>
      <w:bookmarkStart w:id="538" w:name="_Toc405537001"/>
      <w:bookmarkStart w:id="539" w:name="_Toc440871787"/>
      <w:bookmarkStart w:id="540" w:name="_Toc135990663"/>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t>4.4.9.6</w:t>
      </w:r>
      <w:r>
        <w:tab/>
        <w:t>DAM Energy Bids</w:t>
      </w:r>
      <w:bookmarkEnd w:id="533"/>
      <w:bookmarkEnd w:id="534"/>
      <w:bookmarkEnd w:id="535"/>
      <w:bookmarkEnd w:id="536"/>
      <w:bookmarkEnd w:id="537"/>
      <w:bookmarkEnd w:id="538"/>
      <w:bookmarkEnd w:id="539"/>
      <w:bookmarkEnd w:id="540"/>
      <w:r>
        <w:t xml:space="preserve"> </w:t>
      </w:r>
    </w:p>
    <w:p w14:paraId="6B976EE7" w14:textId="77777777" w:rsidR="00FF2129" w:rsidRDefault="00482EF3">
      <w:pPr>
        <w:pStyle w:val="BodyTextNumbered"/>
      </w:pPr>
      <w:r>
        <w:t>(1)</w:t>
      </w:r>
      <w:r>
        <w:tab/>
        <w:t xml:space="preserve">A QSE must submit any DAM Energy Bids by 1000 for the effective DAM. </w:t>
      </w:r>
    </w:p>
    <w:p w14:paraId="2B867733" w14:textId="77777777" w:rsidR="00FF2129" w:rsidRDefault="00482EF3">
      <w:pPr>
        <w:pStyle w:val="BodyTextNumbered"/>
      </w:pPr>
      <w:r>
        <w:lastRenderedPageBreak/>
        <w:t>(2)</w:t>
      </w:r>
      <w:r>
        <w:tab/>
        <w:t>A DAM Energy Bid represents the QSE’s willingness to buy energy at or below a certain price and at a certain quantity at a specific Settlement Point in the DAM.  A DAM Energy Bid may be made only in the DAM.</w:t>
      </w:r>
    </w:p>
    <w:p w14:paraId="6097ACED" w14:textId="77777777" w:rsidR="00FF2129" w:rsidRDefault="00482EF3" w:rsidP="00003B06">
      <w:pPr>
        <w:pStyle w:val="H5"/>
        <w:spacing w:before="480"/>
        <w:ind w:left="1627" w:hanging="1627"/>
      </w:pPr>
      <w:bookmarkStart w:id="541" w:name="_Toc90197123"/>
      <w:bookmarkStart w:id="542" w:name="_Toc142108946"/>
      <w:bookmarkStart w:id="543" w:name="_Toc142113791"/>
      <w:bookmarkStart w:id="544" w:name="_Toc402345616"/>
      <w:bookmarkStart w:id="545" w:name="_Toc405383899"/>
      <w:bookmarkStart w:id="546" w:name="_Toc405537002"/>
      <w:bookmarkStart w:id="547" w:name="_Toc440871788"/>
      <w:bookmarkStart w:id="548" w:name="_Toc135990664"/>
      <w:r>
        <w:t>4.4.9.6.1</w:t>
      </w:r>
      <w:r>
        <w:tab/>
        <w:t>DAM Energy Bid Criteria</w:t>
      </w:r>
      <w:bookmarkEnd w:id="541"/>
      <w:bookmarkEnd w:id="542"/>
      <w:bookmarkEnd w:id="543"/>
      <w:bookmarkEnd w:id="544"/>
      <w:bookmarkEnd w:id="545"/>
      <w:bookmarkEnd w:id="546"/>
      <w:bookmarkEnd w:id="547"/>
      <w:bookmarkEnd w:id="548"/>
    </w:p>
    <w:p w14:paraId="35D1F24A" w14:textId="77777777" w:rsidR="00FF2129" w:rsidRDefault="00482EF3">
      <w:pPr>
        <w:pStyle w:val="BodyTextNumbered"/>
      </w:pPr>
      <w:r>
        <w:t>(1)</w:t>
      </w:r>
      <w:r>
        <w:tab/>
        <w:t>Each DAM Energy Bid must be reported by a QSE and must include the following information:</w:t>
      </w:r>
    </w:p>
    <w:p w14:paraId="5248D3D4" w14:textId="77777777" w:rsidR="00FF2129" w:rsidRDefault="00482EF3">
      <w:pPr>
        <w:pStyle w:val="List"/>
        <w:ind w:left="1440"/>
      </w:pPr>
      <w:r>
        <w:t>(a)</w:t>
      </w:r>
      <w:r>
        <w:tab/>
        <w:t>The buying QSE;</w:t>
      </w:r>
    </w:p>
    <w:p w14:paraId="4EF348C7" w14:textId="77777777" w:rsidR="00FF2129" w:rsidRDefault="00482EF3">
      <w:pPr>
        <w:pStyle w:val="List"/>
        <w:ind w:left="1440"/>
      </w:pPr>
      <w:r>
        <w:t>(b)</w:t>
      </w:r>
      <w:r>
        <w:tab/>
        <w:t>The Settlement Point;</w:t>
      </w:r>
    </w:p>
    <w:p w14:paraId="663BCF2F" w14:textId="77777777" w:rsidR="00FF2129" w:rsidRDefault="00482EF3">
      <w:pPr>
        <w:pStyle w:val="List"/>
        <w:ind w:left="1440"/>
      </w:pPr>
      <w:r>
        <w:t>(c)</w:t>
      </w:r>
      <w:r>
        <w:tab/>
        <w:t xml:space="preserve">Fixed quantity block, variable quantity block, or curve indicator for the bid; </w:t>
      </w:r>
    </w:p>
    <w:p w14:paraId="1F883690" w14:textId="77777777" w:rsidR="00FF2129" w:rsidRDefault="00482EF3">
      <w:pPr>
        <w:pStyle w:val="List2"/>
        <w:spacing w:after="240"/>
        <w:ind w:left="2160" w:hanging="720"/>
      </w:pPr>
      <w:r>
        <w:t>(i)</w:t>
      </w:r>
      <w:r>
        <w:tab/>
        <w:t>If a fixed quantity block, the single price (in $/MWh) and single quantity (in MW) for all hours bid in that block</w:t>
      </w:r>
      <w:r w:rsidR="00366781" w:rsidRPr="000D693C">
        <w:t>, which may clear at a Settlement Point Price greater than the bid price for that block</w:t>
      </w:r>
      <w:r>
        <w:t>;</w:t>
      </w:r>
    </w:p>
    <w:p w14:paraId="47A1E8C9" w14:textId="77777777" w:rsidR="00FF2129" w:rsidRDefault="00482EF3">
      <w:pPr>
        <w:pStyle w:val="List2"/>
        <w:spacing w:after="240"/>
        <w:ind w:left="2160" w:hanging="720"/>
      </w:pPr>
      <w:r>
        <w:t>(ii)</w:t>
      </w:r>
      <w:r>
        <w:tab/>
        <w:t>If a variable quantity block, the single price (in $/MWh) and single “up to” quantity (in MW) contingent on the purchase of all hours bid in that block; and</w:t>
      </w:r>
    </w:p>
    <w:p w14:paraId="296C42E2" w14:textId="77777777" w:rsidR="00FF2129" w:rsidRDefault="00482EF3">
      <w:pPr>
        <w:pStyle w:val="List"/>
        <w:ind w:left="2160"/>
      </w:pPr>
      <w:r>
        <w:t>(iii)</w:t>
      </w:r>
      <w:r>
        <w:tab/>
        <w:t xml:space="preserve">If a curve, a monotonically decreasing energy bid curve for price (in $/MWh) and </w:t>
      </w:r>
      <w:r w:rsidR="00421FFA">
        <w:t xml:space="preserve">monotonically increasing for </w:t>
      </w:r>
      <w:r>
        <w:t>quantity (in MW) with no more than 10 price/quantity pairs.</w:t>
      </w:r>
    </w:p>
    <w:p w14:paraId="394EA61A" w14:textId="77777777" w:rsidR="00FF2129" w:rsidRDefault="00482EF3">
      <w:pPr>
        <w:pStyle w:val="List"/>
        <w:ind w:left="1440"/>
      </w:pPr>
      <w:r>
        <w:t>(d)</w:t>
      </w:r>
      <w:r>
        <w:tab/>
        <w:t>The first and last hour of the bid; and</w:t>
      </w:r>
    </w:p>
    <w:p w14:paraId="194710A9" w14:textId="77777777" w:rsidR="00FF2129" w:rsidRDefault="00482EF3">
      <w:pPr>
        <w:pStyle w:val="List"/>
        <w:ind w:left="1440"/>
      </w:pPr>
      <w:r>
        <w:t>(e)</w:t>
      </w:r>
      <w:r>
        <w:tab/>
        <w:t>The expiration time and date of the bid.</w:t>
      </w:r>
    </w:p>
    <w:p w14:paraId="5656D55F" w14:textId="77777777" w:rsidR="00FF2129" w:rsidRDefault="00482EF3">
      <w:pPr>
        <w:pStyle w:val="BodyTextNumbered"/>
      </w:pPr>
      <w:r>
        <w:t>(2)</w:t>
      </w:r>
      <w:r>
        <w:tab/>
        <w:t>The minimum amount for each DAM Energy Bid that may be bid is one MW.</w:t>
      </w:r>
    </w:p>
    <w:p w14:paraId="5C447D45" w14:textId="77777777" w:rsidR="008F425F" w:rsidRDefault="008F425F">
      <w:pPr>
        <w:pStyle w:val="BodyTextNumbered"/>
      </w:pPr>
      <w:r>
        <w:t>(3)</w:t>
      </w:r>
      <w:r>
        <w:tab/>
        <w:t>DAM Energy-Only O</w:t>
      </w:r>
      <w:r w:rsidRPr="005A1FC8">
        <w:t xml:space="preserve">ffers, </w:t>
      </w:r>
      <w:r>
        <w:t>DAM Energy B</w:t>
      </w:r>
      <w:r w:rsidRPr="005A1FC8">
        <w:t>ids, and/or P</w:t>
      </w:r>
      <w:r>
        <w:t>T</w:t>
      </w:r>
      <w:r w:rsidRPr="005A1FC8">
        <w:t>P Obligation bids shall not be submitted in combination to create the net effect of a single PTP Obligation containing a source Settlement Point and a sink Settlement Point that are Electrically Similar Settlement Points for the QSE or for any combination of QSEs within the same Counter-Party.</w:t>
      </w:r>
    </w:p>
    <w:p w14:paraId="4A869F26" w14:textId="77777777" w:rsidR="00FF2129" w:rsidRDefault="00482EF3" w:rsidP="00003B06">
      <w:pPr>
        <w:pStyle w:val="H5"/>
        <w:spacing w:before="480"/>
        <w:ind w:left="1627" w:hanging="1627"/>
      </w:pPr>
      <w:bookmarkStart w:id="549" w:name="_Toc90197124"/>
      <w:bookmarkStart w:id="550" w:name="_Toc142108947"/>
      <w:bookmarkStart w:id="551" w:name="_Toc142113792"/>
      <w:bookmarkStart w:id="552" w:name="_Toc402345617"/>
      <w:bookmarkStart w:id="553" w:name="_Toc405383900"/>
      <w:bookmarkStart w:id="554" w:name="_Toc405537003"/>
      <w:bookmarkStart w:id="555" w:name="_Toc440871789"/>
      <w:bookmarkStart w:id="556" w:name="_Toc135990665"/>
      <w:r>
        <w:t>4.4.9.6.2</w:t>
      </w:r>
      <w:r>
        <w:tab/>
        <w:t>DAM Energy Bid Validation</w:t>
      </w:r>
      <w:bookmarkEnd w:id="549"/>
      <w:bookmarkEnd w:id="550"/>
      <w:bookmarkEnd w:id="551"/>
      <w:bookmarkEnd w:id="552"/>
      <w:bookmarkEnd w:id="553"/>
      <w:bookmarkEnd w:id="554"/>
      <w:bookmarkEnd w:id="555"/>
      <w:bookmarkEnd w:id="556"/>
    </w:p>
    <w:p w14:paraId="299461E7" w14:textId="77777777" w:rsidR="00FF2129" w:rsidRDefault="00482EF3">
      <w:pPr>
        <w:pStyle w:val="BodyTextNumbered"/>
      </w:pPr>
      <w:r>
        <w:t>(1)</w:t>
      </w:r>
      <w:r>
        <w:tab/>
        <w:t>A valid DAM Energy Bid is a bid that ERCOT has determined meets the criteria listed in Section 4.4.9.6.1, DAM Energy Bid Criteria.</w:t>
      </w:r>
    </w:p>
    <w:p w14:paraId="3C7CA061" w14:textId="77777777" w:rsidR="00FF2129" w:rsidRDefault="00482EF3">
      <w:pPr>
        <w:pStyle w:val="BodyTextNumbered"/>
      </w:pPr>
      <w:r>
        <w:t>(2)</w:t>
      </w:r>
      <w:r>
        <w:tab/>
        <w:t>ERCOT shall notify the QSE submitting a DAM Energy Bid by the Messaging System if the bid was rejected or was considered invalid for any reason</w:t>
      </w:r>
      <w:r w:rsidR="008F425F">
        <w:t xml:space="preserve">, with the exception of </w:t>
      </w:r>
      <w:r w:rsidR="008F425F">
        <w:lastRenderedPageBreak/>
        <w:t>paragraph (3) of Section 4.4.9.6.1</w:t>
      </w:r>
      <w:r>
        <w:t>.  The QSE may then resubmit the bid within the appropriate market timeline.</w:t>
      </w:r>
    </w:p>
    <w:p w14:paraId="14216B54" w14:textId="77777777" w:rsidR="00FF2129" w:rsidRDefault="00482EF3">
      <w:pPr>
        <w:pStyle w:val="BodyTextNumbered"/>
      </w:pPr>
      <w:r>
        <w:t>(3)</w:t>
      </w:r>
      <w:r>
        <w:tab/>
        <w:t xml:space="preserve">ERCOT shall continuously validate DAM Energy Bids and continuously display on the MIS Certified Area information that allows any QSE to view its valid DAM Energy Bids.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top w:w="144" w:type="dxa"/>
          <w:left w:w="115" w:type="dxa"/>
          <w:right w:w="115" w:type="dxa"/>
        </w:tblCellMar>
        <w:tblLook w:val="01E0" w:firstRow="1" w:lastRow="1" w:firstColumn="1" w:lastColumn="1" w:noHBand="0" w:noVBand="0"/>
      </w:tblPr>
      <w:tblGrid>
        <w:gridCol w:w="9350"/>
      </w:tblGrid>
      <w:tr w:rsidR="00A7138D" w:rsidRPr="004B32CF" w14:paraId="10BC0FE5" w14:textId="77777777" w:rsidTr="009540C4">
        <w:trPr>
          <w:trHeight w:val="386"/>
        </w:trPr>
        <w:tc>
          <w:tcPr>
            <w:tcW w:w="9350" w:type="dxa"/>
            <w:shd w:val="pct12" w:color="auto" w:fill="auto"/>
          </w:tcPr>
          <w:p w14:paraId="42CDBF75" w14:textId="5EDC5C22" w:rsidR="00A7138D" w:rsidRPr="004B32CF" w:rsidRDefault="00A7138D" w:rsidP="00E30EAB">
            <w:pPr>
              <w:spacing w:before="120" w:after="240"/>
              <w:rPr>
                <w:b/>
                <w:i/>
                <w:iCs/>
              </w:rPr>
            </w:pPr>
            <w:bookmarkStart w:id="557" w:name="_Toc402345618"/>
            <w:bookmarkStart w:id="558" w:name="_Toc405383901"/>
            <w:bookmarkStart w:id="559" w:name="_Toc405537004"/>
            <w:bookmarkStart w:id="560" w:name="_Toc440871790"/>
            <w:bookmarkStart w:id="561" w:name="_Toc402345619"/>
            <w:bookmarkStart w:id="562" w:name="_Toc405383902"/>
            <w:bookmarkStart w:id="563" w:name="_Toc405537005"/>
            <w:bookmarkStart w:id="564" w:name="_Toc440871791"/>
            <w:r>
              <w:rPr>
                <w:b/>
                <w:i/>
                <w:iCs/>
              </w:rPr>
              <w:t>[NPRR1014:  Insert Section 4.4.9.7 below</w:t>
            </w:r>
            <w:r w:rsidRPr="004B32CF">
              <w:rPr>
                <w:b/>
                <w:i/>
                <w:iCs/>
              </w:rPr>
              <w:t xml:space="preserve"> upon system implementation:]</w:t>
            </w:r>
          </w:p>
          <w:p w14:paraId="17709D15" w14:textId="77777777" w:rsidR="00A7138D" w:rsidRPr="00A552C3" w:rsidRDefault="00A7138D" w:rsidP="00A7138D">
            <w:pPr>
              <w:widowControl w:val="0"/>
              <w:tabs>
                <w:tab w:val="left" w:pos="1260"/>
              </w:tabs>
              <w:spacing w:before="240" w:after="240"/>
              <w:ind w:left="1267" w:hanging="1267"/>
              <w:outlineLvl w:val="3"/>
              <w:rPr>
                <w:b/>
                <w:bCs/>
                <w:snapToGrid w:val="0"/>
                <w:szCs w:val="20"/>
              </w:rPr>
            </w:pPr>
            <w:bookmarkStart w:id="565" w:name="_Toc135990666"/>
            <w:r w:rsidRPr="00A552C3">
              <w:rPr>
                <w:b/>
                <w:bCs/>
                <w:snapToGrid w:val="0"/>
                <w:szCs w:val="20"/>
              </w:rPr>
              <w:t>4.4.9.7</w:t>
            </w:r>
            <w:r w:rsidRPr="00A552C3">
              <w:rPr>
                <w:b/>
                <w:bCs/>
                <w:snapToGrid w:val="0"/>
                <w:szCs w:val="20"/>
              </w:rPr>
              <w:tab/>
              <w:t>Energy Bid/Offer Curve</w:t>
            </w:r>
            <w:bookmarkEnd w:id="565"/>
          </w:p>
          <w:p w14:paraId="5646E567" w14:textId="77777777" w:rsidR="00A7138D" w:rsidRPr="00A552C3" w:rsidRDefault="00A7138D" w:rsidP="00A7138D">
            <w:pPr>
              <w:tabs>
                <w:tab w:val="left" w:pos="720"/>
              </w:tabs>
              <w:spacing w:after="240"/>
              <w:ind w:left="720" w:hanging="720"/>
              <w:rPr>
                <w:iCs/>
              </w:rPr>
            </w:pPr>
            <w:r w:rsidRPr="00A552C3">
              <w:rPr>
                <w:iCs/>
              </w:rPr>
              <w:t>(1)</w:t>
            </w:r>
            <w:r w:rsidRPr="00A552C3">
              <w:rPr>
                <w:iCs/>
              </w:rPr>
              <w:tab/>
              <w:t xml:space="preserve">The Energy Bid/Offer Curve represents the willingness of a QSE representing an ESR to buy energy at or below a certain price and sell energy at or above a certain price and at a certain quantity in the DAM or its willingness to be dispatched by SCED in Real-Time Operations. </w:t>
            </w:r>
            <w:r>
              <w:rPr>
                <w:iCs/>
              </w:rPr>
              <w:t xml:space="preserve"> </w:t>
            </w:r>
            <w:r w:rsidRPr="00A552C3">
              <w:rPr>
                <w:iCs/>
              </w:rPr>
              <w:t xml:space="preserve">ERCOT must validate each Energy Bid/Offer Curve </w:t>
            </w:r>
            <w:r w:rsidRPr="00A552C3">
              <w:t>in accordance with Section 4.4.9.7.2, Energy Bid/Offer Curve Validation,</w:t>
            </w:r>
            <w:r w:rsidRPr="00A552C3">
              <w:rPr>
                <w:iCs/>
              </w:rPr>
              <w:t xml:space="preserve"> before it can be used in any ERCOT process.  </w:t>
            </w:r>
          </w:p>
          <w:p w14:paraId="78DB71C9" w14:textId="77777777" w:rsidR="00A7138D" w:rsidRPr="00A552C3" w:rsidRDefault="00A7138D" w:rsidP="00A7138D">
            <w:pPr>
              <w:tabs>
                <w:tab w:val="left" w:pos="720"/>
              </w:tabs>
              <w:spacing w:after="240"/>
              <w:ind w:left="720" w:hanging="720"/>
              <w:rPr>
                <w:iCs/>
              </w:rPr>
            </w:pPr>
            <w:r w:rsidRPr="00A552C3">
              <w:rPr>
                <w:iCs/>
              </w:rPr>
              <w:t>(2)</w:t>
            </w:r>
            <w:r w:rsidRPr="00A552C3">
              <w:rPr>
                <w:iCs/>
              </w:rPr>
              <w:tab/>
              <w:t>A QSE may submit Resource-Specific Energy Bid/Offer Curves to ERCOT.  Such Energy Bid/Offer Curves will be bounded in the DAM for each Operating Hour by the LSL and HSL of the ESR specified in the COP, and bounded in SCED by the LSL and HSL of the ESR as shown by telemetry.</w:t>
            </w:r>
          </w:p>
          <w:p w14:paraId="15A93644" w14:textId="77777777" w:rsidR="00A7138D" w:rsidRPr="00A552C3" w:rsidRDefault="00A7138D" w:rsidP="00A7138D">
            <w:pPr>
              <w:tabs>
                <w:tab w:val="left" w:pos="720"/>
              </w:tabs>
              <w:spacing w:after="240"/>
              <w:ind w:left="720" w:hanging="720"/>
            </w:pPr>
            <w:r w:rsidRPr="00A552C3">
              <w:rPr>
                <w:iCs/>
              </w:rPr>
              <w:t>(3)</w:t>
            </w:r>
            <w:r w:rsidRPr="00A552C3">
              <w:rPr>
                <w:iCs/>
              </w:rPr>
              <w:tab/>
              <w:t xml:space="preserve">In the </w:t>
            </w:r>
            <w:r w:rsidRPr="00A552C3">
              <w:t>DAM, ERCOT will not consider COP Resource Status when evaluating Energy Bid/Offer Curves. In the Real-Time Market (RTM), SCED will consider an ESR unavailable for SCED Dispatch when the ESR’s Resource Status is OUT.</w:t>
            </w:r>
          </w:p>
          <w:p w14:paraId="17938720" w14:textId="77777777" w:rsidR="00A7138D" w:rsidRPr="00A552C3" w:rsidRDefault="00A7138D" w:rsidP="00A7138D">
            <w:pPr>
              <w:spacing w:after="240"/>
              <w:ind w:left="720" w:hanging="720"/>
              <w:rPr>
                <w:iCs/>
              </w:rPr>
            </w:pPr>
            <w:r w:rsidRPr="00A552C3">
              <w:rPr>
                <w:iCs/>
              </w:rPr>
              <w:t>(4)</w:t>
            </w:r>
            <w:r w:rsidRPr="00A552C3">
              <w:rPr>
                <w:iCs/>
              </w:rPr>
              <w:tab/>
              <w:t xml:space="preserve">Energy Bid/Offer Curves remain active for the offered period until either:  </w:t>
            </w:r>
          </w:p>
          <w:p w14:paraId="11B3A7DA" w14:textId="77777777" w:rsidR="00A7138D" w:rsidRPr="00A552C3" w:rsidRDefault="00A7138D" w:rsidP="00A7138D">
            <w:pPr>
              <w:spacing w:after="240"/>
              <w:ind w:left="1440" w:hanging="720"/>
              <w:rPr>
                <w:szCs w:val="20"/>
              </w:rPr>
            </w:pPr>
            <w:r w:rsidRPr="00A552C3">
              <w:rPr>
                <w:szCs w:val="20"/>
              </w:rPr>
              <w:t>(a)</w:t>
            </w:r>
            <w:r w:rsidRPr="00A552C3">
              <w:rPr>
                <w:szCs w:val="20"/>
              </w:rPr>
              <w:tab/>
              <w:t xml:space="preserve">Selected by ERCOT; or </w:t>
            </w:r>
          </w:p>
          <w:p w14:paraId="343B05C7" w14:textId="77777777" w:rsidR="00A7138D" w:rsidRPr="00A552C3" w:rsidRDefault="00A7138D" w:rsidP="00A7138D">
            <w:pPr>
              <w:spacing w:after="240"/>
              <w:ind w:left="1440" w:hanging="720"/>
              <w:rPr>
                <w:szCs w:val="20"/>
              </w:rPr>
            </w:pPr>
            <w:r w:rsidRPr="00A552C3">
              <w:rPr>
                <w:szCs w:val="20"/>
              </w:rPr>
              <w:t>(b)</w:t>
            </w:r>
            <w:r w:rsidRPr="00A552C3">
              <w:rPr>
                <w:szCs w:val="20"/>
              </w:rPr>
              <w:tab/>
              <w:t>Automatically inactivated by the software at the offer expiration time selected by the QSE.</w:t>
            </w:r>
          </w:p>
          <w:p w14:paraId="575963E1" w14:textId="77777777" w:rsidR="00A7138D" w:rsidRPr="00A552C3" w:rsidRDefault="00A7138D" w:rsidP="00A7138D">
            <w:pPr>
              <w:spacing w:after="240"/>
              <w:ind w:left="720" w:hanging="720"/>
              <w:rPr>
                <w:iCs/>
              </w:rPr>
            </w:pPr>
            <w:r w:rsidRPr="00A552C3">
              <w:rPr>
                <w:iCs/>
              </w:rPr>
              <w:t>(5)</w:t>
            </w:r>
            <w:r w:rsidRPr="00A552C3">
              <w:rPr>
                <w:iCs/>
              </w:rPr>
              <w:tab/>
              <w:t xml:space="preserve">In the RTM, a QSE may submit or change an Energy Bid/Offer Curve at any time prior to SCED execution, and SCED will use the latest updated Energy Bid/Offer Curve available in the system.  </w:t>
            </w:r>
            <w:r w:rsidRPr="00A552C3">
              <w:rPr>
                <w:iCs/>
                <w:snapToGrid w:val="0"/>
              </w:rPr>
              <w:t xml:space="preserve">If a new Energy Bid/Offer Curve is not deemed to be valid, then the most recent valid Energy Bid/Offer Curve available in the system at the time of SCED execution will be used and ERCOT will notify the QSE that the invalid Energy Bid/Offer Curve was rejected.  </w:t>
            </w:r>
            <w:r w:rsidRPr="00A552C3">
              <w:rPr>
                <w:iCs/>
              </w:rPr>
              <w:t xml:space="preserve">Once an Operating Hour ends, an Energy Bid/Offer Curve for that hour cannot be submitted, updated, or canceled. </w:t>
            </w:r>
          </w:p>
          <w:p w14:paraId="1B599E9C" w14:textId="77777777" w:rsidR="00A7138D" w:rsidRPr="00A552C3" w:rsidRDefault="00A7138D" w:rsidP="00A7138D">
            <w:pPr>
              <w:spacing w:after="240"/>
              <w:ind w:left="720" w:hanging="720"/>
              <w:rPr>
                <w:iCs/>
              </w:rPr>
            </w:pPr>
            <w:r w:rsidRPr="00A552C3">
              <w:rPr>
                <w:iCs/>
              </w:rPr>
              <w:t>(6)</w:t>
            </w:r>
            <w:r w:rsidRPr="00A552C3">
              <w:rPr>
                <w:iCs/>
              </w:rPr>
              <w:tab/>
              <w:t>A QSE may withdraw an Energy Bid/Offer Curve if:</w:t>
            </w:r>
          </w:p>
          <w:p w14:paraId="5826816A" w14:textId="77777777" w:rsidR="00A7138D" w:rsidRPr="00A552C3" w:rsidRDefault="00A7138D" w:rsidP="00A7138D">
            <w:pPr>
              <w:spacing w:after="240"/>
              <w:ind w:left="1440" w:hanging="720"/>
              <w:rPr>
                <w:szCs w:val="20"/>
              </w:rPr>
            </w:pPr>
            <w:r w:rsidRPr="00A552C3">
              <w:rPr>
                <w:szCs w:val="20"/>
              </w:rPr>
              <w:t>(a)</w:t>
            </w:r>
            <w:r w:rsidRPr="00A552C3">
              <w:rPr>
                <w:szCs w:val="20"/>
              </w:rPr>
              <w:tab/>
              <w:t>An Output Schedule is submitted for all intervals for which an Energy Bid/Offer Curve is withdrawn; or</w:t>
            </w:r>
          </w:p>
          <w:p w14:paraId="583FA8EE" w14:textId="77777777" w:rsidR="00A7138D" w:rsidRPr="00A552C3" w:rsidRDefault="00A7138D" w:rsidP="00A7138D">
            <w:pPr>
              <w:spacing w:after="240"/>
              <w:ind w:left="1440" w:hanging="720"/>
              <w:rPr>
                <w:szCs w:val="20"/>
              </w:rPr>
            </w:pPr>
            <w:r w:rsidRPr="00A552C3">
              <w:rPr>
                <w:szCs w:val="20"/>
              </w:rPr>
              <w:lastRenderedPageBreak/>
              <w:t>(b)</w:t>
            </w:r>
            <w:r w:rsidRPr="00A552C3">
              <w:rPr>
                <w:szCs w:val="20"/>
              </w:rPr>
              <w:tab/>
              <w:t>The ESR is forced Off-Line and notifies ERCOT of the Forced Outage by changing the Resource Status appropriately and updating its COP.</w:t>
            </w:r>
          </w:p>
          <w:p w14:paraId="086B2020" w14:textId="7D94EC83" w:rsidR="00A7138D" w:rsidRPr="00A7138D" w:rsidRDefault="00A7138D" w:rsidP="00A7138D">
            <w:pPr>
              <w:spacing w:after="240"/>
              <w:ind w:left="720" w:hanging="720"/>
              <w:rPr>
                <w:iCs/>
              </w:rPr>
            </w:pPr>
            <w:r w:rsidRPr="00A552C3">
              <w:rPr>
                <w:iCs/>
              </w:rPr>
              <w:t>(7)</w:t>
            </w:r>
            <w:r w:rsidRPr="00A552C3">
              <w:rPr>
                <w:iCs/>
              </w:rPr>
              <w:tab/>
              <w:t>At the time of SCED execution, if a valid Energy Bid/Offer Curve or Output Schedule does not exist for an ESR that has a status of On-Line, then ERCOT shall notify the QSE and create a proxy Energy Bid/Offer Curve priced at -$250/MWh for the portion of the curve less than zero MW, and priced at the RTSWCAP for the portion of the curve greater than zero MW.</w:t>
            </w:r>
          </w:p>
        </w:tc>
      </w:tr>
    </w:tbl>
    <w:p w14:paraId="7EE3AB40" w14:textId="77777777" w:rsidR="00A7138D" w:rsidRDefault="00A7138D" w:rsidP="00A7138D">
      <w:pPr>
        <w:pStyle w:val="BodyText"/>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top w:w="144" w:type="dxa"/>
          <w:left w:w="115" w:type="dxa"/>
          <w:right w:w="115" w:type="dxa"/>
        </w:tblCellMar>
        <w:tblLook w:val="01E0" w:firstRow="1" w:lastRow="1" w:firstColumn="1" w:lastColumn="1" w:noHBand="0" w:noVBand="0"/>
      </w:tblPr>
      <w:tblGrid>
        <w:gridCol w:w="9350"/>
      </w:tblGrid>
      <w:tr w:rsidR="00A7138D" w:rsidRPr="004B32CF" w14:paraId="06F8B37E" w14:textId="77777777" w:rsidTr="009540C4">
        <w:trPr>
          <w:trHeight w:val="386"/>
        </w:trPr>
        <w:tc>
          <w:tcPr>
            <w:tcW w:w="9350" w:type="dxa"/>
            <w:shd w:val="pct12" w:color="auto" w:fill="auto"/>
          </w:tcPr>
          <w:p w14:paraId="3E6C10EF" w14:textId="0E0A9E0D" w:rsidR="00A7138D" w:rsidRPr="004B32CF" w:rsidRDefault="00A7138D" w:rsidP="00E30EAB">
            <w:pPr>
              <w:spacing w:before="120" w:after="240"/>
              <w:rPr>
                <w:b/>
                <w:i/>
                <w:iCs/>
              </w:rPr>
            </w:pPr>
            <w:r>
              <w:rPr>
                <w:b/>
                <w:i/>
                <w:iCs/>
              </w:rPr>
              <w:t>[NPRR1014:  Insert Section 4.4.9.7.1 below</w:t>
            </w:r>
            <w:r w:rsidRPr="004B32CF">
              <w:rPr>
                <w:b/>
                <w:i/>
                <w:iCs/>
              </w:rPr>
              <w:t xml:space="preserve"> upon system implementation:]</w:t>
            </w:r>
          </w:p>
          <w:p w14:paraId="2C2184F2" w14:textId="77777777" w:rsidR="00A7138D" w:rsidRPr="00A552C3" w:rsidRDefault="00A7138D" w:rsidP="00A7138D">
            <w:pPr>
              <w:keepNext/>
              <w:tabs>
                <w:tab w:val="left" w:pos="1620"/>
              </w:tabs>
              <w:spacing w:before="240" w:after="240"/>
              <w:ind w:left="1627" w:hanging="1627"/>
              <w:outlineLvl w:val="4"/>
              <w:rPr>
                <w:b/>
                <w:bCs/>
                <w:i/>
                <w:iCs/>
                <w:szCs w:val="26"/>
              </w:rPr>
            </w:pPr>
            <w:bookmarkStart w:id="566" w:name="_Toc135990667"/>
            <w:r w:rsidRPr="00A552C3">
              <w:rPr>
                <w:b/>
                <w:bCs/>
                <w:i/>
                <w:iCs/>
                <w:szCs w:val="26"/>
              </w:rPr>
              <w:t>4.4.9.7.1</w:t>
            </w:r>
            <w:r w:rsidRPr="00A552C3">
              <w:rPr>
                <w:b/>
                <w:bCs/>
                <w:i/>
                <w:iCs/>
                <w:szCs w:val="26"/>
              </w:rPr>
              <w:tab/>
              <w:t>Energy Bid/Offer Curve Criteria</w:t>
            </w:r>
            <w:bookmarkEnd w:id="566"/>
          </w:p>
          <w:p w14:paraId="1CF60D69" w14:textId="77777777" w:rsidR="00A7138D" w:rsidRPr="00A552C3" w:rsidRDefault="00A7138D" w:rsidP="00A7138D">
            <w:pPr>
              <w:spacing w:after="240"/>
              <w:ind w:left="720" w:hanging="720"/>
              <w:rPr>
                <w:iCs/>
              </w:rPr>
            </w:pPr>
            <w:r w:rsidRPr="00A552C3">
              <w:rPr>
                <w:iCs/>
              </w:rPr>
              <w:t>(1)</w:t>
            </w:r>
            <w:r w:rsidRPr="00A552C3">
              <w:rPr>
                <w:iCs/>
              </w:rPr>
              <w:tab/>
              <w:t>Each Energy Bid/Offer Curve must be reported by a QSE representing an ESR and must include the following information:</w:t>
            </w:r>
          </w:p>
          <w:p w14:paraId="266D324A" w14:textId="77777777" w:rsidR="00A7138D" w:rsidRPr="00A552C3" w:rsidRDefault="00A7138D" w:rsidP="00A7138D">
            <w:pPr>
              <w:spacing w:after="240"/>
              <w:ind w:left="1440" w:hanging="720"/>
              <w:rPr>
                <w:szCs w:val="20"/>
              </w:rPr>
            </w:pPr>
            <w:r w:rsidRPr="00A552C3">
              <w:rPr>
                <w:szCs w:val="20"/>
              </w:rPr>
              <w:t>(a)</w:t>
            </w:r>
            <w:r w:rsidRPr="00A552C3">
              <w:rPr>
                <w:szCs w:val="20"/>
              </w:rPr>
              <w:tab/>
              <w:t>The selling QSE;</w:t>
            </w:r>
          </w:p>
          <w:p w14:paraId="462EFCC0" w14:textId="77777777" w:rsidR="00A7138D" w:rsidRPr="00A552C3" w:rsidRDefault="00A7138D" w:rsidP="00A7138D">
            <w:pPr>
              <w:spacing w:after="240"/>
              <w:ind w:left="1440" w:hanging="720"/>
              <w:rPr>
                <w:szCs w:val="20"/>
              </w:rPr>
            </w:pPr>
            <w:r w:rsidRPr="00A552C3">
              <w:rPr>
                <w:szCs w:val="20"/>
              </w:rPr>
              <w:t>(b)</w:t>
            </w:r>
            <w:r w:rsidRPr="00A552C3">
              <w:rPr>
                <w:szCs w:val="20"/>
              </w:rPr>
              <w:tab/>
              <w:t>The ESR represented by the QSE from which the bid and offer would be provided;</w:t>
            </w:r>
          </w:p>
          <w:p w14:paraId="13A3309D" w14:textId="77777777" w:rsidR="00A7138D" w:rsidRPr="00A552C3" w:rsidRDefault="00A7138D" w:rsidP="00A7138D">
            <w:pPr>
              <w:spacing w:after="240"/>
              <w:ind w:left="1440" w:hanging="720"/>
              <w:rPr>
                <w:szCs w:val="20"/>
              </w:rPr>
            </w:pPr>
            <w:r w:rsidRPr="00A552C3">
              <w:rPr>
                <w:szCs w:val="20"/>
              </w:rPr>
              <w:t>(c)</w:t>
            </w:r>
            <w:r w:rsidRPr="00A552C3">
              <w:rPr>
                <w:szCs w:val="20"/>
              </w:rPr>
              <w:tab/>
              <w:t>A monotonically non-decreasing curve for both price (in $/MWh) and quantity (in MW) with no more than ten price/quantity pairs.  Negative MW values cover the charging MW range, and the positive MW values cover the discharging MW range.  The price points corresponding to the charging MW range represent the not-to-exceed bid prices to consume energy, and the price points corresponding to the discharging MW range represent the offer prices to sell energy;</w:t>
            </w:r>
          </w:p>
          <w:p w14:paraId="768CA8DC" w14:textId="77777777" w:rsidR="00A7138D" w:rsidRPr="00A552C3" w:rsidRDefault="00A7138D" w:rsidP="00A7138D">
            <w:pPr>
              <w:spacing w:after="240"/>
              <w:ind w:left="1440" w:hanging="720"/>
              <w:rPr>
                <w:szCs w:val="20"/>
              </w:rPr>
            </w:pPr>
            <w:r w:rsidRPr="00A552C3">
              <w:rPr>
                <w:szCs w:val="20"/>
              </w:rPr>
              <w:t>(d)</w:t>
            </w:r>
            <w:r w:rsidRPr="00A552C3">
              <w:rPr>
                <w:szCs w:val="20"/>
              </w:rPr>
              <w:tab/>
              <w:t xml:space="preserve">The first and last hour of the </w:t>
            </w:r>
            <w:r>
              <w:rPr>
                <w:szCs w:val="20"/>
              </w:rPr>
              <w:t>o</w:t>
            </w:r>
            <w:r w:rsidRPr="00A552C3">
              <w:rPr>
                <w:szCs w:val="20"/>
              </w:rPr>
              <w:t xml:space="preserve">ffer; </w:t>
            </w:r>
          </w:p>
          <w:p w14:paraId="0D36F81C" w14:textId="77777777" w:rsidR="00A7138D" w:rsidRPr="00A552C3" w:rsidRDefault="00A7138D" w:rsidP="00A7138D">
            <w:pPr>
              <w:spacing w:after="240"/>
              <w:ind w:left="1440" w:hanging="720"/>
              <w:rPr>
                <w:szCs w:val="20"/>
              </w:rPr>
            </w:pPr>
            <w:r w:rsidRPr="00A552C3">
              <w:rPr>
                <w:szCs w:val="20"/>
              </w:rPr>
              <w:t>(e)</w:t>
            </w:r>
            <w:r w:rsidRPr="00A552C3">
              <w:rPr>
                <w:szCs w:val="20"/>
              </w:rPr>
              <w:tab/>
              <w:t xml:space="preserve">The expiration time and date of the offer; </w:t>
            </w:r>
          </w:p>
          <w:p w14:paraId="10D90B23" w14:textId="77777777" w:rsidR="00A7138D" w:rsidRPr="00A552C3" w:rsidRDefault="00A7138D" w:rsidP="00A7138D">
            <w:pPr>
              <w:spacing w:after="240"/>
              <w:ind w:left="720" w:hanging="720"/>
              <w:rPr>
                <w:iCs/>
              </w:rPr>
            </w:pPr>
            <w:r w:rsidRPr="00A552C3">
              <w:rPr>
                <w:iCs/>
              </w:rPr>
              <w:t>(2)</w:t>
            </w:r>
            <w:r w:rsidRPr="00A552C3">
              <w:rPr>
                <w:iCs/>
              </w:rPr>
              <w:tab/>
              <w:t>An Energy Bid/Offer Curve shall be bounded by -$250.00 per MWh and either the DASWCAP or RTSWCAP depending on the timing of the submission in dollars per MWh.  The ERCOT systems must allow ERCOT to enter ESR-specific Energy Bid/Offer Curve floors and caps.</w:t>
            </w:r>
          </w:p>
          <w:p w14:paraId="454BC606" w14:textId="49D3B687" w:rsidR="00A7138D" w:rsidRPr="00A7138D" w:rsidRDefault="00A7138D" w:rsidP="00A7138D">
            <w:pPr>
              <w:spacing w:after="240"/>
              <w:ind w:left="720" w:hanging="720"/>
              <w:rPr>
                <w:iCs/>
              </w:rPr>
            </w:pPr>
            <w:r w:rsidRPr="00A552C3">
              <w:rPr>
                <w:iCs/>
              </w:rPr>
              <w:t>(3)</w:t>
            </w:r>
            <w:r w:rsidRPr="00A552C3">
              <w:rPr>
                <w:iCs/>
              </w:rPr>
              <w:tab/>
              <w:t>In Day-Ahead Market (DAM) and Real-Time Market (RTM), an Energy Bid/Offer Curve shall be considered to be inclusive of Ancillary Service Offers.</w:t>
            </w:r>
          </w:p>
        </w:tc>
      </w:tr>
    </w:tbl>
    <w:p w14:paraId="4C71D3D5" w14:textId="77777777" w:rsidR="00A7138D" w:rsidRDefault="00A713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top w:w="144" w:type="dxa"/>
          <w:left w:w="115" w:type="dxa"/>
          <w:right w:w="115" w:type="dxa"/>
        </w:tblCellMar>
        <w:tblLook w:val="01E0" w:firstRow="1" w:lastRow="1" w:firstColumn="1" w:lastColumn="1" w:noHBand="0" w:noVBand="0"/>
      </w:tblPr>
      <w:tblGrid>
        <w:gridCol w:w="9350"/>
      </w:tblGrid>
      <w:tr w:rsidR="00A7138D" w:rsidRPr="004B32CF" w14:paraId="38D7DE24" w14:textId="77777777" w:rsidTr="00A7138D">
        <w:trPr>
          <w:trHeight w:val="386"/>
        </w:trPr>
        <w:tc>
          <w:tcPr>
            <w:tcW w:w="9350" w:type="dxa"/>
            <w:tcBorders>
              <w:top w:val="single" w:sz="4" w:space="0" w:color="auto"/>
              <w:left w:val="single" w:sz="4" w:space="0" w:color="auto"/>
              <w:bottom w:val="single" w:sz="4" w:space="0" w:color="auto"/>
              <w:right w:val="single" w:sz="4" w:space="0" w:color="auto"/>
            </w:tcBorders>
            <w:shd w:val="pct12" w:color="auto" w:fill="auto"/>
          </w:tcPr>
          <w:p w14:paraId="006D2B81" w14:textId="2F801F54" w:rsidR="00A7138D" w:rsidRPr="004B32CF" w:rsidRDefault="00A7138D" w:rsidP="00E30EAB">
            <w:pPr>
              <w:spacing w:before="120" w:after="240"/>
              <w:rPr>
                <w:b/>
                <w:i/>
                <w:iCs/>
              </w:rPr>
            </w:pPr>
            <w:r>
              <w:rPr>
                <w:b/>
                <w:i/>
                <w:iCs/>
              </w:rPr>
              <w:t>[NPRR1014:  Insert Section 4.4.9.7.2 below</w:t>
            </w:r>
            <w:r w:rsidRPr="004B32CF">
              <w:rPr>
                <w:b/>
                <w:i/>
                <w:iCs/>
              </w:rPr>
              <w:t xml:space="preserve"> upon system implementation:]</w:t>
            </w:r>
          </w:p>
          <w:p w14:paraId="0D932B2E" w14:textId="77777777" w:rsidR="00A7138D" w:rsidRPr="00A552C3" w:rsidRDefault="00A7138D" w:rsidP="00A7138D">
            <w:pPr>
              <w:keepNext/>
              <w:tabs>
                <w:tab w:val="left" w:pos="1620"/>
              </w:tabs>
              <w:spacing w:before="240" w:after="240"/>
              <w:ind w:left="1627" w:hanging="1627"/>
              <w:outlineLvl w:val="4"/>
              <w:rPr>
                <w:b/>
                <w:bCs/>
                <w:i/>
                <w:iCs/>
                <w:szCs w:val="26"/>
              </w:rPr>
            </w:pPr>
            <w:bookmarkStart w:id="567" w:name="_Toc135990668"/>
            <w:r w:rsidRPr="00A552C3">
              <w:rPr>
                <w:b/>
                <w:bCs/>
                <w:i/>
                <w:iCs/>
                <w:szCs w:val="26"/>
              </w:rPr>
              <w:lastRenderedPageBreak/>
              <w:t>4.4.9.7.2</w:t>
            </w:r>
            <w:r w:rsidRPr="00A552C3">
              <w:rPr>
                <w:b/>
                <w:bCs/>
                <w:i/>
                <w:iCs/>
                <w:szCs w:val="26"/>
              </w:rPr>
              <w:tab/>
              <w:t>Energy Bid/Offer Curve Validation</w:t>
            </w:r>
            <w:bookmarkEnd w:id="567"/>
          </w:p>
          <w:p w14:paraId="61EC3E74" w14:textId="77777777" w:rsidR="00A7138D" w:rsidRPr="00A552C3" w:rsidRDefault="00A7138D" w:rsidP="00A7138D">
            <w:pPr>
              <w:spacing w:after="240"/>
              <w:ind w:left="720" w:hanging="720"/>
              <w:rPr>
                <w:iCs/>
              </w:rPr>
            </w:pPr>
            <w:r w:rsidRPr="00A552C3">
              <w:rPr>
                <w:iCs/>
              </w:rPr>
              <w:t>(1)</w:t>
            </w:r>
            <w:r w:rsidRPr="00A552C3">
              <w:rPr>
                <w:iCs/>
              </w:rPr>
              <w:tab/>
              <w:t>A valid Energy Bid/Offer Curve is a curve that ERCOT has determined meets the criteria listed in Section 4.4.9.7.1, Energy Bid/Offer Curve Criteria.</w:t>
            </w:r>
          </w:p>
          <w:p w14:paraId="3F24D191" w14:textId="77777777" w:rsidR="00A7138D" w:rsidRPr="00A552C3" w:rsidRDefault="00A7138D" w:rsidP="00A7138D">
            <w:pPr>
              <w:spacing w:after="240"/>
              <w:ind w:left="720" w:hanging="720"/>
              <w:rPr>
                <w:iCs/>
              </w:rPr>
            </w:pPr>
            <w:r w:rsidRPr="00A552C3">
              <w:rPr>
                <w:iCs/>
              </w:rPr>
              <w:t>(2)</w:t>
            </w:r>
            <w:r w:rsidRPr="00A552C3">
              <w:rPr>
                <w:iCs/>
              </w:rPr>
              <w:tab/>
              <w:t>ERCOT shall notify the QSE submitting an Energy Bid/Offer Curve by the Messaging System if the offer was rejected or was considered invalid for any reason.  The QSE may then resubmit the Energy Bid/Offer Curve within the appropriate market timeline.</w:t>
            </w:r>
          </w:p>
          <w:p w14:paraId="2C2F979B" w14:textId="47623335" w:rsidR="00A7138D" w:rsidRPr="00A7138D" w:rsidRDefault="00A7138D" w:rsidP="00A7138D">
            <w:pPr>
              <w:spacing w:after="240"/>
              <w:ind w:left="720" w:hanging="720"/>
            </w:pPr>
            <w:r w:rsidRPr="00A552C3">
              <w:t>(3)</w:t>
            </w:r>
            <w:r w:rsidRPr="00A552C3">
              <w:tab/>
              <w:t>ERCOT shall continuously validate Energy Bid/Offer Curves and continuously display on the MIS Certified Area information that allows any QSE to view its valid Energy Bid/Offer Curves.</w:t>
            </w:r>
          </w:p>
        </w:tc>
      </w:tr>
    </w:tbl>
    <w:p w14:paraId="7150401E" w14:textId="77777777" w:rsidR="00117078" w:rsidRDefault="00117078" w:rsidP="00117078">
      <w:pPr>
        <w:pStyle w:val="H3"/>
        <w:spacing w:before="480"/>
      </w:pPr>
      <w:bookmarkStart w:id="568" w:name="_Toc135990669"/>
      <w:r>
        <w:lastRenderedPageBreak/>
        <w:t>4.4.10</w:t>
      </w:r>
      <w:r>
        <w:tab/>
        <w:t>Credit Requirement for DAM Bids and Offers</w:t>
      </w:r>
      <w:bookmarkEnd w:id="557"/>
      <w:bookmarkEnd w:id="558"/>
      <w:bookmarkEnd w:id="559"/>
      <w:bookmarkEnd w:id="560"/>
      <w:bookmarkEnd w:id="568"/>
    </w:p>
    <w:p w14:paraId="2EB8B297" w14:textId="77777777" w:rsidR="00117078" w:rsidRDefault="00117078" w:rsidP="00117078">
      <w:pPr>
        <w:pStyle w:val="BodyText"/>
        <w:tabs>
          <w:tab w:val="left" w:pos="720"/>
        </w:tabs>
        <w:ind w:left="720" w:hanging="720"/>
      </w:pPr>
      <w:r>
        <w:t>(1)</w:t>
      </w:r>
      <w:r>
        <w:tab/>
        <w:t xml:space="preserve">Each QSE’s ability to bid and offer in the DAM is subject to credit exposure from the QSE’s bids and offers being within the credit limit for DAM participation established for the entire Counter-Party of which the QSE is part, as specified in item (1) of Section 16.11.4.6.2, Credit Requirements for DAM Participation, and taking into account the credit exposure of accepted DAM bid and offers of the Counter-Party’s other QSEs. </w:t>
      </w:r>
    </w:p>
    <w:p w14:paraId="7EA80FB6" w14:textId="77777777" w:rsidR="00117078" w:rsidRDefault="00117078" w:rsidP="00117078">
      <w:pPr>
        <w:pStyle w:val="BodyText"/>
        <w:tabs>
          <w:tab w:val="left" w:pos="720"/>
        </w:tabs>
        <w:ind w:left="720" w:hanging="720"/>
      </w:pPr>
      <w:r>
        <w:t>(2)</w:t>
      </w:r>
      <w:r>
        <w:tab/>
        <w:t xml:space="preserve">DAM bids and offers of all QSEs of the Counter-Party are accepted in the order submitted while ensuring that the credit exposure from accepted bids and offers do not exceed the Counter-Party’s credit limit for DAM participation. </w:t>
      </w:r>
    </w:p>
    <w:p w14:paraId="106FB68D" w14:textId="77777777" w:rsidR="00117078" w:rsidRDefault="00117078" w:rsidP="00117078">
      <w:pPr>
        <w:spacing w:after="240"/>
        <w:ind w:left="720" w:hanging="720"/>
      </w:pPr>
      <w:r>
        <w:t>(3)</w:t>
      </w:r>
      <w:r>
        <w:tab/>
        <w:t xml:space="preserve">ERCOT shall reject the QSE’s individual bids and offers whose credit exposure, as calculated in item (6) below, exceeds the Counter-Party’s credit limit for DAM participation as described in items (1) and (2) above, and shall notify the QSE through the MIS Certified Area as soon as practicable. </w:t>
      </w:r>
    </w:p>
    <w:p w14:paraId="28BAF566" w14:textId="77777777" w:rsidR="00117078" w:rsidRDefault="00117078" w:rsidP="00117078">
      <w:pPr>
        <w:spacing w:after="240"/>
        <w:ind w:left="720" w:hanging="720"/>
      </w:pPr>
      <w:r>
        <w:t xml:space="preserve">(4) </w:t>
      </w:r>
      <w:r>
        <w:tab/>
        <w:t xml:space="preserve">The QSE may revise and resubmit such rejected bids and offers described in item (3) above, provided that the resubmitted bids and offers are valid and within the Counter-Party’s credit limit for DAM participation adjusted for all accepted DAM bids and offers of the Counter-Party’s QSE’s limit and that such resubmission occurs prior to 1000 of the Operating Day. </w:t>
      </w:r>
    </w:p>
    <w:p w14:paraId="27650A0C" w14:textId="77777777" w:rsidR="00117078" w:rsidRDefault="00117078" w:rsidP="00117078">
      <w:pPr>
        <w:autoSpaceDE w:val="0"/>
        <w:autoSpaceDN w:val="0"/>
        <w:adjustRightInd w:val="0"/>
        <w:spacing w:after="240"/>
        <w:ind w:left="720" w:hanging="720"/>
        <w:rPr>
          <w:color w:val="000000"/>
        </w:rPr>
      </w:pPr>
      <w:r>
        <w:rPr>
          <w:color w:val="000000"/>
        </w:rPr>
        <w:t>(5)</w:t>
      </w:r>
      <w:r>
        <w:rPr>
          <w:color w:val="000000"/>
        </w:rPr>
        <w:tab/>
        <w:t>The DAM shall use the Counter-Party’s credit limit for DAM participation provided and adjusted for accepted bids and offers for DAM transactions cleared, until a new credit limit for DAM participation is available.</w:t>
      </w:r>
    </w:p>
    <w:p w14:paraId="6A3F267A" w14:textId="77777777" w:rsidR="00117078" w:rsidRDefault="00117078" w:rsidP="00117078">
      <w:pPr>
        <w:pStyle w:val="BodyText"/>
        <w:tabs>
          <w:tab w:val="left" w:pos="720"/>
        </w:tabs>
        <w:ind w:left="720" w:hanging="720"/>
      </w:pPr>
      <w:r>
        <w:t>(6)</w:t>
      </w:r>
      <w:r>
        <w:tab/>
        <w:t xml:space="preserve">ERCOT shall calculate credit exposure for bids and offers in the DAM as follows: </w:t>
      </w:r>
    </w:p>
    <w:p w14:paraId="13B41866" w14:textId="77777777" w:rsidR="00117078" w:rsidRDefault="00117078" w:rsidP="00117078">
      <w:pPr>
        <w:pStyle w:val="List"/>
        <w:ind w:left="1440"/>
      </w:pPr>
      <w:r>
        <w:t>(a)</w:t>
      </w:r>
      <w:r>
        <w:tab/>
        <w:t xml:space="preserve">For a DAM Energy Bid, the credit exposure shall be calculated as the quantity of the bid multiplied by a bid exposure price that is calculated as follows:  </w:t>
      </w:r>
    </w:p>
    <w:p w14:paraId="7F18C11D" w14:textId="77777777" w:rsidR="00117078" w:rsidRDefault="00117078" w:rsidP="00117078">
      <w:pPr>
        <w:pStyle w:val="BodyText"/>
        <w:ind w:left="2160" w:hanging="720"/>
      </w:pPr>
      <w:r>
        <w:lastRenderedPageBreak/>
        <w:t>(i)</w:t>
      </w:r>
      <w:r>
        <w:tab/>
        <w:t>If the price of the DAM Energy Bid is less than or equal to zero, the bid exposure price for that quantity will equal zero.</w:t>
      </w:r>
    </w:p>
    <w:p w14:paraId="73B58159" w14:textId="77777777" w:rsidR="00117078" w:rsidRDefault="00117078" w:rsidP="00117078">
      <w:pPr>
        <w:pStyle w:val="BodyText"/>
        <w:ind w:left="2160" w:hanging="720"/>
      </w:pPr>
      <w:r>
        <w:t>(ii)</w:t>
      </w:r>
      <w:r>
        <w:tab/>
        <w:t>If the price of the DAM Energy Bid is greater than zero, the bid exposure price for that quantity will equal the greater of zero or the sum of (A) and (B):</w:t>
      </w:r>
    </w:p>
    <w:p w14:paraId="15303170" w14:textId="77777777" w:rsidR="00117078" w:rsidRDefault="00117078" w:rsidP="00117078">
      <w:pPr>
        <w:pStyle w:val="List"/>
        <w:ind w:left="2880"/>
      </w:pPr>
      <w:r>
        <w:t>(A)</w:t>
      </w:r>
      <w:r>
        <w:tab/>
        <w:t>The lesser of:</w:t>
      </w:r>
    </w:p>
    <w:p w14:paraId="74E56422" w14:textId="77777777" w:rsidR="00117078" w:rsidRDefault="00117078" w:rsidP="00117078">
      <w:pPr>
        <w:pStyle w:val="List"/>
        <w:ind w:left="3600"/>
      </w:pPr>
      <w:r>
        <w:t>(1)</w:t>
      </w:r>
      <w:r>
        <w:tab/>
        <w:t xml:space="preserve">The </w:t>
      </w:r>
      <w:r w:rsidRPr="00CA2AF7">
        <w:rPr>
          <w:i/>
        </w:rPr>
        <w:t>d</w:t>
      </w:r>
      <w:r w:rsidRPr="00F62177">
        <w:rPr>
          <w:vertAlign w:val="superscript"/>
        </w:rPr>
        <w:t>th</w:t>
      </w:r>
      <w:r>
        <w:t xml:space="preserve"> percentile of the Day-Ahead Settlement Point Price (DASPP) for the hour over the previous 30 days; and </w:t>
      </w:r>
    </w:p>
    <w:p w14:paraId="1F3F7360" w14:textId="77777777" w:rsidR="00117078" w:rsidRDefault="00117078" w:rsidP="00117078">
      <w:pPr>
        <w:pStyle w:val="List"/>
        <w:ind w:left="3600"/>
      </w:pPr>
      <w:r>
        <w:t>(2)</w:t>
      </w:r>
      <w:r>
        <w:tab/>
        <w:t>The bid price.</w:t>
      </w:r>
    </w:p>
    <w:p w14:paraId="6039E9A3" w14:textId="77777777" w:rsidR="00117078" w:rsidRDefault="00117078" w:rsidP="00117078">
      <w:pPr>
        <w:pStyle w:val="List"/>
        <w:ind w:left="2880"/>
      </w:pPr>
      <w:r>
        <w:t>(B)</w:t>
      </w:r>
      <w:r>
        <w:tab/>
        <w:t xml:space="preserve">The value </w:t>
      </w:r>
      <w:r w:rsidRPr="00CA2AF7">
        <w:rPr>
          <w:i/>
        </w:rPr>
        <w:t>e1</w:t>
      </w:r>
      <w:r>
        <w:t xml:space="preserve"> multiplied by (bid price minus (A)) when the bid price is greater than (A).</w:t>
      </w:r>
    </w:p>
    <w:p w14:paraId="28C50229" w14:textId="77777777" w:rsidR="00117078" w:rsidRDefault="00117078" w:rsidP="00117078">
      <w:pPr>
        <w:pStyle w:val="List"/>
        <w:ind w:left="3600"/>
      </w:pPr>
      <w:r>
        <w:t>(1)</w:t>
      </w:r>
      <w:r>
        <w:tab/>
        <w:t xml:space="preserve">The value </w:t>
      </w:r>
      <w:r w:rsidRPr="00733BF0">
        <w:rPr>
          <w:i/>
        </w:rPr>
        <w:t>e1</w:t>
      </w:r>
      <w:r>
        <w:t xml:space="preserve"> is computed as the </w:t>
      </w:r>
      <w:r w:rsidRPr="00733BF0">
        <w:rPr>
          <w:i/>
        </w:rPr>
        <w:t>ep1</w:t>
      </w:r>
      <w:r w:rsidRPr="00733BF0">
        <w:rPr>
          <w:vertAlign w:val="superscript"/>
        </w:rPr>
        <w:t>th</w:t>
      </w:r>
      <w:r>
        <w:t xml:space="preserve"> percentile of Ratio1 for the  30 days prior to the Operating Day, where Ratio1 is calculated daily as follows:</w:t>
      </w:r>
    </w:p>
    <w:p w14:paraId="28F0A09C" w14:textId="77777777" w:rsidR="00117078" w:rsidRDefault="00117078" w:rsidP="00117078">
      <w:pPr>
        <w:ind w:left="3600"/>
      </w:pPr>
      <w:r>
        <w:t>Ratio1 = Min[1, Max[0, (∑</w:t>
      </w:r>
      <w:r w:rsidRPr="00E76B26">
        <w:rPr>
          <w:vertAlign w:val="subscript"/>
        </w:rPr>
        <w:t>h=1,24</w:t>
      </w:r>
      <w:r>
        <w:t xml:space="preserve"> (Q</w:t>
      </w:r>
      <w:r>
        <w:rPr>
          <w:vertAlign w:val="subscript"/>
        </w:rPr>
        <w:t>cleared Bids</w:t>
      </w:r>
      <w:r>
        <w:t>*P</w:t>
      </w:r>
      <w:r w:rsidRPr="004D7216">
        <w:rPr>
          <w:vertAlign w:val="subscript"/>
        </w:rPr>
        <w:t>DAM</w:t>
      </w:r>
      <w:r>
        <w:t xml:space="preserve"> - Q</w:t>
      </w:r>
      <w:r>
        <w:rPr>
          <w:vertAlign w:val="subscript"/>
        </w:rPr>
        <w:t>cleared Offers</w:t>
      </w:r>
      <w:r>
        <w:t>*P</w:t>
      </w:r>
      <w:r w:rsidRPr="004D7216">
        <w:rPr>
          <w:vertAlign w:val="subscript"/>
        </w:rPr>
        <w:t>DAM</w:t>
      </w:r>
      <w:r>
        <w:t>))/ (∑</w:t>
      </w:r>
      <w:r w:rsidRPr="00E76B26">
        <w:rPr>
          <w:vertAlign w:val="subscript"/>
        </w:rPr>
        <w:t xml:space="preserve"> h=1,24</w:t>
      </w:r>
      <w:r>
        <w:rPr>
          <w:vertAlign w:val="subscript"/>
        </w:rPr>
        <w:t xml:space="preserve"> </w:t>
      </w:r>
      <w:r>
        <w:t>Q</w:t>
      </w:r>
      <w:r>
        <w:rPr>
          <w:vertAlign w:val="subscript"/>
        </w:rPr>
        <w:t>cleared Bids</w:t>
      </w:r>
      <w:r>
        <w:t>*P</w:t>
      </w:r>
      <w:r w:rsidRPr="004D7216">
        <w:rPr>
          <w:vertAlign w:val="subscript"/>
        </w:rPr>
        <w:t>DAM</w:t>
      </w:r>
      <w:r>
        <w:t xml:space="preserve">)]] </w:t>
      </w:r>
    </w:p>
    <w:p w14:paraId="324E3F9D" w14:textId="77777777" w:rsidR="00117078" w:rsidRDefault="00117078" w:rsidP="00117078">
      <w:pPr>
        <w:ind w:left="2880" w:firstLine="720"/>
      </w:pPr>
    </w:p>
    <w:p w14:paraId="7EEB33B0" w14:textId="77777777" w:rsidR="00117078" w:rsidRDefault="00117078" w:rsidP="00117078">
      <w:pPr>
        <w:ind w:left="2880" w:firstLine="720"/>
      </w:pPr>
      <w:r>
        <w:t>except Ratio1 = 1 when ∑</w:t>
      </w:r>
      <w:r w:rsidRPr="00E76B26">
        <w:rPr>
          <w:vertAlign w:val="subscript"/>
        </w:rPr>
        <w:t xml:space="preserve"> h=1,24</w:t>
      </w:r>
      <w:r>
        <w:rPr>
          <w:vertAlign w:val="subscript"/>
        </w:rPr>
        <w:t xml:space="preserve"> </w:t>
      </w:r>
      <w:r>
        <w:t>Q</w:t>
      </w:r>
      <w:r>
        <w:rPr>
          <w:vertAlign w:val="subscript"/>
        </w:rPr>
        <w:t>cleared Bids</w:t>
      </w:r>
      <w:r>
        <w:t>*P</w:t>
      </w:r>
      <w:r w:rsidRPr="004D7216">
        <w:rPr>
          <w:vertAlign w:val="subscript"/>
        </w:rPr>
        <w:t>DAM</w:t>
      </w:r>
      <w:r>
        <w:rPr>
          <w:vertAlign w:val="subscript"/>
        </w:rPr>
        <w:t xml:space="preserve"> </w:t>
      </w:r>
      <w:r>
        <w:t>= 0</w:t>
      </w:r>
    </w:p>
    <w:p w14:paraId="202AD5FC" w14:textId="77777777" w:rsidR="00117078" w:rsidRDefault="00117078" w:rsidP="00117078">
      <w:pPr>
        <w:ind w:left="2160"/>
      </w:pPr>
    </w:p>
    <w:p w14:paraId="265FDF84" w14:textId="77777777" w:rsidR="00117078" w:rsidRDefault="00117078" w:rsidP="00117078">
      <w:pPr>
        <w:spacing w:after="240"/>
        <w:ind w:left="3600" w:hanging="720"/>
      </w:pPr>
      <w:r>
        <w:t>(2)</w:t>
      </w:r>
      <w:r>
        <w:tab/>
        <w:t xml:space="preserve">ERCOT may adjust </w:t>
      </w:r>
      <w:r w:rsidRPr="00733BF0">
        <w:rPr>
          <w:i/>
        </w:rPr>
        <w:t>e</w:t>
      </w:r>
      <w:r>
        <w:rPr>
          <w:i/>
        </w:rPr>
        <w:t>1</w:t>
      </w:r>
      <w:r>
        <w:t xml:space="preserve"> by changing the quantity of bids or offers to the values reported by the Counter-Party in paragraph (8) below or based on information available to ERCOT.</w:t>
      </w:r>
    </w:p>
    <w:p w14:paraId="470EA2EB" w14:textId="77777777" w:rsidR="00117078" w:rsidRDefault="00117078" w:rsidP="00117078">
      <w:pPr>
        <w:pStyle w:val="List"/>
        <w:ind w:left="2160"/>
      </w:pPr>
      <w:r>
        <w:t>(iii)</w:t>
      </w:r>
      <w:r>
        <w:tab/>
        <w:t xml:space="preserve">For DAM Energy Bids of curve quantity type, the credit exposure shall be the credit exposure, as calculated above, at the price and MW quantity of the bid curve that produces the maximum credit exposure for the DAM Energy </w:t>
      </w:r>
      <w:r w:rsidRPr="006F7DE8">
        <w:t>Bid.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E12BB" w:rsidRPr="004B32CF" w14:paraId="71FCD154" w14:textId="77777777" w:rsidTr="009540C4">
        <w:trPr>
          <w:trHeight w:val="386"/>
        </w:trPr>
        <w:tc>
          <w:tcPr>
            <w:tcW w:w="9350" w:type="dxa"/>
            <w:shd w:val="pct12" w:color="auto" w:fill="auto"/>
          </w:tcPr>
          <w:p w14:paraId="2FDBC5A9" w14:textId="09A46E7D" w:rsidR="005E12BB" w:rsidRPr="004B32CF" w:rsidRDefault="005E12BB" w:rsidP="009540C4">
            <w:pPr>
              <w:spacing w:before="120" w:after="240"/>
              <w:rPr>
                <w:b/>
                <w:i/>
                <w:iCs/>
              </w:rPr>
            </w:pPr>
            <w:r>
              <w:rPr>
                <w:b/>
                <w:i/>
                <w:iCs/>
              </w:rPr>
              <w:t>[NPRR1014</w:t>
            </w:r>
            <w:r w:rsidRPr="004B32CF">
              <w:rPr>
                <w:b/>
                <w:i/>
                <w:iCs/>
              </w:rPr>
              <w:t xml:space="preserve">:  </w:t>
            </w:r>
            <w:r>
              <w:rPr>
                <w:b/>
                <w:i/>
                <w:iCs/>
              </w:rPr>
              <w:t>Replace paragraph (a) above with the following</w:t>
            </w:r>
            <w:r w:rsidRPr="004B32CF">
              <w:rPr>
                <w:b/>
                <w:i/>
                <w:iCs/>
              </w:rPr>
              <w:t xml:space="preserve"> upon system implementation:]</w:t>
            </w:r>
          </w:p>
          <w:p w14:paraId="3CB9C238" w14:textId="77777777" w:rsidR="005E12BB" w:rsidRPr="00A552C3" w:rsidRDefault="005E12BB" w:rsidP="005E12BB">
            <w:pPr>
              <w:pStyle w:val="List"/>
              <w:ind w:left="1440"/>
            </w:pPr>
            <w:r w:rsidRPr="00A552C3">
              <w:t>(a)</w:t>
            </w:r>
            <w:r w:rsidRPr="00A552C3">
              <w:tab/>
              <w:t xml:space="preserve">For a DAM Energy Bid or for each MW portion of the bid portion of an Energy Bid/Offer Curve, the credit exposure shall be calculated as the quantity of the bid multiplied by a bid exposure price that is calculated as follows:  </w:t>
            </w:r>
          </w:p>
          <w:p w14:paraId="3D5CAD78" w14:textId="77777777" w:rsidR="005E12BB" w:rsidRPr="00A552C3" w:rsidRDefault="005E12BB" w:rsidP="005E12BB">
            <w:pPr>
              <w:pStyle w:val="BodyText"/>
              <w:ind w:left="2160" w:hanging="720"/>
            </w:pPr>
            <w:r w:rsidRPr="00A552C3">
              <w:t>(i)</w:t>
            </w:r>
            <w:r w:rsidRPr="00A552C3">
              <w:tab/>
              <w:t>If the price of the DAM Energy Bid or the price on the bid portion of an Energy Bid/Offer Curve is less than or equal to zero, the bid exposure price for that quantity will equal zero.</w:t>
            </w:r>
          </w:p>
          <w:p w14:paraId="2777A73E" w14:textId="77777777" w:rsidR="005E12BB" w:rsidRPr="00A552C3" w:rsidRDefault="005E12BB" w:rsidP="005E12BB">
            <w:pPr>
              <w:pStyle w:val="BodyText"/>
              <w:ind w:left="2160" w:hanging="720"/>
            </w:pPr>
            <w:r w:rsidRPr="00A552C3">
              <w:lastRenderedPageBreak/>
              <w:t>(ii)</w:t>
            </w:r>
            <w:r w:rsidRPr="00A552C3">
              <w:tab/>
              <w:t>If the price of the DAM Energy Bid or the price on the bid portion of an Energy Bid/Offer Curve is greater than zero, the bid exposure price for that quantity will equal the greater of zero or the sum of (A) and (B):</w:t>
            </w:r>
          </w:p>
          <w:p w14:paraId="3457B66A" w14:textId="77777777" w:rsidR="005E12BB" w:rsidRPr="00A552C3" w:rsidRDefault="005E12BB" w:rsidP="005E12BB">
            <w:pPr>
              <w:pStyle w:val="List"/>
              <w:ind w:left="2880"/>
            </w:pPr>
            <w:r w:rsidRPr="00A552C3">
              <w:t>(A)</w:t>
            </w:r>
            <w:r w:rsidRPr="00A552C3">
              <w:tab/>
              <w:t>The lesser of:</w:t>
            </w:r>
          </w:p>
          <w:p w14:paraId="23FDBF86" w14:textId="77777777" w:rsidR="005E12BB" w:rsidRPr="00A552C3" w:rsidRDefault="005E12BB" w:rsidP="005E12BB">
            <w:pPr>
              <w:pStyle w:val="List"/>
              <w:ind w:left="3600"/>
            </w:pPr>
            <w:r w:rsidRPr="00A552C3">
              <w:t>(1)</w:t>
            </w:r>
            <w:r w:rsidRPr="00A552C3">
              <w:tab/>
              <w:t xml:space="preserve">The </w:t>
            </w:r>
            <w:r w:rsidRPr="00A552C3">
              <w:rPr>
                <w:i/>
              </w:rPr>
              <w:t>d</w:t>
            </w:r>
            <w:r w:rsidRPr="00A552C3">
              <w:rPr>
                <w:vertAlign w:val="superscript"/>
              </w:rPr>
              <w:t>th</w:t>
            </w:r>
            <w:r w:rsidRPr="00A552C3">
              <w:t xml:space="preserve"> percentile of the Day-Ahead Settlement Point Price (DASPP) for the hour over the previous 30 days; and </w:t>
            </w:r>
          </w:p>
          <w:p w14:paraId="58A9484D" w14:textId="77777777" w:rsidR="005E12BB" w:rsidRPr="00A552C3" w:rsidRDefault="005E12BB" w:rsidP="005E12BB">
            <w:pPr>
              <w:pStyle w:val="List"/>
              <w:ind w:left="3600"/>
            </w:pPr>
            <w:r w:rsidRPr="00A552C3">
              <w:t>(2)</w:t>
            </w:r>
            <w:r w:rsidRPr="00A552C3">
              <w:tab/>
              <w:t>The bid price.</w:t>
            </w:r>
          </w:p>
          <w:p w14:paraId="71479CE5" w14:textId="77777777" w:rsidR="005E12BB" w:rsidRPr="00A552C3" w:rsidRDefault="005E12BB" w:rsidP="005E12BB">
            <w:pPr>
              <w:pStyle w:val="List"/>
              <w:ind w:left="2880"/>
            </w:pPr>
            <w:r w:rsidRPr="00A552C3">
              <w:t>(B)</w:t>
            </w:r>
            <w:r w:rsidRPr="00A552C3">
              <w:tab/>
              <w:t xml:space="preserve">The value </w:t>
            </w:r>
            <w:r w:rsidRPr="00A552C3">
              <w:rPr>
                <w:i/>
              </w:rPr>
              <w:t>e1</w:t>
            </w:r>
            <w:r w:rsidRPr="00A552C3">
              <w:t xml:space="preserve"> multiplied by (bid price minus (A)) when the bid price is greater than (A).</w:t>
            </w:r>
          </w:p>
          <w:p w14:paraId="635ADEBF" w14:textId="77777777" w:rsidR="005E12BB" w:rsidRPr="00A552C3" w:rsidRDefault="005E12BB" w:rsidP="005E12BB">
            <w:pPr>
              <w:pStyle w:val="List"/>
              <w:ind w:left="3600"/>
            </w:pPr>
            <w:r w:rsidRPr="00A552C3">
              <w:t>(1)</w:t>
            </w:r>
            <w:r w:rsidRPr="00A552C3">
              <w:tab/>
              <w:t xml:space="preserve">The value </w:t>
            </w:r>
            <w:r w:rsidRPr="00A552C3">
              <w:rPr>
                <w:i/>
              </w:rPr>
              <w:t>e1</w:t>
            </w:r>
            <w:r w:rsidRPr="00A552C3">
              <w:t xml:space="preserve"> is computed as the </w:t>
            </w:r>
            <w:r w:rsidRPr="00A552C3">
              <w:rPr>
                <w:i/>
              </w:rPr>
              <w:t>ep1</w:t>
            </w:r>
            <w:r w:rsidRPr="00A552C3">
              <w:rPr>
                <w:vertAlign w:val="superscript"/>
              </w:rPr>
              <w:t>th</w:t>
            </w:r>
            <w:r w:rsidRPr="00A552C3">
              <w:t xml:space="preserve"> percentile of Ratio1 for the  30 days prior to the Operating Day, where Ratio1 is calculated daily as follows:</w:t>
            </w:r>
          </w:p>
          <w:p w14:paraId="30203269" w14:textId="77777777" w:rsidR="005E12BB" w:rsidRPr="00A552C3" w:rsidRDefault="005E12BB" w:rsidP="005E12BB">
            <w:pPr>
              <w:ind w:left="3600"/>
            </w:pPr>
            <w:r w:rsidRPr="00A552C3">
              <w:t>Ratio1 = Min[1, Max[0, (∑</w:t>
            </w:r>
            <w:r w:rsidRPr="00A552C3">
              <w:rPr>
                <w:vertAlign w:val="subscript"/>
              </w:rPr>
              <w:t>h=1,24</w:t>
            </w:r>
            <w:r w:rsidRPr="00A552C3">
              <w:t xml:space="preserve"> (Q</w:t>
            </w:r>
            <w:r w:rsidRPr="00A552C3">
              <w:rPr>
                <w:vertAlign w:val="subscript"/>
              </w:rPr>
              <w:t>cleared Bids</w:t>
            </w:r>
            <w:r w:rsidRPr="00A552C3">
              <w:t>*P</w:t>
            </w:r>
            <w:r w:rsidRPr="00A552C3">
              <w:rPr>
                <w:vertAlign w:val="subscript"/>
              </w:rPr>
              <w:t>DAM</w:t>
            </w:r>
            <w:r w:rsidRPr="00A552C3">
              <w:t xml:space="preserve"> - Q</w:t>
            </w:r>
            <w:r w:rsidRPr="00A552C3">
              <w:rPr>
                <w:vertAlign w:val="subscript"/>
              </w:rPr>
              <w:t>cleared Offers</w:t>
            </w:r>
            <w:r w:rsidRPr="00A552C3">
              <w:t>*P</w:t>
            </w:r>
            <w:r w:rsidRPr="00A552C3">
              <w:rPr>
                <w:vertAlign w:val="subscript"/>
              </w:rPr>
              <w:t>DAM</w:t>
            </w:r>
            <w:r w:rsidRPr="00A552C3">
              <w:t>))/ (∑</w:t>
            </w:r>
            <w:r w:rsidRPr="00A552C3">
              <w:rPr>
                <w:vertAlign w:val="subscript"/>
              </w:rPr>
              <w:t xml:space="preserve"> h=1,24 </w:t>
            </w:r>
            <w:r w:rsidRPr="00A552C3">
              <w:t>Q</w:t>
            </w:r>
            <w:r w:rsidRPr="00A552C3">
              <w:rPr>
                <w:vertAlign w:val="subscript"/>
              </w:rPr>
              <w:t>cleared Bids</w:t>
            </w:r>
            <w:r w:rsidRPr="00A552C3">
              <w:t>*P</w:t>
            </w:r>
            <w:r w:rsidRPr="00A552C3">
              <w:rPr>
                <w:vertAlign w:val="subscript"/>
              </w:rPr>
              <w:t>DAM</w:t>
            </w:r>
            <w:r w:rsidRPr="00A552C3">
              <w:t xml:space="preserve">)]] </w:t>
            </w:r>
          </w:p>
          <w:p w14:paraId="5E3AA4A2" w14:textId="77777777" w:rsidR="005E12BB" w:rsidRPr="00A552C3" w:rsidRDefault="005E12BB" w:rsidP="005E12BB">
            <w:pPr>
              <w:ind w:left="2880" w:firstLine="720"/>
            </w:pPr>
          </w:p>
          <w:p w14:paraId="0ACAC76D" w14:textId="77777777" w:rsidR="005E12BB" w:rsidRPr="00A552C3" w:rsidRDefault="005E12BB" w:rsidP="005E12BB">
            <w:pPr>
              <w:ind w:left="2880" w:firstLine="720"/>
            </w:pPr>
            <w:r w:rsidRPr="00A552C3">
              <w:t>except Ratio1 = 1 when ∑</w:t>
            </w:r>
            <w:r w:rsidRPr="00A552C3">
              <w:rPr>
                <w:vertAlign w:val="subscript"/>
              </w:rPr>
              <w:t xml:space="preserve"> h=1,24 </w:t>
            </w:r>
            <w:r w:rsidRPr="00A552C3">
              <w:t>Q</w:t>
            </w:r>
            <w:r w:rsidRPr="00A552C3">
              <w:rPr>
                <w:vertAlign w:val="subscript"/>
              </w:rPr>
              <w:t>cleared Bids</w:t>
            </w:r>
            <w:r w:rsidRPr="00A552C3">
              <w:t>*P</w:t>
            </w:r>
            <w:r w:rsidRPr="00A552C3">
              <w:rPr>
                <w:vertAlign w:val="subscript"/>
              </w:rPr>
              <w:t xml:space="preserve">DAM </w:t>
            </w:r>
            <w:r w:rsidRPr="00A552C3">
              <w:t>= 0</w:t>
            </w:r>
          </w:p>
          <w:p w14:paraId="20515BA5" w14:textId="77777777" w:rsidR="005E12BB" w:rsidRPr="00A552C3" w:rsidRDefault="005E12BB" w:rsidP="005E12BB">
            <w:pPr>
              <w:ind w:left="2160"/>
            </w:pPr>
          </w:p>
          <w:p w14:paraId="6C358183" w14:textId="77777777" w:rsidR="005E12BB" w:rsidRPr="00A552C3" w:rsidRDefault="005E12BB" w:rsidP="005E12BB">
            <w:pPr>
              <w:spacing w:after="240"/>
              <w:ind w:left="3600" w:hanging="720"/>
            </w:pPr>
            <w:r w:rsidRPr="00A552C3">
              <w:t>(2)</w:t>
            </w:r>
            <w:r w:rsidRPr="00A552C3">
              <w:tab/>
              <w:t xml:space="preserve">ERCOT may adjust </w:t>
            </w:r>
            <w:r w:rsidRPr="00A552C3">
              <w:rPr>
                <w:i/>
              </w:rPr>
              <w:t>e1</w:t>
            </w:r>
            <w:r w:rsidRPr="00A552C3">
              <w:t xml:space="preserve"> by changing the quantity of bids or offers to the values reported by the Counter-Party in paragraph (8) below or based on information available to ERCOT.</w:t>
            </w:r>
          </w:p>
          <w:p w14:paraId="1D3AC0A2" w14:textId="2CE84F39" w:rsidR="005E12BB" w:rsidRPr="00526266" w:rsidRDefault="005E12BB" w:rsidP="005E12BB">
            <w:pPr>
              <w:pStyle w:val="List"/>
              <w:ind w:left="2160"/>
            </w:pPr>
            <w:r w:rsidRPr="00A552C3">
              <w:t>(iii)</w:t>
            </w:r>
            <w:r w:rsidRPr="00A552C3">
              <w:tab/>
              <w:t>For DAM Energy Bids or bid portions of Energy Bid/Offer Curves of curve quantity type, the credit exposure shall be the credit exposure, as calculated above, at the price and MW quantity of the bid curve that produces the maximum credit exposure for the DAM Energy Bid or bid portions of Energy Bid/Offer Curves</w:t>
            </w:r>
            <w:r>
              <w:t>.</w:t>
            </w:r>
          </w:p>
        </w:tc>
      </w:tr>
    </w:tbl>
    <w:p w14:paraId="178CF4A7" w14:textId="51EFD956" w:rsidR="00117078" w:rsidRDefault="00117078" w:rsidP="00F539C2">
      <w:pPr>
        <w:pStyle w:val="List"/>
        <w:spacing w:before="240"/>
        <w:ind w:left="1440"/>
      </w:pPr>
      <w:r>
        <w:lastRenderedPageBreak/>
        <w:t>(b)</w:t>
      </w:r>
      <w:r>
        <w:tab/>
        <w:t>For each MW portion of a DAM Energy-Only Offer:</w:t>
      </w:r>
    </w:p>
    <w:p w14:paraId="159277FF" w14:textId="77777777" w:rsidR="00117078" w:rsidRDefault="00117078" w:rsidP="00117078">
      <w:pPr>
        <w:pStyle w:val="List"/>
        <w:ind w:left="2160"/>
      </w:pPr>
      <w:r>
        <w:t>(i)</w:t>
      </w:r>
      <w:r>
        <w:tab/>
        <w:t xml:space="preserve">That has an offer price that is less than or equal to the </w:t>
      </w:r>
      <w:r w:rsidRPr="00CA2AF7">
        <w:rPr>
          <w:i/>
        </w:rPr>
        <w:t>a</w:t>
      </w:r>
      <w:r w:rsidRPr="00F62177">
        <w:rPr>
          <w:vertAlign w:val="superscript"/>
        </w:rPr>
        <w:t>th</w:t>
      </w:r>
      <w:r>
        <w:t xml:space="preserve"> percentile of the DASPP for the hour over the previous 30 days, the sum of (A) and (B) shall apply.   </w:t>
      </w:r>
    </w:p>
    <w:p w14:paraId="2F12367F" w14:textId="77777777" w:rsidR="00117078" w:rsidRDefault="00117078" w:rsidP="00117078">
      <w:pPr>
        <w:pStyle w:val="List"/>
        <w:ind w:left="2880"/>
      </w:pPr>
      <w:r>
        <w:t>(A)</w:t>
      </w:r>
      <w:r>
        <w:tab/>
        <w:t>Credit exposure will be:</w:t>
      </w:r>
    </w:p>
    <w:p w14:paraId="68C17D34" w14:textId="77777777" w:rsidR="00117078" w:rsidRDefault="00117078" w:rsidP="00117078">
      <w:pPr>
        <w:pStyle w:val="List"/>
        <w:ind w:left="3600"/>
      </w:pPr>
      <w:r>
        <w:t>(1)</w:t>
      </w:r>
      <w:r>
        <w:tab/>
        <w:t xml:space="preserve">Reduced (when the </w:t>
      </w:r>
      <w:r w:rsidRPr="00CA2AF7">
        <w:rPr>
          <w:i/>
        </w:rPr>
        <w:t>b</w:t>
      </w:r>
      <w:r w:rsidRPr="00F62177">
        <w:rPr>
          <w:vertAlign w:val="superscript"/>
        </w:rPr>
        <w:t>th</w:t>
      </w:r>
      <w:r>
        <w:t xml:space="preserve"> percentile Settlement Point Price for the hour is positive).  The reduction shall be the quantity of the offer multiplied by the </w:t>
      </w:r>
      <w:r w:rsidRPr="00CA2AF7">
        <w:rPr>
          <w:i/>
        </w:rPr>
        <w:t>b</w:t>
      </w:r>
      <w:r w:rsidRPr="00F62177">
        <w:rPr>
          <w:vertAlign w:val="superscript"/>
        </w:rPr>
        <w:t>th</w:t>
      </w:r>
      <w:r>
        <w:t xml:space="preserve"> percentile of the DASPP for </w:t>
      </w:r>
      <w:r>
        <w:lastRenderedPageBreak/>
        <w:t xml:space="preserve">the hour over the previous 30 days multiplied by the value </w:t>
      </w:r>
      <w:r w:rsidRPr="00CA2AF7">
        <w:rPr>
          <w:i/>
        </w:rPr>
        <w:t>e2</w:t>
      </w:r>
      <w:r>
        <w:rPr>
          <w:i/>
        </w:rPr>
        <w:t>.</w:t>
      </w:r>
    </w:p>
    <w:p w14:paraId="61ED1047" w14:textId="77777777" w:rsidR="00117078" w:rsidRDefault="00117078" w:rsidP="00117078">
      <w:pPr>
        <w:pStyle w:val="List"/>
        <w:ind w:left="4320"/>
      </w:pPr>
      <w:r>
        <w:t>(a)</w:t>
      </w:r>
      <w:r>
        <w:tab/>
        <w:t xml:space="preserve">The value </w:t>
      </w:r>
      <w:r>
        <w:rPr>
          <w:i/>
        </w:rPr>
        <w:t>e2</w:t>
      </w:r>
      <w:r>
        <w:t xml:space="preserve"> is computed as the </w:t>
      </w:r>
      <w:r w:rsidRPr="00733BF0">
        <w:rPr>
          <w:i/>
        </w:rPr>
        <w:t>ep2</w:t>
      </w:r>
      <w:r w:rsidRPr="00733BF0">
        <w:rPr>
          <w:vertAlign w:val="superscript"/>
        </w:rPr>
        <w:t>th</w:t>
      </w:r>
      <w:r>
        <w:t xml:space="preserve"> percentile of Ratio2 for the 30 days prior to the Operating Day, where Ratio2 is calculated daily as follows:</w:t>
      </w:r>
    </w:p>
    <w:p w14:paraId="5E964C35" w14:textId="77777777" w:rsidR="00117078" w:rsidRDefault="00117078" w:rsidP="00117078">
      <w:pPr>
        <w:pStyle w:val="List"/>
        <w:ind w:left="4320" w:firstLine="0"/>
      </w:pPr>
      <w:r w:rsidRPr="005E1138">
        <w:t>Ratio2 = 1 -</w:t>
      </w:r>
      <w:r>
        <w:rPr>
          <w:b/>
        </w:rPr>
        <w:t xml:space="preserve"> </w:t>
      </w:r>
      <w:r>
        <w:t>Max[0, (∑</w:t>
      </w:r>
      <w:r w:rsidRPr="00E76B26">
        <w:rPr>
          <w:vertAlign w:val="subscript"/>
        </w:rPr>
        <w:t>h=1,24</w:t>
      </w:r>
      <w:r>
        <w:t xml:space="preserve"> (Q</w:t>
      </w:r>
      <w:r>
        <w:rPr>
          <w:vertAlign w:val="subscript"/>
        </w:rPr>
        <w:t>cleared Offers</w:t>
      </w:r>
      <w:r>
        <w:t xml:space="preserve"> - Q</w:t>
      </w:r>
      <w:r>
        <w:rPr>
          <w:vertAlign w:val="subscript"/>
        </w:rPr>
        <w:t>cleared-Bids</w:t>
      </w:r>
      <w:r>
        <w:t>))/(∑</w:t>
      </w:r>
      <w:r w:rsidRPr="00E76B26">
        <w:rPr>
          <w:vertAlign w:val="subscript"/>
        </w:rPr>
        <w:t xml:space="preserve"> h=1,24</w:t>
      </w:r>
      <w:r>
        <w:rPr>
          <w:vertAlign w:val="subscript"/>
        </w:rPr>
        <w:t xml:space="preserve"> </w:t>
      </w:r>
      <w:r>
        <w:t>(Q</w:t>
      </w:r>
      <w:r>
        <w:rPr>
          <w:vertAlign w:val="subscript"/>
        </w:rPr>
        <w:t>cleared Offers</w:t>
      </w:r>
      <w:r>
        <w:t>))]</w:t>
      </w:r>
    </w:p>
    <w:p w14:paraId="46F673FB" w14:textId="77777777" w:rsidR="00117078" w:rsidRDefault="00117078" w:rsidP="00117078">
      <w:pPr>
        <w:ind w:left="4320"/>
      </w:pPr>
      <w:r>
        <w:t>except Ratio2 = 0 when ∑</w:t>
      </w:r>
      <w:r w:rsidRPr="00E76B26">
        <w:rPr>
          <w:vertAlign w:val="subscript"/>
        </w:rPr>
        <w:t xml:space="preserve"> h=1,24</w:t>
      </w:r>
      <w:r>
        <w:rPr>
          <w:vertAlign w:val="subscript"/>
        </w:rPr>
        <w:t xml:space="preserve"> </w:t>
      </w:r>
      <w:r>
        <w:t>Q</w:t>
      </w:r>
      <w:r>
        <w:rPr>
          <w:vertAlign w:val="subscript"/>
        </w:rPr>
        <w:t xml:space="preserve">cleared Offers </w:t>
      </w:r>
      <w:r>
        <w:t>= 0</w:t>
      </w:r>
    </w:p>
    <w:p w14:paraId="77CC3F25" w14:textId="77777777" w:rsidR="00117078" w:rsidRDefault="00117078" w:rsidP="00117078">
      <w:pPr>
        <w:ind w:left="3600"/>
      </w:pPr>
    </w:p>
    <w:p w14:paraId="719F5BE9" w14:textId="77777777" w:rsidR="00117078" w:rsidRDefault="00117078" w:rsidP="00117078">
      <w:pPr>
        <w:pStyle w:val="List"/>
        <w:ind w:left="4320"/>
      </w:pPr>
      <w:r>
        <w:t>(b)</w:t>
      </w:r>
      <w:r>
        <w:tab/>
        <w:t xml:space="preserve">ERCOT may adjust the value of </w:t>
      </w:r>
      <w:r w:rsidRPr="00733BF0">
        <w:rPr>
          <w:i/>
        </w:rPr>
        <w:t>e2</w:t>
      </w:r>
      <w:r>
        <w:t xml:space="preserve"> by changing the quantity of bids or offers to the values reported by the Counter-Party in paragraph (7) below or based on information available to ERCOT; or</w:t>
      </w:r>
    </w:p>
    <w:p w14:paraId="0995E206" w14:textId="77777777" w:rsidR="00117078" w:rsidRDefault="00117078" w:rsidP="00117078">
      <w:pPr>
        <w:pStyle w:val="List"/>
        <w:ind w:left="3600"/>
      </w:pPr>
      <w:r>
        <w:t>(2)</w:t>
      </w:r>
      <w:r>
        <w:tab/>
        <w:t xml:space="preserve">Increased (when the </w:t>
      </w:r>
      <w:r w:rsidRPr="00CA2AF7">
        <w:rPr>
          <w:i/>
        </w:rPr>
        <w:t>b</w:t>
      </w:r>
      <w:r w:rsidRPr="00F62177">
        <w:rPr>
          <w:vertAlign w:val="superscript"/>
        </w:rPr>
        <w:t>th</w:t>
      </w:r>
      <w:r>
        <w:t xml:space="preserve"> percentile Settlement Point Price for the hour is negative).  The increase shall be the quantity of the offer multiplied by the </w:t>
      </w:r>
      <w:r w:rsidRPr="00CA2AF7">
        <w:rPr>
          <w:i/>
        </w:rPr>
        <w:t>b</w:t>
      </w:r>
      <w:r w:rsidRPr="00F62177">
        <w:rPr>
          <w:vertAlign w:val="superscript"/>
        </w:rPr>
        <w:t>th</w:t>
      </w:r>
      <w:r>
        <w:t xml:space="preserve"> percentile of the DASPP for the hour over the previous 30 days.  </w:t>
      </w:r>
    </w:p>
    <w:p w14:paraId="560CB4B4" w14:textId="77777777" w:rsidR="00117078" w:rsidRDefault="00117078" w:rsidP="00117078">
      <w:pPr>
        <w:pStyle w:val="List"/>
        <w:ind w:left="2880"/>
      </w:pPr>
      <w:r>
        <w:t>(B)</w:t>
      </w:r>
      <w:r>
        <w:tab/>
        <w:t xml:space="preserve">Credit exposure will be increased by the product of the quantity of the offer multiplied by the </w:t>
      </w:r>
      <w:r w:rsidRPr="00CA2AF7">
        <w:rPr>
          <w:i/>
        </w:rPr>
        <w:t>dp</w:t>
      </w:r>
      <w:r w:rsidRPr="00162093">
        <w:rPr>
          <w:vertAlign w:val="superscript"/>
        </w:rPr>
        <w:t>th</w:t>
      </w:r>
      <w:r>
        <w:t xml:space="preserve"> percentile of any positive hourly difference of Real-Time Settlement Point Price and DASPP over the previous 30 days for the hour multiplied by </w:t>
      </w:r>
      <w:r w:rsidRPr="00CA2AF7">
        <w:rPr>
          <w:i/>
        </w:rPr>
        <w:t>e3</w:t>
      </w:r>
      <w:r>
        <w:t>.</w:t>
      </w:r>
    </w:p>
    <w:p w14:paraId="407D43E5" w14:textId="77777777" w:rsidR="00117078" w:rsidRDefault="00117078" w:rsidP="00117078">
      <w:pPr>
        <w:pStyle w:val="List"/>
        <w:ind w:left="2160"/>
      </w:pPr>
      <w:r>
        <w:t>(ii)</w:t>
      </w:r>
      <w:r>
        <w:tab/>
        <w:t xml:space="preserve">That has an offer price that is greater than the </w:t>
      </w:r>
      <w:r w:rsidRPr="00CA2AF7">
        <w:rPr>
          <w:i/>
        </w:rPr>
        <w:t>a</w:t>
      </w:r>
      <w:r w:rsidRPr="00F62177">
        <w:rPr>
          <w:vertAlign w:val="superscript"/>
        </w:rPr>
        <w:t>th</w:t>
      </w:r>
      <w:r>
        <w:t xml:space="preserve"> percentile of the DASPP for the hour over the previous 30 days, credit exposure will be increased by the product of the quantity of the offer multiplied by the </w:t>
      </w:r>
      <w:r w:rsidRPr="00CA2AF7">
        <w:rPr>
          <w:i/>
        </w:rPr>
        <w:t>dp</w:t>
      </w:r>
      <w:r w:rsidRPr="00162093">
        <w:rPr>
          <w:vertAlign w:val="superscript"/>
        </w:rPr>
        <w:t>th</w:t>
      </w:r>
      <w:r>
        <w:t xml:space="preserve"> percentile of any positive hourly difference of Real-Time Settlement Point Price and DASPP over the previous 30 days for the hour multiplied by </w:t>
      </w:r>
      <w:r w:rsidRPr="00CA2AF7">
        <w:rPr>
          <w:i/>
        </w:rPr>
        <w:t>e3</w:t>
      </w:r>
      <w:r>
        <w:t xml:space="preserve">.  </w:t>
      </w:r>
    </w:p>
    <w:p w14:paraId="20A26E40" w14:textId="77777777" w:rsidR="00117078" w:rsidRDefault="00117078" w:rsidP="00117078">
      <w:pPr>
        <w:pStyle w:val="List"/>
        <w:ind w:left="2160"/>
      </w:pPr>
      <w:r>
        <w:t>(iii)</w:t>
      </w:r>
      <w:r>
        <w:tab/>
      </w:r>
      <w:r w:rsidRPr="006F7DE8">
        <w:t xml:space="preserve">ERCOT may, in its sole discretion, use a percentile other than the </w:t>
      </w:r>
      <w:r w:rsidRPr="00CA2AF7">
        <w:rPr>
          <w:i/>
        </w:rPr>
        <w:t>dp</w:t>
      </w:r>
      <w:r w:rsidRPr="005440F7">
        <w:rPr>
          <w:vertAlign w:val="superscript"/>
        </w:rPr>
        <w:t>th</w:t>
      </w:r>
      <w:r w:rsidRPr="006F7DE8">
        <w:t xml:space="preserve"> percentile of any positive hourly difference of Real-Time Settlement Point Price and </w:t>
      </w:r>
      <w:r>
        <w:t>DASPP</w:t>
      </w:r>
      <w:r w:rsidRPr="006F7DE8">
        <w:t xml:space="preserve"> over the previous 30 days of the hour in determining credit </w:t>
      </w:r>
      <w:r>
        <w:t xml:space="preserve">exposure per this </w:t>
      </w:r>
      <w:r w:rsidRPr="006F7DE8">
        <w:t>paragraph (6)(b) in evaluating DAM Energy-Only Offers.</w:t>
      </w:r>
      <w:r>
        <w:t xml:space="preserve">  </w:t>
      </w:r>
    </w:p>
    <w:p w14:paraId="126C60B9" w14:textId="77777777" w:rsidR="00117078" w:rsidRDefault="00117078" w:rsidP="00117078">
      <w:pPr>
        <w:pStyle w:val="List"/>
        <w:ind w:left="1440"/>
      </w:pPr>
      <w:r>
        <w:t>(c)</w:t>
      </w:r>
      <w:r>
        <w:tab/>
        <w:t>For each MW portion of the Energy Offer Curve of a Three-Part Supply Offer: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E12BB" w:rsidRPr="004B32CF" w14:paraId="4DB8C2E5" w14:textId="77777777" w:rsidTr="009540C4">
        <w:trPr>
          <w:trHeight w:val="386"/>
        </w:trPr>
        <w:tc>
          <w:tcPr>
            <w:tcW w:w="9350" w:type="dxa"/>
            <w:shd w:val="pct12" w:color="auto" w:fill="auto"/>
          </w:tcPr>
          <w:p w14:paraId="34E2389C" w14:textId="5973E83B" w:rsidR="005E12BB" w:rsidRPr="004B32CF" w:rsidRDefault="005E12BB" w:rsidP="009540C4">
            <w:pPr>
              <w:spacing w:before="120" w:after="240"/>
              <w:rPr>
                <w:b/>
                <w:i/>
                <w:iCs/>
              </w:rPr>
            </w:pPr>
            <w:r>
              <w:rPr>
                <w:b/>
                <w:i/>
                <w:iCs/>
              </w:rPr>
              <w:t>[NPRR1014</w:t>
            </w:r>
            <w:r w:rsidRPr="004B32CF">
              <w:rPr>
                <w:b/>
                <w:i/>
                <w:iCs/>
              </w:rPr>
              <w:t xml:space="preserve">:  </w:t>
            </w:r>
            <w:r>
              <w:rPr>
                <w:b/>
                <w:i/>
                <w:iCs/>
              </w:rPr>
              <w:t>Replace paragraph (c) above with the following</w:t>
            </w:r>
            <w:r w:rsidRPr="004B32CF">
              <w:rPr>
                <w:b/>
                <w:i/>
                <w:iCs/>
              </w:rPr>
              <w:t xml:space="preserve"> upon system implementation:]</w:t>
            </w:r>
          </w:p>
          <w:p w14:paraId="3ACFB753" w14:textId="131324B7" w:rsidR="005E12BB" w:rsidRPr="00526266" w:rsidRDefault="005E12BB" w:rsidP="005E12BB">
            <w:pPr>
              <w:pStyle w:val="List"/>
              <w:ind w:left="1440"/>
            </w:pPr>
            <w:r w:rsidRPr="00A552C3">
              <w:t>(c)</w:t>
            </w:r>
            <w:r w:rsidRPr="00A552C3">
              <w:tab/>
              <w:t>For each MW portion of the Energy Offer Curve of a Three-Part Supply Offer or for each MW portion of the offer portion of an Energy Bid/Offer Curve:</w:t>
            </w:r>
          </w:p>
        </w:tc>
      </w:tr>
    </w:tbl>
    <w:p w14:paraId="62C75A05" w14:textId="2525295E" w:rsidR="00117078" w:rsidRDefault="00117078" w:rsidP="00F539C2">
      <w:pPr>
        <w:pStyle w:val="List"/>
        <w:spacing w:before="240"/>
        <w:ind w:left="2160"/>
      </w:pPr>
      <w:r>
        <w:lastRenderedPageBreak/>
        <w:t>(i)</w:t>
      </w:r>
      <w:r>
        <w:tab/>
        <w:t xml:space="preserve">That has an offer price that is less than or equal to the </w:t>
      </w:r>
      <w:r w:rsidRPr="00CA2AF7">
        <w:rPr>
          <w:i/>
        </w:rPr>
        <w:t>y</w:t>
      </w:r>
      <w:r w:rsidRPr="00F62177">
        <w:rPr>
          <w:vertAlign w:val="superscript"/>
        </w:rPr>
        <w:t>th</w:t>
      </w:r>
      <w:r>
        <w:t xml:space="preserve"> percentile of the DASPP for the hour over the previous 30 days, credit exposure will be reduced (when the </w:t>
      </w:r>
      <w:r w:rsidRPr="00CA2AF7">
        <w:rPr>
          <w:i/>
        </w:rPr>
        <w:t>z</w:t>
      </w:r>
      <w:r w:rsidRPr="00F62177">
        <w:rPr>
          <w:vertAlign w:val="superscript"/>
        </w:rPr>
        <w:t>th</w:t>
      </w:r>
      <w:r>
        <w:t xml:space="preserve"> percentile Settlement Point Price is positive) or increased (when the </w:t>
      </w:r>
      <w:r w:rsidRPr="00CA2AF7">
        <w:rPr>
          <w:i/>
        </w:rPr>
        <w:t>z</w:t>
      </w:r>
      <w:r w:rsidRPr="00F62177">
        <w:rPr>
          <w:vertAlign w:val="superscript"/>
        </w:rPr>
        <w:t>th</w:t>
      </w:r>
      <w:r>
        <w:t xml:space="preserve"> percentile Settlement Point Price is negative) by the quantity of the offer multiplied by the </w:t>
      </w:r>
      <w:r w:rsidRPr="00CA2AF7">
        <w:rPr>
          <w:i/>
        </w:rPr>
        <w:t>z</w:t>
      </w:r>
      <w:r w:rsidRPr="00F62177">
        <w:rPr>
          <w:vertAlign w:val="superscript"/>
        </w:rPr>
        <w:t>th</w:t>
      </w:r>
      <w:r>
        <w:t xml:space="preserve"> percentile of the DASPP for the hour over the previous 30 days.  </w:t>
      </w:r>
    </w:p>
    <w:p w14:paraId="14D5503B" w14:textId="77777777" w:rsidR="00117078" w:rsidRDefault="00117078" w:rsidP="00117078">
      <w:pPr>
        <w:pStyle w:val="List"/>
        <w:ind w:left="2160"/>
      </w:pPr>
      <w:r>
        <w:t>(ii)</w:t>
      </w:r>
      <w:r>
        <w:tab/>
        <w:t xml:space="preserve">That has an offer price that is greater than the </w:t>
      </w:r>
      <w:r w:rsidRPr="00CA2AF7">
        <w:rPr>
          <w:i/>
        </w:rPr>
        <w:t>y</w:t>
      </w:r>
      <w:r w:rsidRPr="00F62177">
        <w:rPr>
          <w:vertAlign w:val="superscript"/>
        </w:rPr>
        <w:t>th</w:t>
      </w:r>
      <w:r>
        <w:t xml:space="preserve"> percentile of the DASPP for the hour over the previous 30 days, the credit exposure will be zero.</w:t>
      </w:r>
    </w:p>
    <w:p w14:paraId="567395D0" w14:textId="77777777" w:rsidR="00117078" w:rsidRDefault="00117078" w:rsidP="00117078">
      <w:pPr>
        <w:pStyle w:val="List"/>
        <w:ind w:left="2160"/>
      </w:pPr>
      <w:r>
        <w:t>(iii)</w:t>
      </w:r>
      <w:r>
        <w:tab/>
      </w:r>
      <w:r w:rsidRPr="00DB7025">
        <w:t>For a Combined Cycle Generation Resource with</w:t>
      </w:r>
      <w:r>
        <w:t xml:space="preserve"> </w:t>
      </w:r>
      <w:r w:rsidRPr="00DB7025">
        <w:t>Three-Part Supply Offers for multiple generator configurations, the reduction in credit exposure will be the maximum credit exposure reduction created by the individual Three</w:t>
      </w:r>
      <w:r>
        <w:t>-</w:t>
      </w:r>
      <w:r w:rsidRPr="00DB7025">
        <w:t>Part Supply Offers</w:t>
      </w:r>
      <w:r>
        <w:t>’</w:t>
      </w:r>
      <w:r w:rsidRPr="00DB7025">
        <w:t xml:space="preserve"> Offer Curves</w:t>
      </w:r>
      <w:r>
        <w:t xml:space="preserve"> (when the </w:t>
      </w:r>
      <w:r w:rsidRPr="00CA2AF7">
        <w:rPr>
          <w:i/>
        </w:rPr>
        <w:t>z</w:t>
      </w:r>
      <w:r w:rsidRPr="00F62177">
        <w:rPr>
          <w:vertAlign w:val="superscript"/>
        </w:rPr>
        <w:t>th</w:t>
      </w:r>
      <w:r>
        <w:t xml:space="preserve"> percentile Settlement Point Price is positive).  If the Three-Part Supply Offer causes a credit increase (when the </w:t>
      </w:r>
      <w:r w:rsidRPr="00CA2AF7">
        <w:rPr>
          <w:i/>
        </w:rPr>
        <w:t>z</w:t>
      </w:r>
      <w:r w:rsidRPr="00F62177">
        <w:rPr>
          <w:vertAlign w:val="superscript"/>
        </w:rPr>
        <w:t>th</w:t>
      </w:r>
      <w:r>
        <w:t xml:space="preserve"> percentile Settlement Point Price is negative), the increase in credit exposure will be the maximum credit exposure increase created by the individual Three-Part Supply Offers.</w:t>
      </w:r>
    </w:p>
    <w:p w14:paraId="2B47371D" w14:textId="77777777" w:rsidR="00117078" w:rsidRDefault="00117078" w:rsidP="00117078">
      <w:pPr>
        <w:pStyle w:val="List"/>
        <w:ind w:left="1440"/>
      </w:pPr>
      <w:r>
        <w:t>(d)</w:t>
      </w:r>
      <w:r>
        <w:tab/>
        <w:t>For PTP Obligation Bids:</w:t>
      </w:r>
    </w:p>
    <w:p w14:paraId="661A1240" w14:textId="77777777" w:rsidR="00117078" w:rsidRDefault="00117078" w:rsidP="00117078">
      <w:pPr>
        <w:pStyle w:val="List"/>
        <w:ind w:left="2160"/>
        <w:rPr>
          <w:b/>
          <w:bCs/>
          <w:i/>
          <w:iCs/>
          <w:szCs w:val="26"/>
        </w:rPr>
      </w:pPr>
      <w:r>
        <w:t>(i)</w:t>
      </w:r>
      <w:r>
        <w:tab/>
        <w:t xml:space="preserve">That have a bid price greater than zero, the sum of the quantity of the bid multiplied by the bid price, plus the </w:t>
      </w:r>
      <w:r w:rsidRPr="00CA2AF7">
        <w:rPr>
          <w:i/>
        </w:rPr>
        <w:t>u</w:t>
      </w:r>
      <w:r w:rsidRPr="00F62177">
        <w:rPr>
          <w:vertAlign w:val="superscript"/>
        </w:rPr>
        <w:t>th</w:t>
      </w:r>
      <w:r>
        <w:t xml:space="preserve"> percentile of the hourly positive price difference between the source Real-Time Settlement Point Price minus the sink Real-Time Settlement Point Price over the previous 30 days multiplied by the quantity of the bid.</w:t>
      </w:r>
    </w:p>
    <w:p w14:paraId="113AFC5E" w14:textId="77777777" w:rsidR="00117078" w:rsidRDefault="00117078" w:rsidP="00117078">
      <w:pPr>
        <w:pStyle w:val="List"/>
        <w:ind w:left="2160"/>
        <w:rPr>
          <w:b/>
          <w:bCs/>
          <w:i/>
          <w:iCs/>
          <w:szCs w:val="26"/>
        </w:rPr>
      </w:pPr>
      <w:r>
        <w:t>(ii)</w:t>
      </w:r>
      <w:r>
        <w:tab/>
      </w:r>
      <w:r w:rsidRPr="000E0959">
        <w:t xml:space="preserve">That have a bid price less than or equal to zero, the </w:t>
      </w:r>
      <w:r w:rsidRPr="00CA2AF7">
        <w:rPr>
          <w:i/>
        </w:rPr>
        <w:t>u</w:t>
      </w:r>
      <w:r w:rsidRPr="005440F7">
        <w:rPr>
          <w:vertAlign w:val="superscript"/>
        </w:rPr>
        <w:t>th</w:t>
      </w:r>
      <w:r w:rsidRPr="000E0959">
        <w:t xml:space="preserve"> percentile of the hourly positive price difference between the source Real-Time Settlement Point Price minus the sink Real-Time Settlement Point Price over the previous 30 days multiplied by the quantity of the bid.</w:t>
      </w:r>
    </w:p>
    <w:p w14:paraId="1EF050D5" w14:textId="77777777" w:rsidR="00117078" w:rsidRDefault="00117078" w:rsidP="00117078">
      <w:pPr>
        <w:pStyle w:val="List"/>
        <w:ind w:left="2160"/>
        <w:rPr>
          <w:b/>
          <w:bCs/>
          <w:i/>
          <w:iCs/>
          <w:szCs w:val="26"/>
        </w:rPr>
      </w:pPr>
      <w:r>
        <w:t>(iii)</w:t>
      </w:r>
      <w:r>
        <w:tab/>
        <w:t xml:space="preserve">Each tenth of a MW quantity (0.1 MW) of an expiring CRR for a Counter-Party can provide credit reduction for only one-tenth of a MW (0.1 MW) of a PTP Obligation bid for that Counter-Party.  </w:t>
      </w:r>
    </w:p>
    <w:p w14:paraId="0459B514" w14:textId="77777777" w:rsidR="00117078" w:rsidRDefault="00117078" w:rsidP="00117078">
      <w:pPr>
        <w:pStyle w:val="List"/>
        <w:ind w:left="2880"/>
        <w:rPr>
          <w:b/>
          <w:bCs/>
          <w:i/>
          <w:iCs/>
          <w:szCs w:val="26"/>
        </w:rPr>
      </w:pPr>
      <w:r>
        <w:t>(A)</w:t>
      </w:r>
      <w:r>
        <w:tab/>
        <w:t>The QSE must submit the PTP Obligation bid at the same source and sink pair for the same hour, for the same operating date where the QSE submitting the PTP Obligation bid is represented by the same Counter-Party as the CRR Account Holder that is the owner of record for an expiring CRR, or group of CRRs.</w:t>
      </w:r>
    </w:p>
    <w:p w14:paraId="00846E80" w14:textId="77777777" w:rsidR="00117078" w:rsidRDefault="00117078" w:rsidP="00117078">
      <w:pPr>
        <w:pStyle w:val="List"/>
        <w:ind w:left="2880"/>
        <w:rPr>
          <w:b/>
          <w:bCs/>
          <w:i/>
          <w:iCs/>
          <w:szCs w:val="26"/>
        </w:rPr>
      </w:pPr>
      <w:r>
        <w:t>(B)</w:t>
      </w:r>
      <w:r>
        <w:tab/>
        <w:t>A portion or all of the PTP Obligation bid quantity must be less than or equal to the total of the quantity of all expiring CRRs at the specified source and sink pair and delivery period, less all valid previously submitted PTP Obligation bids at the specified source and sink pair and delivery period.</w:t>
      </w:r>
    </w:p>
    <w:p w14:paraId="738FDABF" w14:textId="77777777" w:rsidR="00117078" w:rsidRDefault="00117078" w:rsidP="00117078">
      <w:pPr>
        <w:pStyle w:val="List"/>
        <w:ind w:left="2160"/>
      </w:pPr>
      <w:r>
        <w:lastRenderedPageBreak/>
        <w:t>(iv)</w:t>
      </w:r>
      <w:r>
        <w:tab/>
      </w:r>
      <w:r w:rsidRPr="000E0959">
        <w:t xml:space="preserve">For qualified PTP </w:t>
      </w:r>
      <w:r>
        <w:t>Obligation bids</w:t>
      </w:r>
      <w:r w:rsidRPr="00553CE3">
        <w:t xml:space="preserve"> with a bid price greater than zero</w:t>
      </w:r>
      <w:r w:rsidRPr="000E0959">
        <w:t>, ERCOT shall reduce the credit exposure in</w:t>
      </w:r>
      <w:r>
        <w:t xml:space="preserve"> paragraph (6)(d)(i) above as follows:</w:t>
      </w:r>
      <w:r w:rsidRPr="000E0959">
        <w:t xml:space="preserve"> </w:t>
      </w:r>
    </w:p>
    <w:p w14:paraId="70C7BEB5" w14:textId="77777777" w:rsidR="00117078" w:rsidRDefault="00117078" w:rsidP="00117078">
      <w:pPr>
        <w:pStyle w:val="List"/>
        <w:ind w:left="2160" w:firstLine="0"/>
      </w:pPr>
      <w:r>
        <w:t>Credit Reduction</w:t>
      </w:r>
      <w:r w:rsidRPr="005E1138">
        <w:t xml:space="preserve"> = </w:t>
      </w:r>
      <w:r>
        <w:t>Reduction Factor * min[PTP bid quantity, remaining expiring CRR MWs] * bid price.</w:t>
      </w:r>
      <w:r w:rsidRPr="000E0959">
        <w:t xml:space="preserve"> </w:t>
      </w:r>
    </w:p>
    <w:p w14:paraId="39EC0BBB" w14:textId="069C204C" w:rsidR="00117078" w:rsidRDefault="00117078" w:rsidP="00117078">
      <w:pPr>
        <w:pStyle w:val="List"/>
        <w:ind w:left="2160" w:firstLine="0"/>
      </w:pPr>
      <w:r>
        <w:t xml:space="preserve">The Reduction Factor is </w:t>
      </w:r>
      <w:r w:rsidRPr="00B2492F">
        <w:rPr>
          <w:i/>
        </w:rPr>
        <w:t>bd</w:t>
      </w:r>
      <w:r>
        <w:t>%.  The factor can be adjusted up or down at ERCOT’s sole discretion with at least two Bank Business Days</w:t>
      </w:r>
      <w:r w:rsidR="00D2747C">
        <w:t>’</w:t>
      </w:r>
      <w:r>
        <w:t xml:space="preserve"> notice.  ERCOT may adjust this factor up with less notice, if needed</w:t>
      </w:r>
      <w:r w:rsidRPr="00464D31">
        <w:t>.</w:t>
      </w:r>
      <w:r w:rsidRPr="000E0959">
        <w:t xml:space="preserve">  The expiring CRR may be PTP Options and/or PTP Obligations.</w:t>
      </w:r>
      <w:r>
        <w:t xml:space="preserve">  If a QSE later cancels the PTP Obligation bid then the amount of exposure credited back to the Counter-Party will be treated as though this PTP Obligation bid was previously offset by expiring CRRs if a matching CRR source and sink pair exists up to the maximum expiring CRR quantity.  If a QSE updates the PTP Obligation bid then it will be treated as a cancel followed by a new submission for purposes of credit exposure calculation.  Outcome of this calculation is dependent of the sequence of submittals for updates and cancels.</w:t>
      </w:r>
    </w:p>
    <w:p w14:paraId="2F8AE704" w14:textId="77777777" w:rsidR="00117078" w:rsidRDefault="00117078" w:rsidP="00117078">
      <w:pPr>
        <w:pStyle w:val="List"/>
        <w:ind w:left="1440"/>
      </w:pPr>
      <w:r>
        <w:t>(e)</w:t>
      </w:r>
      <w:r>
        <w:tab/>
        <w:t>For PTP Obligation bids with Links to an Option</w:t>
      </w:r>
      <w:r w:rsidRPr="00CB111D">
        <w:t xml:space="preserve"> </w:t>
      </w:r>
      <w:r>
        <w:t>with a bid price greater than zero:</w:t>
      </w:r>
    </w:p>
    <w:p w14:paraId="7ECD555F" w14:textId="77777777" w:rsidR="00117078" w:rsidRDefault="00117078" w:rsidP="00117078">
      <w:pPr>
        <w:pStyle w:val="List"/>
        <w:ind w:left="2160"/>
      </w:pPr>
      <w:r>
        <w:t xml:space="preserve">Credit Reduction = (1- Reduction Factor </w:t>
      </w:r>
      <w:r>
        <w:rPr>
          <w:i/>
        </w:rPr>
        <w:t>bd</w:t>
      </w:r>
      <w:r>
        <w:t xml:space="preserve">) * (bid quantity * bid price) </w:t>
      </w:r>
    </w:p>
    <w:p w14:paraId="2651244F" w14:textId="77777777" w:rsidR="00117078" w:rsidRPr="009F1CEA" w:rsidRDefault="00117078" w:rsidP="00117078">
      <w:pPr>
        <w:pStyle w:val="List"/>
        <w:ind w:left="1440"/>
      </w:pPr>
      <w:r w:rsidRPr="009F1CEA">
        <w:t>(</w:t>
      </w:r>
      <w:r>
        <w:t>f</w:t>
      </w:r>
      <w:r w:rsidRPr="009F1CEA">
        <w:t>)</w:t>
      </w:r>
      <w:r w:rsidRPr="009F1CEA">
        <w:tab/>
        <w:t xml:space="preserve">For Ancillary Service Obligations not self-arranged, the product of the quantity of Ancillary Service Obligation not self-arranged multiplied by the </w:t>
      </w:r>
      <w:r w:rsidRPr="00CA2AF7">
        <w:rPr>
          <w:i/>
        </w:rPr>
        <w:t>t</w:t>
      </w:r>
      <w:r w:rsidRPr="009F1CEA">
        <w:rPr>
          <w:vertAlign w:val="superscript"/>
        </w:rPr>
        <w:t>th</w:t>
      </w:r>
      <w:r w:rsidRPr="009F1CEA">
        <w:t xml:space="preserve"> percentile of the hourly MCPC for that Ancillary Service over the previous 30 days for that hour.  For negative Self-Arranged Ancillary Service Quantities, the absolute value of the product of the quantity of the negative Self-Arranged Ancillary Service Quantity times the </w:t>
      </w:r>
      <w:r w:rsidRPr="00CA2AF7">
        <w:rPr>
          <w:i/>
        </w:rPr>
        <w:t>t</w:t>
      </w:r>
      <w:r w:rsidRPr="00CA2AF7">
        <w:rPr>
          <w:vertAlign w:val="superscript"/>
        </w:rPr>
        <w:t>th</w:t>
      </w:r>
      <w:r w:rsidRPr="009F1CEA">
        <w:t xml:space="preserve"> percentile of the hourly MCPC for that Ancillary Service over the previous 30 days for that hour.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8908C4" w:rsidRPr="004B32CF" w14:paraId="562F06C4" w14:textId="77777777" w:rsidTr="007258B7">
        <w:trPr>
          <w:trHeight w:val="386"/>
        </w:trPr>
        <w:tc>
          <w:tcPr>
            <w:tcW w:w="9350" w:type="dxa"/>
            <w:shd w:val="pct12" w:color="auto" w:fill="auto"/>
          </w:tcPr>
          <w:p w14:paraId="4CABDB01" w14:textId="3265FDB4" w:rsidR="008908C4" w:rsidRPr="004B32CF" w:rsidRDefault="008908C4" w:rsidP="007258B7">
            <w:pPr>
              <w:spacing w:before="120" w:after="240"/>
              <w:rPr>
                <w:b/>
                <w:i/>
                <w:iCs/>
              </w:rPr>
            </w:pPr>
            <w:r>
              <w:rPr>
                <w:b/>
                <w:i/>
                <w:iCs/>
              </w:rPr>
              <w:t>[NPRR1008</w:t>
            </w:r>
            <w:r w:rsidR="005147CC">
              <w:rPr>
                <w:b/>
                <w:i/>
                <w:iCs/>
              </w:rPr>
              <w:t xml:space="preserve"> and NPRR1014</w:t>
            </w:r>
            <w:r w:rsidRPr="004B32CF">
              <w:rPr>
                <w:b/>
                <w:i/>
                <w:iCs/>
              </w:rPr>
              <w:t xml:space="preserve">:  </w:t>
            </w:r>
            <w:r>
              <w:rPr>
                <w:b/>
                <w:i/>
                <w:iCs/>
              </w:rPr>
              <w:t xml:space="preserve">Insert </w:t>
            </w:r>
            <w:r w:rsidR="005147CC">
              <w:rPr>
                <w:b/>
                <w:i/>
                <w:iCs/>
              </w:rPr>
              <w:t xml:space="preserve">applicable portions of </w:t>
            </w:r>
            <w:r>
              <w:rPr>
                <w:b/>
                <w:i/>
                <w:iCs/>
              </w:rPr>
              <w:t>paragraph (g) below</w:t>
            </w:r>
            <w:r w:rsidRPr="004B32CF">
              <w:rPr>
                <w:b/>
                <w:i/>
                <w:iCs/>
              </w:rPr>
              <w:t xml:space="preserve"> upon system implementation</w:t>
            </w:r>
            <w:r>
              <w:rPr>
                <w:b/>
                <w:i/>
                <w:iCs/>
              </w:rPr>
              <w:t xml:space="preserve"> of the Real-Time Co-Optimization (RTC) project</w:t>
            </w:r>
            <w:r w:rsidR="005147CC">
              <w:rPr>
                <w:b/>
                <w:i/>
                <w:iCs/>
              </w:rPr>
              <w:t xml:space="preserve"> for NPRR1008; or upon system implementation</w:t>
            </w:r>
            <w:r w:rsidR="00E30EAB">
              <w:rPr>
                <w:b/>
                <w:i/>
                <w:iCs/>
              </w:rPr>
              <w:t xml:space="preserve"> for </w:t>
            </w:r>
            <w:r w:rsidR="001B5D93">
              <w:rPr>
                <w:b/>
                <w:i/>
                <w:iCs/>
              </w:rPr>
              <w:t>NPRR1014</w:t>
            </w:r>
            <w:r w:rsidR="005147CC">
              <w:rPr>
                <w:b/>
                <w:i/>
                <w:iCs/>
              </w:rPr>
              <w:t>;</w:t>
            </w:r>
            <w:r>
              <w:rPr>
                <w:b/>
                <w:i/>
                <w:iCs/>
              </w:rPr>
              <w:t xml:space="preserve"> and renumber accordingly</w:t>
            </w:r>
            <w:r w:rsidRPr="004B32CF">
              <w:rPr>
                <w:b/>
                <w:i/>
                <w:iCs/>
              </w:rPr>
              <w:t>:]</w:t>
            </w:r>
          </w:p>
          <w:p w14:paraId="77FD944B" w14:textId="3529A76E" w:rsidR="008908C4" w:rsidRPr="008908C4" w:rsidRDefault="008908C4" w:rsidP="008908C4">
            <w:pPr>
              <w:pStyle w:val="List"/>
              <w:ind w:left="1440"/>
            </w:pPr>
            <w:r>
              <w:t>(g)</w:t>
            </w:r>
            <w:r>
              <w:tab/>
              <w:t xml:space="preserve">For Ancillary Service Only Offers, credit exposure will be increased by the sum of the quantity of the Ancillary Service Only Offer multiplied by the </w:t>
            </w:r>
            <w:r>
              <w:rPr>
                <w:i/>
              </w:rPr>
              <w:t>dp</w:t>
            </w:r>
            <w:r w:rsidRPr="00F62177">
              <w:rPr>
                <w:vertAlign w:val="superscript"/>
              </w:rPr>
              <w:t>th</w:t>
            </w:r>
            <w:r>
              <w:t xml:space="preserve"> percentile of the positive hourly difference for that Ancillary Service between RTMCPC and DAMCPC for that Ancillary Service over the previous 30 days for the Operating Hour of the Ancillary Service Only Offer.</w:t>
            </w:r>
          </w:p>
        </w:tc>
      </w:tr>
    </w:tbl>
    <w:p w14:paraId="11EABBDA" w14:textId="1E28B526" w:rsidR="00117078" w:rsidRDefault="00117078" w:rsidP="00F539C2">
      <w:pPr>
        <w:pStyle w:val="List"/>
        <w:spacing w:before="240"/>
        <w:ind w:left="1440"/>
      </w:pPr>
      <w:r>
        <w:t>(g)</w:t>
      </w:r>
      <w:r>
        <w:tab/>
        <w:t xml:space="preserve">Values </w:t>
      </w:r>
      <w:r w:rsidRPr="00CA2AF7">
        <w:rPr>
          <w:i/>
        </w:rPr>
        <w:t>e1</w:t>
      </w:r>
      <w:r>
        <w:t xml:space="preserve">, </w:t>
      </w:r>
      <w:r w:rsidRPr="00CA2AF7">
        <w:rPr>
          <w:i/>
        </w:rPr>
        <w:t>e2</w:t>
      </w:r>
      <w:r>
        <w:t xml:space="preserve">, or </w:t>
      </w:r>
      <w:r w:rsidRPr="00CA2AF7">
        <w:rPr>
          <w:i/>
        </w:rPr>
        <w:t>e3</w:t>
      </w:r>
      <w:r>
        <w:t xml:space="preserve">, which are applicable to items (a) and (b) above, under conditions described below, will be determined and applied at ERCOT’s sole discretion.  Within the application parameters identified below, ERCOT shall </w:t>
      </w:r>
      <w:r>
        <w:lastRenderedPageBreak/>
        <w:t xml:space="preserve">establish values for </w:t>
      </w:r>
      <w:r w:rsidRPr="00CA2AF7">
        <w:rPr>
          <w:i/>
        </w:rPr>
        <w:t>e1</w:t>
      </w:r>
      <w:r>
        <w:t xml:space="preserve">, </w:t>
      </w:r>
      <w:r w:rsidRPr="00CA2AF7">
        <w:rPr>
          <w:i/>
        </w:rPr>
        <w:t>e2</w:t>
      </w:r>
      <w:r>
        <w:t xml:space="preserve">, and </w:t>
      </w:r>
      <w:r w:rsidRPr="00CA2AF7">
        <w:rPr>
          <w:i/>
        </w:rPr>
        <w:t>e3</w:t>
      </w:r>
      <w:r>
        <w:t xml:space="preserve"> and provide notice to an affected Counter-Party of any changes to </w:t>
      </w:r>
      <w:r w:rsidRPr="00CA2AF7">
        <w:rPr>
          <w:i/>
        </w:rPr>
        <w:t>e1</w:t>
      </w:r>
      <w:r>
        <w:t xml:space="preserve">, </w:t>
      </w:r>
      <w:r w:rsidRPr="00CA2AF7">
        <w:rPr>
          <w:i/>
        </w:rPr>
        <w:t>e2</w:t>
      </w:r>
      <w:r>
        <w:t xml:space="preserve">, or </w:t>
      </w:r>
      <w:r w:rsidRPr="00CA2AF7">
        <w:rPr>
          <w:i/>
        </w:rPr>
        <w:t>e3</w:t>
      </w:r>
      <w:r>
        <w:t xml:space="preserve"> before 0900 generally two Bank Business Days prior to the normally scheduled DAM 1000 by a minimum of two of these methods:  written, electronic, posting to the MIS Certified Area or telephonic.  However, ERCOT may adjust any DAM credit parameter immediately if, in its sole discretion, ERCOT determines that the parameter(s) set for a Counter-Party do not adequately match the financial risk created by that Counter-Party’s activities in the market.  ERCOT shall review the values for </w:t>
      </w:r>
      <w:r w:rsidRPr="00CA2AF7">
        <w:rPr>
          <w:i/>
        </w:rPr>
        <w:t>e1</w:t>
      </w:r>
      <w:r>
        <w:t xml:space="preserve">, </w:t>
      </w:r>
      <w:r w:rsidRPr="00CA2AF7">
        <w:rPr>
          <w:i/>
        </w:rPr>
        <w:t>e2</w:t>
      </w:r>
      <w:r>
        <w:t xml:space="preserve">, or </w:t>
      </w:r>
      <w:r w:rsidRPr="00CA2AF7">
        <w:rPr>
          <w:i/>
        </w:rPr>
        <w:t>e3</w:t>
      </w:r>
      <w:r>
        <w:t xml:space="preserve"> for each Counter-Party no less than once every two weeks.  ERCOT shall provide written or electronic notice to the Counter-Party of the basis for ERCOT’s assessment, or change of assessment, of the exposure adjustment variable established for the Counter-Party and the impact of the adjustment.</w:t>
      </w:r>
    </w:p>
    <w:p w14:paraId="753542CE" w14:textId="77777777" w:rsidR="00117078" w:rsidRDefault="00117078" w:rsidP="00117078">
      <w:pPr>
        <w:pStyle w:val="List"/>
        <w:ind w:left="2160"/>
      </w:pPr>
      <w:r>
        <w:t>(i)</w:t>
      </w:r>
      <w:r>
        <w:tab/>
        <w:t xml:space="preserve">The value of each exposure adjustment </w:t>
      </w:r>
      <w:r w:rsidRPr="00CA2AF7">
        <w:rPr>
          <w:i/>
        </w:rPr>
        <w:t>e1</w:t>
      </w:r>
      <w:r>
        <w:t xml:space="preserve">, </w:t>
      </w:r>
      <w:r w:rsidRPr="00CA2AF7">
        <w:rPr>
          <w:i/>
        </w:rPr>
        <w:t>e2</w:t>
      </w:r>
      <w:r>
        <w:t xml:space="preserve">, and </w:t>
      </w:r>
      <w:r w:rsidRPr="00CA2AF7">
        <w:rPr>
          <w:i/>
        </w:rPr>
        <w:t>e3</w:t>
      </w:r>
      <w:r>
        <w:t xml:space="preserve"> is a value between zero and one, rounded to the nearest hundredth decimal place, set by ERCOT by Counter-Party.  The values ERCOT establishes for </w:t>
      </w:r>
      <w:r w:rsidRPr="00CA2AF7">
        <w:rPr>
          <w:i/>
        </w:rPr>
        <w:t>e1</w:t>
      </w:r>
      <w:r>
        <w:t xml:space="preserve">, </w:t>
      </w:r>
      <w:r w:rsidRPr="00CA2AF7">
        <w:rPr>
          <w:i/>
        </w:rPr>
        <w:t>e2</w:t>
      </w:r>
      <w:r>
        <w:t xml:space="preserve">, and </w:t>
      </w:r>
      <w:r w:rsidRPr="00CA2AF7">
        <w:rPr>
          <w:i/>
        </w:rPr>
        <w:t>e3</w:t>
      </w:r>
      <w:r>
        <w:t xml:space="preserve"> for a Counter-Party shall be applied equally to the portfolio of all QSEs represented by such Counter-Party.</w:t>
      </w:r>
    </w:p>
    <w:p w14:paraId="1750C3E9" w14:textId="77777777" w:rsidR="00117078" w:rsidRDefault="00117078" w:rsidP="00117078">
      <w:pPr>
        <w:pStyle w:val="List"/>
        <w:ind w:left="1440"/>
      </w:pPr>
      <w:r>
        <w:t>(h)</w:t>
      </w:r>
      <w:r>
        <w:tab/>
        <w:t xml:space="preserve">ERCOT must re-examine DAM credit parameters immediately if </w:t>
      </w:r>
      <w:r w:rsidRPr="00586BB5">
        <w:t>Counter</w:t>
      </w:r>
      <w:r>
        <w:t>-</w:t>
      </w:r>
      <w:r w:rsidRPr="00586BB5">
        <w:t xml:space="preserve">Party </w:t>
      </w:r>
      <w:r w:rsidRPr="00281FE7">
        <w:t>exceeds 90</w:t>
      </w:r>
      <w:r w:rsidRPr="00586BB5">
        <w:t>% of</w:t>
      </w:r>
      <w:r>
        <w:t xml:space="preserve"> its</w:t>
      </w:r>
      <w:r w:rsidRPr="00586BB5">
        <w:t xml:space="preserve"> Available Credit Limit (ACL) available to DAM</w:t>
      </w:r>
      <w:r>
        <w:t>.</w:t>
      </w:r>
    </w:p>
    <w:p w14:paraId="10788ADA" w14:textId="77777777" w:rsidR="00117078" w:rsidRPr="00A9562B" w:rsidRDefault="00117078" w:rsidP="00117078">
      <w:pPr>
        <w:spacing w:after="240"/>
        <w:ind w:left="720" w:hanging="720"/>
      </w:pPr>
      <w:r w:rsidRPr="00A9562B">
        <w:t>(</w:t>
      </w:r>
      <w:r>
        <w:t>7</w:t>
      </w:r>
      <w:r w:rsidRPr="00A9562B">
        <w:t>)</w:t>
      </w:r>
      <w:r w:rsidRPr="00A9562B">
        <w:tab/>
        <w:t xml:space="preserve">A Counter-Party may request more favorable parameters from ERCOT by agreeing to all of the conditions below: </w:t>
      </w:r>
    </w:p>
    <w:p w14:paraId="7B73926D" w14:textId="441BE548" w:rsidR="00117078" w:rsidRPr="00090BA6" w:rsidRDefault="005147CC" w:rsidP="005147CC">
      <w:pPr>
        <w:pStyle w:val="List"/>
        <w:ind w:left="1440"/>
      </w:pPr>
      <w:r>
        <w:t>(a)</w:t>
      </w:r>
      <w:r>
        <w:tab/>
      </w:r>
      <w:r w:rsidR="00117078" w:rsidRPr="00090BA6">
        <w:t>The Counter-Party shall notify ERCOT of any expected changes to Ratio1 or Ratio2, due to change in activity</w:t>
      </w:r>
      <w:r w:rsidR="00117078">
        <w:t>,</w:t>
      </w:r>
      <w:r w:rsidR="00117078" w:rsidRPr="00090BA6">
        <w:t xml:space="preserve"> as described below, and the likely duration of such change as soon as practicable, but no later </w:t>
      </w:r>
      <w:r w:rsidR="00117078">
        <w:t>t</w:t>
      </w:r>
      <w:r w:rsidR="00117078" w:rsidRPr="00090BA6">
        <w:t>han two Business Days in advance of the change:</w:t>
      </w:r>
    </w:p>
    <w:p w14:paraId="7D079814" w14:textId="6BCA57D4" w:rsidR="00117078" w:rsidRPr="00090BA6" w:rsidRDefault="005147CC" w:rsidP="005147CC">
      <w:pPr>
        <w:spacing w:after="240"/>
        <w:ind w:left="2160" w:hanging="720"/>
      </w:pPr>
      <w:r>
        <w:t>(i)</w:t>
      </w:r>
      <w:r>
        <w:tab/>
      </w:r>
      <w:r w:rsidR="00117078" w:rsidRPr="00090BA6">
        <w:t xml:space="preserve">If Ratio1 as defined in </w:t>
      </w:r>
      <w:r w:rsidR="00117078">
        <w:t xml:space="preserve">paragraph </w:t>
      </w:r>
      <w:r w:rsidR="00117078" w:rsidRPr="00090BA6">
        <w:t>(6)(a)(ii)(B)</w:t>
      </w:r>
      <w:r w:rsidR="00117078">
        <w:t xml:space="preserve"> </w:t>
      </w:r>
      <w:r w:rsidR="00117078" w:rsidRPr="00090BA6">
        <w:t xml:space="preserve">above is likely to be greater than the Counter-Party's currently assigned value of </w:t>
      </w:r>
      <w:r w:rsidR="00117078" w:rsidRPr="00B2492F">
        <w:rPr>
          <w:i/>
        </w:rPr>
        <w:t>e1</w:t>
      </w:r>
      <w:r w:rsidR="00117078" w:rsidRPr="00090BA6">
        <w:t xml:space="preserve"> for particular day(s), then the estimated daily values of Ratio1 specifying the day(s) along with the daily DAM Energy Bid, E</w:t>
      </w:r>
      <w:r w:rsidR="00117078">
        <w:t>nergy-</w:t>
      </w:r>
      <w:r w:rsidR="00117078" w:rsidRPr="00090BA6">
        <w:t>O</w:t>
      </w:r>
      <w:r w:rsidR="00117078">
        <w:t xml:space="preserve">nly </w:t>
      </w:r>
      <w:r w:rsidR="00117078" w:rsidRPr="00090BA6">
        <w:t>O</w:t>
      </w:r>
      <w:r w:rsidR="00117078">
        <w:t>ffer</w:t>
      </w:r>
      <w:r w:rsidR="00117078" w:rsidRPr="00090BA6">
        <w:t>, and T</w:t>
      </w:r>
      <w:r w:rsidR="00117078">
        <w:t>hree-</w:t>
      </w:r>
      <w:r w:rsidR="00117078" w:rsidRPr="00090BA6">
        <w:t>P</w:t>
      </w:r>
      <w:r w:rsidR="00117078">
        <w:t xml:space="preserve">art Supply </w:t>
      </w:r>
      <w:r w:rsidR="00117078" w:rsidRPr="00090BA6">
        <w:t>O</w:t>
      </w:r>
      <w:r w:rsidR="00117078">
        <w:t>ffer</w:t>
      </w:r>
      <w:r w:rsidR="00117078" w:rsidRPr="00090BA6">
        <w:t xml:space="preserve"> quantity assumptions used to arrive at those values; and</w:t>
      </w:r>
    </w:p>
    <w:p w14:paraId="7F135B9C" w14:textId="4C98531B" w:rsidR="00117078" w:rsidRPr="00090BA6" w:rsidRDefault="005147CC" w:rsidP="005147CC">
      <w:pPr>
        <w:spacing w:after="240"/>
        <w:ind w:left="2160" w:hanging="720"/>
      </w:pPr>
      <w:r>
        <w:t>(ii)</w:t>
      </w:r>
      <w:r>
        <w:tab/>
      </w:r>
      <w:r w:rsidR="00117078" w:rsidRPr="00090BA6">
        <w:t xml:space="preserve">If Ratio2 as defined in </w:t>
      </w:r>
      <w:r w:rsidR="00117078">
        <w:t xml:space="preserve">paragraph </w:t>
      </w:r>
      <w:r w:rsidR="00117078" w:rsidRPr="00090BA6">
        <w:t>(6)(b)(i)(A)(1)</w:t>
      </w:r>
      <w:r w:rsidR="00117078">
        <w:t xml:space="preserve"> </w:t>
      </w:r>
      <w:r w:rsidR="00117078" w:rsidRPr="00090BA6">
        <w:t xml:space="preserve">above is likely to be lower than the Counter-Party's currently assigned value of </w:t>
      </w:r>
      <w:r w:rsidR="00117078" w:rsidRPr="00B2492F">
        <w:rPr>
          <w:i/>
        </w:rPr>
        <w:t>e2</w:t>
      </w:r>
      <w:r w:rsidR="00117078" w:rsidRPr="00090BA6">
        <w:t xml:space="preserve"> for particular day(s), then the estimated daily values of Ratio2 specifying the day(s) along with the daily DAM Energy Bid, E</w:t>
      </w:r>
      <w:r w:rsidR="00117078">
        <w:t>nergy-</w:t>
      </w:r>
      <w:r w:rsidR="00117078" w:rsidRPr="00090BA6">
        <w:t>O</w:t>
      </w:r>
      <w:r w:rsidR="00117078">
        <w:t xml:space="preserve">nly </w:t>
      </w:r>
      <w:r w:rsidR="00117078" w:rsidRPr="00090BA6">
        <w:t>O</w:t>
      </w:r>
      <w:r w:rsidR="00117078">
        <w:t>ffer</w:t>
      </w:r>
      <w:r w:rsidR="00117078" w:rsidRPr="00090BA6">
        <w:t>, and T</w:t>
      </w:r>
      <w:r w:rsidR="00117078">
        <w:t>hree-</w:t>
      </w:r>
      <w:r w:rsidR="00117078" w:rsidRPr="00090BA6">
        <w:t>P</w:t>
      </w:r>
      <w:r w:rsidR="00117078">
        <w:t xml:space="preserve">art Supply </w:t>
      </w:r>
      <w:r w:rsidR="00117078" w:rsidRPr="00090BA6">
        <w:t>O</w:t>
      </w:r>
      <w:r w:rsidR="00117078">
        <w:t>ffer</w:t>
      </w:r>
      <w:r w:rsidR="00117078" w:rsidRPr="00090BA6">
        <w:t xml:space="preserve"> quantity assumption used to arrive at those values.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5147CC" w:rsidRPr="004B32CF" w14:paraId="410839B9" w14:textId="77777777" w:rsidTr="009540C4">
        <w:trPr>
          <w:trHeight w:val="386"/>
        </w:trPr>
        <w:tc>
          <w:tcPr>
            <w:tcW w:w="9350" w:type="dxa"/>
            <w:shd w:val="pct12" w:color="auto" w:fill="auto"/>
          </w:tcPr>
          <w:p w14:paraId="4F6AFA5B" w14:textId="455E728B" w:rsidR="005147CC" w:rsidRPr="004B32CF" w:rsidRDefault="005147CC" w:rsidP="009540C4">
            <w:pPr>
              <w:spacing w:before="120" w:after="240"/>
              <w:rPr>
                <w:b/>
                <w:i/>
                <w:iCs/>
              </w:rPr>
            </w:pPr>
            <w:r>
              <w:rPr>
                <w:b/>
                <w:i/>
                <w:iCs/>
              </w:rPr>
              <w:t>[NPRR1014</w:t>
            </w:r>
            <w:r w:rsidRPr="004B32CF">
              <w:rPr>
                <w:b/>
                <w:i/>
                <w:iCs/>
              </w:rPr>
              <w:t xml:space="preserve">:  </w:t>
            </w:r>
            <w:r>
              <w:rPr>
                <w:b/>
                <w:i/>
                <w:iCs/>
              </w:rPr>
              <w:t>Replace paragraph (a) above with the following</w:t>
            </w:r>
            <w:r w:rsidRPr="004B32CF">
              <w:rPr>
                <w:b/>
                <w:i/>
                <w:iCs/>
              </w:rPr>
              <w:t xml:space="preserve"> upon system implementation:]</w:t>
            </w:r>
          </w:p>
          <w:p w14:paraId="169860C5" w14:textId="77777777" w:rsidR="005147CC" w:rsidRPr="00090BA6" w:rsidRDefault="005147CC" w:rsidP="005147CC">
            <w:pPr>
              <w:pStyle w:val="List"/>
              <w:ind w:left="1440"/>
            </w:pPr>
            <w:r>
              <w:lastRenderedPageBreak/>
              <w:t>(a)</w:t>
            </w:r>
            <w:r>
              <w:tab/>
            </w:r>
            <w:r w:rsidRPr="00090BA6">
              <w:t>The Counter-Party shall notify ERCOT of any expected changes to Ratio1 or Ratio2, due to change in activity</w:t>
            </w:r>
            <w:r>
              <w:t>,</w:t>
            </w:r>
            <w:r w:rsidRPr="00090BA6">
              <w:t xml:space="preserve"> as described below, and the likely duration of such change as soon as practicable, but no later </w:t>
            </w:r>
            <w:r>
              <w:t>t</w:t>
            </w:r>
            <w:r w:rsidRPr="00090BA6">
              <w:t>han two Business Days in advance of the change:</w:t>
            </w:r>
          </w:p>
          <w:p w14:paraId="6EC53536" w14:textId="30DB20D7" w:rsidR="005147CC" w:rsidRPr="00090BA6" w:rsidRDefault="005147CC" w:rsidP="005147CC">
            <w:pPr>
              <w:spacing w:after="240"/>
              <w:ind w:left="2160" w:hanging="720"/>
            </w:pPr>
            <w:r>
              <w:t>(i)</w:t>
            </w:r>
            <w:r>
              <w:tab/>
            </w:r>
            <w:r w:rsidRPr="00090BA6">
              <w:t xml:space="preserve">If Ratio1 as defined in </w:t>
            </w:r>
            <w:r>
              <w:t xml:space="preserve">paragraph </w:t>
            </w:r>
            <w:r w:rsidRPr="00090BA6">
              <w:t>(6)(a)(ii)(B)</w:t>
            </w:r>
            <w:r>
              <w:t xml:space="preserve"> </w:t>
            </w:r>
            <w:r w:rsidRPr="00090BA6">
              <w:t xml:space="preserve">above is likely to be greater than the Counter-Party's currently assigned value of </w:t>
            </w:r>
            <w:r w:rsidRPr="00B2492F">
              <w:rPr>
                <w:i/>
              </w:rPr>
              <w:t>e1</w:t>
            </w:r>
            <w:r w:rsidRPr="00090BA6">
              <w:t xml:space="preserve"> for particular day(s), then the estimated daily values of Ratio1 specifying the day(s) along with the daily DAM Energy Bid, E</w:t>
            </w:r>
            <w:r>
              <w:t>nergy-</w:t>
            </w:r>
            <w:r w:rsidRPr="00090BA6">
              <w:t>O</w:t>
            </w:r>
            <w:r>
              <w:t xml:space="preserve">nly </w:t>
            </w:r>
            <w:r w:rsidRPr="00090BA6">
              <w:t>O</w:t>
            </w:r>
            <w:r>
              <w:t>ffer</w:t>
            </w:r>
            <w:r w:rsidRPr="00090BA6">
              <w:t xml:space="preserve">, </w:t>
            </w:r>
            <w:r w:rsidRPr="00A552C3">
              <w:t xml:space="preserve">Energy Bid/Offer Curves, </w:t>
            </w:r>
            <w:r w:rsidRPr="00090BA6">
              <w:t>and T</w:t>
            </w:r>
            <w:r>
              <w:t>hree-</w:t>
            </w:r>
            <w:r w:rsidRPr="00090BA6">
              <w:t>P</w:t>
            </w:r>
            <w:r>
              <w:t xml:space="preserve">art Supply </w:t>
            </w:r>
            <w:r w:rsidRPr="00090BA6">
              <w:t>O</w:t>
            </w:r>
            <w:r>
              <w:t>ffer</w:t>
            </w:r>
            <w:r w:rsidRPr="00090BA6">
              <w:t xml:space="preserve"> quantity assumptions used to arrive at those values; and</w:t>
            </w:r>
          </w:p>
          <w:p w14:paraId="561364A0" w14:textId="61879B04" w:rsidR="005147CC" w:rsidRPr="00526266" w:rsidRDefault="005147CC" w:rsidP="005147CC">
            <w:pPr>
              <w:spacing w:after="240"/>
              <w:ind w:left="2160" w:hanging="720"/>
            </w:pPr>
            <w:r>
              <w:t>(ii)</w:t>
            </w:r>
            <w:r>
              <w:tab/>
            </w:r>
            <w:r w:rsidRPr="00090BA6">
              <w:t xml:space="preserve">If Ratio2 as defined in </w:t>
            </w:r>
            <w:r>
              <w:t xml:space="preserve">paragraph </w:t>
            </w:r>
            <w:r w:rsidRPr="00090BA6">
              <w:t>(6)(b)(i)(A)(1)</w:t>
            </w:r>
            <w:r>
              <w:t xml:space="preserve"> </w:t>
            </w:r>
            <w:r w:rsidRPr="00090BA6">
              <w:t xml:space="preserve">above is likely to be lower than the Counter-Party's currently assigned value of </w:t>
            </w:r>
            <w:r w:rsidRPr="00B2492F">
              <w:rPr>
                <w:i/>
              </w:rPr>
              <w:t>e2</w:t>
            </w:r>
            <w:r w:rsidRPr="00090BA6">
              <w:t xml:space="preserve"> for particular day(s), then the estimated daily values of Ratio2 specifying the day(s) along with the daily DAM Energy Bid, E</w:t>
            </w:r>
            <w:r>
              <w:t>nergy-</w:t>
            </w:r>
            <w:r w:rsidRPr="00090BA6">
              <w:t>O</w:t>
            </w:r>
            <w:r>
              <w:t xml:space="preserve">nly </w:t>
            </w:r>
            <w:r w:rsidRPr="00090BA6">
              <w:t>O</w:t>
            </w:r>
            <w:r>
              <w:t>ffer</w:t>
            </w:r>
            <w:r w:rsidRPr="00090BA6">
              <w:t xml:space="preserve">, </w:t>
            </w:r>
            <w:r w:rsidRPr="00A552C3">
              <w:t xml:space="preserve">Energy Bid/Offer Curves, </w:t>
            </w:r>
            <w:r w:rsidRPr="00090BA6">
              <w:t>and T</w:t>
            </w:r>
            <w:r>
              <w:t>hree-</w:t>
            </w:r>
            <w:r w:rsidRPr="00090BA6">
              <w:t>P</w:t>
            </w:r>
            <w:r>
              <w:t xml:space="preserve">art Supply </w:t>
            </w:r>
            <w:r w:rsidRPr="00090BA6">
              <w:t>O</w:t>
            </w:r>
            <w:r>
              <w:t>ffer</w:t>
            </w:r>
            <w:r w:rsidRPr="00090BA6">
              <w:t xml:space="preserve"> quantity assumption used to arrive at those values.</w:t>
            </w:r>
          </w:p>
        </w:tc>
      </w:tr>
    </w:tbl>
    <w:p w14:paraId="5165E8F3" w14:textId="263650E6" w:rsidR="00117078" w:rsidRPr="00090BA6" w:rsidRDefault="005147CC" w:rsidP="00F539C2">
      <w:pPr>
        <w:spacing w:before="240" w:after="240"/>
        <w:ind w:left="1440" w:hanging="720"/>
      </w:pPr>
      <w:r>
        <w:lastRenderedPageBreak/>
        <w:t>(b)</w:t>
      </w:r>
      <w:r>
        <w:tab/>
      </w:r>
      <w:r w:rsidR="00117078" w:rsidRPr="00090BA6">
        <w:t xml:space="preserve">ERCOT, in its sole discretion, will determine the adequacy of the disclosures made in </w:t>
      </w:r>
      <w:r w:rsidR="00117078">
        <w:t>item</w:t>
      </w:r>
      <w:r w:rsidR="00117078" w:rsidRPr="00090BA6">
        <w:t xml:space="preserve"> (</w:t>
      </w:r>
      <w:r w:rsidR="00117078">
        <w:t>a</w:t>
      </w:r>
      <w:r w:rsidR="00117078" w:rsidRPr="00090BA6">
        <w:t>) above and may require additional information as needed to evaluate whether a Counter- Party is eligible for favorable treatment.</w:t>
      </w:r>
    </w:p>
    <w:p w14:paraId="08EFD15C" w14:textId="288D9E4E" w:rsidR="00117078" w:rsidRPr="00090BA6" w:rsidRDefault="005147CC" w:rsidP="005147CC">
      <w:pPr>
        <w:spacing w:after="240"/>
        <w:ind w:left="1440" w:hanging="720"/>
      </w:pPr>
      <w:r>
        <w:t>(c)</w:t>
      </w:r>
      <w:r>
        <w:tab/>
      </w:r>
      <w:r w:rsidR="00117078" w:rsidRPr="00090BA6">
        <w:t>ERCOT may change the requirements</w:t>
      </w:r>
      <w:r w:rsidR="00117078">
        <w:t xml:space="preserve"> for providing information, as described in item</w:t>
      </w:r>
      <w:r w:rsidR="00117078" w:rsidRPr="00090BA6">
        <w:t xml:space="preserve"> (</w:t>
      </w:r>
      <w:r w:rsidR="00117078">
        <w:t>a</w:t>
      </w:r>
      <w:r w:rsidR="00117078" w:rsidRPr="00090BA6">
        <w:t>) above</w:t>
      </w:r>
      <w:r w:rsidR="00117078">
        <w:t>,</w:t>
      </w:r>
      <w:r w:rsidR="00117078" w:rsidRPr="00090BA6">
        <w:t xml:space="preserve"> to ensure that reasonable information is obtained from Counter-Parties.</w:t>
      </w:r>
    </w:p>
    <w:p w14:paraId="752DA49C" w14:textId="22CCB43E" w:rsidR="00117078" w:rsidRPr="00090BA6" w:rsidRDefault="005147CC" w:rsidP="005147CC">
      <w:pPr>
        <w:spacing w:after="240"/>
        <w:ind w:left="1440" w:hanging="720"/>
      </w:pPr>
      <w:r>
        <w:t>(d)</w:t>
      </w:r>
      <w:r>
        <w:tab/>
      </w:r>
      <w:r w:rsidR="00117078" w:rsidRPr="00090BA6">
        <w:t>ERCOT may, but is not required, to use information provided by a Counter-Party to re-evaluate DAM credit parameters and may take other informatio</w:t>
      </w:r>
      <w:r>
        <w:t>n into consideration as needed.</w:t>
      </w:r>
      <w:r w:rsidR="00117078" w:rsidRPr="00090BA6">
        <w:t xml:space="preserve">    </w:t>
      </w:r>
    </w:p>
    <w:p w14:paraId="7310E91C" w14:textId="0530AF29" w:rsidR="00117078" w:rsidRPr="00090BA6" w:rsidRDefault="005147CC" w:rsidP="005147CC">
      <w:pPr>
        <w:spacing w:after="240"/>
        <w:ind w:left="1440" w:hanging="720"/>
      </w:pPr>
      <w:r>
        <w:t>(e)</w:t>
      </w:r>
      <w:r>
        <w:tab/>
      </w:r>
      <w:r w:rsidR="00117078" w:rsidRPr="00090BA6">
        <w:t xml:space="preserve">If ERCOT determines that information provided to ERCOT is erroneous or that ERCOT has not been notified of required changes, ERCOT may set all parameters for the Counter-Party to the default values with a possible adder on the </w:t>
      </w:r>
      <w:r w:rsidR="00117078" w:rsidRPr="005147CC">
        <w:t>e1</w:t>
      </w:r>
      <w:r w:rsidR="00117078" w:rsidRPr="00090BA6">
        <w:t xml:space="preserve"> variable, at ERCOT's sole discretion, for a period of not less than seven days and until ERCOT is satisfied that the Counter-Party has and will comply with the conditions set forth in this Section.  In no case shall the adder result in an </w:t>
      </w:r>
      <w:r w:rsidR="00117078" w:rsidRPr="005147CC">
        <w:t>e1</w:t>
      </w:r>
      <w:r w:rsidR="00117078" w:rsidRPr="00090BA6">
        <w:t xml:space="preserve"> value greater than one.</w:t>
      </w:r>
    </w:p>
    <w:p w14:paraId="6ACBBB80" w14:textId="77777777" w:rsidR="00117078" w:rsidRPr="001A1873" w:rsidRDefault="00117078" w:rsidP="00117078">
      <w:pPr>
        <w:pStyle w:val="BodyText"/>
        <w:ind w:left="720" w:hanging="720"/>
      </w:pPr>
      <w:r>
        <w:t>(8)</w:t>
      </w:r>
      <w:r>
        <w:rPr>
          <w:iCs w:val="0"/>
          <w:color w:val="000000"/>
        </w:rPr>
        <w:tab/>
      </w:r>
      <w:r w:rsidRPr="00594494">
        <w:t>Beginning no later than 0800 and ending at 0945 each Business Day, ERCOT shall p</w:t>
      </w:r>
      <w:r>
        <w:t>ost to the MIS Certified Area, approximately every</w:t>
      </w:r>
      <w:r w:rsidRPr="00594494">
        <w:t xml:space="preserve"> 15 minutes, each active Counter-Party’s remaining Available Credit </w:t>
      </w:r>
      <w:r>
        <w:t>Limit (ACL) for that day’s DAM and the time at which the report was run</w:t>
      </w:r>
      <w:r w:rsidRPr="00594494">
        <w:t xml:space="preserve">. </w:t>
      </w:r>
    </w:p>
    <w:p w14:paraId="24E4FFBC" w14:textId="77777777" w:rsidR="00117078" w:rsidRDefault="00117078" w:rsidP="00117078">
      <w:pPr>
        <w:pStyle w:val="BodyText"/>
        <w:ind w:left="720" w:hanging="720"/>
      </w:pPr>
      <w:r>
        <w:rPr>
          <w:iCs w:val="0"/>
          <w:color w:val="000000"/>
        </w:rPr>
        <w:t>(9)</w:t>
      </w:r>
      <w:r>
        <w:rPr>
          <w:iCs w:val="0"/>
          <w:color w:val="000000"/>
        </w:rPr>
        <w:tab/>
      </w:r>
      <w:r>
        <w:t xml:space="preserve">After the DAM results are posted, </w:t>
      </w:r>
      <w:r>
        <w:rPr>
          <w:color w:val="000000"/>
        </w:rPr>
        <w:t>ERCOT</w:t>
      </w:r>
      <w:r>
        <w:t xml:space="preserve"> shall post once each Business Day on the MIS Certified Area each active Counter-Party’s calculated aggregate DAM credit exposure </w:t>
      </w:r>
      <w:r>
        <w:lastRenderedPageBreak/>
        <w:t>and its aggregate DAM credit exposure per transaction type, to the extent available, as it pertains to the most recent DAM Operating Day.  The transaction types are:</w:t>
      </w:r>
    </w:p>
    <w:p w14:paraId="003387DF" w14:textId="77777777" w:rsidR="00117078" w:rsidRDefault="00117078" w:rsidP="00117078">
      <w:pPr>
        <w:pStyle w:val="BodyText"/>
        <w:ind w:left="1440" w:hanging="720"/>
      </w:pPr>
      <w:r>
        <w:t>(a)</w:t>
      </w:r>
      <w:r>
        <w:tab/>
        <w:t xml:space="preserve">DAM Energy Bids; </w:t>
      </w:r>
    </w:p>
    <w:p w14:paraId="53F02ECE" w14:textId="77777777" w:rsidR="00117078" w:rsidRDefault="00117078" w:rsidP="00117078">
      <w:pPr>
        <w:pStyle w:val="BodyText"/>
        <w:ind w:left="1440" w:hanging="720"/>
      </w:pPr>
      <w:r>
        <w:t>(b)</w:t>
      </w:r>
      <w:r>
        <w:tab/>
        <w:t>DAM Energy Only Offers;</w:t>
      </w:r>
    </w:p>
    <w:p w14:paraId="404088E7" w14:textId="77777777" w:rsidR="00117078" w:rsidRDefault="00117078" w:rsidP="00117078">
      <w:pPr>
        <w:pStyle w:val="BodyText"/>
        <w:ind w:left="1440" w:hanging="720"/>
      </w:pPr>
      <w:r>
        <w:t>(c)</w:t>
      </w:r>
      <w:r>
        <w:tab/>
        <w:t>PTP Obligation Bids;</w:t>
      </w:r>
    </w:p>
    <w:p w14:paraId="06D0D5A5" w14:textId="77777777" w:rsidR="00117078" w:rsidRDefault="00117078" w:rsidP="00117078">
      <w:pPr>
        <w:pStyle w:val="BodyText"/>
        <w:ind w:left="1440" w:hanging="720"/>
      </w:pPr>
      <w:r>
        <w:t>(d)</w:t>
      </w:r>
      <w:r>
        <w:tab/>
        <w:t>Three-Part Supply Offers; and</w:t>
      </w:r>
    </w:p>
    <w:p w14:paraId="14A0D89C" w14:textId="77777777" w:rsidR="00117078" w:rsidRDefault="00117078" w:rsidP="00117078">
      <w:pPr>
        <w:pStyle w:val="BodyTextNumbered"/>
        <w:ind w:left="1440"/>
      </w:pPr>
      <w:r>
        <w:t>(e)</w:t>
      </w:r>
      <w:r>
        <w:tab/>
        <w:t>Ancillary Services.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8908C4" w:rsidRPr="004B32CF" w14:paraId="77CFFCDF" w14:textId="77777777" w:rsidTr="007258B7">
        <w:trPr>
          <w:trHeight w:val="386"/>
        </w:trPr>
        <w:tc>
          <w:tcPr>
            <w:tcW w:w="9350" w:type="dxa"/>
            <w:shd w:val="pct12" w:color="auto" w:fill="auto"/>
          </w:tcPr>
          <w:p w14:paraId="0EDFA17A" w14:textId="060491D8" w:rsidR="008908C4" w:rsidRPr="004B32CF" w:rsidRDefault="008908C4" w:rsidP="007258B7">
            <w:pPr>
              <w:spacing w:before="120" w:after="240"/>
              <w:rPr>
                <w:b/>
                <w:i/>
                <w:iCs/>
              </w:rPr>
            </w:pPr>
            <w:r>
              <w:rPr>
                <w:b/>
                <w:i/>
                <w:iCs/>
              </w:rPr>
              <w:t>[NPRR1008</w:t>
            </w:r>
            <w:r w:rsidR="005147CC">
              <w:rPr>
                <w:b/>
                <w:i/>
                <w:iCs/>
              </w:rPr>
              <w:t xml:space="preserve"> and NPRR1014</w:t>
            </w:r>
            <w:r w:rsidRPr="004B32CF">
              <w:rPr>
                <w:b/>
                <w:i/>
                <w:iCs/>
              </w:rPr>
              <w:t xml:space="preserve">:  </w:t>
            </w:r>
            <w:r>
              <w:rPr>
                <w:b/>
                <w:i/>
                <w:iCs/>
              </w:rPr>
              <w:t xml:space="preserve">Replace </w:t>
            </w:r>
            <w:r w:rsidR="005147CC">
              <w:rPr>
                <w:b/>
                <w:i/>
                <w:iCs/>
              </w:rPr>
              <w:t xml:space="preserve">applicable portions of </w:t>
            </w:r>
            <w:r>
              <w:rPr>
                <w:b/>
                <w:i/>
                <w:iCs/>
              </w:rPr>
              <w:t>item (e) above with the following</w:t>
            </w:r>
            <w:r w:rsidRPr="004B32CF">
              <w:rPr>
                <w:b/>
                <w:i/>
                <w:iCs/>
              </w:rPr>
              <w:t xml:space="preserve"> upon system implementation</w:t>
            </w:r>
            <w:r>
              <w:rPr>
                <w:b/>
                <w:i/>
                <w:iCs/>
              </w:rPr>
              <w:t xml:space="preserve"> of the Real-Time Co-Optimization (RTC) project</w:t>
            </w:r>
            <w:r w:rsidR="005147CC">
              <w:rPr>
                <w:b/>
                <w:i/>
                <w:iCs/>
              </w:rPr>
              <w:t xml:space="preserve"> for NPRR1008; or upon system implementation</w:t>
            </w:r>
            <w:r w:rsidR="00E30EAB">
              <w:rPr>
                <w:b/>
                <w:i/>
                <w:iCs/>
              </w:rPr>
              <w:t xml:space="preserve"> for </w:t>
            </w:r>
            <w:r w:rsidR="001B5D93">
              <w:rPr>
                <w:b/>
                <w:i/>
                <w:iCs/>
              </w:rPr>
              <w:t>NPRR1014</w:t>
            </w:r>
            <w:r w:rsidR="005147CC">
              <w:rPr>
                <w:b/>
                <w:i/>
                <w:iCs/>
              </w:rPr>
              <w:t>;</w:t>
            </w:r>
            <w:r>
              <w:rPr>
                <w:b/>
                <w:i/>
                <w:iCs/>
              </w:rPr>
              <w:t xml:space="preserve"> and renumber accordingly</w:t>
            </w:r>
            <w:r w:rsidRPr="004B32CF">
              <w:rPr>
                <w:b/>
                <w:i/>
                <w:iCs/>
              </w:rPr>
              <w:t>:]</w:t>
            </w:r>
          </w:p>
          <w:p w14:paraId="1BB65641" w14:textId="1A2E6B41" w:rsidR="008908C4" w:rsidRDefault="008908C4" w:rsidP="008908C4">
            <w:pPr>
              <w:pStyle w:val="BodyTextNumbered"/>
              <w:ind w:left="1440"/>
            </w:pPr>
            <w:r>
              <w:t>(e)</w:t>
            </w:r>
            <w:r>
              <w:tab/>
              <w:t>Ancillary Services related to Self-Arranged A</w:t>
            </w:r>
            <w:r w:rsidR="005147CC">
              <w:t>ncillary Service Quantities;</w:t>
            </w:r>
          </w:p>
          <w:p w14:paraId="7145BED1" w14:textId="77777777" w:rsidR="008908C4" w:rsidRDefault="008908C4" w:rsidP="008908C4">
            <w:pPr>
              <w:pStyle w:val="BodyTextNumbered"/>
              <w:ind w:left="1440"/>
            </w:pPr>
            <w:r>
              <w:t>(f</w:t>
            </w:r>
            <w:r w:rsidR="005147CC">
              <w:t>)</w:t>
            </w:r>
            <w:r w:rsidR="005147CC">
              <w:tab/>
              <w:t>Ancillary Service Only Offers;</w:t>
            </w:r>
          </w:p>
          <w:p w14:paraId="34428AB4" w14:textId="3B96C95F" w:rsidR="005147CC" w:rsidRPr="008908C4" w:rsidRDefault="005147CC" w:rsidP="008908C4">
            <w:pPr>
              <w:pStyle w:val="BodyTextNumbered"/>
              <w:ind w:left="1440"/>
            </w:pPr>
            <w:r>
              <w:t xml:space="preserve">(g) </w:t>
            </w:r>
            <w:r>
              <w:tab/>
            </w:r>
            <w:r w:rsidRPr="00A552C3">
              <w:t>Energy Bid/Offer Curves</w:t>
            </w:r>
            <w:r>
              <w:t>.</w:t>
            </w:r>
          </w:p>
        </w:tc>
      </w:tr>
    </w:tbl>
    <w:p w14:paraId="79A29EF4" w14:textId="7E3BD80B" w:rsidR="00117078" w:rsidRDefault="00117078" w:rsidP="00F539C2">
      <w:pPr>
        <w:spacing w:before="240" w:after="240"/>
        <w:ind w:left="720" w:hanging="720"/>
      </w:pPr>
      <w:r>
        <w:t>(10)     The parameters in this Section are defined as follows:</w:t>
      </w:r>
    </w:p>
    <w:p w14:paraId="6EB8DF03" w14:textId="77777777" w:rsidR="00117078" w:rsidRDefault="00117078" w:rsidP="00117078">
      <w:pPr>
        <w:numPr>
          <w:ilvl w:val="0"/>
          <w:numId w:val="9"/>
        </w:numPr>
        <w:spacing w:after="240"/>
        <w:ind w:left="1440" w:hanging="720"/>
      </w:pPr>
      <w:r>
        <w:t>The default values of the parameters are:</w:t>
      </w:r>
    </w:p>
    <w:p w14:paraId="45507757" w14:textId="77777777" w:rsidR="00117078" w:rsidRDefault="00117078" w:rsidP="00117078"/>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1"/>
        <w:gridCol w:w="1016"/>
        <w:gridCol w:w="7213"/>
      </w:tblGrid>
      <w:tr w:rsidR="00117078" w:rsidRPr="00BE4766" w14:paraId="6D95264B" w14:textId="77777777" w:rsidTr="006D576C">
        <w:trPr>
          <w:trHeight w:val="351"/>
          <w:tblHeader/>
        </w:trPr>
        <w:tc>
          <w:tcPr>
            <w:tcW w:w="1491" w:type="dxa"/>
          </w:tcPr>
          <w:p w14:paraId="3AFF2B2F" w14:textId="77777777" w:rsidR="00117078" w:rsidRPr="00BE4766" w:rsidRDefault="00117078" w:rsidP="006D576C">
            <w:pPr>
              <w:pStyle w:val="TableHead"/>
            </w:pPr>
            <w:r>
              <w:t>Parameter</w:t>
            </w:r>
          </w:p>
        </w:tc>
        <w:tc>
          <w:tcPr>
            <w:tcW w:w="1016" w:type="dxa"/>
          </w:tcPr>
          <w:p w14:paraId="6A287719" w14:textId="77777777" w:rsidR="00117078" w:rsidRPr="00BE4766" w:rsidRDefault="00117078" w:rsidP="006D576C">
            <w:pPr>
              <w:pStyle w:val="TableHead"/>
            </w:pPr>
            <w:r w:rsidRPr="00BE4766">
              <w:t>Unit</w:t>
            </w:r>
          </w:p>
        </w:tc>
        <w:tc>
          <w:tcPr>
            <w:tcW w:w="7213" w:type="dxa"/>
          </w:tcPr>
          <w:p w14:paraId="2D6DEFCC" w14:textId="77777777" w:rsidR="00117078" w:rsidRPr="00BE4766" w:rsidRDefault="00117078" w:rsidP="006D576C">
            <w:pPr>
              <w:pStyle w:val="TableHead"/>
            </w:pPr>
            <w:r>
              <w:t>Current Value*</w:t>
            </w:r>
          </w:p>
        </w:tc>
      </w:tr>
      <w:tr w:rsidR="00117078" w:rsidRPr="00BE4766" w14:paraId="2CF21994" w14:textId="77777777" w:rsidTr="006D576C">
        <w:trPr>
          <w:trHeight w:val="519"/>
        </w:trPr>
        <w:tc>
          <w:tcPr>
            <w:tcW w:w="1491" w:type="dxa"/>
          </w:tcPr>
          <w:p w14:paraId="0DEB0C80" w14:textId="77777777" w:rsidR="00117078" w:rsidRDefault="00117078" w:rsidP="006D576C">
            <w:pPr>
              <w:pStyle w:val="TableBody"/>
              <w:rPr>
                <w:i/>
              </w:rPr>
            </w:pPr>
            <w:r>
              <w:rPr>
                <w:i/>
              </w:rPr>
              <w:t>d</w:t>
            </w:r>
          </w:p>
        </w:tc>
        <w:tc>
          <w:tcPr>
            <w:tcW w:w="1016" w:type="dxa"/>
          </w:tcPr>
          <w:p w14:paraId="0D4B4AB8" w14:textId="77777777" w:rsidR="00117078" w:rsidRDefault="00117078" w:rsidP="006D576C">
            <w:pPr>
              <w:pStyle w:val="TableBody"/>
            </w:pPr>
            <w:r>
              <w:t>percentile</w:t>
            </w:r>
          </w:p>
        </w:tc>
        <w:tc>
          <w:tcPr>
            <w:tcW w:w="7213" w:type="dxa"/>
          </w:tcPr>
          <w:p w14:paraId="1C7E1B82" w14:textId="77777777" w:rsidR="00117078" w:rsidRDefault="00117078" w:rsidP="006D576C">
            <w:pPr>
              <w:pStyle w:val="TableBody"/>
            </w:pPr>
            <w:r>
              <w:t>85</w:t>
            </w:r>
          </w:p>
        </w:tc>
      </w:tr>
      <w:tr w:rsidR="00117078" w:rsidRPr="00BE4766" w14:paraId="4130CFEB" w14:textId="77777777" w:rsidTr="006D576C">
        <w:trPr>
          <w:trHeight w:val="519"/>
        </w:trPr>
        <w:tc>
          <w:tcPr>
            <w:tcW w:w="1491" w:type="dxa"/>
          </w:tcPr>
          <w:p w14:paraId="5ECC03F4" w14:textId="77777777" w:rsidR="00117078" w:rsidRDefault="00117078" w:rsidP="006D576C">
            <w:pPr>
              <w:pStyle w:val="TableBody"/>
              <w:rPr>
                <w:i/>
              </w:rPr>
            </w:pPr>
            <w:r>
              <w:rPr>
                <w:i/>
              </w:rPr>
              <w:t>ep1</w:t>
            </w:r>
          </w:p>
        </w:tc>
        <w:tc>
          <w:tcPr>
            <w:tcW w:w="1016" w:type="dxa"/>
          </w:tcPr>
          <w:p w14:paraId="53C08287" w14:textId="77777777" w:rsidR="00117078" w:rsidRDefault="00117078" w:rsidP="006D576C">
            <w:pPr>
              <w:pStyle w:val="TableBody"/>
            </w:pPr>
            <w:r>
              <w:t>percentile</w:t>
            </w:r>
          </w:p>
        </w:tc>
        <w:tc>
          <w:tcPr>
            <w:tcW w:w="7213" w:type="dxa"/>
          </w:tcPr>
          <w:p w14:paraId="1B5C5B8C" w14:textId="77777777" w:rsidR="00117078" w:rsidRPr="00A91897" w:rsidRDefault="00117078" w:rsidP="006D576C">
            <w:pPr>
              <w:pStyle w:val="TableBody"/>
            </w:pPr>
            <w:r>
              <w:t>95</w:t>
            </w:r>
          </w:p>
        </w:tc>
      </w:tr>
      <w:tr w:rsidR="00117078" w:rsidRPr="00BE4766" w14:paraId="46DD1F6B" w14:textId="77777777" w:rsidTr="006D576C">
        <w:trPr>
          <w:trHeight w:val="519"/>
        </w:trPr>
        <w:tc>
          <w:tcPr>
            <w:tcW w:w="1491" w:type="dxa"/>
          </w:tcPr>
          <w:p w14:paraId="08A53DD8" w14:textId="77777777" w:rsidR="00117078" w:rsidRDefault="00117078" w:rsidP="006D576C">
            <w:pPr>
              <w:pStyle w:val="TableBody"/>
              <w:rPr>
                <w:i/>
              </w:rPr>
            </w:pPr>
            <w:r>
              <w:rPr>
                <w:i/>
              </w:rPr>
              <w:t>a</w:t>
            </w:r>
          </w:p>
        </w:tc>
        <w:tc>
          <w:tcPr>
            <w:tcW w:w="1016" w:type="dxa"/>
          </w:tcPr>
          <w:p w14:paraId="46424848" w14:textId="77777777" w:rsidR="00117078" w:rsidRDefault="00117078" w:rsidP="006D576C">
            <w:pPr>
              <w:pStyle w:val="TableBody"/>
            </w:pPr>
            <w:r>
              <w:t>percentile</w:t>
            </w:r>
          </w:p>
        </w:tc>
        <w:tc>
          <w:tcPr>
            <w:tcW w:w="7213" w:type="dxa"/>
          </w:tcPr>
          <w:p w14:paraId="77DBD090" w14:textId="77777777" w:rsidR="00117078" w:rsidRPr="00730564" w:rsidRDefault="00117078" w:rsidP="006D576C">
            <w:pPr>
              <w:pStyle w:val="TableBody"/>
            </w:pPr>
            <w:r w:rsidRPr="00730564">
              <w:t>50</w:t>
            </w:r>
          </w:p>
        </w:tc>
      </w:tr>
      <w:tr w:rsidR="00117078" w:rsidRPr="00BE4766" w14:paraId="67A35593" w14:textId="77777777" w:rsidTr="006D576C">
        <w:trPr>
          <w:trHeight w:val="519"/>
        </w:trPr>
        <w:tc>
          <w:tcPr>
            <w:tcW w:w="1491" w:type="dxa"/>
          </w:tcPr>
          <w:p w14:paraId="2C0B367F" w14:textId="77777777" w:rsidR="00117078" w:rsidRDefault="00117078" w:rsidP="006D576C">
            <w:pPr>
              <w:pStyle w:val="TableBody"/>
              <w:rPr>
                <w:i/>
              </w:rPr>
            </w:pPr>
            <w:r>
              <w:rPr>
                <w:i/>
              </w:rPr>
              <w:t>b</w:t>
            </w:r>
          </w:p>
        </w:tc>
        <w:tc>
          <w:tcPr>
            <w:tcW w:w="1016" w:type="dxa"/>
          </w:tcPr>
          <w:p w14:paraId="45366BD2" w14:textId="77777777" w:rsidR="00117078" w:rsidRDefault="00117078" w:rsidP="006D576C">
            <w:pPr>
              <w:pStyle w:val="TableBody"/>
            </w:pPr>
            <w:r>
              <w:t>percentile</w:t>
            </w:r>
          </w:p>
        </w:tc>
        <w:tc>
          <w:tcPr>
            <w:tcW w:w="7213" w:type="dxa"/>
          </w:tcPr>
          <w:p w14:paraId="53D32E48" w14:textId="77777777" w:rsidR="00117078" w:rsidRPr="00730564" w:rsidRDefault="00117078" w:rsidP="006D576C">
            <w:pPr>
              <w:pStyle w:val="TableBody"/>
            </w:pPr>
            <w:r w:rsidRPr="00730564">
              <w:t>45</w:t>
            </w:r>
          </w:p>
        </w:tc>
      </w:tr>
      <w:tr w:rsidR="00117078" w:rsidRPr="00BE4766" w14:paraId="1634CBC5" w14:textId="77777777" w:rsidTr="006D576C">
        <w:trPr>
          <w:trHeight w:val="519"/>
        </w:trPr>
        <w:tc>
          <w:tcPr>
            <w:tcW w:w="1491" w:type="dxa"/>
          </w:tcPr>
          <w:p w14:paraId="0016C4F1" w14:textId="77777777" w:rsidR="00117078" w:rsidRDefault="00117078" w:rsidP="006D576C">
            <w:pPr>
              <w:pStyle w:val="TableBody"/>
              <w:rPr>
                <w:i/>
              </w:rPr>
            </w:pPr>
            <w:r>
              <w:rPr>
                <w:i/>
              </w:rPr>
              <w:t>dp</w:t>
            </w:r>
          </w:p>
        </w:tc>
        <w:tc>
          <w:tcPr>
            <w:tcW w:w="1016" w:type="dxa"/>
          </w:tcPr>
          <w:p w14:paraId="048E118B" w14:textId="77777777" w:rsidR="00117078" w:rsidRDefault="00117078" w:rsidP="006D576C">
            <w:pPr>
              <w:pStyle w:val="TableBody"/>
            </w:pPr>
            <w:r>
              <w:t>percentile</w:t>
            </w:r>
          </w:p>
        </w:tc>
        <w:tc>
          <w:tcPr>
            <w:tcW w:w="7213" w:type="dxa"/>
          </w:tcPr>
          <w:p w14:paraId="5943B99E" w14:textId="77777777" w:rsidR="00117078" w:rsidRDefault="00117078" w:rsidP="006D576C">
            <w:pPr>
              <w:pStyle w:val="TableBody"/>
            </w:pPr>
            <w:r>
              <w:t>90</w:t>
            </w:r>
          </w:p>
        </w:tc>
      </w:tr>
      <w:tr w:rsidR="00117078" w:rsidRPr="00BE4766" w14:paraId="5421E5AD" w14:textId="77777777" w:rsidTr="006D576C">
        <w:trPr>
          <w:trHeight w:val="519"/>
        </w:trPr>
        <w:tc>
          <w:tcPr>
            <w:tcW w:w="1491" w:type="dxa"/>
          </w:tcPr>
          <w:p w14:paraId="0279FF04" w14:textId="77777777" w:rsidR="00117078" w:rsidRPr="00D64772" w:rsidRDefault="00117078" w:rsidP="006D576C">
            <w:pPr>
              <w:pStyle w:val="TableBody"/>
              <w:rPr>
                <w:i/>
              </w:rPr>
            </w:pPr>
            <w:r>
              <w:rPr>
                <w:i/>
              </w:rPr>
              <w:t>ep2</w:t>
            </w:r>
          </w:p>
        </w:tc>
        <w:tc>
          <w:tcPr>
            <w:tcW w:w="1016" w:type="dxa"/>
          </w:tcPr>
          <w:p w14:paraId="1D38E3A5" w14:textId="77777777" w:rsidR="00117078" w:rsidRDefault="00117078" w:rsidP="006D576C">
            <w:pPr>
              <w:pStyle w:val="TableBody"/>
            </w:pPr>
            <w:r>
              <w:t>percentile</w:t>
            </w:r>
          </w:p>
        </w:tc>
        <w:tc>
          <w:tcPr>
            <w:tcW w:w="7213" w:type="dxa"/>
          </w:tcPr>
          <w:p w14:paraId="2A81E459" w14:textId="77777777" w:rsidR="00117078" w:rsidRPr="00624809" w:rsidRDefault="00117078" w:rsidP="006D576C">
            <w:pPr>
              <w:pStyle w:val="TableBody"/>
            </w:pPr>
            <w:r>
              <w:t>0</w:t>
            </w:r>
          </w:p>
        </w:tc>
      </w:tr>
      <w:tr w:rsidR="00117078" w:rsidRPr="00BE4766" w14:paraId="31910371" w14:textId="77777777" w:rsidTr="006D576C">
        <w:trPr>
          <w:trHeight w:val="519"/>
        </w:trPr>
        <w:tc>
          <w:tcPr>
            <w:tcW w:w="1491" w:type="dxa"/>
          </w:tcPr>
          <w:p w14:paraId="3374F24B" w14:textId="77777777" w:rsidR="00117078" w:rsidRPr="00F0364B" w:rsidRDefault="00117078" w:rsidP="006D576C">
            <w:pPr>
              <w:pStyle w:val="TableBody"/>
              <w:rPr>
                <w:i/>
              </w:rPr>
            </w:pPr>
            <w:r>
              <w:rPr>
                <w:i/>
              </w:rPr>
              <w:t>e3</w:t>
            </w:r>
          </w:p>
        </w:tc>
        <w:tc>
          <w:tcPr>
            <w:tcW w:w="1016" w:type="dxa"/>
          </w:tcPr>
          <w:p w14:paraId="287FF5EC" w14:textId="77777777" w:rsidR="00117078" w:rsidRPr="00BE4766" w:rsidRDefault="00117078" w:rsidP="006D576C">
            <w:pPr>
              <w:pStyle w:val="TableBody"/>
            </w:pPr>
            <w:r>
              <w:t>value</w:t>
            </w:r>
          </w:p>
        </w:tc>
        <w:tc>
          <w:tcPr>
            <w:tcW w:w="7213" w:type="dxa"/>
          </w:tcPr>
          <w:p w14:paraId="500A2DEF" w14:textId="77777777" w:rsidR="00117078" w:rsidRPr="0009711C" w:rsidRDefault="00117078" w:rsidP="006D576C">
            <w:pPr>
              <w:pStyle w:val="TableBody"/>
            </w:pPr>
            <w:r>
              <w:t>1</w:t>
            </w:r>
          </w:p>
        </w:tc>
      </w:tr>
      <w:tr w:rsidR="00117078" w:rsidRPr="00BE4766" w14:paraId="168F2C62" w14:textId="77777777" w:rsidTr="006D576C">
        <w:trPr>
          <w:trHeight w:val="519"/>
        </w:trPr>
        <w:tc>
          <w:tcPr>
            <w:tcW w:w="1491" w:type="dxa"/>
          </w:tcPr>
          <w:p w14:paraId="233DC2D2" w14:textId="77777777" w:rsidR="00117078" w:rsidRPr="006562E8" w:rsidRDefault="00117078" w:rsidP="006D576C">
            <w:pPr>
              <w:pStyle w:val="TableBody"/>
              <w:rPr>
                <w:i/>
              </w:rPr>
            </w:pPr>
            <w:r w:rsidRPr="006562E8">
              <w:rPr>
                <w:i/>
              </w:rPr>
              <w:t>y</w:t>
            </w:r>
          </w:p>
        </w:tc>
        <w:tc>
          <w:tcPr>
            <w:tcW w:w="1016" w:type="dxa"/>
          </w:tcPr>
          <w:p w14:paraId="1367B1AE" w14:textId="77777777" w:rsidR="00117078" w:rsidRDefault="00117078" w:rsidP="006D576C">
            <w:pPr>
              <w:pStyle w:val="TableBody"/>
            </w:pPr>
            <w:r>
              <w:t>percentile</w:t>
            </w:r>
          </w:p>
        </w:tc>
        <w:tc>
          <w:tcPr>
            <w:tcW w:w="7213" w:type="dxa"/>
          </w:tcPr>
          <w:p w14:paraId="0C182D51" w14:textId="77777777" w:rsidR="00117078" w:rsidRDefault="00117078" w:rsidP="006D576C">
            <w:pPr>
              <w:pStyle w:val="TableBody"/>
            </w:pPr>
            <w:r>
              <w:t>45</w:t>
            </w:r>
          </w:p>
        </w:tc>
      </w:tr>
      <w:tr w:rsidR="00117078" w:rsidRPr="00BE4766" w14:paraId="0858D0F3" w14:textId="77777777" w:rsidTr="006D576C">
        <w:trPr>
          <w:trHeight w:val="519"/>
        </w:trPr>
        <w:tc>
          <w:tcPr>
            <w:tcW w:w="1491" w:type="dxa"/>
          </w:tcPr>
          <w:p w14:paraId="0DA668AC" w14:textId="77777777" w:rsidR="00117078" w:rsidRPr="00A91897" w:rsidRDefault="00117078" w:rsidP="006D576C">
            <w:pPr>
              <w:pStyle w:val="TableBody"/>
              <w:rPr>
                <w:i/>
              </w:rPr>
            </w:pPr>
            <w:r w:rsidRPr="00A91897">
              <w:rPr>
                <w:i/>
              </w:rPr>
              <w:t>z</w:t>
            </w:r>
          </w:p>
        </w:tc>
        <w:tc>
          <w:tcPr>
            <w:tcW w:w="1016" w:type="dxa"/>
          </w:tcPr>
          <w:p w14:paraId="440A4362" w14:textId="77777777" w:rsidR="00117078" w:rsidRDefault="00117078" w:rsidP="006D576C">
            <w:pPr>
              <w:pStyle w:val="TableBody"/>
            </w:pPr>
            <w:r>
              <w:t>percentile</w:t>
            </w:r>
          </w:p>
        </w:tc>
        <w:tc>
          <w:tcPr>
            <w:tcW w:w="7213" w:type="dxa"/>
          </w:tcPr>
          <w:p w14:paraId="58C7E995" w14:textId="77777777" w:rsidR="00117078" w:rsidRPr="00A91897" w:rsidRDefault="00117078" w:rsidP="006D576C">
            <w:pPr>
              <w:pStyle w:val="TableBody"/>
            </w:pPr>
            <w:r w:rsidRPr="00A91897">
              <w:t>50</w:t>
            </w:r>
          </w:p>
        </w:tc>
      </w:tr>
      <w:tr w:rsidR="00117078" w:rsidRPr="00BE4766" w14:paraId="15C39C35" w14:textId="77777777" w:rsidTr="006D576C">
        <w:trPr>
          <w:trHeight w:val="519"/>
        </w:trPr>
        <w:tc>
          <w:tcPr>
            <w:tcW w:w="1491" w:type="dxa"/>
          </w:tcPr>
          <w:p w14:paraId="5254A942" w14:textId="77777777" w:rsidR="00117078" w:rsidRPr="00A91897" w:rsidRDefault="00117078" w:rsidP="006D576C">
            <w:pPr>
              <w:pStyle w:val="TableBody"/>
              <w:rPr>
                <w:i/>
              </w:rPr>
            </w:pPr>
            <w:r w:rsidRPr="00A91897">
              <w:rPr>
                <w:i/>
              </w:rPr>
              <w:lastRenderedPageBreak/>
              <w:t>u</w:t>
            </w:r>
          </w:p>
        </w:tc>
        <w:tc>
          <w:tcPr>
            <w:tcW w:w="1016" w:type="dxa"/>
          </w:tcPr>
          <w:p w14:paraId="14EE1E8C" w14:textId="77777777" w:rsidR="00117078" w:rsidRDefault="00117078" w:rsidP="006D576C">
            <w:pPr>
              <w:pStyle w:val="TableBody"/>
            </w:pPr>
            <w:r>
              <w:t>percentile</w:t>
            </w:r>
          </w:p>
        </w:tc>
        <w:tc>
          <w:tcPr>
            <w:tcW w:w="7213" w:type="dxa"/>
          </w:tcPr>
          <w:p w14:paraId="0E16A4F9" w14:textId="77777777" w:rsidR="00117078" w:rsidRPr="00A91897" w:rsidRDefault="00117078" w:rsidP="006D576C">
            <w:pPr>
              <w:pStyle w:val="TableBody"/>
            </w:pPr>
            <w:r w:rsidRPr="00A91897">
              <w:t>90</w:t>
            </w:r>
          </w:p>
        </w:tc>
      </w:tr>
      <w:tr w:rsidR="00117078" w:rsidRPr="00BE4766" w14:paraId="6E5475D9" w14:textId="77777777" w:rsidTr="006D576C">
        <w:trPr>
          <w:trHeight w:val="519"/>
        </w:trPr>
        <w:tc>
          <w:tcPr>
            <w:tcW w:w="1491" w:type="dxa"/>
          </w:tcPr>
          <w:p w14:paraId="0C4C5621" w14:textId="77777777" w:rsidR="00117078" w:rsidRPr="00A91897" w:rsidRDefault="00117078" w:rsidP="006D576C">
            <w:pPr>
              <w:pStyle w:val="TableBody"/>
              <w:rPr>
                <w:i/>
              </w:rPr>
            </w:pPr>
            <w:r w:rsidRPr="00A91897">
              <w:rPr>
                <w:i/>
              </w:rPr>
              <w:t>bd</w:t>
            </w:r>
          </w:p>
        </w:tc>
        <w:tc>
          <w:tcPr>
            <w:tcW w:w="1016" w:type="dxa"/>
          </w:tcPr>
          <w:p w14:paraId="6790DE4B" w14:textId="77777777" w:rsidR="00117078" w:rsidRDefault="00117078" w:rsidP="006D576C">
            <w:pPr>
              <w:pStyle w:val="TableBody"/>
            </w:pPr>
            <w:r>
              <w:t>%</w:t>
            </w:r>
          </w:p>
        </w:tc>
        <w:tc>
          <w:tcPr>
            <w:tcW w:w="7213" w:type="dxa"/>
          </w:tcPr>
          <w:p w14:paraId="3BACC6D4" w14:textId="77777777" w:rsidR="00117078" w:rsidRPr="00A91897" w:rsidRDefault="00117078" w:rsidP="006D576C">
            <w:pPr>
              <w:pStyle w:val="TableBody"/>
            </w:pPr>
            <w:r w:rsidRPr="00A91897">
              <w:t>90</w:t>
            </w:r>
          </w:p>
        </w:tc>
      </w:tr>
      <w:tr w:rsidR="00117078" w:rsidRPr="00BE4766" w14:paraId="444B8E1A" w14:textId="77777777" w:rsidTr="006D576C">
        <w:trPr>
          <w:trHeight w:val="519"/>
        </w:trPr>
        <w:tc>
          <w:tcPr>
            <w:tcW w:w="1491" w:type="dxa"/>
          </w:tcPr>
          <w:p w14:paraId="393A06EF" w14:textId="77777777" w:rsidR="00117078" w:rsidRPr="006562E8" w:rsidRDefault="00117078" w:rsidP="006D576C">
            <w:pPr>
              <w:pStyle w:val="TableBody"/>
              <w:rPr>
                <w:i/>
              </w:rPr>
            </w:pPr>
            <w:r w:rsidRPr="006562E8">
              <w:rPr>
                <w:i/>
              </w:rPr>
              <w:t>t</w:t>
            </w:r>
          </w:p>
        </w:tc>
        <w:tc>
          <w:tcPr>
            <w:tcW w:w="1016" w:type="dxa"/>
          </w:tcPr>
          <w:p w14:paraId="0228D778" w14:textId="77777777" w:rsidR="00117078" w:rsidRDefault="00117078" w:rsidP="006D576C">
            <w:pPr>
              <w:pStyle w:val="TableBody"/>
            </w:pPr>
            <w:r>
              <w:t>percentile</w:t>
            </w:r>
          </w:p>
        </w:tc>
        <w:tc>
          <w:tcPr>
            <w:tcW w:w="7213" w:type="dxa"/>
          </w:tcPr>
          <w:p w14:paraId="73DEC57F" w14:textId="77777777" w:rsidR="00117078" w:rsidRPr="00730564" w:rsidRDefault="00117078" w:rsidP="006D576C">
            <w:pPr>
              <w:pStyle w:val="TableBody"/>
            </w:pPr>
            <w:r w:rsidRPr="006562E8">
              <w:t>50</w:t>
            </w:r>
          </w:p>
        </w:tc>
      </w:tr>
      <w:tr w:rsidR="00117078" w:rsidRPr="00BE4766" w14:paraId="467E99E1" w14:textId="77777777" w:rsidTr="006D576C">
        <w:trPr>
          <w:trHeight w:val="519"/>
        </w:trPr>
        <w:tc>
          <w:tcPr>
            <w:tcW w:w="9720" w:type="dxa"/>
            <w:gridSpan w:val="3"/>
          </w:tcPr>
          <w:p w14:paraId="21975AAE" w14:textId="77777777" w:rsidR="00117078" w:rsidRPr="006562E8" w:rsidRDefault="00117078" w:rsidP="006D576C">
            <w:pPr>
              <w:pStyle w:val="TableBody"/>
            </w:pPr>
            <w:r w:rsidRPr="00191657">
              <w:t xml:space="preserve">* The current value for the parameters referenced in this table above will be recommended by TAC and approved by the ERCOT Board. </w:t>
            </w:r>
            <w:r>
              <w:t xml:space="preserve"> </w:t>
            </w:r>
            <w:r w:rsidRPr="00191657">
              <w:t xml:space="preserve">ERCOT shall update parameter values on the first day of the month following ERCOT Board approval unless otherwise directed by the ERCOT Board. </w:t>
            </w:r>
            <w:r>
              <w:t xml:space="preserve"> </w:t>
            </w:r>
            <w:r w:rsidRPr="00191657">
              <w:t>ERCOT shall provide a Market Notice prior to implementation of a revised parameter value.</w:t>
            </w:r>
          </w:p>
        </w:tc>
      </w:tr>
    </w:tbl>
    <w:p w14:paraId="01E23052" w14:textId="77777777" w:rsidR="00117078" w:rsidRDefault="00117078" w:rsidP="00117078">
      <w:pPr>
        <w:numPr>
          <w:ilvl w:val="0"/>
          <w:numId w:val="9"/>
        </w:numPr>
        <w:spacing w:before="240" w:after="240"/>
        <w:ind w:left="1440" w:hanging="720"/>
      </w:pPr>
      <w:r>
        <w:t>The values of the parameters for Entities that meet the requirements in paragraph (7) above for more favorable treatment are:</w:t>
      </w:r>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1"/>
        <w:gridCol w:w="1016"/>
        <w:gridCol w:w="7213"/>
      </w:tblGrid>
      <w:tr w:rsidR="00117078" w:rsidRPr="00BE4766" w14:paraId="051B2FDF" w14:textId="77777777" w:rsidTr="006D576C">
        <w:trPr>
          <w:trHeight w:val="351"/>
          <w:tblHeader/>
        </w:trPr>
        <w:tc>
          <w:tcPr>
            <w:tcW w:w="1491" w:type="dxa"/>
          </w:tcPr>
          <w:p w14:paraId="5D647CA0" w14:textId="77777777" w:rsidR="00117078" w:rsidRPr="00BE4766" w:rsidRDefault="00117078" w:rsidP="006D576C">
            <w:pPr>
              <w:pStyle w:val="TableHead"/>
            </w:pPr>
            <w:r>
              <w:t>Parameter</w:t>
            </w:r>
          </w:p>
        </w:tc>
        <w:tc>
          <w:tcPr>
            <w:tcW w:w="1016" w:type="dxa"/>
          </w:tcPr>
          <w:p w14:paraId="730DE0DD" w14:textId="77777777" w:rsidR="00117078" w:rsidRPr="00BE4766" w:rsidRDefault="00117078" w:rsidP="006D576C">
            <w:pPr>
              <w:pStyle w:val="TableHead"/>
            </w:pPr>
            <w:r w:rsidRPr="00BE4766">
              <w:t>Unit</w:t>
            </w:r>
          </w:p>
        </w:tc>
        <w:tc>
          <w:tcPr>
            <w:tcW w:w="7213" w:type="dxa"/>
          </w:tcPr>
          <w:p w14:paraId="76786DDA" w14:textId="77777777" w:rsidR="00117078" w:rsidRPr="00BE4766" w:rsidRDefault="00117078" w:rsidP="006D576C">
            <w:pPr>
              <w:pStyle w:val="TableHead"/>
            </w:pPr>
            <w:r>
              <w:t>Current Value</w:t>
            </w:r>
          </w:p>
        </w:tc>
      </w:tr>
      <w:tr w:rsidR="00117078" w:rsidRPr="00BE4766" w14:paraId="7F01FD24" w14:textId="77777777" w:rsidTr="006D576C">
        <w:trPr>
          <w:trHeight w:val="519"/>
        </w:trPr>
        <w:tc>
          <w:tcPr>
            <w:tcW w:w="1491" w:type="dxa"/>
          </w:tcPr>
          <w:p w14:paraId="7F08323C" w14:textId="77777777" w:rsidR="00117078" w:rsidRDefault="00117078" w:rsidP="006D576C">
            <w:pPr>
              <w:pStyle w:val="TableBody"/>
              <w:rPr>
                <w:i/>
              </w:rPr>
            </w:pPr>
            <w:r>
              <w:rPr>
                <w:i/>
              </w:rPr>
              <w:t>d</w:t>
            </w:r>
          </w:p>
        </w:tc>
        <w:tc>
          <w:tcPr>
            <w:tcW w:w="1016" w:type="dxa"/>
          </w:tcPr>
          <w:p w14:paraId="787C18C9" w14:textId="77777777" w:rsidR="00117078" w:rsidRDefault="00117078" w:rsidP="006D576C">
            <w:pPr>
              <w:pStyle w:val="TableBody"/>
            </w:pPr>
            <w:r>
              <w:t>percentile</w:t>
            </w:r>
          </w:p>
        </w:tc>
        <w:tc>
          <w:tcPr>
            <w:tcW w:w="7213" w:type="dxa"/>
          </w:tcPr>
          <w:p w14:paraId="4BCFD3ED" w14:textId="77777777" w:rsidR="00117078" w:rsidRDefault="00117078" w:rsidP="006D576C">
            <w:pPr>
              <w:pStyle w:val="TableBody"/>
            </w:pPr>
            <w:r>
              <w:t>85</w:t>
            </w:r>
          </w:p>
        </w:tc>
      </w:tr>
      <w:tr w:rsidR="00117078" w:rsidRPr="00BE4766" w14:paraId="622C3C0A" w14:textId="77777777" w:rsidTr="006D576C">
        <w:trPr>
          <w:trHeight w:val="519"/>
        </w:trPr>
        <w:tc>
          <w:tcPr>
            <w:tcW w:w="1491" w:type="dxa"/>
          </w:tcPr>
          <w:p w14:paraId="0A594A50" w14:textId="77777777" w:rsidR="00117078" w:rsidRDefault="00117078" w:rsidP="006D576C">
            <w:pPr>
              <w:pStyle w:val="TableBody"/>
              <w:rPr>
                <w:i/>
              </w:rPr>
            </w:pPr>
            <w:r>
              <w:rPr>
                <w:i/>
              </w:rPr>
              <w:t>ep1</w:t>
            </w:r>
          </w:p>
        </w:tc>
        <w:tc>
          <w:tcPr>
            <w:tcW w:w="1016" w:type="dxa"/>
          </w:tcPr>
          <w:p w14:paraId="1E8498D6" w14:textId="77777777" w:rsidR="00117078" w:rsidRDefault="00117078" w:rsidP="006D576C">
            <w:pPr>
              <w:pStyle w:val="TableBody"/>
            </w:pPr>
            <w:r>
              <w:t>percentile</w:t>
            </w:r>
          </w:p>
        </w:tc>
        <w:tc>
          <w:tcPr>
            <w:tcW w:w="7213" w:type="dxa"/>
          </w:tcPr>
          <w:p w14:paraId="5FE7FEF1" w14:textId="77777777" w:rsidR="00117078" w:rsidRPr="00580517" w:rsidRDefault="00117078" w:rsidP="006D576C">
            <w:pPr>
              <w:pStyle w:val="TableBody"/>
            </w:pPr>
            <w:r>
              <w:t>75</w:t>
            </w:r>
          </w:p>
        </w:tc>
      </w:tr>
      <w:tr w:rsidR="00117078" w:rsidRPr="00BE4766" w14:paraId="5A5684B2" w14:textId="77777777" w:rsidTr="006D576C">
        <w:trPr>
          <w:trHeight w:val="519"/>
        </w:trPr>
        <w:tc>
          <w:tcPr>
            <w:tcW w:w="1491" w:type="dxa"/>
          </w:tcPr>
          <w:p w14:paraId="56083954" w14:textId="77777777" w:rsidR="00117078" w:rsidRDefault="00117078" w:rsidP="006D576C">
            <w:pPr>
              <w:pStyle w:val="TableBody"/>
              <w:rPr>
                <w:i/>
              </w:rPr>
            </w:pPr>
            <w:r>
              <w:rPr>
                <w:i/>
              </w:rPr>
              <w:t>a</w:t>
            </w:r>
          </w:p>
        </w:tc>
        <w:tc>
          <w:tcPr>
            <w:tcW w:w="1016" w:type="dxa"/>
          </w:tcPr>
          <w:p w14:paraId="148C225C" w14:textId="77777777" w:rsidR="00117078" w:rsidRDefault="00117078" w:rsidP="006D576C">
            <w:pPr>
              <w:pStyle w:val="TableBody"/>
            </w:pPr>
            <w:r>
              <w:t>percentile</w:t>
            </w:r>
          </w:p>
        </w:tc>
        <w:tc>
          <w:tcPr>
            <w:tcW w:w="7213" w:type="dxa"/>
          </w:tcPr>
          <w:p w14:paraId="5F0EEAE7" w14:textId="77777777" w:rsidR="00117078" w:rsidRPr="00730564" w:rsidRDefault="00117078" w:rsidP="006D576C">
            <w:pPr>
              <w:pStyle w:val="TableBody"/>
            </w:pPr>
            <w:r w:rsidRPr="00730564">
              <w:t>50</w:t>
            </w:r>
          </w:p>
        </w:tc>
      </w:tr>
      <w:tr w:rsidR="00117078" w:rsidRPr="00BE4766" w14:paraId="3CE597F4" w14:textId="77777777" w:rsidTr="006D576C">
        <w:trPr>
          <w:trHeight w:val="519"/>
        </w:trPr>
        <w:tc>
          <w:tcPr>
            <w:tcW w:w="1491" w:type="dxa"/>
          </w:tcPr>
          <w:p w14:paraId="442D8644" w14:textId="77777777" w:rsidR="00117078" w:rsidRDefault="00117078" w:rsidP="006D576C">
            <w:pPr>
              <w:pStyle w:val="TableBody"/>
              <w:rPr>
                <w:i/>
              </w:rPr>
            </w:pPr>
            <w:r>
              <w:rPr>
                <w:i/>
              </w:rPr>
              <w:t>b</w:t>
            </w:r>
          </w:p>
        </w:tc>
        <w:tc>
          <w:tcPr>
            <w:tcW w:w="1016" w:type="dxa"/>
          </w:tcPr>
          <w:p w14:paraId="2184C43C" w14:textId="77777777" w:rsidR="00117078" w:rsidRDefault="00117078" w:rsidP="006D576C">
            <w:pPr>
              <w:pStyle w:val="TableBody"/>
            </w:pPr>
            <w:r>
              <w:t>percentile</w:t>
            </w:r>
          </w:p>
        </w:tc>
        <w:tc>
          <w:tcPr>
            <w:tcW w:w="7213" w:type="dxa"/>
          </w:tcPr>
          <w:p w14:paraId="7D68E9FD" w14:textId="77777777" w:rsidR="00117078" w:rsidRPr="00730564" w:rsidRDefault="00117078" w:rsidP="006D576C">
            <w:pPr>
              <w:pStyle w:val="TableBody"/>
            </w:pPr>
            <w:r w:rsidRPr="00730564">
              <w:t>45</w:t>
            </w:r>
          </w:p>
        </w:tc>
      </w:tr>
      <w:tr w:rsidR="00117078" w:rsidRPr="00BE4766" w14:paraId="6FE2661E" w14:textId="77777777" w:rsidTr="006D576C">
        <w:trPr>
          <w:trHeight w:val="519"/>
        </w:trPr>
        <w:tc>
          <w:tcPr>
            <w:tcW w:w="1491" w:type="dxa"/>
          </w:tcPr>
          <w:p w14:paraId="4F034E05" w14:textId="77777777" w:rsidR="00117078" w:rsidRDefault="00117078" w:rsidP="006D576C">
            <w:pPr>
              <w:pStyle w:val="TableBody"/>
              <w:rPr>
                <w:i/>
              </w:rPr>
            </w:pPr>
            <w:r>
              <w:rPr>
                <w:i/>
              </w:rPr>
              <w:t>dp</w:t>
            </w:r>
          </w:p>
        </w:tc>
        <w:tc>
          <w:tcPr>
            <w:tcW w:w="1016" w:type="dxa"/>
          </w:tcPr>
          <w:p w14:paraId="4CD5029D" w14:textId="77777777" w:rsidR="00117078" w:rsidRDefault="00117078" w:rsidP="006D576C">
            <w:pPr>
              <w:pStyle w:val="TableBody"/>
            </w:pPr>
            <w:r>
              <w:t>percentile</w:t>
            </w:r>
          </w:p>
        </w:tc>
        <w:tc>
          <w:tcPr>
            <w:tcW w:w="7213" w:type="dxa"/>
          </w:tcPr>
          <w:p w14:paraId="22D210FC" w14:textId="77777777" w:rsidR="00117078" w:rsidRDefault="00117078" w:rsidP="006D576C">
            <w:pPr>
              <w:pStyle w:val="TableBody"/>
            </w:pPr>
            <w:r>
              <w:t>90</w:t>
            </w:r>
          </w:p>
        </w:tc>
      </w:tr>
      <w:tr w:rsidR="00117078" w:rsidRPr="00BE4766" w14:paraId="2367409F" w14:textId="77777777" w:rsidTr="006D576C">
        <w:trPr>
          <w:trHeight w:val="519"/>
        </w:trPr>
        <w:tc>
          <w:tcPr>
            <w:tcW w:w="1491" w:type="dxa"/>
          </w:tcPr>
          <w:p w14:paraId="5B746D2E" w14:textId="77777777" w:rsidR="00117078" w:rsidRPr="00D64772" w:rsidRDefault="00117078" w:rsidP="006D576C">
            <w:pPr>
              <w:pStyle w:val="TableBody"/>
              <w:rPr>
                <w:i/>
              </w:rPr>
            </w:pPr>
            <w:r>
              <w:rPr>
                <w:i/>
              </w:rPr>
              <w:t>ep2</w:t>
            </w:r>
          </w:p>
        </w:tc>
        <w:tc>
          <w:tcPr>
            <w:tcW w:w="1016" w:type="dxa"/>
          </w:tcPr>
          <w:p w14:paraId="1C8D674A" w14:textId="77777777" w:rsidR="00117078" w:rsidRDefault="00117078" w:rsidP="006D576C">
            <w:pPr>
              <w:pStyle w:val="TableBody"/>
            </w:pPr>
            <w:r>
              <w:t>percentile</w:t>
            </w:r>
          </w:p>
        </w:tc>
        <w:tc>
          <w:tcPr>
            <w:tcW w:w="7213" w:type="dxa"/>
          </w:tcPr>
          <w:p w14:paraId="77C032BC" w14:textId="77777777" w:rsidR="00117078" w:rsidRPr="00624809" w:rsidRDefault="00117078" w:rsidP="006D576C">
            <w:pPr>
              <w:pStyle w:val="TableBody"/>
            </w:pPr>
            <w:r>
              <w:t>25</w:t>
            </w:r>
          </w:p>
        </w:tc>
      </w:tr>
      <w:tr w:rsidR="00117078" w:rsidRPr="00BE4766" w14:paraId="1F5615A8" w14:textId="77777777" w:rsidTr="006D576C">
        <w:trPr>
          <w:trHeight w:val="519"/>
        </w:trPr>
        <w:tc>
          <w:tcPr>
            <w:tcW w:w="1491" w:type="dxa"/>
          </w:tcPr>
          <w:p w14:paraId="4B26E402" w14:textId="77777777" w:rsidR="00117078" w:rsidRPr="00F0364B" w:rsidRDefault="00117078" w:rsidP="006D576C">
            <w:pPr>
              <w:pStyle w:val="TableBody"/>
              <w:rPr>
                <w:i/>
              </w:rPr>
            </w:pPr>
            <w:r>
              <w:rPr>
                <w:i/>
              </w:rPr>
              <w:t>e3</w:t>
            </w:r>
          </w:p>
        </w:tc>
        <w:tc>
          <w:tcPr>
            <w:tcW w:w="1016" w:type="dxa"/>
          </w:tcPr>
          <w:p w14:paraId="2E060F2C" w14:textId="77777777" w:rsidR="00117078" w:rsidRPr="00BE4766" w:rsidRDefault="00117078" w:rsidP="006D576C">
            <w:pPr>
              <w:pStyle w:val="TableBody"/>
            </w:pPr>
            <w:r>
              <w:t>value</w:t>
            </w:r>
          </w:p>
        </w:tc>
        <w:tc>
          <w:tcPr>
            <w:tcW w:w="7213" w:type="dxa"/>
          </w:tcPr>
          <w:p w14:paraId="3980DAC9" w14:textId="77777777" w:rsidR="00117078" w:rsidRPr="0009711C" w:rsidRDefault="00117078" w:rsidP="006D576C">
            <w:pPr>
              <w:pStyle w:val="TableBody"/>
            </w:pPr>
            <w:r>
              <w:t>1</w:t>
            </w:r>
          </w:p>
        </w:tc>
      </w:tr>
      <w:tr w:rsidR="00117078" w:rsidRPr="00BE4766" w14:paraId="769DBAF4" w14:textId="77777777" w:rsidTr="006D576C">
        <w:trPr>
          <w:trHeight w:val="519"/>
        </w:trPr>
        <w:tc>
          <w:tcPr>
            <w:tcW w:w="1491" w:type="dxa"/>
          </w:tcPr>
          <w:p w14:paraId="44899031" w14:textId="77777777" w:rsidR="00117078" w:rsidRPr="006562E8" w:rsidRDefault="00117078" w:rsidP="006D576C">
            <w:pPr>
              <w:pStyle w:val="TableBody"/>
              <w:rPr>
                <w:i/>
              </w:rPr>
            </w:pPr>
            <w:r w:rsidRPr="006562E8">
              <w:rPr>
                <w:i/>
              </w:rPr>
              <w:t>y</w:t>
            </w:r>
          </w:p>
        </w:tc>
        <w:tc>
          <w:tcPr>
            <w:tcW w:w="1016" w:type="dxa"/>
          </w:tcPr>
          <w:p w14:paraId="6C6D908C" w14:textId="77777777" w:rsidR="00117078" w:rsidRDefault="00117078" w:rsidP="006D576C">
            <w:pPr>
              <w:pStyle w:val="TableBody"/>
            </w:pPr>
            <w:r>
              <w:t>percentile</w:t>
            </w:r>
          </w:p>
        </w:tc>
        <w:tc>
          <w:tcPr>
            <w:tcW w:w="7213" w:type="dxa"/>
          </w:tcPr>
          <w:p w14:paraId="424F4884" w14:textId="77777777" w:rsidR="00117078" w:rsidRDefault="00117078" w:rsidP="006D576C">
            <w:pPr>
              <w:pStyle w:val="TableBody"/>
            </w:pPr>
            <w:r>
              <w:t>45</w:t>
            </w:r>
          </w:p>
        </w:tc>
      </w:tr>
      <w:tr w:rsidR="00117078" w:rsidRPr="00BE4766" w14:paraId="79D0275D" w14:textId="77777777" w:rsidTr="006D576C">
        <w:trPr>
          <w:trHeight w:val="519"/>
        </w:trPr>
        <w:tc>
          <w:tcPr>
            <w:tcW w:w="1491" w:type="dxa"/>
          </w:tcPr>
          <w:p w14:paraId="1C1A1C07" w14:textId="77777777" w:rsidR="00117078" w:rsidRPr="00580517" w:rsidRDefault="00117078" w:rsidP="006D576C">
            <w:pPr>
              <w:pStyle w:val="TableBody"/>
              <w:rPr>
                <w:i/>
              </w:rPr>
            </w:pPr>
            <w:r w:rsidRPr="00580517">
              <w:rPr>
                <w:i/>
              </w:rPr>
              <w:t>z</w:t>
            </w:r>
          </w:p>
        </w:tc>
        <w:tc>
          <w:tcPr>
            <w:tcW w:w="1016" w:type="dxa"/>
          </w:tcPr>
          <w:p w14:paraId="30B1F5E9" w14:textId="77777777" w:rsidR="00117078" w:rsidRDefault="00117078" w:rsidP="006D576C">
            <w:pPr>
              <w:pStyle w:val="TableBody"/>
            </w:pPr>
            <w:r>
              <w:t>percentile</w:t>
            </w:r>
          </w:p>
        </w:tc>
        <w:tc>
          <w:tcPr>
            <w:tcW w:w="7213" w:type="dxa"/>
          </w:tcPr>
          <w:p w14:paraId="3633BC6B" w14:textId="77777777" w:rsidR="00117078" w:rsidRPr="00580517" w:rsidRDefault="00117078" w:rsidP="006D576C">
            <w:pPr>
              <w:pStyle w:val="TableBody"/>
            </w:pPr>
            <w:r w:rsidRPr="00580517">
              <w:t>50</w:t>
            </w:r>
          </w:p>
        </w:tc>
      </w:tr>
      <w:tr w:rsidR="00117078" w:rsidRPr="00BE4766" w14:paraId="0E433920" w14:textId="77777777" w:rsidTr="006D576C">
        <w:trPr>
          <w:trHeight w:val="519"/>
        </w:trPr>
        <w:tc>
          <w:tcPr>
            <w:tcW w:w="1491" w:type="dxa"/>
          </w:tcPr>
          <w:p w14:paraId="41831A77" w14:textId="77777777" w:rsidR="00117078" w:rsidRPr="00580517" w:rsidRDefault="00117078" w:rsidP="006D576C">
            <w:pPr>
              <w:pStyle w:val="TableBody"/>
              <w:rPr>
                <w:i/>
              </w:rPr>
            </w:pPr>
            <w:r w:rsidRPr="00580517">
              <w:rPr>
                <w:i/>
              </w:rPr>
              <w:t>u</w:t>
            </w:r>
          </w:p>
        </w:tc>
        <w:tc>
          <w:tcPr>
            <w:tcW w:w="1016" w:type="dxa"/>
          </w:tcPr>
          <w:p w14:paraId="5D9B0E7C" w14:textId="77777777" w:rsidR="00117078" w:rsidRDefault="00117078" w:rsidP="006D576C">
            <w:pPr>
              <w:pStyle w:val="TableBody"/>
            </w:pPr>
            <w:r>
              <w:t>percentile</w:t>
            </w:r>
          </w:p>
        </w:tc>
        <w:tc>
          <w:tcPr>
            <w:tcW w:w="7213" w:type="dxa"/>
          </w:tcPr>
          <w:p w14:paraId="2087A149" w14:textId="77777777" w:rsidR="00117078" w:rsidRPr="00580517" w:rsidRDefault="00117078" w:rsidP="006D576C">
            <w:pPr>
              <w:pStyle w:val="TableBody"/>
            </w:pPr>
            <w:r w:rsidRPr="00580517">
              <w:t>90</w:t>
            </w:r>
          </w:p>
        </w:tc>
      </w:tr>
      <w:tr w:rsidR="00117078" w:rsidRPr="00BE4766" w14:paraId="2517BCB3" w14:textId="77777777" w:rsidTr="006D576C">
        <w:trPr>
          <w:trHeight w:val="519"/>
        </w:trPr>
        <w:tc>
          <w:tcPr>
            <w:tcW w:w="1491" w:type="dxa"/>
          </w:tcPr>
          <w:p w14:paraId="43F33EAA" w14:textId="77777777" w:rsidR="00117078" w:rsidRPr="006562E8" w:rsidRDefault="00117078" w:rsidP="006D576C">
            <w:pPr>
              <w:pStyle w:val="TableBody"/>
              <w:rPr>
                <w:i/>
              </w:rPr>
            </w:pPr>
            <w:r w:rsidRPr="006562E8">
              <w:rPr>
                <w:i/>
              </w:rPr>
              <w:t>t</w:t>
            </w:r>
          </w:p>
        </w:tc>
        <w:tc>
          <w:tcPr>
            <w:tcW w:w="1016" w:type="dxa"/>
          </w:tcPr>
          <w:p w14:paraId="65B7E8E1" w14:textId="77777777" w:rsidR="00117078" w:rsidRDefault="00117078" w:rsidP="006D576C">
            <w:pPr>
              <w:pStyle w:val="TableBody"/>
            </w:pPr>
            <w:r>
              <w:t>percentile</w:t>
            </w:r>
          </w:p>
        </w:tc>
        <w:tc>
          <w:tcPr>
            <w:tcW w:w="7213" w:type="dxa"/>
          </w:tcPr>
          <w:p w14:paraId="5B6DF9DF" w14:textId="77777777" w:rsidR="00117078" w:rsidRPr="00730564" w:rsidRDefault="00117078" w:rsidP="006D576C">
            <w:pPr>
              <w:pStyle w:val="TableBody"/>
            </w:pPr>
            <w:r w:rsidRPr="006562E8">
              <w:t>50</w:t>
            </w:r>
          </w:p>
        </w:tc>
      </w:tr>
      <w:tr w:rsidR="00117078" w:rsidRPr="00BE4766" w14:paraId="43C522E2" w14:textId="77777777" w:rsidTr="006D576C">
        <w:trPr>
          <w:trHeight w:val="519"/>
        </w:trPr>
        <w:tc>
          <w:tcPr>
            <w:tcW w:w="9720" w:type="dxa"/>
            <w:gridSpan w:val="3"/>
          </w:tcPr>
          <w:p w14:paraId="1AAEECF5" w14:textId="77777777" w:rsidR="00117078" w:rsidRPr="006562E8" w:rsidRDefault="00117078" w:rsidP="006D576C">
            <w:pPr>
              <w:pStyle w:val="TableBody"/>
            </w:pPr>
            <w:r w:rsidRPr="00191657">
              <w:t xml:space="preserve">* The current value for the parameters referenced in this table above will be recommended by TAC and approved by the ERCOT Board. </w:t>
            </w:r>
            <w:r>
              <w:t xml:space="preserve"> </w:t>
            </w:r>
            <w:r w:rsidRPr="00191657">
              <w:t xml:space="preserve">ERCOT shall update parameter values on the first day of the month following ERCOT Board approval unless otherwise directed by the ERCOT Board. </w:t>
            </w:r>
            <w:r>
              <w:t xml:space="preserve"> </w:t>
            </w:r>
            <w:r w:rsidRPr="00191657">
              <w:t>ERCOT shall provide a Market Notice prior to implementation of a revised parameter value.</w:t>
            </w:r>
          </w:p>
        </w:tc>
      </w:tr>
    </w:tbl>
    <w:p w14:paraId="3C0B65C4" w14:textId="77777777" w:rsidR="006C0FB2" w:rsidRDefault="00482EF3" w:rsidP="00E75519">
      <w:pPr>
        <w:pStyle w:val="H3"/>
        <w:spacing w:before="480"/>
      </w:pPr>
      <w:bookmarkStart w:id="569" w:name="_Toc135990670"/>
      <w:r w:rsidRPr="001A7FC9">
        <w:lastRenderedPageBreak/>
        <w:t>4.4.11</w:t>
      </w:r>
      <w:r w:rsidRPr="001A7FC9">
        <w:tab/>
        <w:t>System-Wide Offer Caps</w:t>
      </w:r>
      <w:bookmarkEnd w:id="561"/>
      <w:bookmarkEnd w:id="562"/>
      <w:bookmarkEnd w:id="563"/>
      <w:bookmarkEnd w:id="564"/>
      <w:bookmarkEnd w:id="569"/>
    </w:p>
    <w:p w14:paraId="1C4BF163" w14:textId="77777777" w:rsidR="00FF2129" w:rsidRDefault="00482EF3" w:rsidP="002816D7">
      <w:pPr>
        <w:pStyle w:val="BodyText"/>
        <w:ind w:left="720" w:hanging="720"/>
      </w:pPr>
      <w:r>
        <w:t>(1)</w:t>
      </w:r>
      <w:r>
        <w:tab/>
        <w:t>The SWCAP</w:t>
      </w:r>
      <w:r w:rsidR="00E83EA8">
        <w:t xml:space="preserve"> </w:t>
      </w:r>
      <w:r w:rsidR="00E83EA8" w:rsidRPr="008051F4">
        <w:rPr>
          <w:iCs w:val="0"/>
          <w:szCs w:val="20"/>
        </w:rPr>
        <w:t xml:space="preserve">shall be determined in accordance with </w:t>
      </w:r>
      <w:r w:rsidR="00E83EA8">
        <w:rPr>
          <w:iCs w:val="0"/>
          <w:szCs w:val="20"/>
        </w:rPr>
        <w:t>the Public Utility Commission of Texas (PUCT) Substantive Rules</w:t>
      </w:r>
      <w:r w:rsidR="00E83EA8" w:rsidRPr="008051F4">
        <w:rPr>
          <w:iCs w:val="0"/>
          <w:szCs w:val="20"/>
        </w:rPr>
        <w:t>.</w:t>
      </w:r>
      <w:r w:rsidR="00E83EA8">
        <w:rPr>
          <w:iCs w:val="0"/>
          <w:szCs w:val="20"/>
        </w:rPr>
        <w:t xml:space="preserve">  The </w:t>
      </w:r>
      <w:r w:rsidR="00E83EA8">
        <w:t>methodology for determining the SWCAP</w:t>
      </w:r>
      <w:r w:rsidR="00336D2F">
        <w:t xml:space="preserve"> is as follows:</w:t>
      </w:r>
      <w:r w:rsidR="00E83EA8">
        <w:rPr>
          <w:iCs w:val="0"/>
          <w:szCs w:val="20"/>
        </w:rPr>
        <w:t xml:space="preserve"> </w:t>
      </w:r>
    </w:p>
    <w:p w14:paraId="60C919AF" w14:textId="6E903EC9" w:rsidR="00336D2F" w:rsidRPr="00EB5B0C" w:rsidRDefault="00336D2F" w:rsidP="00D02271">
      <w:pPr>
        <w:spacing w:after="240"/>
        <w:ind w:left="1440" w:hanging="720"/>
      </w:pPr>
      <w:r w:rsidRPr="00EB5B0C">
        <w:t>(</w:t>
      </w:r>
      <w:r>
        <w:t>a</w:t>
      </w:r>
      <w:r w:rsidRPr="00EB5B0C">
        <w:t>)</w:t>
      </w:r>
      <w:r w:rsidRPr="00EB5B0C">
        <w:tab/>
        <w:t xml:space="preserve">The </w:t>
      </w:r>
      <w:r w:rsidR="003A3DE6">
        <w:rPr>
          <w:szCs w:val="20"/>
        </w:rPr>
        <w:t>L</w:t>
      </w:r>
      <w:r w:rsidRPr="0002512F">
        <w:rPr>
          <w:szCs w:val="20"/>
        </w:rPr>
        <w:t>ow</w:t>
      </w:r>
      <w:r w:rsidRPr="00EB5B0C">
        <w:t xml:space="preserve"> </w:t>
      </w:r>
      <w:r w:rsidR="003A3DE6">
        <w:t>S</w:t>
      </w:r>
      <w:r w:rsidRPr="00EB5B0C">
        <w:t>ystem-</w:t>
      </w:r>
      <w:r w:rsidR="003A3DE6">
        <w:t>W</w:t>
      </w:r>
      <w:r w:rsidRPr="00EB5B0C">
        <w:t xml:space="preserve">ide </w:t>
      </w:r>
      <w:r w:rsidR="003A3DE6">
        <w:t>O</w:t>
      </w:r>
      <w:r w:rsidRPr="00EB5B0C">
        <w:t xml:space="preserve">ffer </w:t>
      </w:r>
      <w:r w:rsidR="003A3DE6">
        <w:t>C</w:t>
      </w:r>
      <w:r w:rsidRPr="00EB5B0C">
        <w:t>ap (LCAP) is set at $</w:t>
      </w:r>
      <w:r>
        <w:t>2,000</w:t>
      </w:r>
      <w:r w:rsidRPr="00EB5B0C">
        <w:t xml:space="preserve"> per MWh for energy and $</w:t>
      </w:r>
      <w:r>
        <w:t>2,000</w:t>
      </w:r>
      <w:r w:rsidRPr="00EB5B0C">
        <w:t xml:space="preserve"> per MW per hour for Ancillary Services.</w:t>
      </w:r>
      <w:r>
        <w:t xml:space="preserve"> </w:t>
      </w:r>
    </w:p>
    <w:p w14:paraId="1DEB40D8" w14:textId="5EFCC4AA" w:rsidR="00336D2F" w:rsidRDefault="00336D2F" w:rsidP="00336D2F">
      <w:pPr>
        <w:spacing w:after="240"/>
        <w:ind w:left="1440" w:hanging="720"/>
      </w:pPr>
      <w:r w:rsidRPr="00EB5B0C">
        <w:t>(</w:t>
      </w:r>
      <w:r>
        <w:t>b</w:t>
      </w:r>
      <w:r w:rsidRPr="00EB5B0C">
        <w:t>)</w:t>
      </w:r>
      <w:r w:rsidRPr="00EB5B0C">
        <w:tab/>
        <w:t xml:space="preserve">At the beginning of each </w:t>
      </w:r>
      <w:r w:rsidR="006337AC">
        <w:t>year</w:t>
      </w:r>
      <w:r w:rsidRPr="00EB5B0C">
        <w:t xml:space="preserve">, the SWCAP shall be set equal to the </w:t>
      </w:r>
      <w:r w:rsidR="003A3DE6">
        <w:t>H</w:t>
      </w:r>
      <w:r w:rsidRPr="00B46A1F">
        <w:t xml:space="preserve">igh </w:t>
      </w:r>
      <w:r w:rsidR="003A3DE6">
        <w:t>S</w:t>
      </w:r>
      <w:r w:rsidRPr="00B46A1F">
        <w:t>ystem-</w:t>
      </w:r>
      <w:r w:rsidR="003A3DE6">
        <w:t>W</w:t>
      </w:r>
      <w:r w:rsidRPr="00B46A1F">
        <w:t xml:space="preserve">ide </w:t>
      </w:r>
      <w:r w:rsidR="003A3DE6">
        <w:t>O</w:t>
      </w:r>
      <w:r w:rsidRPr="00B46A1F">
        <w:t xml:space="preserve">ffer </w:t>
      </w:r>
      <w:r w:rsidR="003A3DE6">
        <w:t>C</w:t>
      </w:r>
      <w:r w:rsidRPr="00B46A1F">
        <w:t>ap (HCAP)</w:t>
      </w:r>
      <w:r w:rsidRPr="00EB5B0C">
        <w:t xml:space="preserve"> and maintained at this level as long as the </w:t>
      </w:r>
      <w:r>
        <w:t>P</w:t>
      </w:r>
      <w:r w:rsidRPr="00EB5B0C">
        <w:t xml:space="preserve">eaker </w:t>
      </w:r>
      <w:r>
        <w:t>N</w:t>
      </w:r>
      <w:r w:rsidRPr="00EB5B0C">
        <w:t xml:space="preserve">et </w:t>
      </w:r>
      <w:r>
        <w:t>M</w:t>
      </w:r>
      <w:r w:rsidRPr="00EB5B0C">
        <w:t>argin (PNM) during a</w:t>
      </w:r>
      <w:r w:rsidR="006337AC">
        <w:t xml:space="preserve"> year</w:t>
      </w:r>
      <w:r w:rsidRPr="00EB5B0C">
        <w:t xml:space="preserve"> is less than or equal to </w:t>
      </w:r>
      <w:r w:rsidR="00380645">
        <w:t xml:space="preserve">the </w:t>
      </w:r>
      <w:r>
        <w:t>PNM threshold</w:t>
      </w:r>
      <w:r w:rsidRPr="00EB5B0C">
        <w:t xml:space="preserve"> per MW</w:t>
      </w:r>
      <w:r>
        <w:t>-year</w:t>
      </w:r>
      <w:r w:rsidRPr="00EB5B0C">
        <w:t xml:space="preserve">.  If the PNM exceeds </w:t>
      </w:r>
      <w:r w:rsidR="00380645">
        <w:t xml:space="preserve">the </w:t>
      </w:r>
      <w:r>
        <w:t>PNM threshold</w:t>
      </w:r>
      <w:r w:rsidRPr="00EB5B0C">
        <w:t xml:space="preserve"> per MW</w:t>
      </w:r>
      <w:r>
        <w:t>-year</w:t>
      </w:r>
      <w:r w:rsidRPr="00EB5B0C">
        <w:t xml:space="preserve"> during a</w:t>
      </w:r>
      <w:r w:rsidR="006337AC">
        <w:t xml:space="preserve"> year</w:t>
      </w:r>
      <w:r w:rsidRPr="00EB5B0C">
        <w:t xml:space="preserve">, on the next Operating Day, the SWCAP shall be reset to the LCAP for the remainder of that </w:t>
      </w:r>
      <w:r w:rsidR="006337AC">
        <w:t>year</w:t>
      </w:r>
      <w:r w:rsidRPr="00EB5B0C">
        <w:t>.</w:t>
      </w:r>
    </w:p>
    <w:p w14:paraId="65235204" w14:textId="64776E90" w:rsidR="00336D2F" w:rsidRPr="00EB5B0C" w:rsidRDefault="00336D2F" w:rsidP="003E45AB">
      <w:pPr>
        <w:spacing w:after="240"/>
        <w:ind w:left="1440" w:hanging="720"/>
      </w:pPr>
      <w:r>
        <w:t>(c)</w:t>
      </w:r>
      <w:r>
        <w:tab/>
      </w:r>
      <w:r w:rsidRPr="00D61BA9">
        <w:t>ERCOT shall set the PNM threshold at three times the cost of new entry of new generation plants.</w:t>
      </w:r>
    </w:p>
    <w:p w14:paraId="170E6276" w14:textId="77777777" w:rsidR="00336D2F" w:rsidRDefault="00336D2F" w:rsidP="00336D2F">
      <w:pPr>
        <w:rPr>
          <w:iCs/>
        </w:rPr>
      </w:pPr>
      <w:r>
        <w:rPr>
          <w:iCs/>
        </w:rPr>
        <w:t>The above parameters are defined as follows.</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1"/>
        <w:gridCol w:w="1691"/>
        <w:gridCol w:w="5854"/>
      </w:tblGrid>
      <w:tr w:rsidR="00336D2F" w:rsidRPr="00D74ADF" w14:paraId="5C1ECCF3" w14:textId="77777777" w:rsidTr="00D161F2">
        <w:trPr>
          <w:trHeight w:val="351"/>
          <w:tblHeader/>
        </w:trPr>
        <w:tc>
          <w:tcPr>
            <w:tcW w:w="1571" w:type="dxa"/>
          </w:tcPr>
          <w:p w14:paraId="1DE3F7C6" w14:textId="77777777" w:rsidR="00336D2F" w:rsidRPr="00A8084A" w:rsidRDefault="00336D2F" w:rsidP="00D161F2">
            <w:pPr>
              <w:pStyle w:val="TableHead"/>
            </w:pPr>
            <w:r w:rsidRPr="00E10651">
              <w:t>Parameter</w:t>
            </w:r>
          </w:p>
        </w:tc>
        <w:tc>
          <w:tcPr>
            <w:tcW w:w="1691" w:type="dxa"/>
          </w:tcPr>
          <w:p w14:paraId="4DA53587" w14:textId="77777777" w:rsidR="00336D2F" w:rsidRPr="00A8084A" w:rsidRDefault="00336D2F" w:rsidP="00D161F2">
            <w:pPr>
              <w:pStyle w:val="TableHead"/>
            </w:pPr>
            <w:r w:rsidRPr="00A8084A">
              <w:t>Unit</w:t>
            </w:r>
          </w:p>
        </w:tc>
        <w:tc>
          <w:tcPr>
            <w:tcW w:w="5854" w:type="dxa"/>
          </w:tcPr>
          <w:p w14:paraId="56036AA3" w14:textId="77777777" w:rsidR="00336D2F" w:rsidRPr="00A8084A" w:rsidRDefault="00336D2F" w:rsidP="00D161F2">
            <w:pPr>
              <w:pStyle w:val="TableHead"/>
            </w:pPr>
            <w:r w:rsidRPr="00A8084A">
              <w:t>Current Value*</w:t>
            </w:r>
          </w:p>
        </w:tc>
      </w:tr>
      <w:tr w:rsidR="00336D2F" w:rsidRPr="00D74ADF" w14:paraId="09C6D452" w14:textId="77777777" w:rsidTr="00D161F2">
        <w:trPr>
          <w:trHeight w:val="404"/>
        </w:trPr>
        <w:tc>
          <w:tcPr>
            <w:tcW w:w="1571" w:type="dxa"/>
          </w:tcPr>
          <w:p w14:paraId="24A96909" w14:textId="77777777" w:rsidR="00336D2F" w:rsidRPr="00B46A1F" w:rsidRDefault="00336D2F" w:rsidP="00D161F2">
            <w:pPr>
              <w:pStyle w:val="TableBody"/>
            </w:pPr>
            <w:r>
              <w:t>HCAP</w:t>
            </w:r>
          </w:p>
        </w:tc>
        <w:tc>
          <w:tcPr>
            <w:tcW w:w="1691" w:type="dxa"/>
          </w:tcPr>
          <w:p w14:paraId="122F412F" w14:textId="77777777" w:rsidR="00336D2F" w:rsidRPr="00A8084A" w:rsidRDefault="00336D2F" w:rsidP="00D161F2">
            <w:pPr>
              <w:pStyle w:val="TableBody"/>
            </w:pPr>
            <w:r>
              <w:t>$/MWh</w:t>
            </w:r>
          </w:p>
        </w:tc>
        <w:tc>
          <w:tcPr>
            <w:tcW w:w="5854" w:type="dxa"/>
          </w:tcPr>
          <w:p w14:paraId="39E4636B" w14:textId="655CA60A" w:rsidR="00336D2F" w:rsidRPr="00A8084A" w:rsidRDefault="00251A74" w:rsidP="00D161F2">
            <w:pPr>
              <w:pStyle w:val="TableBody"/>
            </w:pPr>
            <w:r>
              <w:t>5</w:t>
            </w:r>
            <w:r w:rsidR="00336D2F">
              <w:t>,000</w:t>
            </w:r>
          </w:p>
        </w:tc>
      </w:tr>
      <w:tr w:rsidR="00336D2F" w:rsidRPr="00D74ADF" w14:paraId="61C7B3B7" w14:textId="77777777" w:rsidTr="00D161F2">
        <w:trPr>
          <w:trHeight w:val="404"/>
        </w:trPr>
        <w:tc>
          <w:tcPr>
            <w:tcW w:w="1571" w:type="dxa"/>
          </w:tcPr>
          <w:p w14:paraId="2BCBF61A" w14:textId="77777777" w:rsidR="00336D2F" w:rsidRDefault="00336D2F" w:rsidP="00D161F2">
            <w:pPr>
              <w:pStyle w:val="TableBody"/>
            </w:pPr>
            <w:r>
              <w:t>PNM threshold</w:t>
            </w:r>
          </w:p>
        </w:tc>
        <w:tc>
          <w:tcPr>
            <w:tcW w:w="1691" w:type="dxa"/>
          </w:tcPr>
          <w:p w14:paraId="4AAD12A5" w14:textId="77777777" w:rsidR="00336D2F" w:rsidRDefault="00336D2F" w:rsidP="00D161F2">
            <w:pPr>
              <w:pStyle w:val="TableBody"/>
            </w:pPr>
            <w:r>
              <w:t>$/MW-year</w:t>
            </w:r>
          </w:p>
        </w:tc>
        <w:tc>
          <w:tcPr>
            <w:tcW w:w="5854" w:type="dxa"/>
          </w:tcPr>
          <w:p w14:paraId="6CB11D8E" w14:textId="77777777" w:rsidR="00336D2F" w:rsidRDefault="00336D2F" w:rsidP="00D161F2">
            <w:pPr>
              <w:pStyle w:val="TableBody"/>
            </w:pPr>
            <w:r>
              <w:t>315,000</w:t>
            </w:r>
          </w:p>
        </w:tc>
      </w:tr>
      <w:tr w:rsidR="00336D2F" w:rsidRPr="00BE4766" w14:paraId="36DCFFC5" w14:textId="77777777" w:rsidTr="00D161F2">
        <w:trPr>
          <w:trHeight w:val="323"/>
        </w:trPr>
        <w:tc>
          <w:tcPr>
            <w:tcW w:w="9116" w:type="dxa"/>
            <w:gridSpan w:val="3"/>
          </w:tcPr>
          <w:p w14:paraId="4546594F" w14:textId="77777777" w:rsidR="00336D2F" w:rsidRPr="00A8084A" w:rsidRDefault="00336D2F" w:rsidP="00D161F2">
            <w:pPr>
              <w:pStyle w:val="TableBody"/>
            </w:pPr>
            <w:r w:rsidRPr="00E10651">
              <w:t>*  The</w:t>
            </w:r>
            <w:r w:rsidRPr="00A8084A">
              <w:t xml:space="preserve"> current value for the parameters referenced in this table above will be recommended by TAC and approved by the ERCOT Board.  ERCOT shall update parameter values on the first day of the month following ERCOT Board approval unless otherwise directed by the ERCOT Board.  ERCOT shall provide a Market Notice prior to implementation of a revised parameter value.</w:t>
            </w:r>
          </w:p>
        </w:tc>
      </w:tr>
    </w:tbl>
    <w:p w14:paraId="574CFAC3" w14:textId="77777777" w:rsidR="00FF2129" w:rsidRDefault="00482EF3" w:rsidP="00961EC1">
      <w:pPr>
        <w:pStyle w:val="BodyText"/>
        <w:spacing w:before="240"/>
        <w:ind w:left="720" w:hanging="720"/>
      </w:pPr>
      <w:r>
        <w:t>(2)</w:t>
      </w:r>
      <w:r>
        <w:tab/>
        <w:t xml:space="preserve">Any offers that exceed the current SWCAP shall be rejected by ERCOT.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6"/>
      </w:tblGrid>
      <w:tr w:rsidR="00C333DE" w:rsidRPr="004B32CF" w14:paraId="19CA8EBE" w14:textId="77777777" w:rsidTr="007258B7">
        <w:trPr>
          <w:trHeight w:val="386"/>
        </w:trPr>
        <w:tc>
          <w:tcPr>
            <w:tcW w:w="9350" w:type="dxa"/>
            <w:shd w:val="pct12" w:color="auto" w:fill="auto"/>
          </w:tcPr>
          <w:p w14:paraId="20F76EC4" w14:textId="72562F85" w:rsidR="00C333DE" w:rsidRPr="004B32CF" w:rsidRDefault="00C333DE" w:rsidP="007258B7">
            <w:pPr>
              <w:spacing w:before="120" w:after="240"/>
              <w:rPr>
                <w:b/>
                <w:i/>
                <w:iCs/>
              </w:rPr>
            </w:pPr>
            <w:bookmarkStart w:id="570" w:name="_Toc402345620"/>
            <w:bookmarkStart w:id="571" w:name="_Toc405383903"/>
            <w:bookmarkStart w:id="572" w:name="_Toc405537006"/>
            <w:bookmarkStart w:id="573" w:name="_Toc440871792"/>
            <w:r>
              <w:rPr>
                <w:b/>
                <w:i/>
                <w:iCs/>
              </w:rPr>
              <w:t>[NPRR1008</w:t>
            </w:r>
            <w:r w:rsidRPr="004B32CF">
              <w:rPr>
                <w:b/>
                <w:i/>
                <w:iCs/>
              </w:rPr>
              <w:t xml:space="preserve">:  </w:t>
            </w:r>
            <w:r>
              <w:rPr>
                <w:b/>
                <w:i/>
                <w:iCs/>
              </w:rPr>
              <w:t>Replace Section 4.4.11 above with the following</w:t>
            </w:r>
            <w:r w:rsidRPr="004B32CF">
              <w:rPr>
                <w:b/>
                <w:i/>
                <w:iCs/>
              </w:rPr>
              <w:t xml:space="preserve"> upon system implementation</w:t>
            </w:r>
            <w:r>
              <w:rPr>
                <w:b/>
                <w:i/>
                <w:iCs/>
              </w:rPr>
              <w:t xml:space="preserve"> of the Real-Time Co-Optimization (RTC) project</w:t>
            </w:r>
            <w:r w:rsidRPr="004B32CF">
              <w:rPr>
                <w:b/>
                <w:i/>
                <w:iCs/>
              </w:rPr>
              <w:t>:]</w:t>
            </w:r>
          </w:p>
          <w:p w14:paraId="14EA74EA" w14:textId="77777777" w:rsidR="00C333DE" w:rsidRDefault="00C333DE" w:rsidP="00C333DE">
            <w:pPr>
              <w:pStyle w:val="H3"/>
              <w:spacing w:before="480"/>
            </w:pPr>
            <w:bookmarkStart w:id="574" w:name="_Toc17707798"/>
            <w:bookmarkStart w:id="575" w:name="_Toc60038007"/>
            <w:bookmarkStart w:id="576" w:name="_Toc65146150"/>
            <w:bookmarkStart w:id="577" w:name="_Toc68165064"/>
            <w:bookmarkStart w:id="578" w:name="_Toc135990671"/>
            <w:r w:rsidRPr="0004020B">
              <w:t>4.4.11</w:t>
            </w:r>
            <w:r>
              <w:tab/>
              <w:t>Day-Ahead and Real-Time System-Wide Offer Caps</w:t>
            </w:r>
            <w:bookmarkEnd w:id="574"/>
            <w:bookmarkEnd w:id="575"/>
            <w:bookmarkEnd w:id="576"/>
            <w:bookmarkEnd w:id="577"/>
            <w:bookmarkEnd w:id="578"/>
          </w:p>
          <w:p w14:paraId="0193E2DE" w14:textId="77777777" w:rsidR="00C333DE" w:rsidRDefault="00C333DE" w:rsidP="00C333DE">
            <w:pPr>
              <w:pStyle w:val="BodyText"/>
              <w:ind w:left="720" w:hanging="720"/>
            </w:pPr>
            <w:r>
              <w:t>(1)</w:t>
            </w:r>
            <w:r>
              <w:tab/>
              <w:t xml:space="preserve">The DASWCAP and RTSWCAP </w:t>
            </w:r>
            <w:r w:rsidRPr="008051F4">
              <w:rPr>
                <w:iCs w:val="0"/>
                <w:szCs w:val="20"/>
              </w:rPr>
              <w:t xml:space="preserve">shall be determined in accordance with </w:t>
            </w:r>
            <w:r>
              <w:rPr>
                <w:iCs w:val="0"/>
                <w:szCs w:val="20"/>
              </w:rPr>
              <w:t>the Public Utility Commission of Texas (PUCT) Substantive Rules</w:t>
            </w:r>
            <w:r w:rsidRPr="008051F4">
              <w:rPr>
                <w:iCs w:val="0"/>
                <w:szCs w:val="20"/>
              </w:rPr>
              <w:t>.</w:t>
            </w:r>
            <w:r>
              <w:rPr>
                <w:iCs w:val="0"/>
                <w:szCs w:val="20"/>
              </w:rPr>
              <w:t xml:space="preserve">  The </w:t>
            </w:r>
            <w:r>
              <w:t>methodology for determining the DASWCAP and RTSWCAP is as follows:</w:t>
            </w:r>
            <w:r>
              <w:rPr>
                <w:iCs w:val="0"/>
                <w:szCs w:val="20"/>
              </w:rPr>
              <w:t xml:space="preserve"> </w:t>
            </w:r>
          </w:p>
          <w:p w14:paraId="2173186C" w14:textId="77777777" w:rsidR="00C333DE" w:rsidRPr="00EB5B0C" w:rsidRDefault="00C333DE" w:rsidP="00C333DE">
            <w:pPr>
              <w:pStyle w:val="List"/>
              <w:ind w:left="1440"/>
            </w:pPr>
            <w:r w:rsidRPr="00EB5B0C">
              <w:t>(</w:t>
            </w:r>
            <w:r>
              <w:t>a</w:t>
            </w:r>
            <w:r w:rsidRPr="00EB5B0C">
              <w:t>)</w:t>
            </w:r>
            <w:r w:rsidRPr="00EB5B0C">
              <w:tab/>
              <w:t xml:space="preserve">The </w:t>
            </w:r>
            <w:r>
              <w:rPr>
                <w:szCs w:val="20"/>
              </w:rPr>
              <w:t>L</w:t>
            </w:r>
            <w:r w:rsidRPr="0002512F">
              <w:rPr>
                <w:szCs w:val="20"/>
              </w:rPr>
              <w:t>ow</w:t>
            </w:r>
            <w:r w:rsidRPr="00EB5B0C">
              <w:t xml:space="preserve"> </w:t>
            </w:r>
            <w:r>
              <w:t>S</w:t>
            </w:r>
            <w:r w:rsidRPr="00EB5B0C">
              <w:t>ystem-</w:t>
            </w:r>
            <w:r>
              <w:t>W</w:t>
            </w:r>
            <w:r w:rsidRPr="00EB5B0C">
              <w:t xml:space="preserve">ide </w:t>
            </w:r>
            <w:r>
              <w:t>O</w:t>
            </w:r>
            <w:r w:rsidRPr="00EB5B0C">
              <w:t xml:space="preserve">ffer </w:t>
            </w:r>
            <w:r>
              <w:t>C</w:t>
            </w:r>
            <w:r w:rsidRPr="00EB5B0C">
              <w:t xml:space="preserve">ap (LCAP) is set </w:t>
            </w:r>
            <w:r>
              <w:t xml:space="preserve">at </w:t>
            </w:r>
            <w:r w:rsidRPr="00EB5B0C">
              <w:t>$</w:t>
            </w:r>
            <w:r>
              <w:t>2,000</w:t>
            </w:r>
            <w:r w:rsidRPr="00EB5B0C">
              <w:t xml:space="preserve"> per MWh for energy and $</w:t>
            </w:r>
            <w:r>
              <w:t>2,000</w:t>
            </w:r>
            <w:r w:rsidRPr="00EB5B0C">
              <w:t xml:space="preserve"> per MW per hour for Ancillary Services</w:t>
            </w:r>
            <w:r>
              <w:t>.</w:t>
            </w:r>
          </w:p>
          <w:p w14:paraId="577C9C6F" w14:textId="18B14251" w:rsidR="00C333DE" w:rsidRDefault="00C333DE" w:rsidP="00C333DE">
            <w:pPr>
              <w:spacing w:after="240"/>
              <w:ind w:left="1440" w:hanging="720"/>
            </w:pPr>
            <w:r w:rsidRPr="00EB5B0C">
              <w:t>(</w:t>
            </w:r>
            <w:r>
              <w:t>b</w:t>
            </w:r>
            <w:r w:rsidRPr="00EB5B0C">
              <w:t>)</w:t>
            </w:r>
            <w:r w:rsidRPr="00EB5B0C">
              <w:tab/>
              <w:t xml:space="preserve">At the beginning of each </w:t>
            </w:r>
            <w:r>
              <w:t>year</w:t>
            </w:r>
            <w:r w:rsidRPr="00EB5B0C">
              <w:t xml:space="preserve">, the </w:t>
            </w:r>
            <w:r>
              <w:t>DASWCAP and RTSWCAP</w:t>
            </w:r>
            <w:r w:rsidRPr="00EB5B0C">
              <w:t xml:space="preserve"> shall be set equal to the </w:t>
            </w:r>
            <w:r>
              <w:t>respective H</w:t>
            </w:r>
            <w:r w:rsidRPr="00B46A1F">
              <w:t xml:space="preserve">igh </w:t>
            </w:r>
            <w:r>
              <w:t>S</w:t>
            </w:r>
            <w:r w:rsidRPr="00B46A1F">
              <w:t>ystem-</w:t>
            </w:r>
            <w:r>
              <w:t>W</w:t>
            </w:r>
            <w:r w:rsidRPr="00B46A1F">
              <w:t xml:space="preserve">ide </w:t>
            </w:r>
            <w:r>
              <w:t>O</w:t>
            </w:r>
            <w:r w:rsidRPr="00B46A1F">
              <w:t xml:space="preserve">ffer </w:t>
            </w:r>
            <w:r>
              <w:t>C</w:t>
            </w:r>
            <w:r w:rsidRPr="00B46A1F">
              <w:t>ap (HCAP)</w:t>
            </w:r>
            <w:r w:rsidRPr="00EB5B0C">
              <w:t xml:space="preserve"> and maintained at this level as long as the </w:t>
            </w:r>
            <w:r>
              <w:t>P</w:t>
            </w:r>
            <w:r w:rsidRPr="00EB5B0C">
              <w:t xml:space="preserve">eaker </w:t>
            </w:r>
            <w:r>
              <w:t>N</w:t>
            </w:r>
            <w:r w:rsidRPr="00EB5B0C">
              <w:t xml:space="preserve">et </w:t>
            </w:r>
            <w:r>
              <w:t>M</w:t>
            </w:r>
            <w:r w:rsidRPr="00EB5B0C">
              <w:t xml:space="preserve">argin (PNM) during a </w:t>
            </w:r>
            <w:r>
              <w:t>year</w:t>
            </w:r>
            <w:r w:rsidRPr="00EB5B0C">
              <w:t xml:space="preserve"> is less than </w:t>
            </w:r>
            <w:r w:rsidRPr="00EB5B0C">
              <w:lastRenderedPageBreak/>
              <w:t xml:space="preserve">or equal to </w:t>
            </w:r>
            <w:r w:rsidR="00380645">
              <w:t xml:space="preserve">the </w:t>
            </w:r>
            <w:r>
              <w:t>PNM threshold</w:t>
            </w:r>
            <w:r w:rsidRPr="00EB5B0C">
              <w:t xml:space="preserve"> per MW</w:t>
            </w:r>
            <w:r>
              <w:t>-year</w:t>
            </w:r>
            <w:r w:rsidRPr="00EB5B0C">
              <w:t xml:space="preserve">.  </w:t>
            </w:r>
            <w:r>
              <w:t xml:space="preserve">Additionally, the Value of Lost Load (VOLL) used to determine the ASDCs for DAM and RTM shall be set to the HCAP for DAM.  </w:t>
            </w:r>
            <w:r w:rsidRPr="00EB5B0C">
              <w:t xml:space="preserve">If the PNM exceeds </w:t>
            </w:r>
            <w:r w:rsidR="00380645">
              <w:t xml:space="preserve">the </w:t>
            </w:r>
            <w:r>
              <w:t>PNM threshold</w:t>
            </w:r>
            <w:r w:rsidRPr="00EB5B0C">
              <w:t xml:space="preserve"> per MW</w:t>
            </w:r>
            <w:r>
              <w:t>-year</w:t>
            </w:r>
            <w:r w:rsidRPr="00EB5B0C">
              <w:t xml:space="preserve"> the </w:t>
            </w:r>
            <w:r>
              <w:t>DASWCAP</w:t>
            </w:r>
            <w:r w:rsidRPr="00EB5B0C">
              <w:t xml:space="preserve"> </w:t>
            </w:r>
            <w:r>
              <w:t>and the VOLL used to determine the ASDCs for DAM and RTM</w:t>
            </w:r>
            <w:r w:rsidRPr="00EB5B0C">
              <w:t xml:space="preserve"> shall be reset</w:t>
            </w:r>
            <w:r>
              <w:t xml:space="preserve"> per the schedule in Section 4.4.11.1, Scarcity Pricing Mechanism</w:t>
            </w:r>
            <w:r w:rsidRPr="00EB5B0C">
              <w:t>.</w:t>
            </w:r>
          </w:p>
          <w:p w14:paraId="628A3250" w14:textId="77777777" w:rsidR="00C333DE" w:rsidRPr="00EB5B0C" w:rsidRDefault="00C333DE" w:rsidP="00C333DE">
            <w:pPr>
              <w:spacing w:before="240" w:after="240"/>
              <w:ind w:left="1440" w:hanging="720"/>
            </w:pPr>
            <w:r>
              <w:t>(c)</w:t>
            </w:r>
            <w:r>
              <w:tab/>
            </w:r>
            <w:r w:rsidRPr="00D61BA9">
              <w:t>ERCOT shall set the PNM threshold at three times the cost of new entry of new generation plants.</w:t>
            </w:r>
          </w:p>
          <w:p w14:paraId="6AB92371" w14:textId="77777777" w:rsidR="00C333DE" w:rsidRDefault="00C333DE" w:rsidP="00C333DE">
            <w:pPr>
              <w:rPr>
                <w:iCs/>
              </w:rPr>
            </w:pPr>
            <w:r>
              <w:rPr>
                <w:iCs/>
              </w:rPr>
              <w:t>The above parameters are defined as follows:</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1"/>
              <w:gridCol w:w="1691"/>
              <w:gridCol w:w="5854"/>
            </w:tblGrid>
            <w:tr w:rsidR="00493803" w:rsidRPr="00D74ADF" w14:paraId="1CCB3D73" w14:textId="77777777" w:rsidTr="007258B7">
              <w:trPr>
                <w:trHeight w:val="351"/>
                <w:tblHeader/>
              </w:trPr>
              <w:tc>
                <w:tcPr>
                  <w:tcW w:w="1571" w:type="dxa"/>
                </w:tcPr>
                <w:p w14:paraId="2D5BB763" w14:textId="77777777" w:rsidR="00493803" w:rsidRPr="00A8084A" w:rsidRDefault="00493803" w:rsidP="00493803">
                  <w:pPr>
                    <w:pStyle w:val="TableHead"/>
                  </w:pPr>
                  <w:r w:rsidRPr="00E10651">
                    <w:t>Parameter</w:t>
                  </w:r>
                </w:p>
              </w:tc>
              <w:tc>
                <w:tcPr>
                  <w:tcW w:w="1691" w:type="dxa"/>
                </w:tcPr>
                <w:p w14:paraId="32972CFA" w14:textId="77777777" w:rsidR="00493803" w:rsidRPr="00A8084A" w:rsidRDefault="00493803" w:rsidP="00493803">
                  <w:pPr>
                    <w:pStyle w:val="TableHead"/>
                  </w:pPr>
                  <w:r w:rsidRPr="00A8084A">
                    <w:t>Unit</w:t>
                  </w:r>
                </w:p>
              </w:tc>
              <w:tc>
                <w:tcPr>
                  <w:tcW w:w="5854" w:type="dxa"/>
                </w:tcPr>
                <w:p w14:paraId="6CA54EC1" w14:textId="77777777" w:rsidR="00493803" w:rsidRPr="00A8084A" w:rsidRDefault="00493803" w:rsidP="00493803">
                  <w:pPr>
                    <w:pStyle w:val="TableHead"/>
                  </w:pPr>
                  <w:r w:rsidRPr="00A8084A">
                    <w:t>Current Value*</w:t>
                  </w:r>
                </w:p>
              </w:tc>
            </w:tr>
            <w:tr w:rsidR="00493803" w:rsidRPr="00D74ADF" w14:paraId="4C55FB3F" w14:textId="77777777" w:rsidTr="007258B7">
              <w:trPr>
                <w:trHeight w:val="404"/>
              </w:trPr>
              <w:tc>
                <w:tcPr>
                  <w:tcW w:w="1571" w:type="dxa"/>
                </w:tcPr>
                <w:p w14:paraId="3C0117A7" w14:textId="77777777" w:rsidR="00493803" w:rsidRPr="00B46A1F" w:rsidRDefault="00493803" w:rsidP="00493803">
                  <w:pPr>
                    <w:pStyle w:val="TableBody"/>
                  </w:pPr>
                  <w:r>
                    <w:t>HCAP – DAM (DASWCAP)</w:t>
                  </w:r>
                </w:p>
              </w:tc>
              <w:tc>
                <w:tcPr>
                  <w:tcW w:w="1691" w:type="dxa"/>
                </w:tcPr>
                <w:p w14:paraId="10F54853" w14:textId="77777777" w:rsidR="00493803" w:rsidRPr="00A8084A" w:rsidRDefault="00493803" w:rsidP="00493803">
                  <w:pPr>
                    <w:pStyle w:val="TableBody"/>
                  </w:pPr>
                  <w:r>
                    <w:t>$/MWh</w:t>
                  </w:r>
                </w:p>
              </w:tc>
              <w:tc>
                <w:tcPr>
                  <w:tcW w:w="5854" w:type="dxa"/>
                </w:tcPr>
                <w:p w14:paraId="2CE445C9" w14:textId="68DD0759" w:rsidR="00493803" w:rsidRPr="00A8084A" w:rsidRDefault="00251A74" w:rsidP="00493803">
                  <w:pPr>
                    <w:pStyle w:val="TableBody"/>
                  </w:pPr>
                  <w:r>
                    <w:t>5</w:t>
                  </w:r>
                  <w:r w:rsidR="00493803">
                    <w:t>,000</w:t>
                  </w:r>
                </w:p>
              </w:tc>
            </w:tr>
            <w:tr w:rsidR="00493803" w:rsidRPr="00D74ADF" w14:paraId="4D85D26D" w14:textId="77777777" w:rsidTr="007258B7">
              <w:trPr>
                <w:trHeight w:val="404"/>
              </w:trPr>
              <w:tc>
                <w:tcPr>
                  <w:tcW w:w="1571" w:type="dxa"/>
                </w:tcPr>
                <w:p w14:paraId="199487D1" w14:textId="77777777" w:rsidR="00493803" w:rsidRDefault="00493803" w:rsidP="00493803">
                  <w:pPr>
                    <w:pStyle w:val="TableBody"/>
                  </w:pPr>
                  <w:r>
                    <w:t>HCAP – RTM (RTSWCAP)</w:t>
                  </w:r>
                </w:p>
              </w:tc>
              <w:tc>
                <w:tcPr>
                  <w:tcW w:w="1691" w:type="dxa"/>
                </w:tcPr>
                <w:p w14:paraId="722B0DED" w14:textId="77777777" w:rsidR="00493803" w:rsidRDefault="00493803" w:rsidP="00493803">
                  <w:pPr>
                    <w:pStyle w:val="TableBody"/>
                  </w:pPr>
                  <w:r>
                    <w:t>$/MWh</w:t>
                  </w:r>
                </w:p>
              </w:tc>
              <w:tc>
                <w:tcPr>
                  <w:tcW w:w="5854" w:type="dxa"/>
                </w:tcPr>
                <w:p w14:paraId="78C2355B" w14:textId="77777777" w:rsidR="00493803" w:rsidRDefault="00493803" w:rsidP="00493803">
                  <w:pPr>
                    <w:pStyle w:val="TableBody"/>
                  </w:pPr>
                  <w:r>
                    <w:t>2,000</w:t>
                  </w:r>
                </w:p>
              </w:tc>
            </w:tr>
            <w:tr w:rsidR="00493803" w:rsidRPr="00D74ADF" w14:paraId="151EB4C8" w14:textId="77777777" w:rsidTr="007258B7">
              <w:trPr>
                <w:trHeight w:val="404"/>
              </w:trPr>
              <w:tc>
                <w:tcPr>
                  <w:tcW w:w="1571" w:type="dxa"/>
                </w:tcPr>
                <w:p w14:paraId="21E68EDE" w14:textId="77777777" w:rsidR="00493803" w:rsidRDefault="00493803" w:rsidP="00493803">
                  <w:pPr>
                    <w:pStyle w:val="TableBody"/>
                  </w:pPr>
                  <w:r>
                    <w:t>PNM threshold</w:t>
                  </w:r>
                </w:p>
              </w:tc>
              <w:tc>
                <w:tcPr>
                  <w:tcW w:w="1691" w:type="dxa"/>
                </w:tcPr>
                <w:p w14:paraId="2503AA60" w14:textId="77777777" w:rsidR="00493803" w:rsidRDefault="00493803" w:rsidP="00493803">
                  <w:pPr>
                    <w:pStyle w:val="TableBody"/>
                  </w:pPr>
                  <w:r>
                    <w:t>$/MW-year</w:t>
                  </w:r>
                </w:p>
              </w:tc>
              <w:tc>
                <w:tcPr>
                  <w:tcW w:w="5854" w:type="dxa"/>
                </w:tcPr>
                <w:p w14:paraId="18ABE28B" w14:textId="77777777" w:rsidR="00493803" w:rsidRDefault="00493803" w:rsidP="00493803">
                  <w:pPr>
                    <w:pStyle w:val="TableBody"/>
                  </w:pPr>
                  <w:r>
                    <w:t>315,000</w:t>
                  </w:r>
                </w:p>
              </w:tc>
            </w:tr>
            <w:tr w:rsidR="00493803" w:rsidRPr="00BE4766" w14:paraId="5D4760EF" w14:textId="77777777" w:rsidTr="007258B7">
              <w:trPr>
                <w:trHeight w:val="323"/>
              </w:trPr>
              <w:tc>
                <w:tcPr>
                  <w:tcW w:w="9116" w:type="dxa"/>
                  <w:gridSpan w:val="3"/>
                </w:tcPr>
                <w:p w14:paraId="560A1EAB" w14:textId="77777777" w:rsidR="00493803" w:rsidRPr="00A8084A" w:rsidRDefault="00493803" w:rsidP="00493803">
                  <w:pPr>
                    <w:pStyle w:val="TableBody"/>
                  </w:pPr>
                  <w:r w:rsidRPr="00E10651">
                    <w:t>*  The</w:t>
                  </w:r>
                  <w:r w:rsidRPr="00A8084A">
                    <w:t xml:space="preserve"> current value for the parameters referenced in this table above will be recommended by TAC and approved by the ERCOT Board.  ERCOT shall update parameter values on the first day of the month following ERCOT Board approval unless otherwise directed by the ERCOT Board.  ERCOT shall provide a Market Notice prior to implementation of a revised parameter value.</w:t>
                  </w:r>
                </w:p>
              </w:tc>
            </w:tr>
          </w:tbl>
          <w:p w14:paraId="5CFABA51" w14:textId="689F0946" w:rsidR="00C333DE" w:rsidRPr="008908C4" w:rsidRDefault="00493803" w:rsidP="00493803">
            <w:pPr>
              <w:pStyle w:val="BodyText"/>
              <w:spacing w:before="240"/>
              <w:ind w:left="720" w:hanging="720"/>
            </w:pPr>
            <w:r>
              <w:t>(2)</w:t>
            </w:r>
            <w:r>
              <w:tab/>
              <w:t>Any offers that exceed the current respective SWCAP shall be rejected by ERCOT.</w:t>
            </w:r>
          </w:p>
        </w:tc>
      </w:tr>
    </w:tbl>
    <w:p w14:paraId="3F3CEEA5" w14:textId="77777777" w:rsidR="00FF2129" w:rsidRDefault="00482EF3" w:rsidP="00003B06">
      <w:pPr>
        <w:pStyle w:val="H4"/>
        <w:spacing w:before="480"/>
        <w:ind w:left="1267" w:hanging="1267"/>
      </w:pPr>
      <w:bookmarkStart w:id="579" w:name="_Toc135990672"/>
      <w:r>
        <w:lastRenderedPageBreak/>
        <w:t>4.4.11.1</w:t>
      </w:r>
      <w:r>
        <w:tab/>
        <w:t>Scarcity Pricing Mechanism</w:t>
      </w:r>
      <w:bookmarkEnd w:id="570"/>
      <w:bookmarkEnd w:id="571"/>
      <w:bookmarkEnd w:id="572"/>
      <w:bookmarkEnd w:id="573"/>
      <w:bookmarkEnd w:id="579"/>
      <w:r>
        <w:t xml:space="preserve"> </w:t>
      </w:r>
    </w:p>
    <w:p w14:paraId="109C28CD" w14:textId="77777777" w:rsidR="006337AC" w:rsidRDefault="006337AC" w:rsidP="006337AC">
      <w:pPr>
        <w:pStyle w:val="BodyText"/>
        <w:ind w:left="720" w:hanging="720"/>
      </w:pPr>
      <w:r>
        <w:t>(1)</w:t>
      </w:r>
      <w:r>
        <w:tab/>
        <w:t xml:space="preserve">ERCOT shall operate the scarcity pricing mechanism </w:t>
      </w:r>
      <w:r w:rsidRPr="008051F4">
        <w:rPr>
          <w:iCs w:val="0"/>
          <w:szCs w:val="20"/>
        </w:rPr>
        <w:t>in accordance with</w:t>
      </w:r>
      <w:r>
        <w:rPr>
          <w:iCs w:val="0"/>
          <w:szCs w:val="20"/>
        </w:rPr>
        <w:t xml:space="preserve"> the PUCT Substantive Rules.  The </w:t>
      </w:r>
      <w:r>
        <w:t xml:space="preserve">methodology for determining the </w:t>
      </w:r>
      <w:r w:rsidRPr="00442AD8">
        <w:rPr>
          <w:iCs w:val="0"/>
          <w:szCs w:val="20"/>
        </w:rPr>
        <w:t>scarcity pricing mechanism</w:t>
      </w:r>
      <w:r>
        <w:rPr>
          <w:iCs w:val="0"/>
          <w:szCs w:val="20"/>
        </w:rPr>
        <w:t xml:space="preserve"> is as follows:</w:t>
      </w:r>
      <w:r>
        <w:t xml:space="preserve"> </w:t>
      </w:r>
    </w:p>
    <w:p w14:paraId="51D603E8" w14:textId="77777777" w:rsidR="006337AC" w:rsidRPr="00336D2F" w:rsidRDefault="006337AC" w:rsidP="006337AC">
      <w:pPr>
        <w:spacing w:after="240"/>
        <w:ind w:left="1440" w:hanging="720"/>
      </w:pPr>
      <w:r w:rsidRPr="00336D2F">
        <w:t>(a)</w:t>
      </w:r>
      <w:r w:rsidRPr="00336D2F">
        <w:tab/>
        <w:t xml:space="preserve">The scarcity pricing mechanism operates on </w:t>
      </w:r>
      <w:r>
        <w:t>a calendar</w:t>
      </w:r>
      <w:r w:rsidRPr="00336D2F">
        <w:t xml:space="preserve"> year</w:t>
      </w:r>
      <w:r>
        <w:t xml:space="preserve"> basis</w:t>
      </w:r>
      <w:r w:rsidRPr="00336D2F">
        <w:t>.</w:t>
      </w:r>
    </w:p>
    <w:p w14:paraId="1A60C768" w14:textId="77777777" w:rsidR="006337AC" w:rsidRPr="00336D2F" w:rsidRDefault="006337AC" w:rsidP="006337AC">
      <w:pPr>
        <w:spacing w:after="240"/>
        <w:ind w:left="1440" w:hanging="720"/>
      </w:pPr>
      <w:r w:rsidRPr="00336D2F">
        <w:t>(b)</w:t>
      </w:r>
      <w:r w:rsidRPr="00336D2F">
        <w:tab/>
        <w:t xml:space="preserve">For each day of the </w:t>
      </w:r>
      <w:r>
        <w:t>year</w:t>
      </w:r>
      <w:r w:rsidRPr="00336D2F">
        <w:t>, the Peaking Operating Cost (POC) shall be ten times the effective daily FIP.  The POC is calculated in dollars per MWh.</w:t>
      </w:r>
    </w:p>
    <w:p w14:paraId="0DCE9862" w14:textId="77777777" w:rsidR="006337AC" w:rsidRPr="00336D2F" w:rsidRDefault="006337AC" w:rsidP="006337AC">
      <w:pPr>
        <w:spacing w:after="240"/>
        <w:ind w:left="1440" w:hanging="720"/>
      </w:pPr>
      <w:r w:rsidRPr="00336D2F">
        <w:t>(c)</w:t>
      </w:r>
      <w:r w:rsidRPr="00336D2F">
        <w:tab/>
        <w:t>For the purpose of this Section, the Real-Time Energy Price (RTEP) shall be measured as the ERCOT Hub Average 345 kV Hub price.</w:t>
      </w:r>
    </w:p>
    <w:p w14:paraId="49B89289" w14:textId="77777777" w:rsidR="006337AC" w:rsidRPr="00336D2F" w:rsidRDefault="006337AC" w:rsidP="006337AC">
      <w:pPr>
        <w:spacing w:after="240"/>
        <w:ind w:left="1440" w:hanging="720"/>
      </w:pPr>
      <w:r w:rsidRPr="00336D2F">
        <w:t>(d)</w:t>
      </w:r>
      <w:r w:rsidRPr="00336D2F">
        <w:tab/>
        <w:t xml:space="preserve">For the current </w:t>
      </w:r>
      <w:r>
        <w:t>year</w:t>
      </w:r>
      <w:r w:rsidRPr="00336D2F">
        <w:t xml:space="preserve">, the PNM shall be calculated in dollars per MW on a cumulative basis for all past intervals in the </w:t>
      </w:r>
      <w:r>
        <w:t>year</w:t>
      </w:r>
      <w:r w:rsidRPr="00336D2F">
        <w:t xml:space="preserve"> as follows:</w:t>
      </w:r>
    </w:p>
    <w:p w14:paraId="6F500E1C" w14:textId="77777777" w:rsidR="006337AC" w:rsidRDefault="006337AC" w:rsidP="003E45AB">
      <w:pPr>
        <w:pStyle w:val="BodyText"/>
        <w:ind w:left="720"/>
      </w:pPr>
      <w:r w:rsidRPr="00336D2F">
        <w:rPr>
          <w:b/>
          <w:szCs w:val="20"/>
        </w:rPr>
        <w:t xml:space="preserve">∑((RTEP – POC) * (0.25)) for each Settlement </w:t>
      </w:r>
      <w:r>
        <w:rPr>
          <w:b/>
          <w:szCs w:val="20"/>
        </w:rPr>
        <w:t>Interval where (RTEP – POC) &gt; 0</w:t>
      </w:r>
    </w:p>
    <w:p w14:paraId="08A85854" w14:textId="0A890059" w:rsidR="00FF2129" w:rsidRDefault="00482EF3" w:rsidP="003E45AB">
      <w:pPr>
        <w:spacing w:after="240"/>
        <w:ind w:left="720" w:hanging="720"/>
      </w:pPr>
      <w:r>
        <w:t>(</w:t>
      </w:r>
      <w:r w:rsidR="0010498F">
        <w:t>2</w:t>
      </w:r>
      <w:r>
        <w:t>)</w:t>
      </w:r>
      <w:r>
        <w:tab/>
        <w:t xml:space="preserve">By the end of the next Business Day following the applicable Operating Day, ERCOT shall post the updated value of the PNM and the current SWCAP on the </w:t>
      </w:r>
      <w:r w:rsidR="002310C0">
        <w:rPr>
          <w:iCs/>
          <w:szCs w:val="20"/>
        </w:rPr>
        <w:t>ERCOT website</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93803" w:rsidRPr="004B32CF" w14:paraId="1A209C3C" w14:textId="77777777" w:rsidTr="007258B7">
        <w:trPr>
          <w:trHeight w:val="386"/>
        </w:trPr>
        <w:tc>
          <w:tcPr>
            <w:tcW w:w="9350" w:type="dxa"/>
            <w:shd w:val="pct12" w:color="auto" w:fill="auto"/>
          </w:tcPr>
          <w:p w14:paraId="65AC63F3" w14:textId="52772018" w:rsidR="00493803" w:rsidRPr="004B32CF" w:rsidRDefault="00493803" w:rsidP="007258B7">
            <w:pPr>
              <w:spacing w:before="120" w:after="240"/>
              <w:rPr>
                <w:b/>
                <w:i/>
                <w:iCs/>
              </w:rPr>
            </w:pPr>
            <w:bookmarkStart w:id="580" w:name="_Toc142108949"/>
            <w:bookmarkStart w:id="581" w:name="_Toc142113794"/>
            <w:bookmarkStart w:id="582" w:name="_Toc402345621"/>
            <w:bookmarkStart w:id="583" w:name="_Toc405383904"/>
            <w:bookmarkStart w:id="584" w:name="_Toc405537007"/>
            <w:bookmarkStart w:id="585" w:name="_Toc440871793"/>
            <w:r>
              <w:rPr>
                <w:b/>
                <w:i/>
                <w:iCs/>
              </w:rPr>
              <w:lastRenderedPageBreak/>
              <w:t>[NPRR1008</w:t>
            </w:r>
            <w:r w:rsidRPr="004B32CF">
              <w:rPr>
                <w:b/>
                <w:i/>
                <w:iCs/>
              </w:rPr>
              <w:t xml:space="preserve">:  </w:t>
            </w:r>
            <w:r>
              <w:rPr>
                <w:b/>
                <w:i/>
                <w:iCs/>
              </w:rPr>
              <w:t>Replace paragraph (2) above with the following</w:t>
            </w:r>
            <w:r w:rsidRPr="004B32CF">
              <w:rPr>
                <w:b/>
                <w:i/>
                <w:iCs/>
              </w:rPr>
              <w:t xml:space="preserve"> upon system implementation</w:t>
            </w:r>
            <w:r>
              <w:rPr>
                <w:b/>
                <w:i/>
                <w:iCs/>
              </w:rPr>
              <w:t xml:space="preserve"> of the Real-Time Co-Optimization (RTC) project</w:t>
            </w:r>
            <w:r w:rsidRPr="004B32CF">
              <w:rPr>
                <w:b/>
                <w:i/>
                <w:iCs/>
              </w:rPr>
              <w:t>:]</w:t>
            </w:r>
          </w:p>
          <w:p w14:paraId="440F4D98" w14:textId="2C850E83" w:rsidR="00493803" w:rsidRPr="00493803" w:rsidRDefault="00493803" w:rsidP="00493803">
            <w:pPr>
              <w:spacing w:before="240" w:after="240"/>
              <w:ind w:left="720" w:hanging="720"/>
            </w:pPr>
            <w:r>
              <w:t>(2)</w:t>
            </w:r>
            <w:r>
              <w:tab/>
              <w:t xml:space="preserve">By the end of the next Business Day following the applicable Operating Day, ERCOT shall post the updated value of the PNM and the current DASWCAP on the </w:t>
            </w:r>
            <w:r w:rsidR="002310C0">
              <w:rPr>
                <w:iCs/>
                <w:szCs w:val="20"/>
              </w:rPr>
              <w:t>ERCOT website</w:t>
            </w:r>
            <w:r>
              <w:t>.</w:t>
            </w:r>
          </w:p>
        </w:tc>
      </w:tr>
    </w:tbl>
    <w:p w14:paraId="3D5132DB" w14:textId="2555947B" w:rsidR="00336D2F" w:rsidRDefault="00336D2F" w:rsidP="00F539C2">
      <w:pPr>
        <w:spacing w:before="240" w:after="240"/>
        <w:ind w:left="720" w:hanging="720"/>
      </w:pPr>
      <w:r>
        <w:t>(3)</w:t>
      </w:r>
      <w:r>
        <w:tab/>
        <w:t>When the calculated PNM exceeds PNM threshold per MW-year, the SWCAP shall be changed to the LCAP in the following manner:</w:t>
      </w:r>
    </w:p>
    <w:p w14:paraId="6F18D911" w14:textId="77777777" w:rsidR="00336D2F" w:rsidRDefault="00336D2F" w:rsidP="00336D2F">
      <w:pPr>
        <w:spacing w:after="240"/>
        <w:ind w:left="1440" w:hanging="720"/>
      </w:pPr>
      <w:r>
        <w:t>(a)</w:t>
      </w:r>
      <w:r>
        <w:tab/>
        <w:t>On the Operating Day that the PNM exceeds PNM threshold the HCAP will remain in effect for the balance of the day (Day 1).</w:t>
      </w:r>
    </w:p>
    <w:p w14:paraId="274C5564" w14:textId="77777777" w:rsidR="00336D2F" w:rsidRDefault="00336D2F" w:rsidP="00336D2F">
      <w:pPr>
        <w:spacing w:after="240"/>
        <w:ind w:left="1440" w:hanging="720"/>
      </w:pPr>
      <w:r>
        <w:t>(b)</w:t>
      </w:r>
      <w:r>
        <w:tab/>
        <w:t>During the next Operating Day (Day 2), ERCOT shall send a Market Notice that the LCAP is going into effect for the following Operating Day (Day 3).  At the end of Day 2 and following the last SCED interval at approximately 2355, the System Operator will approve the switchover from the HCAP to the LCAP.</w:t>
      </w:r>
    </w:p>
    <w:p w14:paraId="3674ACAE" w14:textId="77777777" w:rsidR="00336D2F" w:rsidRDefault="00336D2F" w:rsidP="00336D2F">
      <w:pPr>
        <w:spacing w:after="240"/>
        <w:ind w:left="1440" w:hanging="720"/>
      </w:pPr>
      <w:r>
        <w:t>(c)</w:t>
      </w:r>
      <w:r>
        <w:tab/>
        <w:t>All SCED intervals for Day 3 and through the end of the calendar year will use the LCAP.</w:t>
      </w:r>
    </w:p>
    <w:p w14:paraId="6CD33A3F" w14:textId="77777777" w:rsidR="00493803" w:rsidRPr="00BA2009" w:rsidRDefault="00336D2F" w:rsidP="00336D2F">
      <w:pPr>
        <w:spacing w:after="240"/>
        <w:ind w:left="1440" w:hanging="720"/>
      </w:pPr>
      <w:r>
        <w:t>(d)</w:t>
      </w:r>
      <w:r>
        <w:tab/>
        <w:t>On December 31 following the last SCED interval at approximately 2355, the System Operator will approve the switchover from the LCAP up to the HCAP for the next year.</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93803" w:rsidRPr="004B32CF" w14:paraId="205FA10A" w14:textId="77777777" w:rsidTr="007258B7">
        <w:trPr>
          <w:trHeight w:val="386"/>
        </w:trPr>
        <w:tc>
          <w:tcPr>
            <w:tcW w:w="9350" w:type="dxa"/>
            <w:shd w:val="pct12" w:color="auto" w:fill="auto"/>
          </w:tcPr>
          <w:p w14:paraId="7E6E6E55" w14:textId="6D79F8D6" w:rsidR="00493803" w:rsidRPr="004B32CF" w:rsidRDefault="00493803" w:rsidP="007258B7">
            <w:pPr>
              <w:spacing w:before="120" w:after="240"/>
              <w:rPr>
                <w:b/>
                <w:i/>
                <w:iCs/>
              </w:rPr>
            </w:pPr>
            <w:r>
              <w:rPr>
                <w:b/>
                <w:i/>
                <w:iCs/>
              </w:rPr>
              <w:t>[NPRR1008</w:t>
            </w:r>
            <w:r w:rsidRPr="004B32CF">
              <w:rPr>
                <w:b/>
                <w:i/>
                <w:iCs/>
              </w:rPr>
              <w:t xml:space="preserve">:  </w:t>
            </w:r>
            <w:r>
              <w:rPr>
                <w:b/>
                <w:i/>
                <w:iCs/>
              </w:rPr>
              <w:t>Replace paragraph (3) above with the following</w:t>
            </w:r>
            <w:r w:rsidRPr="004B32CF">
              <w:rPr>
                <w:b/>
                <w:i/>
                <w:iCs/>
              </w:rPr>
              <w:t xml:space="preserve"> upon system implementation</w:t>
            </w:r>
            <w:r>
              <w:rPr>
                <w:b/>
                <w:i/>
                <w:iCs/>
              </w:rPr>
              <w:t xml:space="preserve"> of the Real-Time Co-Optimization (RTC) project</w:t>
            </w:r>
            <w:r w:rsidRPr="004B32CF">
              <w:rPr>
                <w:b/>
                <w:i/>
                <w:iCs/>
              </w:rPr>
              <w:t>:]</w:t>
            </w:r>
          </w:p>
          <w:p w14:paraId="3DEA4344" w14:textId="77777777" w:rsidR="00493803" w:rsidRDefault="00493803" w:rsidP="00493803">
            <w:pPr>
              <w:spacing w:after="240"/>
              <w:ind w:left="720" w:hanging="720"/>
            </w:pPr>
            <w:r>
              <w:t>(3)</w:t>
            </w:r>
            <w:r>
              <w:tab/>
              <w:t>When the calculated PNM exceeds PNM threshold per MW-year, the DASWCAP and the VOLL used to determine the ASDCs for DAM and RTM shall both be changed to the LCAP for the remainder of the calendar year, in the following manner:</w:t>
            </w:r>
          </w:p>
          <w:p w14:paraId="5F2366A3" w14:textId="77777777" w:rsidR="00493803" w:rsidRDefault="00493803" w:rsidP="00493803">
            <w:pPr>
              <w:spacing w:after="240"/>
              <w:ind w:left="1440" w:hanging="720"/>
            </w:pPr>
            <w:r>
              <w:t>(a)</w:t>
            </w:r>
            <w:r>
              <w:tab/>
              <w:t>On the Operating Day that the PNM exceeds the PNM threshold, the HCAP will remain in effect for the balance of the day and for the Operating Day thereafter (Days 1 and 2).</w:t>
            </w:r>
          </w:p>
          <w:p w14:paraId="6C255A5F" w14:textId="77777777" w:rsidR="00493803" w:rsidRDefault="00493803" w:rsidP="00493803">
            <w:pPr>
              <w:spacing w:after="240"/>
              <w:ind w:left="1440" w:hanging="720"/>
            </w:pPr>
            <w:r>
              <w:t>(b)</w:t>
            </w:r>
            <w:r>
              <w:tab/>
              <w:t xml:space="preserve">On the Operating Day after the PNM exceeds the PNM threshold (Day 2) prior to the execution of DAM, ERCOT shall send a Market Notice that the DASWCAP and the VOLL used to determine the ASDCs for DAM and RTM will both be changed to LCAP, effective for the following Operating Day (Day 3).  </w:t>
            </w:r>
          </w:p>
          <w:p w14:paraId="7008E293" w14:textId="77777777" w:rsidR="00493803" w:rsidRDefault="00493803" w:rsidP="00493803">
            <w:pPr>
              <w:spacing w:after="240"/>
              <w:ind w:left="1440" w:hanging="720"/>
            </w:pPr>
            <w:r>
              <w:lastRenderedPageBreak/>
              <w:t>(c)</w:t>
            </w:r>
            <w:r>
              <w:tab/>
              <w:t>For the Operating Day two days after the PNM threshold is exceeded (Day 3) and through the end of the calendar year, DAM and RTM will use the LCAP and ASDCs reflecting the updated VOLL.</w:t>
            </w:r>
          </w:p>
          <w:p w14:paraId="6D8B9EFF" w14:textId="49D5436B" w:rsidR="00493803" w:rsidRPr="00493803" w:rsidRDefault="00493803" w:rsidP="00493803">
            <w:pPr>
              <w:spacing w:after="240"/>
              <w:ind w:left="1440" w:hanging="720"/>
            </w:pPr>
            <w:r>
              <w:t>(d)</w:t>
            </w:r>
            <w:r>
              <w:tab/>
              <w:t>On December 31, for Operating Day January 1, DASWCAP and the VOLL used to determine the ASDCs for the DAM and RTM will be reset to the HCAP for DAM for the new Resource adequacy cycle.</w:t>
            </w:r>
          </w:p>
        </w:tc>
      </w:tr>
    </w:tbl>
    <w:p w14:paraId="75A97A82" w14:textId="77777777" w:rsidR="00493803" w:rsidRPr="00493803" w:rsidRDefault="00493803" w:rsidP="00493803">
      <w:pPr>
        <w:pStyle w:val="BodyText"/>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93803" w:rsidRPr="004B32CF" w14:paraId="10EC0FB3" w14:textId="77777777" w:rsidTr="007258B7">
        <w:trPr>
          <w:trHeight w:val="386"/>
        </w:trPr>
        <w:tc>
          <w:tcPr>
            <w:tcW w:w="9350" w:type="dxa"/>
            <w:shd w:val="pct12" w:color="auto" w:fill="auto"/>
          </w:tcPr>
          <w:p w14:paraId="43206A8E" w14:textId="2E4A956C" w:rsidR="00493803" w:rsidRPr="004B32CF" w:rsidRDefault="00493803" w:rsidP="00E30EAB">
            <w:pPr>
              <w:spacing w:before="120" w:after="240"/>
              <w:rPr>
                <w:b/>
                <w:i/>
                <w:iCs/>
              </w:rPr>
            </w:pPr>
            <w:r>
              <w:rPr>
                <w:b/>
                <w:i/>
                <w:iCs/>
              </w:rPr>
              <w:t xml:space="preserve">[NPRR1008:  Insert Section 4.4.12 below </w:t>
            </w:r>
            <w:r w:rsidRPr="004B32CF">
              <w:rPr>
                <w:b/>
                <w:i/>
                <w:iCs/>
              </w:rPr>
              <w:t>upon system implementation</w:t>
            </w:r>
            <w:r>
              <w:rPr>
                <w:b/>
                <w:i/>
                <w:iCs/>
              </w:rPr>
              <w:t xml:space="preserve"> of the Real-Time Co-Optimization (RTC) project</w:t>
            </w:r>
            <w:r w:rsidRPr="004B32CF">
              <w:rPr>
                <w:b/>
                <w:i/>
                <w:iCs/>
              </w:rPr>
              <w:t>:]</w:t>
            </w:r>
          </w:p>
          <w:p w14:paraId="236AAB39" w14:textId="77777777" w:rsidR="00493803" w:rsidRDefault="00493803" w:rsidP="00493803">
            <w:pPr>
              <w:pStyle w:val="H3"/>
            </w:pPr>
            <w:bookmarkStart w:id="586" w:name="_Toc135990673"/>
            <w:r w:rsidRPr="00B26820">
              <w:t>4.4.12</w:t>
            </w:r>
            <w:r w:rsidRPr="00B26820">
              <w:tab/>
              <w:t>Determination of Ancillary Service Demand Curves</w:t>
            </w:r>
            <w:r>
              <w:t xml:space="preserve"> </w:t>
            </w:r>
            <w:r w:rsidRPr="00E23EF2">
              <w:t>for the Day-Ahead Market and Real-Time Market</w:t>
            </w:r>
            <w:bookmarkEnd w:id="586"/>
          </w:p>
          <w:p w14:paraId="4E3763ED" w14:textId="16D8EEEF" w:rsidR="00493803" w:rsidRDefault="00493803" w:rsidP="00493803">
            <w:pPr>
              <w:pStyle w:val="BodyText"/>
              <w:ind w:left="720" w:hanging="720"/>
            </w:pPr>
            <w:r>
              <w:t>(1)</w:t>
            </w:r>
            <w:r>
              <w:tab/>
              <w:t xml:space="preserve">This Section describes </w:t>
            </w:r>
            <w:r w:rsidRPr="00F20C46">
              <w:t xml:space="preserve">the process for determining </w:t>
            </w:r>
            <w:r>
              <w:t xml:space="preserve">ASDCs for Regulation </w:t>
            </w:r>
            <w:r w:rsidRPr="00F20C46">
              <w:t>Up Service (Reg-Up), Regulation Down Service (Reg-Down), Responsive Reserve (RRS), ERCOT Contingency Reserve Service (ECRS), and Non-Spinning Reserve (Non-Spin) for the Day-Ahead Market (DAM)</w:t>
            </w:r>
            <w:r>
              <w:t xml:space="preserve"> and </w:t>
            </w:r>
            <w:r w:rsidRPr="00F20C46">
              <w:t>Real-Time Market (RTM).</w:t>
            </w:r>
            <w:r>
              <w:t xml:space="preserve">  This section does not apply to ASDCs used in the Reliability Unit Commitment (RUC) process.</w:t>
            </w:r>
          </w:p>
          <w:p w14:paraId="3E015A1B" w14:textId="77777777" w:rsidR="00493803" w:rsidDel="007F67CD" w:rsidRDefault="00493803" w:rsidP="00493803">
            <w:pPr>
              <w:pStyle w:val="BodyText"/>
              <w:ind w:left="720" w:hanging="720"/>
            </w:pPr>
            <w:r w:rsidDel="007F67CD">
              <w:t>(</w:t>
            </w:r>
            <w:r>
              <w:t>2</w:t>
            </w:r>
            <w:r w:rsidDel="007F67CD">
              <w:t>)</w:t>
            </w:r>
            <w:r w:rsidDel="007F67CD">
              <w:tab/>
            </w:r>
            <w:r w:rsidRPr="00F20C46" w:rsidDel="007F67CD">
              <w:t>The DAM shall use the same ASDCs as the RTM</w:t>
            </w:r>
            <w:r w:rsidDel="007F67CD">
              <w:t>, as an initial condition</w:t>
            </w:r>
            <w:r w:rsidRPr="00F20C46" w:rsidDel="007F67CD">
              <w:t xml:space="preserve">. </w:t>
            </w:r>
            <w:r w:rsidDel="007F67CD">
              <w:t xml:space="preserve"> </w:t>
            </w:r>
            <w:r w:rsidRPr="00F20C46" w:rsidDel="007F67CD">
              <w:t xml:space="preserve">Specific to the DAM, the ASDCs will be adjusted, as needed, to account for negative </w:t>
            </w:r>
            <w:r w:rsidDel="007F67CD">
              <w:t>S</w:t>
            </w:r>
            <w:r w:rsidRPr="00F20C46" w:rsidDel="007F67CD">
              <w:t>elf-</w:t>
            </w:r>
            <w:r w:rsidDel="007F67CD">
              <w:t>A</w:t>
            </w:r>
            <w:r w:rsidRPr="00F20C46" w:rsidDel="007F67CD">
              <w:t xml:space="preserve">rranged Ancillary Service </w:t>
            </w:r>
            <w:r w:rsidDel="007F67CD">
              <w:t>Q</w:t>
            </w:r>
            <w:r w:rsidRPr="00F20C46" w:rsidDel="007F67CD">
              <w:t>uantities.</w:t>
            </w:r>
          </w:p>
          <w:p w14:paraId="54EAA3EF" w14:textId="77777777" w:rsidR="00493803" w:rsidDel="007F67CD" w:rsidRDefault="00493803" w:rsidP="00493803">
            <w:pPr>
              <w:pStyle w:val="BodyText"/>
              <w:ind w:left="720" w:hanging="720"/>
            </w:pPr>
            <w:r w:rsidDel="007F67CD">
              <w:t>(</w:t>
            </w:r>
            <w:r>
              <w:t>3</w:t>
            </w:r>
            <w:r w:rsidDel="007F67CD">
              <w:t>)</w:t>
            </w:r>
            <w:r w:rsidDel="007F67CD">
              <w:tab/>
              <w:t>For Reg-Down, t</w:t>
            </w:r>
            <w:r w:rsidRPr="00F20C46" w:rsidDel="007F67CD">
              <w:t>he ASDC shall be a constant value equal to VOLL for the full range of the Ancillary Service Plan for Reg-Down.</w:t>
            </w:r>
            <w:r w:rsidRPr="00D55FCB" w:rsidDel="007F67CD">
              <w:t xml:space="preserve"> </w:t>
            </w:r>
          </w:p>
          <w:p w14:paraId="489FF7C4" w14:textId="77777777" w:rsidR="00493803" w:rsidRDefault="00493803" w:rsidP="00493803">
            <w:pPr>
              <w:pStyle w:val="BodyText"/>
              <w:ind w:left="720" w:hanging="720"/>
            </w:pPr>
            <w:r>
              <w:t>(4)</w:t>
            </w:r>
            <w:r>
              <w:tab/>
              <w:t>To determine the i</w:t>
            </w:r>
            <w:r w:rsidRPr="00F20C46">
              <w:t>ndividual ASDCs for Reg-Up, RRS, ECRS, and Non-Spin</w:t>
            </w:r>
            <w:r>
              <w:t>,</w:t>
            </w:r>
            <w:r w:rsidRPr="00F20C46">
              <w:t xml:space="preserve"> </w:t>
            </w:r>
            <w:r>
              <w:t>an A</w:t>
            </w:r>
            <w:r w:rsidRPr="00F20C46">
              <w:t xml:space="preserve">ggregate ORDC </w:t>
            </w:r>
            <w:r>
              <w:t>(AORDC)</w:t>
            </w:r>
            <w:r w:rsidRPr="00F20C46">
              <w:t xml:space="preserve"> will be created and then disaggregated into individual </w:t>
            </w:r>
            <w:r>
              <w:t>curves for the different Ancillary Services.</w:t>
            </w:r>
          </w:p>
          <w:p w14:paraId="3BF10247" w14:textId="77777777" w:rsidR="00493803" w:rsidRDefault="00493803" w:rsidP="00493803">
            <w:pPr>
              <w:pStyle w:val="BodyText"/>
              <w:ind w:left="720" w:hanging="720"/>
            </w:pPr>
            <w:r>
              <w:t>(5)</w:t>
            </w:r>
            <w:r>
              <w:tab/>
              <w:t xml:space="preserve">ERCOT shall develop the AORDC from historical data </w:t>
            </w:r>
            <w:r w:rsidRPr="007F67CD">
              <w:t>from the period of June 1, 2014 through December 31, 2023</w:t>
            </w:r>
            <w:r>
              <w:t xml:space="preserve"> as follows:</w:t>
            </w:r>
          </w:p>
          <w:p w14:paraId="27F14319" w14:textId="77777777" w:rsidR="00493803" w:rsidRDefault="00493803" w:rsidP="00493803">
            <w:pPr>
              <w:ind w:left="1440" w:hanging="720"/>
            </w:pPr>
            <w:r>
              <w:t>(a)</w:t>
            </w:r>
            <w:r>
              <w:tab/>
              <w:t>For all SCED intervals where the sum of RTOLCAP and RTOFFCAP is less than 10,000 MW, use the RTOLCAP and RTOFFCAP values to calculate the AORDC as follows:</w:t>
            </w:r>
          </w:p>
          <w:p w14:paraId="6DA7DFBC" w14:textId="77777777" w:rsidR="00493803" w:rsidRDefault="00493803" w:rsidP="00493803">
            <w:pPr>
              <w:ind w:left="720"/>
              <w:jc w:val="both"/>
            </w:pPr>
          </w:p>
          <w:p w14:paraId="5C3F1E57" w14:textId="77777777" w:rsidR="00493803" w:rsidRPr="0034018A" w:rsidRDefault="00493803" w:rsidP="00493803">
            <w:pPr>
              <w:spacing w:after="240"/>
            </w:pPr>
            <m:oMathPara>
              <m:oMathParaPr>
                <m:jc m:val="centerGroup"/>
              </m:oMathParaPr>
              <m:oMath>
                <m:r>
                  <m:rPr>
                    <m:sty m:val="bi"/>
                  </m:rPr>
                  <w:rPr>
                    <w:rFonts w:ascii="Cambria Math" w:hAnsi="Cambria Math"/>
                  </w:rPr>
                  <m:t>AORDC=</m:t>
                </m:r>
                <m:d>
                  <m:dPr>
                    <m:ctrlPr>
                      <w:rPr>
                        <w:rFonts w:ascii="Cambria Math" w:hAnsi="Cambria Math"/>
                        <w:b/>
                        <w:bCs/>
                        <w:i/>
                        <w:iCs/>
                      </w:rPr>
                    </m:ctrlPr>
                  </m:dPr>
                  <m:e>
                    <m:r>
                      <m:rPr>
                        <m:sty m:val="bi"/>
                      </m:rPr>
                      <w:rPr>
                        <w:rFonts w:ascii="Cambria Math" w:hAnsi="Cambria Math"/>
                      </w:rPr>
                      <m:t>0.5*</m:t>
                    </m:r>
                    <m:d>
                      <m:dPr>
                        <m:ctrlPr>
                          <w:rPr>
                            <w:rFonts w:ascii="Cambria Math" w:hAnsi="Cambria Math"/>
                            <w:b/>
                            <w:bCs/>
                            <w:i/>
                            <w:iCs/>
                          </w:rPr>
                        </m:ctrlPr>
                      </m:dPr>
                      <m:e>
                        <m:r>
                          <m:rPr>
                            <m:sty m:val="bi"/>
                          </m:rPr>
                          <w:rPr>
                            <w:rFonts w:ascii="Cambria Math" w:hAnsi="Cambria Math"/>
                          </w:rPr>
                          <m:t>1-pnorm</m:t>
                        </m:r>
                        <m:d>
                          <m:dPr>
                            <m:ctrlPr>
                              <w:rPr>
                                <w:rFonts w:ascii="Cambria Math" w:hAnsi="Cambria Math"/>
                                <w:b/>
                                <w:bCs/>
                                <w:i/>
                                <w:iCs/>
                              </w:rPr>
                            </m:ctrlPr>
                          </m:dPr>
                          <m:e>
                            <m:r>
                              <m:rPr>
                                <m:sty m:val="bi"/>
                              </m:rPr>
                              <w:rPr>
                                <w:rFonts w:ascii="Cambria Math" w:hAnsi="Cambria Math"/>
                              </w:rPr>
                              <m:t>RTOLCAP-2000, 0.5*μ, 0.707*σ</m:t>
                            </m:r>
                          </m:e>
                        </m:d>
                      </m:e>
                    </m:d>
                    <m:r>
                      <m:rPr>
                        <m:sty m:val="bi"/>
                      </m:rPr>
                      <w:rPr>
                        <w:rFonts w:ascii="Cambria Math" w:hAnsi="Cambria Math"/>
                      </w:rPr>
                      <m:t>+0.5*</m:t>
                    </m:r>
                    <m:d>
                      <m:dPr>
                        <m:ctrlPr>
                          <w:rPr>
                            <w:rFonts w:ascii="Cambria Math" w:hAnsi="Cambria Math"/>
                            <w:b/>
                            <w:bCs/>
                            <w:i/>
                            <w:iCs/>
                          </w:rPr>
                        </m:ctrlPr>
                      </m:dPr>
                      <m:e>
                        <m:r>
                          <m:rPr>
                            <m:sty m:val="bi"/>
                          </m:rPr>
                          <w:rPr>
                            <w:rFonts w:ascii="Cambria Math" w:hAnsi="Cambria Math"/>
                          </w:rPr>
                          <m:t>1-pnorm</m:t>
                        </m:r>
                        <m:d>
                          <m:dPr>
                            <m:ctrlPr>
                              <w:rPr>
                                <w:rFonts w:ascii="Cambria Math" w:hAnsi="Cambria Math"/>
                                <w:b/>
                                <w:bCs/>
                                <w:i/>
                                <w:iCs/>
                              </w:rPr>
                            </m:ctrlPr>
                          </m:dPr>
                          <m:e>
                            <m:r>
                              <m:rPr>
                                <m:sty m:val="bi"/>
                              </m:rPr>
                              <w:rPr>
                                <w:rFonts w:ascii="Cambria Math" w:hAnsi="Cambria Math"/>
                              </w:rPr>
                              <m:t>RTOLCAP+RTOFFCAP-2000, μ, σ</m:t>
                            </m:r>
                          </m:e>
                        </m:d>
                      </m:e>
                    </m:d>
                  </m:e>
                </m:d>
                <m:r>
                  <m:rPr>
                    <m:sty m:val="bi"/>
                  </m:rPr>
                  <w:rPr>
                    <w:rFonts w:ascii="Cambria Math" w:hAnsi="Cambria Math"/>
                  </w:rPr>
                  <m:t>*</m:t>
                </m:r>
                <m:d>
                  <m:dPr>
                    <m:ctrlPr>
                      <w:rPr>
                        <w:rFonts w:ascii="Cambria Math" w:hAnsi="Cambria Math"/>
                        <w:b/>
                        <w:bCs/>
                        <w:i/>
                        <w:iCs/>
                      </w:rPr>
                    </m:ctrlPr>
                  </m:dPr>
                  <m:e>
                    <m:r>
                      <m:rPr>
                        <m:sty m:val="bi"/>
                      </m:rPr>
                      <w:rPr>
                        <w:rFonts w:ascii="Cambria Math" w:hAnsi="Cambria Math"/>
                      </w:rPr>
                      <m:t>VOLL-min</m:t>
                    </m:r>
                    <m:d>
                      <m:dPr>
                        <m:ctrlPr>
                          <w:rPr>
                            <w:rFonts w:ascii="Cambria Math" w:hAnsi="Cambria Math"/>
                            <w:b/>
                            <w:bCs/>
                            <w:i/>
                            <w:iCs/>
                          </w:rPr>
                        </m:ctrlPr>
                      </m:dPr>
                      <m:e>
                        <m:r>
                          <m:rPr>
                            <m:sty m:val="bi"/>
                          </m:rPr>
                          <w:rPr>
                            <w:rFonts w:ascii="Cambria Math" w:hAnsi="Cambria Math"/>
                          </w:rPr>
                          <m:t>System Lambda, 250</m:t>
                        </m:r>
                      </m:e>
                    </m:d>
                  </m:e>
                </m:d>
              </m:oMath>
            </m:oMathPara>
          </w:p>
          <w:p w14:paraId="7C7BD0EF" w14:textId="77777777" w:rsidR="00493803" w:rsidRDefault="00493803" w:rsidP="00493803">
            <w:pPr>
              <w:jc w:val="both"/>
            </w:pPr>
            <w:r w:rsidDel="007F67CD">
              <w:t>The above variables are defined as follows:</w:t>
            </w: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900"/>
              <w:gridCol w:w="6427"/>
            </w:tblGrid>
            <w:tr w:rsidR="00935E4E" w:rsidDel="007F67CD" w14:paraId="619F7CDD" w14:textId="77777777" w:rsidTr="00935E4E">
              <w:trPr>
                <w:cantSplit/>
                <w:tblHeader/>
              </w:trPr>
              <w:tc>
                <w:tcPr>
                  <w:tcW w:w="1818" w:type="dxa"/>
                </w:tcPr>
                <w:p w14:paraId="69F252A8" w14:textId="77777777" w:rsidR="00935E4E" w:rsidDel="007F67CD" w:rsidRDefault="00935E4E" w:rsidP="00935E4E">
                  <w:pPr>
                    <w:pStyle w:val="TableHead"/>
                  </w:pPr>
                  <w:r w:rsidDel="007F67CD">
                    <w:lastRenderedPageBreak/>
                    <w:t>Variable</w:t>
                  </w:r>
                </w:p>
              </w:tc>
              <w:tc>
                <w:tcPr>
                  <w:tcW w:w="900" w:type="dxa"/>
                </w:tcPr>
                <w:p w14:paraId="1059E421" w14:textId="77777777" w:rsidR="00935E4E" w:rsidDel="007F67CD" w:rsidRDefault="00935E4E" w:rsidP="00935E4E">
                  <w:pPr>
                    <w:pStyle w:val="TableHead"/>
                  </w:pPr>
                  <w:r w:rsidDel="007F67CD">
                    <w:t>Unit</w:t>
                  </w:r>
                </w:p>
              </w:tc>
              <w:tc>
                <w:tcPr>
                  <w:tcW w:w="6427" w:type="dxa"/>
                </w:tcPr>
                <w:p w14:paraId="63918B72" w14:textId="77777777" w:rsidR="00935E4E" w:rsidDel="007F67CD" w:rsidRDefault="00935E4E" w:rsidP="00935E4E">
                  <w:pPr>
                    <w:pStyle w:val="TableHead"/>
                  </w:pPr>
                  <w:r w:rsidDel="007F67CD">
                    <w:t>Definition</w:t>
                  </w:r>
                </w:p>
              </w:tc>
            </w:tr>
            <w:tr w:rsidR="00935E4E" w:rsidDel="007F67CD" w14:paraId="05FD85B9" w14:textId="77777777" w:rsidTr="00935E4E">
              <w:trPr>
                <w:cantSplit/>
              </w:trPr>
              <w:tc>
                <w:tcPr>
                  <w:tcW w:w="1818" w:type="dxa"/>
                </w:tcPr>
                <w:p w14:paraId="3E860C11" w14:textId="77777777" w:rsidR="00935E4E" w:rsidDel="007F67CD" w:rsidRDefault="00935E4E" w:rsidP="00935E4E">
                  <w:pPr>
                    <w:pStyle w:val="TableBody"/>
                    <w:rPr>
                      <w:lang w:val="pt-BR"/>
                    </w:rPr>
                  </w:pPr>
                  <w:r w:rsidDel="007F67CD">
                    <w:rPr>
                      <w:lang w:val="pt-BR"/>
                    </w:rPr>
                    <w:t>RTOLCAP</w:t>
                  </w:r>
                </w:p>
              </w:tc>
              <w:tc>
                <w:tcPr>
                  <w:tcW w:w="900" w:type="dxa"/>
                </w:tcPr>
                <w:p w14:paraId="3789C397" w14:textId="77777777" w:rsidR="00935E4E" w:rsidDel="007F67CD" w:rsidRDefault="00935E4E" w:rsidP="00935E4E">
                  <w:pPr>
                    <w:pStyle w:val="TableBody"/>
                  </w:pPr>
                  <w:r w:rsidDel="007F67CD">
                    <w:t>MWh</w:t>
                  </w:r>
                </w:p>
              </w:tc>
              <w:tc>
                <w:tcPr>
                  <w:tcW w:w="6427" w:type="dxa"/>
                </w:tcPr>
                <w:p w14:paraId="3B214269" w14:textId="77777777" w:rsidR="00935E4E" w:rsidDel="007F67CD" w:rsidRDefault="00935E4E" w:rsidP="00935E4E">
                  <w:pPr>
                    <w:pStyle w:val="TableBody"/>
                  </w:pPr>
                  <w:r w:rsidRPr="00DF3469" w:rsidDel="007F67CD">
                    <w:rPr>
                      <w:i/>
                    </w:rPr>
                    <w:t xml:space="preserve">Real-Time </w:t>
                  </w:r>
                  <w:r w:rsidDel="007F67CD">
                    <w:rPr>
                      <w:i/>
                    </w:rPr>
                    <w:t>On</w:t>
                  </w:r>
                  <w:r w:rsidRPr="00DF3469" w:rsidDel="007F67CD">
                    <w:rPr>
                      <w:i/>
                    </w:rPr>
                    <w:t>-Li</w:t>
                  </w:r>
                  <w:r w:rsidDel="007F67CD">
                    <w:rPr>
                      <w:i/>
                    </w:rPr>
                    <w:t xml:space="preserve">ne Reserve Capacity – </w:t>
                  </w:r>
                  <w:r w:rsidRPr="00DF3469" w:rsidDel="007F67CD">
                    <w:t>The R</w:t>
                  </w:r>
                  <w:r w:rsidDel="007F67CD">
                    <w:t>eal-Time reserve capacity of On</w:t>
                  </w:r>
                  <w:r w:rsidRPr="00DF3469" w:rsidDel="007F67CD">
                    <w:t xml:space="preserve">-Line Resources available for </w:t>
                  </w:r>
                  <w:r w:rsidDel="007F67CD">
                    <w:t>the SCED intervals beginning June 1, 2014 through December 31, 2023</w:t>
                  </w:r>
                </w:p>
              </w:tc>
            </w:tr>
            <w:tr w:rsidR="00935E4E" w:rsidDel="007F67CD" w14:paraId="1AB1FDE2" w14:textId="77777777" w:rsidTr="00935E4E">
              <w:trPr>
                <w:cantSplit/>
              </w:trPr>
              <w:tc>
                <w:tcPr>
                  <w:tcW w:w="1818" w:type="dxa"/>
                </w:tcPr>
                <w:p w14:paraId="69FFB9EF" w14:textId="77777777" w:rsidR="00935E4E" w:rsidDel="007F67CD" w:rsidRDefault="00935E4E" w:rsidP="00935E4E">
                  <w:pPr>
                    <w:pStyle w:val="TableBody"/>
                  </w:pPr>
                  <w:r w:rsidDel="007F67CD">
                    <w:t>RTOFFCAP</w:t>
                  </w:r>
                </w:p>
              </w:tc>
              <w:tc>
                <w:tcPr>
                  <w:tcW w:w="900" w:type="dxa"/>
                </w:tcPr>
                <w:p w14:paraId="128CFAB7" w14:textId="77777777" w:rsidR="00935E4E" w:rsidDel="007F67CD" w:rsidRDefault="00935E4E" w:rsidP="00935E4E">
                  <w:pPr>
                    <w:pStyle w:val="TableBody"/>
                  </w:pPr>
                  <w:r w:rsidDel="007F67CD">
                    <w:t>MWh</w:t>
                  </w:r>
                </w:p>
              </w:tc>
              <w:tc>
                <w:tcPr>
                  <w:tcW w:w="6427" w:type="dxa"/>
                </w:tcPr>
                <w:p w14:paraId="457AFFBE" w14:textId="77777777" w:rsidR="00935E4E" w:rsidDel="007F67CD" w:rsidRDefault="00935E4E" w:rsidP="00935E4E">
                  <w:pPr>
                    <w:pStyle w:val="TableBody"/>
                    <w:rPr>
                      <w:i/>
                    </w:rPr>
                  </w:pPr>
                  <w:r w:rsidRPr="00DF3469" w:rsidDel="007F67CD">
                    <w:rPr>
                      <w:i/>
                    </w:rPr>
                    <w:t>Real-Time Off-Li</w:t>
                  </w:r>
                  <w:r w:rsidDel="007F67CD">
                    <w:rPr>
                      <w:i/>
                    </w:rPr>
                    <w:t xml:space="preserve">ne Reserve Capacity – </w:t>
                  </w:r>
                  <w:r w:rsidRPr="00DF3469" w:rsidDel="007F67CD">
                    <w:t xml:space="preserve">The Real-Time reserve capacity of Off-Line Resources available for </w:t>
                  </w:r>
                  <w:r w:rsidDel="007F67CD">
                    <w:t>the SCED intervals beginning June 1, 2014 through December 31, 2023</w:t>
                  </w:r>
                  <w:r w:rsidRPr="00DF3469" w:rsidDel="007F67CD">
                    <w:t>.</w:t>
                  </w:r>
                </w:p>
              </w:tc>
            </w:tr>
            <w:tr w:rsidR="00935E4E" w:rsidDel="007F67CD" w14:paraId="2CE3F79C" w14:textId="77777777" w:rsidTr="00935E4E">
              <w:trPr>
                <w:cantSplit/>
              </w:trPr>
              <w:tc>
                <w:tcPr>
                  <w:tcW w:w="1818" w:type="dxa"/>
                  <w:vAlign w:val="center"/>
                </w:tcPr>
                <w:p w14:paraId="3965831F" w14:textId="77777777" w:rsidR="00935E4E" w:rsidRPr="00D55FCB" w:rsidDel="007F67CD" w:rsidRDefault="00935E4E" w:rsidP="00935E4E">
                  <w:pPr>
                    <w:pStyle w:val="TableBody"/>
                    <w:rPr>
                      <w:i/>
                    </w:rPr>
                  </w:pPr>
                  <w:r w:rsidRPr="00D55FCB">
                    <w:rPr>
                      <w:i/>
                    </w:rPr>
                    <w:t>μ</w:t>
                  </w:r>
                </w:p>
              </w:tc>
              <w:tc>
                <w:tcPr>
                  <w:tcW w:w="900" w:type="dxa"/>
                </w:tcPr>
                <w:p w14:paraId="066402B3" w14:textId="77777777" w:rsidR="00935E4E" w:rsidDel="007F67CD" w:rsidRDefault="00935E4E" w:rsidP="00935E4E">
                  <w:pPr>
                    <w:pStyle w:val="TableBody"/>
                  </w:pPr>
                  <w:r w:rsidDel="007F67CD">
                    <w:t>None</w:t>
                  </w:r>
                </w:p>
              </w:tc>
              <w:tc>
                <w:tcPr>
                  <w:tcW w:w="6427" w:type="dxa"/>
                </w:tcPr>
                <w:p w14:paraId="45C8369D" w14:textId="77777777" w:rsidR="00935E4E" w:rsidRPr="007F0D03" w:rsidDel="007F67CD" w:rsidRDefault="00935E4E" w:rsidP="00935E4E">
                  <w:pPr>
                    <w:pStyle w:val="TableBody"/>
                  </w:pPr>
                  <w:r w:rsidDel="007F67CD">
                    <w:t xml:space="preserve">The </w:t>
                  </w:r>
                  <w:r>
                    <w:t xml:space="preserve">mean </w:t>
                  </w:r>
                  <w:r w:rsidDel="007F67CD">
                    <w:t xml:space="preserve">value of the </w:t>
                  </w:r>
                  <w:r>
                    <w:t>shifted LOLP distribution as published for Fall 2024</w:t>
                  </w:r>
                </w:p>
              </w:tc>
            </w:tr>
            <w:tr w:rsidR="00935E4E" w:rsidDel="007F67CD" w14:paraId="4B11E8C8" w14:textId="77777777" w:rsidTr="00935E4E">
              <w:trPr>
                <w:cantSplit/>
              </w:trPr>
              <w:tc>
                <w:tcPr>
                  <w:tcW w:w="1818" w:type="dxa"/>
                  <w:vAlign w:val="center"/>
                </w:tcPr>
                <w:p w14:paraId="409ED597" w14:textId="77777777" w:rsidR="00935E4E" w:rsidRPr="00D55FCB" w:rsidDel="007F67CD" w:rsidRDefault="00935E4E" w:rsidP="00935E4E">
                  <w:pPr>
                    <w:pStyle w:val="TableBody"/>
                    <w:rPr>
                      <w:i/>
                    </w:rPr>
                  </w:pPr>
                  <w:r w:rsidRPr="00D55FCB">
                    <w:rPr>
                      <w:i/>
                    </w:rPr>
                    <w:t>σ</w:t>
                  </w:r>
                </w:p>
              </w:tc>
              <w:tc>
                <w:tcPr>
                  <w:tcW w:w="900" w:type="dxa"/>
                </w:tcPr>
                <w:p w14:paraId="2874EB5B" w14:textId="77777777" w:rsidR="00935E4E" w:rsidDel="007F67CD" w:rsidRDefault="00935E4E" w:rsidP="00935E4E">
                  <w:pPr>
                    <w:pStyle w:val="TableBody"/>
                  </w:pPr>
                  <w:r w:rsidDel="007F67CD">
                    <w:t>None</w:t>
                  </w:r>
                </w:p>
              </w:tc>
              <w:tc>
                <w:tcPr>
                  <w:tcW w:w="6427" w:type="dxa"/>
                </w:tcPr>
                <w:p w14:paraId="2875D24F" w14:textId="77777777" w:rsidR="00935E4E" w:rsidRPr="007F0D03" w:rsidDel="007F67CD" w:rsidRDefault="00935E4E" w:rsidP="00935E4E">
                  <w:pPr>
                    <w:pStyle w:val="TableBody"/>
                  </w:pPr>
                  <w:r w:rsidRPr="007F0D03" w:rsidDel="007F67CD">
                    <w:t xml:space="preserve">The standard deviation of the </w:t>
                  </w:r>
                  <w:r>
                    <w:t>shifted LOLP distribution as published for Fall 2024</w:t>
                  </w:r>
                </w:p>
              </w:tc>
            </w:tr>
          </w:tbl>
          <w:p w14:paraId="667D42A4" w14:textId="77777777" w:rsidR="00935E4E" w:rsidRDefault="00935E4E" w:rsidP="00935E4E">
            <w:pPr>
              <w:spacing w:before="240" w:after="240"/>
              <w:ind w:left="1440" w:hanging="720"/>
            </w:pPr>
            <w:r>
              <w:t>(b)</w:t>
            </w:r>
            <w:r>
              <w:tab/>
              <w:t xml:space="preserve">Using the results of step </w:t>
            </w:r>
            <w:r w:rsidRPr="00736DA8">
              <w:rPr>
                <w:rFonts w:cs="Arial"/>
              </w:rPr>
              <w:t xml:space="preserve">(a) </w:t>
            </w:r>
            <w:r>
              <w:t>above, use regression methods to fit a curve to the average reserve pricing outcomes for the various MW reserve levels.</w:t>
            </w:r>
          </w:p>
          <w:p w14:paraId="6E72783C" w14:textId="77777777" w:rsidR="00935E4E" w:rsidRDefault="00935E4E" w:rsidP="00935E4E">
            <w:pPr>
              <w:spacing w:after="240"/>
              <w:ind w:left="1440" w:hanging="720"/>
            </w:pPr>
            <w:r>
              <w:t>(c)</w:t>
            </w:r>
            <w:r>
              <w:tab/>
              <w:t>Calculate points on the regression curve in 1 MW increments for any observed reserve level &gt;= 2,000 MW and price &gt;$0.01/MWh.  These points form the AORDC.</w:t>
            </w:r>
          </w:p>
          <w:p w14:paraId="387B9879" w14:textId="77777777" w:rsidR="00935E4E" w:rsidRDefault="00935E4E" w:rsidP="00935E4E">
            <w:pPr>
              <w:pStyle w:val="BodyText"/>
              <w:spacing w:before="240"/>
              <w:ind w:left="720" w:hanging="720"/>
            </w:pPr>
            <w:r>
              <w:t>(6)</w:t>
            </w:r>
            <w:r>
              <w:tab/>
              <w:t>ERCOT shall disaggregate the AORDC</w:t>
            </w:r>
            <w:r w:rsidRPr="00A41282">
              <w:t xml:space="preserve"> </w:t>
            </w:r>
            <w:r>
              <w:t>developed pursuant to paragraph (5) above into individual ASDCs for each Ancillary Service product as follows:</w:t>
            </w:r>
          </w:p>
          <w:p w14:paraId="78952B67" w14:textId="77777777" w:rsidR="00935E4E" w:rsidRPr="000F4DF1" w:rsidRDefault="00935E4E" w:rsidP="00935E4E">
            <w:pPr>
              <w:pStyle w:val="List"/>
              <w:ind w:left="1440"/>
            </w:pPr>
            <w:r w:rsidRPr="000F4DF1">
              <w:t>(a)</w:t>
            </w:r>
            <w:r w:rsidRPr="000F4DF1">
              <w:tab/>
              <w:t>The ASDC for all Reg-Up in the Ancillary Service Plan shall use the highest price portion of the AORDC;</w:t>
            </w:r>
          </w:p>
          <w:p w14:paraId="0DAEF945" w14:textId="77777777" w:rsidR="00935E4E" w:rsidRPr="000F4DF1" w:rsidRDefault="00935E4E" w:rsidP="00935E4E">
            <w:pPr>
              <w:pStyle w:val="List"/>
              <w:ind w:left="1440"/>
            </w:pPr>
            <w:r w:rsidRPr="000F4DF1">
              <w:t>(b)</w:t>
            </w:r>
            <w:r w:rsidRPr="000F4DF1">
              <w:tab/>
              <w:t xml:space="preserve">The ASDC for all RRS in the Ancillary Service Plan shall use the highest price portion of the remaining AORDC after removing the portion of the AORDC that was used for the Reg-Up ASDC; </w:t>
            </w:r>
          </w:p>
          <w:p w14:paraId="0C9D8072" w14:textId="77777777" w:rsidR="00935E4E" w:rsidRPr="000F4DF1" w:rsidRDefault="00935E4E" w:rsidP="00935E4E">
            <w:pPr>
              <w:pStyle w:val="List"/>
              <w:ind w:left="1440"/>
            </w:pPr>
            <w:r w:rsidRPr="000F4DF1">
              <w:t>(c)</w:t>
            </w:r>
            <w:r w:rsidRPr="000F4DF1">
              <w:tab/>
              <w:t>The ASDC for all ECRS in the Ancillary Service Plan shall use the highest price portion of the remaining AORDC after removing the portion</w:t>
            </w:r>
            <w:r>
              <w:t>s</w:t>
            </w:r>
            <w:r w:rsidRPr="000F4DF1">
              <w:t xml:space="preserve"> of the AORDC that </w:t>
            </w:r>
            <w:r>
              <w:t>were</w:t>
            </w:r>
            <w:r w:rsidRPr="000F4DF1">
              <w:t xml:space="preserve"> used for the Reg-Up and RRS ASDCs;</w:t>
            </w:r>
          </w:p>
          <w:p w14:paraId="1155479F" w14:textId="77777777" w:rsidR="00935E4E" w:rsidRPr="000F4DF1" w:rsidRDefault="00935E4E" w:rsidP="00935E4E">
            <w:pPr>
              <w:pStyle w:val="List"/>
              <w:ind w:left="1440"/>
            </w:pPr>
            <w:r w:rsidRPr="000F4DF1">
              <w:t>(d)</w:t>
            </w:r>
            <w:r w:rsidRPr="000F4DF1">
              <w:tab/>
              <w:t>The ASDC for Non-Spin shall use the remaining portion of the remaining AORDC after removing the portion</w:t>
            </w:r>
            <w:r>
              <w:t>s</w:t>
            </w:r>
            <w:r w:rsidRPr="000F4DF1">
              <w:t xml:space="preserve"> of the AORDC that </w:t>
            </w:r>
            <w:r>
              <w:t>were</w:t>
            </w:r>
            <w:r w:rsidRPr="000F4DF1">
              <w:t xml:space="preserve"> used for the Reg-Up, RRS, and ECRS ASDCs</w:t>
            </w:r>
            <w:r>
              <w:t>.</w:t>
            </w:r>
          </w:p>
          <w:p w14:paraId="0FA946B4" w14:textId="77777777" w:rsidR="00935E4E" w:rsidRDefault="00935E4E" w:rsidP="00935E4E">
            <w:pPr>
              <w:pStyle w:val="List"/>
              <w:ind w:left="720"/>
            </w:pPr>
            <w:r w:rsidRPr="00736DA8">
              <w:t>(</w:t>
            </w:r>
            <w:r>
              <w:t>7</w:t>
            </w:r>
            <w:r w:rsidRPr="00736DA8">
              <w:t>)</w:t>
            </w:r>
            <w:r w:rsidRPr="00736DA8">
              <w:tab/>
              <w:t>Each ASDC will be represented by a 100-point linear approximation to the corresponding part of the AORDC.</w:t>
            </w:r>
            <w:r>
              <w:t xml:space="preserve">  Fewer points may be used for cases where it would not result in decreased accuracy in representing the corresponding part of the AORDC.</w:t>
            </w:r>
          </w:p>
          <w:p w14:paraId="6B901114" w14:textId="59A4749B" w:rsidR="00493803" w:rsidRPr="00935E4E" w:rsidRDefault="00935E4E" w:rsidP="00935E4E">
            <w:pPr>
              <w:pStyle w:val="List"/>
              <w:ind w:left="720"/>
            </w:pPr>
            <w:r>
              <w:t>(8)</w:t>
            </w:r>
            <w:r>
              <w:tab/>
              <w:t xml:space="preserve">Should the PNM exceed the PNM threshold per MW-year, as described in Protocol Section </w:t>
            </w:r>
            <w:r w:rsidRPr="00305142">
              <w:t>4.4.11.1</w:t>
            </w:r>
            <w:r>
              <w:t xml:space="preserve">, </w:t>
            </w:r>
            <w:r w:rsidRPr="00305142">
              <w:t>Scarcity Pricing Mechanism</w:t>
            </w:r>
            <w:r>
              <w:t xml:space="preserve">, the AORDC used in determining the individual ASDCs will be adjusted to reflect the updated value of VOLL for the remainder of the </w:t>
            </w:r>
            <w:r w:rsidRPr="00336D2F">
              <w:t>annual Resource adequacy cycle</w:t>
            </w:r>
            <w:r>
              <w:t>.</w:t>
            </w:r>
            <w:r w:rsidRPr="00305142">
              <w:t xml:space="preserve"> </w:t>
            </w:r>
            <w:r>
              <w:t>The AORDC will be reset to use the HCAP for DAM at the start of the next calendar year.</w:t>
            </w:r>
          </w:p>
        </w:tc>
      </w:tr>
    </w:tbl>
    <w:p w14:paraId="744633F1" w14:textId="00E359BB" w:rsidR="00FF2129" w:rsidRDefault="00482EF3" w:rsidP="00003B06">
      <w:pPr>
        <w:pStyle w:val="H2"/>
        <w:numPr>
          <w:ilvl w:val="0"/>
          <w:numId w:val="0"/>
        </w:numPr>
        <w:spacing w:before="480"/>
      </w:pPr>
      <w:bookmarkStart w:id="587" w:name="_Toc135990674"/>
      <w:r>
        <w:lastRenderedPageBreak/>
        <w:t>4.5</w:t>
      </w:r>
      <w:r>
        <w:tab/>
        <w:t>DAM Execution and Results</w:t>
      </w:r>
      <w:bookmarkEnd w:id="580"/>
      <w:bookmarkEnd w:id="581"/>
      <w:bookmarkEnd w:id="582"/>
      <w:bookmarkEnd w:id="583"/>
      <w:bookmarkEnd w:id="584"/>
      <w:bookmarkEnd w:id="585"/>
      <w:bookmarkEnd w:id="587"/>
    </w:p>
    <w:p w14:paraId="44438B0E" w14:textId="77777777" w:rsidR="00FF2129" w:rsidRDefault="00482EF3" w:rsidP="00003B06">
      <w:pPr>
        <w:pStyle w:val="H3"/>
        <w:spacing w:before="480"/>
      </w:pPr>
      <w:bookmarkStart w:id="588" w:name="_Toc90197129"/>
      <w:bookmarkStart w:id="589" w:name="_Toc142108950"/>
      <w:bookmarkStart w:id="590" w:name="_Toc142113795"/>
      <w:bookmarkStart w:id="591" w:name="_Toc402345622"/>
      <w:bookmarkStart w:id="592" w:name="_Toc405383905"/>
      <w:bookmarkStart w:id="593" w:name="_Toc405537008"/>
      <w:bookmarkStart w:id="594" w:name="_Toc440871794"/>
      <w:bookmarkStart w:id="595" w:name="_Toc135990675"/>
      <w:r>
        <w:t>4.5.1</w:t>
      </w:r>
      <w:r>
        <w:tab/>
      </w:r>
      <w:bookmarkStart w:id="596" w:name="_Toc90197130"/>
      <w:bookmarkEnd w:id="588"/>
      <w:r>
        <w:t>DAM Clearing Process</w:t>
      </w:r>
      <w:bookmarkEnd w:id="589"/>
      <w:bookmarkEnd w:id="590"/>
      <w:bookmarkEnd w:id="591"/>
      <w:bookmarkEnd w:id="592"/>
      <w:bookmarkEnd w:id="593"/>
      <w:bookmarkEnd w:id="594"/>
      <w:bookmarkEnd w:id="596"/>
      <w:bookmarkEnd w:id="595"/>
    </w:p>
    <w:p w14:paraId="6E3A5E24" w14:textId="792530CA" w:rsidR="00FF2129" w:rsidRDefault="00482EF3">
      <w:pPr>
        <w:pStyle w:val="BodyTextNumbered"/>
      </w:pPr>
      <w:r>
        <w:t>(1)</w:t>
      </w:r>
      <w:r>
        <w:tab/>
        <w:t xml:space="preserve">At 1000 in the Day-Ahead, ERCOT shall start the </w:t>
      </w:r>
      <w:r w:rsidR="002025BF">
        <w:t>Day-Ahead Market (</w:t>
      </w:r>
      <w:r>
        <w:t>DAM</w:t>
      </w:r>
      <w:r w:rsidR="002025BF">
        <w:t>)</w:t>
      </w:r>
      <w:r>
        <w:t xml:space="preserve"> clearing process.  </w:t>
      </w:r>
      <w:r w:rsidR="007063DC" w:rsidRPr="00BC4A14">
        <w:t xml:space="preserve">If the processing of DAM bids and offers after 0900 is significantly delayed or impacted by a failure of ERCOT software or systems that directly impacts the DAM, ERCOT shall post a Notice as soon as practicable on the </w:t>
      </w:r>
      <w:r w:rsidR="002310C0">
        <w:rPr>
          <w:iCs w:val="0"/>
          <w:szCs w:val="20"/>
        </w:rPr>
        <w:t>ERCOT website</w:t>
      </w:r>
      <w:r w:rsidR="007063DC" w:rsidRPr="00BC4A14">
        <w:t>, in accordance with paragraph (1) of Section 4.1.2, Day-Ahead Process and Timing Deviations, extending the start time of the execution of the DAM clearing process by an amount of time at least as long as the duration of the processing delay plus ten minutes.  In no event shall the extension exceed more than one hour from when the processing delay is resolved.</w:t>
      </w:r>
    </w:p>
    <w:p w14:paraId="503A84E9" w14:textId="77777777" w:rsidR="00FF2129" w:rsidRDefault="00482EF3">
      <w:pPr>
        <w:pStyle w:val="BodyTextNumbered"/>
      </w:pPr>
      <w:r>
        <w:t>(2)</w:t>
      </w:r>
      <w:r>
        <w:tab/>
        <w:t>ERCOT shall complete a Day-Ahead Simultaneous Feasibility Test</w:t>
      </w:r>
      <w:r w:rsidR="00756E20">
        <w:t xml:space="preserve"> (SFT)</w:t>
      </w:r>
      <w:r>
        <w:t xml:space="preserve">.  This test uses the Day-Ahead Updated Network Model topology and evaluates all </w:t>
      </w:r>
      <w:r w:rsidR="002025BF">
        <w:t>Congestion Revenue Rights (</w:t>
      </w:r>
      <w:r>
        <w:t>CRRs</w:t>
      </w:r>
      <w:r w:rsidR="002025BF">
        <w:t>)</w:t>
      </w:r>
      <w:r>
        <w:t xml:space="preserve"> for feasibility to determine hourly oversold quantities.</w:t>
      </w:r>
    </w:p>
    <w:p w14:paraId="7009C5F8" w14:textId="77777777" w:rsidR="00FF2129" w:rsidRDefault="00482EF3">
      <w:pPr>
        <w:pStyle w:val="BodyTextNumbered"/>
      </w:pPr>
      <w:r>
        <w:t>(3)</w:t>
      </w:r>
      <w:r>
        <w:tab/>
        <w:t>The purpose of the DAM is to economically and simultaneously clear offers and bids described in Section 4.4, Inputs into DAM and Other Trades.</w:t>
      </w:r>
    </w:p>
    <w:p w14:paraId="41FCA771" w14:textId="77777777" w:rsidR="00FF2129" w:rsidRDefault="00482EF3">
      <w:pPr>
        <w:pStyle w:val="BodyTextNumbered"/>
        <w:rPr>
          <w:rFonts w:cs="Arial"/>
        </w:rPr>
      </w:pPr>
      <w:r>
        <w:t>(4)</w:t>
      </w:r>
      <w:r>
        <w:tab/>
        <w:t xml:space="preserve">The DAM uses a multi-hour mixed integer programming algorithm </w:t>
      </w:r>
      <w:r>
        <w:rPr>
          <w:rFonts w:cs="Arial"/>
        </w:rPr>
        <w:t xml:space="preserve">to maximize bid-based revenues minus the offer-based costs over the Operating Day, subject to security and other constraints, and ERCOT Ancillary Service procurement requirements.  </w:t>
      </w:r>
    </w:p>
    <w:p w14:paraId="14B066B5" w14:textId="0C290A59" w:rsidR="00FF2129" w:rsidRDefault="00117078" w:rsidP="00117078">
      <w:pPr>
        <w:pStyle w:val="List"/>
        <w:ind w:left="1440"/>
        <w:rPr>
          <w:rFonts w:cs="Arial"/>
        </w:rPr>
      </w:pPr>
      <w:r>
        <w:rPr>
          <w:rFonts w:cs="Arial"/>
        </w:rPr>
        <w:t>(a)</w:t>
      </w:r>
      <w:r>
        <w:rPr>
          <w:rFonts w:cs="Arial"/>
        </w:rPr>
        <w:tab/>
      </w:r>
      <w:r w:rsidR="00482EF3">
        <w:rPr>
          <w:rFonts w:cs="Arial"/>
        </w:rPr>
        <w:t xml:space="preserve">The bid-based </w:t>
      </w:r>
      <w:r w:rsidR="00482EF3" w:rsidRPr="00117078">
        <w:t>revenues</w:t>
      </w:r>
      <w:r w:rsidR="00482EF3">
        <w:rPr>
          <w:rFonts w:cs="Arial"/>
        </w:rPr>
        <w:t xml:space="preserve"> include revenues from DAM Energy Bids and </w:t>
      </w:r>
      <w:r w:rsidR="002025BF">
        <w:t>Point-to-Point</w:t>
      </w:r>
      <w:r w:rsidR="002025BF">
        <w:rPr>
          <w:rFonts w:cs="Arial"/>
        </w:rPr>
        <w:t xml:space="preserve"> (</w:t>
      </w:r>
      <w:r w:rsidR="00482EF3">
        <w:rPr>
          <w:rFonts w:cs="Arial"/>
        </w:rPr>
        <w:t>PTP</w:t>
      </w:r>
      <w:r w:rsidR="002025BF">
        <w:rPr>
          <w:rFonts w:cs="Arial"/>
        </w:rPr>
        <w:t>)</w:t>
      </w:r>
      <w:r w:rsidR="00482EF3">
        <w:rPr>
          <w:rFonts w:cs="Arial"/>
        </w:rPr>
        <w:t xml:space="preserve"> Obligation </w:t>
      </w:r>
      <w:r w:rsidR="005F0FC6">
        <w:rPr>
          <w:rFonts w:cs="Arial"/>
        </w:rPr>
        <w:t>b</w:t>
      </w:r>
      <w:r w:rsidR="00482EF3">
        <w:rPr>
          <w:rFonts w:cs="Arial"/>
        </w:rPr>
        <w:t xml:space="preserve">ids. </w:t>
      </w:r>
    </w:p>
    <w:p w14:paraId="4E60DA43" w14:textId="77777777" w:rsidR="00FF2129" w:rsidRDefault="000C362C">
      <w:pPr>
        <w:pStyle w:val="List"/>
        <w:ind w:left="1440"/>
      </w:pPr>
      <w:r w:rsidRPr="00AA790B">
        <w:t>(b)</w:t>
      </w:r>
      <w:r w:rsidRPr="00AA790B">
        <w:tab/>
        <w:t>The offer-based costs include costs from the Startup Offer, Minimum Energy Offer, and Energy Offer Curve of any Resource that submitted a Three-Part Supply Offer, DAM Energy-Only Offers</w:t>
      </w:r>
      <w:r>
        <w:t xml:space="preserve"> </w:t>
      </w:r>
      <w:r w:rsidRPr="00AA790B">
        <w:t>and Ancillary Service Offers.</w:t>
      </w:r>
      <w:r w:rsidR="00482EF3">
        <w:t xml:space="preserve">  </w:t>
      </w:r>
    </w:p>
    <w:p w14:paraId="74A21221" w14:textId="77777777" w:rsidR="00FF2129" w:rsidRDefault="00482EF3">
      <w:pPr>
        <w:pStyle w:val="List"/>
        <w:ind w:left="1440"/>
      </w:pPr>
      <w:r>
        <w:t>(c)</w:t>
      </w:r>
      <w:r>
        <w:tab/>
        <w:t xml:space="preserve">Security constraints specified to prevent DAM solutions that would overload the elements of the ERCOT Transmission Grid include the following: </w:t>
      </w:r>
    </w:p>
    <w:p w14:paraId="089E7B5F" w14:textId="77777777" w:rsidR="00FF2129" w:rsidRDefault="00482EF3" w:rsidP="00B14FD4">
      <w:pPr>
        <w:pStyle w:val="List"/>
        <w:ind w:left="2160"/>
      </w:pPr>
      <w:r>
        <w:t>(i)</w:t>
      </w:r>
      <w:r>
        <w:tab/>
        <w:t xml:space="preserve">Transmission constraints – </w:t>
      </w:r>
      <w:r w:rsidR="00B278E0">
        <w:t>t</w:t>
      </w:r>
      <w:r>
        <w:t xml:space="preserve">ransfer limits on energy flows through the ERCOT Transmission Grid, e.g., thermal or stability limits. </w:t>
      </w:r>
      <w:r w:rsidR="000E32A2">
        <w:t xml:space="preserve"> </w:t>
      </w:r>
      <w:r>
        <w:t xml:space="preserve">These limits must be satisfied by the intact network and for certain specified contingencies. </w:t>
      </w:r>
      <w:r w:rsidR="00B14FD4">
        <w:t xml:space="preserve"> </w:t>
      </w:r>
      <w:r>
        <w:t>These constraints may represent:</w:t>
      </w:r>
    </w:p>
    <w:p w14:paraId="42EF96E5" w14:textId="77777777" w:rsidR="00FF2129" w:rsidRDefault="00482EF3">
      <w:pPr>
        <w:pStyle w:val="List"/>
        <w:ind w:left="2880"/>
      </w:pPr>
      <w:r>
        <w:t>(A)</w:t>
      </w:r>
      <w:r>
        <w:tab/>
        <w:t xml:space="preserve">Thermal constraints – protect </w:t>
      </w:r>
      <w:r w:rsidR="00B278E0">
        <w:t>T</w:t>
      </w:r>
      <w:r>
        <w:t xml:space="preserve">ransmission </w:t>
      </w:r>
      <w:r w:rsidR="00B278E0">
        <w:t>F</w:t>
      </w:r>
      <w:r>
        <w:t>acilities against thermal overload.</w:t>
      </w:r>
    </w:p>
    <w:p w14:paraId="7C7CAF8C" w14:textId="77777777" w:rsidR="00FF2129" w:rsidRDefault="00482EF3">
      <w:pPr>
        <w:pStyle w:val="List"/>
        <w:ind w:left="2880"/>
      </w:pPr>
      <w:r>
        <w:t>(B)</w:t>
      </w:r>
      <w:r>
        <w:tab/>
        <w:t>Generic constraints – protect the ERCOT Transmission Grid against transient instability, dynamic stability or voltage collapse.</w:t>
      </w:r>
    </w:p>
    <w:p w14:paraId="56677E53" w14:textId="77777777" w:rsidR="00FF2129" w:rsidRDefault="00482EF3">
      <w:pPr>
        <w:pStyle w:val="List"/>
        <w:ind w:left="2880"/>
      </w:pPr>
      <w:r>
        <w:lastRenderedPageBreak/>
        <w:t>(C)</w:t>
      </w:r>
      <w:r>
        <w:tab/>
        <w:t xml:space="preserve">Power flow constraints – the energy balance at required Electrical Buses in the ERCOT Transmission Grid must be maintained.  </w:t>
      </w:r>
    </w:p>
    <w:p w14:paraId="5B6628B7" w14:textId="77777777" w:rsidR="00FF2129" w:rsidRDefault="00482EF3">
      <w:pPr>
        <w:pStyle w:val="List"/>
        <w:ind w:left="2160"/>
      </w:pPr>
      <w:r>
        <w:t>(ii)</w:t>
      </w:r>
      <w:r>
        <w:tab/>
        <w:t>Resource constraints – the physical and security limits on Resources that submit Three-Part Supply Offers:</w:t>
      </w:r>
    </w:p>
    <w:p w14:paraId="7934EA44" w14:textId="77777777" w:rsidR="00FF2129" w:rsidRDefault="00482EF3">
      <w:pPr>
        <w:pStyle w:val="List"/>
        <w:ind w:left="2880"/>
      </w:pPr>
      <w:r>
        <w:t>(A)</w:t>
      </w:r>
      <w:r>
        <w:tab/>
        <w:t xml:space="preserve">Resource output constraints – the </w:t>
      </w:r>
      <w:r w:rsidR="009E643E">
        <w:t>Low Sustained Limit (</w:t>
      </w:r>
      <w:r>
        <w:t>LSL</w:t>
      </w:r>
      <w:r w:rsidR="009E643E">
        <w:t>)</w:t>
      </w:r>
      <w:r>
        <w:t xml:space="preserve"> and </w:t>
      </w:r>
      <w:r w:rsidR="009E643E">
        <w:t>High Sustained Limit (</w:t>
      </w:r>
      <w:r>
        <w:t>HSL</w:t>
      </w:r>
      <w:r w:rsidR="009E643E">
        <w:t>)</w:t>
      </w:r>
      <w:r>
        <w:t xml:space="preserve"> of each Resource</w:t>
      </w:r>
      <w:r w:rsidR="000E32A2">
        <w:t>;</w:t>
      </w:r>
      <w:r>
        <w:t xml:space="preserve"> and </w:t>
      </w:r>
    </w:p>
    <w:p w14:paraId="7E0C2138" w14:textId="77777777" w:rsidR="00FF2129" w:rsidRDefault="00482EF3">
      <w:pPr>
        <w:pStyle w:val="List"/>
        <w:ind w:left="2880"/>
      </w:pPr>
      <w:r>
        <w:t>(B)</w:t>
      </w:r>
      <w:r>
        <w:tab/>
        <w:t>Resource operational constraints – includes minimum run time, minimum down time, and configuration constraints.</w:t>
      </w:r>
    </w:p>
    <w:p w14:paraId="32635E8D" w14:textId="77777777" w:rsidR="00FF2129" w:rsidRDefault="00482EF3">
      <w:pPr>
        <w:pStyle w:val="List"/>
        <w:ind w:left="2160"/>
      </w:pPr>
      <w:r>
        <w:t>(iii)</w:t>
      </w:r>
      <w:r>
        <w:tab/>
        <w:t xml:space="preserve">Other constraints – </w:t>
      </w:r>
    </w:p>
    <w:p w14:paraId="292F0EC8" w14:textId="77777777" w:rsidR="00FF2129" w:rsidRDefault="00482EF3">
      <w:pPr>
        <w:pStyle w:val="List"/>
        <w:ind w:left="2880"/>
      </w:pPr>
      <w:r>
        <w:t>(A)</w:t>
      </w:r>
      <w:r>
        <w:tab/>
        <w:t>Linked offers –</w:t>
      </w:r>
      <w:r w:rsidR="008D1374">
        <w:t xml:space="preserve"> </w:t>
      </w:r>
      <w:r>
        <w:t>the DAM may not select any one part of that Resource capacity to provide more than one Ancillary Service or to provide both energy and an Ancillary Service in the same Operating Hour.</w:t>
      </w:r>
      <w:r w:rsidR="004D50AD">
        <w:t xml:space="preserve"> </w:t>
      </w:r>
      <w:r>
        <w:t xml:space="preserve"> The DAM may, however, select part of that Resource capacity to provide one Ancillary Service and another part of that capacity to provide a different Ancillary Service or energy in the same Operating Hour</w:t>
      </w:r>
      <w:r w:rsidR="004A1BC5">
        <w:t xml:space="preserve">, provided that linked Energy and Off-Line </w:t>
      </w:r>
      <w:r w:rsidR="00F4721E">
        <w:t>Non-Spinning Reserve (</w:t>
      </w:r>
      <w:r w:rsidR="004A1BC5">
        <w:t>Non-Spin</w:t>
      </w:r>
      <w:r w:rsidR="00F4721E">
        <w:t>)</w:t>
      </w:r>
      <w:r w:rsidR="004A1BC5">
        <w:t xml:space="preserve"> Ancillary Service </w:t>
      </w:r>
      <w:r w:rsidR="00332E59">
        <w:t>O</w:t>
      </w:r>
      <w:r w:rsidR="004A1BC5">
        <w:t xml:space="preserve">ffers </w:t>
      </w:r>
      <w:r w:rsidR="005D4DD6">
        <w:t xml:space="preserve">are not awarded </w:t>
      </w:r>
      <w:r w:rsidR="004A1BC5">
        <w:t>in the same Operating Hour</w:t>
      </w:r>
      <w:r>
        <w:t>.</w:t>
      </w:r>
    </w:p>
    <w:p w14:paraId="0D56D40B" w14:textId="77777777" w:rsidR="00FF2129" w:rsidRDefault="00482EF3">
      <w:pPr>
        <w:pStyle w:val="List"/>
        <w:ind w:left="2880"/>
      </w:pPr>
      <w:r>
        <w:t>(B)</w:t>
      </w:r>
      <w:r>
        <w:tab/>
        <w:t xml:space="preserve">The sum of the awarded Ancillary Service capacities for each Resource must be within the Resource limits specified in </w:t>
      </w:r>
      <w:r w:rsidR="008E16D6">
        <w:t xml:space="preserve">the </w:t>
      </w:r>
      <w:r w:rsidR="00F4721E">
        <w:t>Current Operating Plan (</w:t>
      </w:r>
      <w:r>
        <w:t>COP</w:t>
      </w:r>
      <w:r w:rsidR="00F4721E">
        <w:t>)</w:t>
      </w:r>
      <w:r>
        <w:t xml:space="preserve"> and Section 3.18, Resource Limits in Providing Ancillary Service, and the Resource </w:t>
      </w:r>
      <w:r w:rsidR="002A1448">
        <w:t>P</w:t>
      </w:r>
      <w:r>
        <w:t>arameters as described in Section 3.7, Resource Parameters.</w:t>
      </w:r>
    </w:p>
    <w:p w14:paraId="5711651D" w14:textId="77777777" w:rsidR="00FF2129" w:rsidRDefault="00482EF3">
      <w:pPr>
        <w:pStyle w:val="List"/>
        <w:ind w:left="2880"/>
      </w:pPr>
      <w:r>
        <w:t>(C)</w:t>
      </w:r>
      <w:r>
        <w:tab/>
        <w:t>Block Ancillary Service Offers for a Load Resource</w:t>
      </w:r>
      <w:r w:rsidR="000E32A2">
        <w:t xml:space="preserve"> </w:t>
      </w:r>
      <w:r>
        <w:t>– blocks will not be cleared unless the entire quantity block can be awarded.</w:t>
      </w:r>
      <w:r w:rsidR="00366781">
        <w:t xml:space="preserve">  </w:t>
      </w:r>
      <w:r w:rsidR="00366781" w:rsidRPr="000D693C">
        <w:t>Because block Ancillary Service Offers cannot set the Market Clearing Price for Capacity (MCPC), a block Ancillary Service Offer may clear below the Ancillary Service Offer price for that block.</w:t>
      </w:r>
    </w:p>
    <w:p w14:paraId="5160EF70" w14:textId="77777777" w:rsidR="00FF2129" w:rsidRDefault="000C362C">
      <w:pPr>
        <w:pStyle w:val="List"/>
        <w:ind w:left="2880"/>
      </w:pPr>
      <w:r>
        <w:t>(D)</w:t>
      </w:r>
      <w:r>
        <w:tab/>
        <w:t xml:space="preserve">Block </w:t>
      </w:r>
      <w:r w:rsidR="00366781" w:rsidRPr="000D693C">
        <w:t xml:space="preserve">DAM Energy Bids, DAM Energy-Only Offers, and </w:t>
      </w:r>
      <w:r>
        <w:t>PTP Obligation b</w:t>
      </w:r>
      <w:r w:rsidRPr="00AA790B">
        <w:t xml:space="preserve">ids – blocks will not be cleared unless the entire time </w:t>
      </w:r>
      <w:r w:rsidR="00DC3EAC">
        <w:t xml:space="preserve">and/or quantity </w:t>
      </w:r>
      <w:r w:rsidRPr="00AA790B">
        <w:t>block can be awarded.</w:t>
      </w:r>
      <w:r w:rsidR="00366781">
        <w:t xml:space="preserve">  </w:t>
      </w:r>
      <w:r w:rsidR="00366781" w:rsidRPr="000D693C">
        <w:t>Because quantity block bids and offers cannot set the Settlement Point Price, a quantity block bid or offer may clear in a manner inconsistent with the bid or offer price for that block.</w:t>
      </w:r>
    </w:p>
    <w:p w14:paraId="0ECE76BB" w14:textId="77777777" w:rsidR="004A1BC5" w:rsidRDefault="004A1BC5">
      <w:pPr>
        <w:pStyle w:val="List"/>
        <w:ind w:left="2880"/>
      </w:pPr>
      <w:r>
        <w:t>(E)</w:t>
      </w:r>
      <w:r>
        <w:tab/>
        <w:t>Combined Cycle Generation Resources – The DAM may commit a Combined Cycle Generation Resource in a time period that includes the last hour of the Operating Day only if that Combine</w:t>
      </w:r>
      <w:r w:rsidR="00B278E0">
        <w:t>d</w:t>
      </w:r>
      <w:r>
        <w:t xml:space="preserve"> </w:t>
      </w:r>
      <w:r>
        <w:lastRenderedPageBreak/>
        <w:t xml:space="preserve">Cycle Generation Resource can </w:t>
      </w:r>
      <w:r w:rsidR="00B278E0">
        <w:t xml:space="preserve">transition to a </w:t>
      </w:r>
      <w:r>
        <w:t>shutdown</w:t>
      </w:r>
      <w:r w:rsidR="00B278E0">
        <w:t xml:space="preserve"> condition in the DAM Operating Day</w:t>
      </w:r>
      <w:r>
        <w:t>.</w:t>
      </w:r>
    </w:p>
    <w:p w14:paraId="21AD8BA6" w14:textId="77777777" w:rsidR="00FF2129" w:rsidRDefault="00482EF3">
      <w:pPr>
        <w:pStyle w:val="List"/>
        <w:ind w:left="1440"/>
      </w:pPr>
      <w:r>
        <w:t>(d)</w:t>
      </w:r>
      <w:r>
        <w:tab/>
        <w:t xml:space="preserve">Ancillary Service needs for each Ancillary Service include the needs specified in the Ancillary Service Plan that are not part of the Self-Arranged Ancillary Service Quantity and that must be met from available DAM Ancillary Service Offers while co-optimizing with DAM Energy Offers. </w:t>
      </w:r>
      <w:r w:rsidR="00540E01">
        <w:t xml:space="preserve"> </w:t>
      </w:r>
      <w:r>
        <w:t xml:space="preserve">ERCOT may not buy more of one Ancillary Service in place of the quantity of a different service. </w:t>
      </w:r>
      <w:r w:rsidR="00540E01">
        <w:t xml:space="preserve"> </w:t>
      </w:r>
      <w:r>
        <w:t xml:space="preserve">See Section 4.5.2, Ancillary Service Insufficiency, for what happens if insufficient Ancillary Service Offers are received in the DAM.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935E4E" w:rsidRPr="004B32CF" w14:paraId="7667E81A" w14:textId="77777777" w:rsidTr="007258B7">
        <w:trPr>
          <w:trHeight w:val="386"/>
        </w:trPr>
        <w:tc>
          <w:tcPr>
            <w:tcW w:w="9350" w:type="dxa"/>
            <w:shd w:val="pct12" w:color="auto" w:fill="auto"/>
          </w:tcPr>
          <w:p w14:paraId="10DA7368" w14:textId="430C9C55" w:rsidR="00935E4E" w:rsidRPr="004B32CF" w:rsidRDefault="00935E4E" w:rsidP="007258B7">
            <w:pPr>
              <w:spacing w:before="120" w:after="240"/>
              <w:rPr>
                <w:b/>
                <w:i/>
                <w:iCs/>
              </w:rPr>
            </w:pPr>
            <w:r>
              <w:rPr>
                <w:b/>
                <w:i/>
                <w:iCs/>
              </w:rPr>
              <w:t>[NPRR1008</w:t>
            </w:r>
            <w:r w:rsidR="00C25CB0">
              <w:rPr>
                <w:b/>
                <w:i/>
                <w:iCs/>
              </w:rPr>
              <w:t xml:space="preserve"> and NPRR1014</w:t>
            </w:r>
            <w:r>
              <w:rPr>
                <w:b/>
                <w:i/>
                <w:iCs/>
              </w:rPr>
              <w:t xml:space="preserve">:  Replace </w:t>
            </w:r>
            <w:r w:rsidR="00C25CB0">
              <w:rPr>
                <w:b/>
                <w:i/>
                <w:iCs/>
              </w:rPr>
              <w:t xml:space="preserve">applicable portions of </w:t>
            </w:r>
            <w:r>
              <w:rPr>
                <w:b/>
                <w:i/>
                <w:iCs/>
              </w:rPr>
              <w:t>paragraph (4</w:t>
            </w:r>
            <w:r w:rsidRPr="004B32CF">
              <w:rPr>
                <w:b/>
                <w:i/>
                <w:iCs/>
              </w:rPr>
              <w:t>) above with the following upon system implementation</w:t>
            </w:r>
            <w:r>
              <w:rPr>
                <w:b/>
                <w:i/>
                <w:iCs/>
              </w:rPr>
              <w:t xml:space="preserve"> of the Real-Time Co-Optimization (RTC) project</w:t>
            </w:r>
            <w:r w:rsidR="00C25CB0">
              <w:rPr>
                <w:b/>
                <w:i/>
                <w:iCs/>
              </w:rPr>
              <w:t xml:space="preserve"> for NPRR1008; or upon system implementation</w:t>
            </w:r>
            <w:r w:rsidR="00E30EAB">
              <w:rPr>
                <w:b/>
                <w:i/>
                <w:iCs/>
              </w:rPr>
              <w:t xml:space="preserve"> for </w:t>
            </w:r>
            <w:r w:rsidR="001B5D93">
              <w:rPr>
                <w:b/>
                <w:i/>
                <w:iCs/>
              </w:rPr>
              <w:t>NPRR1014</w:t>
            </w:r>
            <w:r w:rsidRPr="004B32CF">
              <w:rPr>
                <w:b/>
                <w:i/>
                <w:iCs/>
              </w:rPr>
              <w:t>:]</w:t>
            </w:r>
          </w:p>
          <w:p w14:paraId="32CC920D" w14:textId="77777777" w:rsidR="00935E4E" w:rsidRDefault="00935E4E" w:rsidP="00935E4E">
            <w:pPr>
              <w:pStyle w:val="BodyTextNumbered"/>
              <w:rPr>
                <w:rFonts w:cs="Arial"/>
              </w:rPr>
            </w:pPr>
            <w:r>
              <w:t>(4)</w:t>
            </w:r>
            <w:r>
              <w:tab/>
              <w:t xml:space="preserve">The DAM uses a multi-hour mixed integer programming algorithm </w:t>
            </w:r>
            <w:r>
              <w:rPr>
                <w:rFonts w:cs="Arial"/>
              </w:rPr>
              <w:t xml:space="preserve">to maximize bid-based revenues, including revenues based on Ancillary Service Demand Curves (ASDCs), minus the offer-based costs over the Operating Day, subject to security and other constraints.  </w:t>
            </w:r>
          </w:p>
          <w:p w14:paraId="6D0BD2E3" w14:textId="3E84B170" w:rsidR="00935E4E" w:rsidRDefault="00935E4E" w:rsidP="00935E4E">
            <w:pPr>
              <w:pStyle w:val="List"/>
              <w:ind w:left="1440"/>
              <w:rPr>
                <w:rFonts w:cs="Arial"/>
              </w:rPr>
            </w:pPr>
            <w:r>
              <w:rPr>
                <w:rFonts w:cs="Arial"/>
              </w:rPr>
              <w:t>(a)</w:t>
            </w:r>
            <w:r>
              <w:rPr>
                <w:rFonts w:cs="Arial"/>
              </w:rPr>
              <w:tab/>
              <w:t>The bid-based revenues include reven</w:t>
            </w:r>
            <w:r w:rsidR="00C25CB0">
              <w:rPr>
                <w:rFonts w:cs="Arial"/>
              </w:rPr>
              <w:t>ues from ASDCs, DAM Energy Bids</w:t>
            </w:r>
            <w:r w:rsidR="00C25CB0" w:rsidRPr="00A552C3">
              <w:rPr>
                <w:rFonts w:cs="Arial"/>
              </w:rPr>
              <w:t>, bid portions of Energy Bid/Offer Curves,</w:t>
            </w:r>
            <w:r>
              <w:rPr>
                <w:rFonts w:cs="Arial"/>
              </w:rPr>
              <w:t xml:space="preserve"> and </w:t>
            </w:r>
            <w:r>
              <w:t>Point-to-Point</w:t>
            </w:r>
            <w:r>
              <w:rPr>
                <w:rFonts w:cs="Arial"/>
              </w:rPr>
              <w:t xml:space="preserve"> (PTP) </w:t>
            </w:r>
            <w:r w:rsidRPr="00C90C86">
              <w:t>Obligation</w:t>
            </w:r>
            <w:r>
              <w:rPr>
                <w:rFonts w:cs="Arial"/>
              </w:rPr>
              <w:t xml:space="preserve"> bids. </w:t>
            </w:r>
          </w:p>
          <w:p w14:paraId="79A64A51" w14:textId="136BC7E0" w:rsidR="00935E4E" w:rsidRDefault="00935E4E" w:rsidP="00935E4E">
            <w:pPr>
              <w:pStyle w:val="List"/>
              <w:ind w:left="1440"/>
            </w:pPr>
            <w:r w:rsidRPr="00AA790B">
              <w:t>(b)</w:t>
            </w:r>
            <w:r w:rsidRPr="00AA790B">
              <w:tab/>
              <w:t>The offer-based costs include costs from the Startup Offer, Minimum Energy Offer, and Energy Offer Curve of any Resource that submitted a Three-Part Supply Offer, DAM Energy-Only Offers</w:t>
            </w:r>
            <w:r w:rsidR="00C25CB0" w:rsidRPr="00A552C3">
              <w:t xml:space="preserve">, </w:t>
            </w:r>
            <w:r w:rsidR="00C25CB0" w:rsidRPr="00A552C3">
              <w:rPr>
                <w:rFonts w:cs="Arial"/>
              </w:rPr>
              <w:t xml:space="preserve">offer portions of Energy Bid/Offer Curves, </w:t>
            </w:r>
            <w:r w:rsidR="00C25CB0">
              <w:t>Ancillary Service Only Offers</w:t>
            </w:r>
            <w:r>
              <w:t xml:space="preserve">, </w:t>
            </w:r>
            <w:r w:rsidRPr="00AA790B">
              <w:t>and Ancillary Service Offers.</w:t>
            </w:r>
            <w:r>
              <w:t xml:space="preserve">  </w:t>
            </w:r>
          </w:p>
          <w:p w14:paraId="7B7E0F5E" w14:textId="77777777" w:rsidR="00935E4E" w:rsidRDefault="00935E4E" w:rsidP="00935E4E">
            <w:pPr>
              <w:pStyle w:val="List"/>
              <w:ind w:left="1440"/>
            </w:pPr>
            <w:r>
              <w:t>(c)</w:t>
            </w:r>
            <w:r>
              <w:tab/>
              <w:t xml:space="preserve">Security constraints specified to prevent DAM solutions that would overload the elements of the ERCOT Transmission Grid include the following: </w:t>
            </w:r>
          </w:p>
          <w:p w14:paraId="2E20726D" w14:textId="77777777" w:rsidR="00935E4E" w:rsidRDefault="00935E4E" w:rsidP="00935E4E">
            <w:pPr>
              <w:pStyle w:val="List"/>
              <w:ind w:left="2160"/>
            </w:pPr>
            <w:r>
              <w:t>(i)</w:t>
            </w:r>
            <w:r>
              <w:tab/>
              <w:t>Transmission constraints – transfer limits on energy flows through the ERCOT Transmission Grid, e.g., thermal or stability limits.  These limits must be satisfied by the intact network and for certain specified contingencies.  These constraints may represent:</w:t>
            </w:r>
          </w:p>
          <w:p w14:paraId="2DD27B04" w14:textId="77777777" w:rsidR="00935E4E" w:rsidRDefault="00935E4E" w:rsidP="00935E4E">
            <w:pPr>
              <w:pStyle w:val="List"/>
              <w:ind w:left="2880"/>
            </w:pPr>
            <w:r>
              <w:t>(A)</w:t>
            </w:r>
            <w:r>
              <w:tab/>
              <w:t>Thermal constraints – protect Transmission Facilities against thermal overload.</w:t>
            </w:r>
          </w:p>
          <w:p w14:paraId="7EC623DD" w14:textId="77777777" w:rsidR="00935E4E" w:rsidRDefault="00935E4E" w:rsidP="00935E4E">
            <w:pPr>
              <w:pStyle w:val="List"/>
              <w:ind w:left="2880"/>
            </w:pPr>
            <w:r>
              <w:t>(B)</w:t>
            </w:r>
            <w:r>
              <w:tab/>
              <w:t>Generic constraints – protect the ERCOT Transmission Grid against transient instability, dynamic stability or voltage collapse.</w:t>
            </w:r>
          </w:p>
          <w:p w14:paraId="125AC635" w14:textId="77777777" w:rsidR="00935E4E" w:rsidRDefault="00935E4E" w:rsidP="00935E4E">
            <w:pPr>
              <w:pStyle w:val="List"/>
              <w:ind w:left="2880"/>
            </w:pPr>
            <w:r>
              <w:t>(C)</w:t>
            </w:r>
            <w:r>
              <w:tab/>
              <w:t xml:space="preserve">Power flow constraints – the energy balance at required Electrical Buses in the ERCOT Transmission Grid must be maintained.  </w:t>
            </w:r>
          </w:p>
          <w:p w14:paraId="3F72888A" w14:textId="4950189A" w:rsidR="00935E4E" w:rsidRDefault="00935E4E" w:rsidP="00935E4E">
            <w:pPr>
              <w:pStyle w:val="List"/>
              <w:ind w:left="2160"/>
            </w:pPr>
            <w:r>
              <w:lastRenderedPageBreak/>
              <w:t>(ii)</w:t>
            </w:r>
            <w:r>
              <w:tab/>
              <w:t>Resource constraints – the physical and security limits on Resources that submit Three-Part Supply Offers</w:t>
            </w:r>
            <w:r w:rsidR="00C25CB0" w:rsidRPr="00A552C3">
              <w:t xml:space="preserve"> or Energy Bid/Offer Curves</w:t>
            </w:r>
            <w:r>
              <w:t>:</w:t>
            </w:r>
          </w:p>
          <w:p w14:paraId="27ECF332" w14:textId="77777777" w:rsidR="00935E4E" w:rsidRDefault="00935E4E" w:rsidP="00935E4E">
            <w:pPr>
              <w:pStyle w:val="List"/>
              <w:ind w:left="2880"/>
            </w:pPr>
            <w:r>
              <w:t>(A)</w:t>
            </w:r>
            <w:r>
              <w:tab/>
              <w:t xml:space="preserve">Resource output constraints – the Low Sustained Limit (LSL) and High Sustained Limit (HSL) of each Resource; and </w:t>
            </w:r>
          </w:p>
          <w:p w14:paraId="483A8F91" w14:textId="77777777" w:rsidR="00935E4E" w:rsidRDefault="00935E4E" w:rsidP="00935E4E">
            <w:pPr>
              <w:pStyle w:val="List"/>
              <w:ind w:left="2880"/>
            </w:pPr>
            <w:r>
              <w:t>(B)</w:t>
            </w:r>
            <w:r>
              <w:tab/>
              <w:t>Resource operational constraints – includes minimum run time, minimum down time, and configuration constraints.</w:t>
            </w:r>
          </w:p>
          <w:p w14:paraId="09A295AE" w14:textId="77777777" w:rsidR="00935E4E" w:rsidRDefault="00935E4E" w:rsidP="00935E4E">
            <w:pPr>
              <w:pStyle w:val="List"/>
              <w:ind w:left="2160"/>
            </w:pPr>
            <w:r>
              <w:t>(iii)</w:t>
            </w:r>
            <w:r>
              <w:tab/>
              <w:t xml:space="preserve">Other constraints – </w:t>
            </w:r>
          </w:p>
          <w:p w14:paraId="3D54EC2F" w14:textId="77777777" w:rsidR="00935E4E" w:rsidRDefault="00935E4E" w:rsidP="00935E4E">
            <w:pPr>
              <w:pStyle w:val="List"/>
              <w:ind w:left="2880"/>
            </w:pPr>
            <w:r>
              <w:t>(A)</w:t>
            </w:r>
            <w:r>
              <w:tab/>
              <w:t xml:space="preserve">Linked offers – the DAM may not select any one part of that Resource capacity to provide more than one Ancillary Service or to provide both energy and an Ancillary Service in the same Operating Hour.  The DAM may, however, select part of that Resource capacity to provide one Ancillary Service and another part of that capacity to provide a different Ancillary Service or energy in the same Operating Hour, provided that linked Energy and Off-Line Non-Spinning Reserve (Non-Spin) Resource-Specific </w:t>
            </w:r>
            <w:r w:rsidRPr="005A5BA8">
              <w:t>Ancillary Service Offers</w:t>
            </w:r>
            <w:r>
              <w:t xml:space="preserve"> are not awarded in the same Operating Hour.</w:t>
            </w:r>
          </w:p>
          <w:p w14:paraId="7DF594D9" w14:textId="77777777" w:rsidR="00935E4E" w:rsidRDefault="00935E4E" w:rsidP="00935E4E">
            <w:pPr>
              <w:pStyle w:val="List"/>
              <w:ind w:left="2880"/>
            </w:pPr>
            <w:r>
              <w:t>(B)</w:t>
            </w:r>
            <w:r>
              <w:tab/>
              <w:t xml:space="preserve">The sum of the awarded Resource-Specific </w:t>
            </w:r>
            <w:r w:rsidRPr="005A5BA8">
              <w:t>Ancillary Service Offer</w:t>
            </w:r>
            <w:r>
              <w:t xml:space="preserve"> capacities for each Resource must be within the Resource limits specified in the Current Operating Plan (COP) and Section 3.18, Resource Limits in Providing Ancillary Service, and the Resource Parameters as described in Section 3.7, Resource Parameters.</w:t>
            </w:r>
          </w:p>
          <w:p w14:paraId="515C3780" w14:textId="77777777" w:rsidR="00935E4E" w:rsidRDefault="00935E4E" w:rsidP="00935E4E">
            <w:pPr>
              <w:pStyle w:val="List"/>
              <w:ind w:left="2880"/>
            </w:pPr>
            <w:r>
              <w:t>(C)</w:t>
            </w:r>
            <w:r>
              <w:tab/>
              <w:t xml:space="preserve">Block Resource-Specific </w:t>
            </w:r>
            <w:r w:rsidRPr="005A5BA8">
              <w:t>Ancillary Service Offers</w:t>
            </w:r>
            <w:r>
              <w:t xml:space="preserve"> for a Load Resource – blocks will not be cleared unless the entire quantity block can be awarded.  </w:t>
            </w:r>
            <w:r w:rsidRPr="000D693C">
              <w:t xml:space="preserve">Because block </w:t>
            </w:r>
            <w:r>
              <w:t xml:space="preserve">Resource-Specific </w:t>
            </w:r>
            <w:r w:rsidRPr="005A5BA8">
              <w:t>Ancillary Service Offers</w:t>
            </w:r>
            <w:r w:rsidRPr="000D693C">
              <w:t xml:space="preserve"> cannot set the Market Clearing Price for Capacity (MCPC), a block Ancillary Service Offer may clear below the Ancillary Service Offer price for that block.</w:t>
            </w:r>
          </w:p>
          <w:p w14:paraId="59CA0E47" w14:textId="77777777" w:rsidR="00935E4E" w:rsidRDefault="00935E4E" w:rsidP="00935E4E">
            <w:pPr>
              <w:pStyle w:val="List"/>
              <w:ind w:left="2880"/>
            </w:pPr>
            <w:r>
              <w:t>(D)</w:t>
            </w:r>
            <w:r>
              <w:tab/>
              <w:t xml:space="preserve">Block </w:t>
            </w:r>
            <w:r w:rsidRPr="000D693C">
              <w:t xml:space="preserve">DAM Energy Bids, DAM Energy-Only Offers, and </w:t>
            </w:r>
            <w:r>
              <w:t>PTP Obligation b</w:t>
            </w:r>
            <w:r w:rsidRPr="00AA790B">
              <w:t xml:space="preserve">ids – blocks will not be cleared unless the entire time </w:t>
            </w:r>
            <w:r>
              <w:t xml:space="preserve">and/or quantity </w:t>
            </w:r>
            <w:r w:rsidRPr="00AA790B">
              <w:t>block can be awarded.</w:t>
            </w:r>
            <w:r>
              <w:t xml:space="preserve">  </w:t>
            </w:r>
            <w:r w:rsidRPr="000D693C">
              <w:t>Because quantity block bids and offers cannot set the Settlement Point Price, a quantity block bid or offer may clear in a manner inconsistent with the bid or offer price for that block.</w:t>
            </w:r>
          </w:p>
          <w:p w14:paraId="37929F66" w14:textId="77777777" w:rsidR="00935E4E" w:rsidRDefault="00935E4E" w:rsidP="00935E4E">
            <w:pPr>
              <w:pStyle w:val="List"/>
              <w:ind w:left="2880"/>
            </w:pPr>
            <w:r>
              <w:t>(E)</w:t>
            </w:r>
            <w:r>
              <w:tab/>
              <w:t xml:space="preserve">Combined Cycle Generation Resources – The DAM may commit a Combined Cycle Generation Resource in a time period that includes the last hour of the Operating Day only if that </w:t>
            </w:r>
            <w:r>
              <w:lastRenderedPageBreak/>
              <w:t>Combined Cycle Generation Resource can transition to a shutdown condition in the DAM Operating Day.</w:t>
            </w:r>
          </w:p>
          <w:p w14:paraId="321E9D47" w14:textId="77777777" w:rsidR="00C25CB0" w:rsidRPr="00A552C3" w:rsidRDefault="00C25CB0" w:rsidP="00C25CB0">
            <w:pPr>
              <w:pStyle w:val="List"/>
              <w:ind w:left="2880"/>
            </w:pPr>
            <w:r w:rsidRPr="00A552C3">
              <w:t>(F)</w:t>
            </w:r>
            <w:r w:rsidRPr="00A552C3">
              <w:tab/>
              <w:t xml:space="preserve">Energy Storage Resources (ESRs) – The energy cleared for an ESR may be negative, indicating purchase of energy, or positive, indicating sale of energy. </w:t>
            </w:r>
          </w:p>
          <w:p w14:paraId="278A0ED6" w14:textId="02F4CBA5" w:rsidR="00935E4E" w:rsidRPr="004B32CF" w:rsidRDefault="00935E4E" w:rsidP="00C25CB0">
            <w:pPr>
              <w:pStyle w:val="List"/>
              <w:ind w:left="1440"/>
            </w:pPr>
            <w:r>
              <w:t>(d)</w:t>
            </w:r>
            <w:r>
              <w:tab/>
              <w:t>Ancillary Service needs will be reflected in ASDCs for each Ancillary Service.  Self-Arranged Ancillary Service Quantities will first be used to meet the ASDCs, and the remaining Ancillary Service needs are met from Ancillary Service Offers, as long as the costs do not exceed the ASDC value.  ERCOT may not buy more of one Ancillary Service in place of the quantity of a different service.</w:t>
            </w:r>
          </w:p>
        </w:tc>
      </w:tr>
    </w:tbl>
    <w:p w14:paraId="19D31D20" w14:textId="441C993C" w:rsidR="00D77135" w:rsidRDefault="00482EF3" w:rsidP="00F539C2">
      <w:pPr>
        <w:pStyle w:val="BodyTextNumbered"/>
        <w:spacing w:before="240"/>
      </w:pPr>
      <w:r>
        <w:lastRenderedPageBreak/>
        <w:t>(5)</w:t>
      </w:r>
      <w:r>
        <w:tab/>
      </w:r>
      <w:r w:rsidR="00463441">
        <w:t>ERCOT shall determine the appropriate Load distribution factors to allocate offers, bids, and source and sink of CRRs at a Load Zone across the energized power flow buses that are modeled with Load in that Load Zone.  The non-</w:t>
      </w:r>
      <w:r w:rsidR="00463441" w:rsidRPr="003465A5">
        <w:t>Private Use Network</w:t>
      </w:r>
      <w:r w:rsidR="00463441">
        <w:t xml:space="preserve"> Load distribution factors are based on historical State Estimator hourly distribution using a proxy day methodology representing anticipated weather conditions.  The </w:t>
      </w:r>
      <w:r w:rsidR="00463441" w:rsidRPr="003465A5">
        <w:t>Private Use Network</w:t>
      </w:r>
      <w:r w:rsidR="00463441">
        <w:t xml:space="preserve"> Load distribution factors are based on an estimated Load value considering historical net consumption at all Private Use Networks.  If ERCOT decides, in its sole discretion, to change the Load distribution factors for reasons such as anticipated weather events or holidays, ERCOT shall select a S</w:t>
      </w:r>
      <w:r w:rsidR="00500F38">
        <w:t xml:space="preserve">tate </w:t>
      </w:r>
      <w:r w:rsidR="00463441">
        <w:t>E</w:t>
      </w:r>
      <w:r w:rsidR="00500F38">
        <w:t>stimator</w:t>
      </w:r>
      <w:r w:rsidR="00463441">
        <w:t xml:space="preserve"> hourly distribution from a proxy day reasonably reflecting the anticipated Load in the Operating Day.  ERCOT may also modify the Load distribution factors to account for predicted differences in network topology between the proxy day and Operating Day.  ERCOT shall develop a methodology, subject to Technical Advisory Committee (TAC) approval, to describe the modification of the proxy day bus-load distribution for this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360F95" w:rsidRPr="004B32CF" w14:paraId="1221C1C7" w14:textId="77777777" w:rsidTr="006C374D">
        <w:trPr>
          <w:trHeight w:val="386"/>
        </w:trPr>
        <w:tc>
          <w:tcPr>
            <w:tcW w:w="9350" w:type="dxa"/>
            <w:shd w:val="pct12" w:color="auto" w:fill="auto"/>
          </w:tcPr>
          <w:p w14:paraId="162B4834" w14:textId="75F5789C" w:rsidR="00360F95" w:rsidRPr="004B32CF" w:rsidRDefault="00360F95" w:rsidP="006C374D">
            <w:pPr>
              <w:spacing w:before="120" w:after="240"/>
              <w:rPr>
                <w:b/>
                <w:i/>
                <w:iCs/>
              </w:rPr>
            </w:pPr>
            <w:r>
              <w:rPr>
                <w:b/>
                <w:i/>
                <w:iCs/>
              </w:rPr>
              <w:t>[NPRR1004:  Replace paragraph (5</w:t>
            </w:r>
            <w:r w:rsidRPr="004B32CF">
              <w:rPr>
                <w:b/>
                <w:i/>
                <w:iCs/>
              </w:rPr>
              <w:t>) above with the following upon system implementation:]</w:t>
            </w:r>
          </w:p>
          <w:p w14:paraId="157DB1FC" w14:textId="550DE511" w:rsidR="00360F95" w:rsidRPr="004B32CF" w:rsidRDefault="00360F95" w:rsidP="006C374D">
            <w:pPr>
              <w:pStyle w:val="BodyTextNumbered"/>
            </w:pPr>
            <w:r>
              <w:t>(5)</w:t>
            </w:r>
            <w:r>
              <w:tab/>
              <w:t xml:space="preserve">ERCOT shall determine the appropriate Load distribution factors to allocate offers, bids, and source and sink of PTP Obligations at a Load Zone across the energized power flow buses that are modeled with Load in that Load Zone.  </w:t>
            </w:r>
            <w:r w:rsidRPr="00471394">
              <w:t xml:space="preserve">ERCOT shall derive </w:t>
            </w:r>
            <w:r>
              <w:t>DAM</w:t>
            </w:r>
            <w:r w:rsidRPr="00471394">
              <w:t xml:space="preserve"> Load distribution factors with the set of Load distribution factors constructed in accordance with the ERCOT Load distribution factor methodology specified in paragraph (</w:t>
            </w:r>
            <w:r>
              <w:t>c</w:t>
            </w:r>
            <w:r w:rsidRPr="00471394">
              <w:t xml:space="preserve">) of Section </w:t>
            </w:r>
            <w:r>
              <w:t>3.12</w:t>
            </w:r>
            <w:r w:rsidRPr="00471394">
              <w:t xml:space="preserve">, </w:t>
            </w:r>
            <w:r>
              <w:t>Load Forecasting.  In the event the Load distribution factors are not available, the Load distribution factors for the most recent preceding Operating Day will be used.</w:t>
            </w:r>
          </w:p>
        </w:tc>
      </w:tr>
    </w:tbl>
    <w:p w14:paraId="5311027B" w14:textId="72497ADD" w:rsidR="00FF2129" w:rsidRDefault="00482EF3" w:rsidP="002F0568">
      <w:pPr>
        <w:pStyle w:val="BodyTextNumbered"/>
        <w:spacing w:before="240"/>
      </w:pPr>
      <w:r>
        <w:t>(6)</w:t>
      </w:r>
      <w:r>
        <w:tab/>
        <w:t xml:space="preserve">ERCOT shall allocate offers, bids, and source and sink of CRRs at a Hub using the distribution factors specified in the definition of that Hub in Section 3.5.2, Hub Definitions. </w:t>
      </w:r>
    </w:p>
    <w:p w14:paraId="4E9908D1" w14:textId="77777777" w:rsidR="00FF2129" w:rsidRDefault="00482EF3">
      <w:pPr>
        <w:pStyle w:val="BodyTextNumbered"/>
      </w:pPr>
      <w:r>
        <w:lastRenderedPageBreak/>
        <w:t>(7)</w:t>
      </w:r>
      <w:r>
        <w:tab/>
        <w:t xml:space="preserve">A Resource that has a Three-Part Supply Offer cleared in the DAM may be eligible for </w:t>
      </w:r>
      <w:r w:rsidR="00B278E0">
        <w:t>M</w:t>
      </w:r>
      <w:r>
        <w:t>ake</w:t>
      </w:r>
      <w:r w:rsidR="00B278E0">
        <w:t>-W</w:t>
      </w:r>
      <w:r>
        <w:t xml:space="preserve">hole </w:t>
      </w:r>
      <w:r w:rsidR="00B278E0">
        <w:t>P</w:t>
      </w:r>
      <w:r>
        <w:t xml:space="preserve">ayment of the Startup Offer and Minimum Energy Offer submitted by the </w:t>
      </w:r>
      <w:r w:rsidR="004D50AD">
        <w:t>Qualified Scheduling Entity (</w:t>
      </w:r>
      <w:r>
        <w:t>QSE</w:t>
      </w:r>
      <w:r w:rsidR="004D50AD">
        <w:t>)</w:t>
      </w:r>
      <w:r>
        <w:t xml:space="preserve"> representing the Resource under Section 4.6, DAM Settlement. </w:t>
      </w:r>
    </w:p>
    <w:p w14:paraId="5FF4157D" w14:textId="77777777" w:rsidR="00010AD8" w:rsidRDefault="00010AD8" w:rsidP="00010AD8">
      <w:pPr>
        <w:pStyle w:val="BodyTextNumbered"/>
      </w:pPr>
      <w:r>
        <w:t>(</w:t>
      </w:r>
      <w:r w:rsidR="000C362C">
        <w:t>8</w:t>
      </w:r>
      <w:r>
        <w:t>)</w:t>
      </w:r>
      <w:r>
        <w:tab/>
        <w:t>The DAM Settlement is based on hourly MW awards and on Day-Ahead hourly Settlement Point Prices.  All PTP Options settled in the DAM are settled based on the Day-Ahead Settlement Point Prices</w:t>
      </w:r>
      <w:r w:rsidR="007063DC">
        <w:t xml:space="preserve"> (DASPPs)</w:t>
      </w:r>
      <w:r>
        <w:t xml:space="preserve">.  ERCOT shall assign a Locational Marginal Price (LMP) to de-energized Electrical Buses for use in the calculation of the </w:t>
      </w:r>
      <w:r w:rsidR="007063DC">
        <w:t>DASPPs</w:t>
      </w:r>
      <w:r>
        <w:t xml:space="preserve"> by using heuristic rules applied in the following order:</w:t>
      </w:r>
    </w:p>
    <w:p w14:paraId="31E934E7" w14:textId="77777777" w:rsidR="00010AD8" w:rsidRDefault="00010AD8" w:rsidP="00010AD8">
      <w:pPr>
        <w:pStyle w:val="List"/>
        <w:ind w:left="1440"/>
      </w:pPr>
      <w:r>
        <w:t>(a)</w:t>
      </w:r>
      <w:r>
        <w:tab/>
      </w:r>
      <w:r w:rsidRPr="00A6179D">
        <w:t>Use an appropriate LMP predetermined by ERCOT as applicable to a specific Electrical Bus; or if not so specified</w:t>
      </w:r>
    </w:p>
    <w:p w14:paraId="5A9F4940" w14:textId="77777777" w:rsidR="00010AD8" w:rsidRDefault="00010AD8" w:rsidP="00010AD8">
      <w:pPr>
        <w:pStyle w:val="List"/>
        <w:ind w:left="1440"/>
      </w:pPr>
      <w:r w:rsidRPr="00A6179D">
        <w:t>(b)</w:t>
      </w:r>
      <w:r w:rsidRPr="00A6179D">
        <w:tab/>
        <w:t>Use the following rules in order:</w:t>
      </w:r>
    </w:p>
    <w:p w14:paraId="2BC9F318" w14:textId="77777777" w:rsidR="00010AD8" w:rsidRDefault="00010AD8" w:rsidP="00010AD8">
      <w:pPr>
        <w:pStyle w:val="List"/>
        <w:ind w:left="2160"/>
      </w:pPr>
      <w:r>
        <w:t>(i)</w:t>
      </w:r>
      <w:r>
        <w:tab/>
        <w:t>Use average LMP for Electrical Buses within the same station having the same voltage level as the de-energized Electrical Bus, if any exist.</w:t>
      </w:r>
    </w:p>
    <w:p w14:paraId="7D7FA732" w14:textId="77777777" w:rsidR="00010AD8" w:rsidRDefault="00010AD8" w:rsidP="00010AD8">
      <w:pPr>
        <w:pStyle w:val="List"/>
        <w:ind w:left="2160"/>
      </w:pPr>
      <w:r>
        <w:t>(ii)</w:t>
      </w:r>
      <w:r>
        <w:tab/>
        <w:t>Use average LMP for all Electrical Buses within the same station, if any exist.</w:t>
      </w:r>
    </w:p>
    <w:p w14:paraId="253E344F" w14:textId="77777777" w:rsidR="00D77135" w:rsidRDefault="00010AD8" w:rsidP="00010AD8">
      <w:pPr>
        <w:pStyle w:val="BodyTextNumbered"/>
        <w:ind w:left="2160"/>
      </w:pPr>
      <w:r>
        <w:t>(iii)</w:t>
      </w:r>
      <w:r>
        <w:tab/>
        <w:t xml:space="preserve">Use </w:t>
      </w:r>
      <w:r w:rsidR="004F1285">
        <w:t>S</w:t>
      </w:r>
      <w:r>
        <w:t xml:space="preserve">ystem </w:t>
      </w:r>
      <w:r w:rsidR="004F1285">
        <w:t>L</w:t>
      </w:r>
      <w:r>
        <w:t>ambda.</w:t>
      </w:r>
    </w:p>
    <w:p w14:paraId="5E697A03" w14:textId="77777777" w:rsidR="00FF2129" w:rsidRDefault="00482EF3" w:rsidP="00B044E6">
      <w:pPr>
        <w:pStyle w:val="BodyTextNumbered"/>
      </w:pPr>
      <w:r>
        <w:t>(</w:t>
      </w:r>
      <w:r w:rsidR="000C362C">
        <w:t>9</w:t>
      </w:r>
      <w:r>
        <w:t>)</w:t>
      </w:r>
      <w:r>
        <w:tab/>
        <w:t xml:space="preserve">The Day-Ahead MCPC for each hour for each Ancillary Service is the Shadow Price for </w:t>
      </w:r>
      <w:r>
        <w:rPr>
          <w:rStyle w:val="msoins0"/>
          <w:u w:val="none"/>
        </w:rPr>
        <w:t xml:space="preserve">that Ancillary Service </w:t>
      </w:r>
      <w:r>
        <w:t xml:space="preserve">for the hour as determined by the DAM algorithm.  </w:t>
      </w:r>
    </w:p>
    <w:p w14:paraId="3864EF3F" w14:textId="6511E4A8" w:rsidR="00EB5331" w:rsidRDefault="00EB5331" w:rsidP="00EB5331">
      <w:pPr>
        <w:spacing w:after="240"/>
        <w:ind w:left="720" w:hanging="720"/>
        <w:rPr>
          <w:iCs/>
        </w:rPr>
      </w:pPr>
      <w:r>
        <w:rPr>
          <w:iCs/>
        </w:rPr>
        <w:t>(10)</w:t>
      </w:r>
      <w:r>
        <w:rPr>
          <w:iCs/>
        </w:rPr>
        <w:tab/>
        <w:t>Day-Ahead MCPCs shall not exceed the</w:t>
      </w:r>
      <w:r w:rsidR="00500F38">
        <w:rPr>
          <w:iCs/>
        </w:rPr>
        <w:t xml:space="preserve"> System-Wide Offer Cap (SWCAP)</w:t>
      </w:r>
      <w:r>
        <w:rPr>
          <w:iCs/>
        </w:rPr>
        <w:t>.  Ancillary Service Offers higher than corresponding Ancillary Service penalty factors, as defined in Appendix 2</w:t>
      </w:r>
      <w:r w:rsidR="00500F38">
        <w:rPr>
          <w:iCs/>
        </w:rPr>
        <w:t xml:space="preserve">, Day-Ahead Market Optimization Control Parameters, </w:t>
      </w:r>
      <w:r>
        <w:rPr>
          <w:iCs/>
        </w:rPr>
        <w:t xml:space="preserve">of </w:t>
      </w:r>
      <w:r w:rsidR="006D5105">
        <w:rPr>
          <w:iCs/>
        </w:rPr>
        <w:t>Section 22, Attachment P,</w:t>
      </w:r>
      <w:r>
        <w:rPr>
          <w:iCs/>
        </w:rPr>
        <w:t xml:space="preserve"> </w:t>
      </w:r>
      <w:r w:rsidRPr="00930C58">
        <w:t>Methodology for Setting Maximum Shadow Prices for Network and Power Balance Constraints</w:t>
      </w:r>
      <w:r>
        <w:t>,</w:t>
      </w:r>
      <w:r>
        <w:rPr>
          <w:iCs/>
        </w:rPr>
        <w:t xml:space="preserve"> will not be awarded.</w:t>
      </w:r>
      <w:r w:rsidRPr="009024F9">
        <w:rPr>
          <w:iCs/>
        </w:rP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EB5331" w:rsidRPr="009024F9" w14:paraId="5F2C6C04" w14:textId="77777777" w:rsidTr="00F06E50">
        <w:trPr>
          <w:trHeight w:val="386"/>
        </w:trPr>
        <w:tc>
          <w:tcPr>
            <w:tcW w:w="9350" w:type="dxa"/>
            <w:shd w:val="pct12" w:color="auto" w:fill="auto"/>
          </w:tcPr>
          <w:p w14:paraId="133B25F9" w14:textId="6F60A6C3" w:rsidR="00EB5331" w:rsidRPr="009024F9" w:rsidRDefault="00EB5331" w:rsidP="00F06E50">
            <w:pPr>
              <w:spacing w:before="120" w:after="240"/>
            </w:pPr>
            <w:r w:rsidRPr="009024F9">
              <w:rPr>
                <w:b/>
                <w:i/>
                <w:iCs/>
              </w:rPr>
              <w:t>[NPRR</w:t>
            </w:r>
            <w:r>
              <w:rPr>
                <w:b/>
                <w:i/>
                <w:iCs/>
              </w:rPr>
              <w:t>1080</w:t>
            </w:r>
            <w:r w:rsidRPr="009024F9">
              <w:rPr>
                <w:b/>
                <w:i/>
                <w:iCs/>
              </w:rPr>
              <w:t>:  Delete paragraph (1</w:t>
            </w:r>
            <w:r>
              <w:rPr>
                <w:b/>
                <w:i/>
                <w:iCs/>
              </w:rPr>
              <w:t>0</w:t>
            </w:r>
            <w:r w:rsidRPr="009024F9">
              <w:rPr>
                <w:b/>
                <w:i/>
                <w:iCs/>
              </w:rPr>
              <w:t>) above upon system implementation of the Real-Time Co-Optimization (RTC) project for NPRR1008; or upon system implementation for NPRR1014; and renumber accordingly.]</w:t>
            </w:r>
          </w:p>
        </w:tc>
      </w:tr>
    </w:tbl>
    <w:p w14:paraId="0F7AB197" w14:textId="182F721C" w:rsidR="00FF2129" w:rsidRDefault="00482EF3" w:rsidP="00803E07">
      <w:pPr>
        <w:pStyle w:val="BodyTextNumbered"/>
        <w:spacing w:before="240"/>
      </w:pPr>
      <w:r>
        <w:t>(1</w:t>
      </w:r>
      <w:r w:rsidR="00EB5331">
        <w:t>1</w:t>
      </w:r>
      <w:r>
        <w:t>)</w:t>
      </w:r>
      <w:r>
        <w:tab/>
        <w:t>If the Day-Ahead MCPC cannot be calculated by ERCOT, the Day-Ahead MCPC for the particular Ancillary Service is equal to the Day-Ahead MCPC for that Ancillary Service in the same Settlement Interval of the preceding Operating Day.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935E4E" w:rsidRPr="004B32CF" w14:paraId="23307BEE" w14:textId="77777777" w:rsidTr="00935E4E">
        <w:trPr>
          <w:trHeight w:val="386"/>
        </w:trPr>
        <w:tc>
          <w:tcPr>
            <w:tcW w:w="9350" w:type="dxa"/>
            <w:shd w:val="pct12" w:color="auto" w:fill="auto"/>
          </w:tcPr>
          <w:p w14:paraId="2DC2BF45" w14:textId="6F395171" w:rsidR="00935E4E" w:rsidRPr="004B32CF" w:rsidRDefault="00935E4E" w:rsidP="00E30EAB">
            <w:pPr>
              <w:spacing w:before="120" w:after="240"/>
            </w:pPr>
            <w:r>
              <w:rPr>
                <w:b/>
                <w:i/>
                <w:iCs/>
              </w:rPr>
              <w:t>[NPRR1008</w:t>
            </w:r>
            <w:r w:rsidR="00C25CB0">
              <w:rPr>
                <w:b/>
                <w:i/>
                <w:iCs/>
              </w:rPr>
              <w:t xml:space="preserve"> and NPR1014</w:t>
            </w:r>
            <w:r>
              <w:rPr>
                <w:b/>
                <w:i/>
                <w:iCs/>
              </w:rPr>
              <w:t>:  Delete paragraph (1</w:t>
            </w:r>
            <w:r w:rsidR="00EB5331">
              <w:rPr>
                <w:b/>
                <w:i/>
                <w:iCs/>
              </w:rPr>
              <w:t>1</w:t>
            </w:r>
            <w:r w:rsidRPr="004B32CF">
              <w:rPr>
                <w:b/>
                <w:i/>
                <w:iCs/>
              </w:rPr>
              <w:t>) above upon system implementation</w:t>
            </w:r>
            <w:r>
              <w:rPr>
                <w:b/>
                <w:i/>
                <w:iCs/>
              </w:rPr>
              <w:t xml:space="preserve"> of the Real-Time Co-Optimization (RTC) project</w:t>
            </w:r>
            <w:r w:rsidR="00C25CB0">
              <w:rPr>
                <w:b/>
                <w:i/>
                <w:iCs/>
              </w:rPr>
              <w:t xml:space="preserve"> for NPRR1008; or upon system implementation </w:t>
            </w:r>
            <w:r w:rsidR="00E30EAB">
              <w:rPr>
                <w:b/>
                <w:i/>
                <w:iCs/>
              </w:rPr>
              <w:t xml:space="preserve">for </w:t>
            </w:r>
            <w:r w:rsidR="00C25CB0">
              <w:rPr>
                <w:b/>
                <w:i/>
                <w:iCs/>
              </w:rPr>
              <w:t>NPRR1014;</w:t>
            </w:r>
            <w:r>
              <w:rPr>
                <w:b/>
                <w:i/>
                <w:iCs/>
              </w:rPr>
              <w:t xml:space="preserve"> and renumber accordingly</w:t>
            </w:r>
            <w:r w:rsidR="00E30EAB">
              <w:rPr>
                <w:b/>
                <w:i/>
                <w:iCs/>
              </w:rPr>
              <w:t>.</w:t>
            </w:r>
            <w:r w:rsidRPr="004B32CF">
              <w:rPr>
                <w:b/>
                <w:i/>
                <w:iCs/>
              </w:rPr>
              <w:t>]</w:t>
            </w:r>
          </w:p>
        </w:tc>
      </w:tr>
    </w:tbl>
    <w:p w14:paraId="70FBA1EE" w14:textId="04F661E0" w:rsidR="00FF2129" w:rsidRDefault="00482EF3" w:rsidP="00F539C2">
      <w:pPr>
        <w:pStyle w:val="BodyTextNumbered"/>
        <w:spacing w:before="240"/>
      </w:pPr>
      <w:r>
        <w:lastRenderedPageBreak/>
        <w:t>(1</w:t>
      </w:r>
      <w:r w:rsidR="00EB5331">
        <w:t>2</w:t>
      </w:r>
      <w:r>
        <w:t>)</w:t>
      </w:r>
      <w:r>
        <w:tab/>
        <w:t xml:space="preserve">If the </w:t>
      </w:r>
      <w:r w:rsidR="007063DC">
        <w:t>DASPPs</w:t>
      </w:r>
      <w:r>
        <w:t xml:space="preserve"> cannot be calculated by ERCOT, all CRRs shall be settled based on Real-Time </w:t>
      </w:r>
      <w:r w:rsidR="007063DC">
        <w:t>p</w:t>
      </w:r>
      <w:r>
        <w:t xml:space="preserve">rices.  Settlements for all CRRs shall be reflected on the </w:t>
      </w:r>
      <w:r w:rsidR="00B278E0">
        <w:t xml:space="preserve">Real-Time </w:t>
      </w:r>
      <w:r>
        <w:t>Settlement Statement.</w:t>
      </w:r>
    </w:p>
    <w:p w14:paraId="00800A85" w14:textId="7B1591BB" w:rsidR="00961223" w:rsidRDefault="00961223" w:rsidP="00961223">
      <w:pPr>
        <w:pStyle w:val="BodyTextNumbered"/>
      </w:pPr>
      <w:bookmarkStart w:id="597" w:name="_Toc92873976"/>
      <w:bookmarkStart w:id="598" w:name="_Toc142108951"/>
      <w:bookmarkStart w:id="599" w:name="_Toc142113796"/>
      <w:bookmarkStart w:id="600" w:name="_Toc402345623"/>
      <w:bookmarkStart w:id="601" w:name="_Toc405383906"/>
      <w:bookmarkStart w:id="602" w:name="_Toc405537009"/>
      <w:r w:rsidRPr="00AB0FC2">
        <w:t>(1</w:t>
      </w:r>
      <w:r w:rsidR="00EB5331">
        <w:t>3</w:t>
      </w:r>
      <w:r w:rsidRPr="00AB0FC2">
        <w:t>)</w:t>
      </w:r>
      <w:r w:rsidRPr="00AB0FC2">
        <w:tab/>
        <w:t>Constraints can exist between the generator</w:t>
      </w:r>
      <w:r w:rsidRPr="008F031F">
        <w:t xml:space="preserve">’s Resource Connectivity Node and the Resource Node, in which case the </w:t>
      </w:r>
      <w:r w:rsidRPr="00472EA8">
        <w:t xml:space="preserve">awarded quantity </w:t>
      </w:r>
      <w:r>
        <w:t xml:space="preserve">of energy </w:t>
      </w:r>
      <w:r w:rsidRPr="00472EA8">
        <w:t>may be inconsistent with the clearing price when the constraint between the Resource Connectivity Node and the Resource Node is binding.</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5CB0" w:rsidRPr="004B32CF" w14:paraId="0A5D932D" w14:textId="77777777" w:rsidTr="009540C4">
        <w:trPr>
          <w:trHeight w:val="386"/>
        </w:trPr>
        <w:tc>
          <w:tcPr>
            <w:tcW w:w="9350" w:type="dxa"/>
            <w:shd w:val="pct12" w:color="auto" w:fill="auto"/>
          </w:tcPr>
          <w:p w14:paraId="154B811E" w14:textId="0584BE74" w:rsidR="00C25CB0" w:rsidRDefault="00C25CB0" w:rsidP="00C25CB0">
            <w:pPr>
              <w:spacing w:before="120" w:after="240"/>
              <w:rPr>
                <w:b/>
                <w:i/>
                <w:iCs/>
              </w:rPr>
            </w:pPr>
            <w:bookmarkStart w:id="603" w:name="_Toc440871795"/>
            <w:r>
              <w:rPr>
                <w:b/>
                <w:i/>
                <w:iCs/>
              </w:rPr>
              <w:t>[NPRR1014:  Replace paragraph (1</w:t>
            </w:r>
            <w:r w:rsidR="00EB5331">
              <w:rPr>
                <w:b/>
                <w:i/>
                <w:iCs/>
              </w:rPr>
              <w:t>3</w:t>
            </w:r>
            <w:r w:rsidRPr="004B32CF">
              <w:rPr>
                <w:b/>
                <w:i/>
                <w:iCs/>
              </w:rPr>
              <w:t xml:space="preserve">) above </w:t>
            </w:r>
            <w:r>
              <w:rPr>
                <w:b/>
                <w:i/>
                <w:iCs/>
              </w:rPr>
              <w:t xml:space="preserve">with the following </w:t>
            </w:r>
            <w:r w:rsidRPr="004B32CF">
              <w:rPr>
                <w:b/>
                <w:i/>
                <w:iCs/>
              </w:rPr>
              <w:t>upon system implementation:]</w:t>
            </w:r>
          </w:p>
          <w:p w14:paraId="28BD89D6" w14:textId="508B2402" w:rsidR="00C25CB0" w:rsidRPr="00C25CB0" w:rsidRDefault="00C25CB0" w:rsidP="00C25CB0">
            <w:pPr>
              <w:pStyle w:val="BodyTextNumbered"/>
            </w:pPr>
            <w:r w:rsidRPr="00A552C3">
              <w:t>(1</w:t>
            </w:r>
            <w:r w:rsidR="00EB5331">
              <w:t>3</w:t>
            </w:r>
            <w:r w:rsidRPr="00A552C3">
              <w:t>)</w:t>
            </w:r>
            <w:r w:rsidRPr="00A552C3">
              <w:tab/>
              <w:t>Constraints can exist between a Resource’s Resource Connectivity Node and its Resource Node, in which case the awarded quantity of energy may be inconsistent with the clearing price when the constraint between the Resource Connectivity Node and the Resource Node is binding.</w:t>
            </w:r>
          </w:p>
        </w:tc>
      </w:tr>
    </w:tbl>
    <w:p w14:paraId="4B2048E3" w14:textId="04F13F97" w:rsidR="006A38D2" w:rsidRPr="00A35CB9" w:rsidRDefault="006A38D2" w:rsidP="00F539C2">
      <w:pPr>
        <w:pStyle w:val="BodyTextNumbered"/>
        <w:spacing w:before="240"/>
      </w:pPr>
      <w:r>
        <w:t>(1</w:t>
      </w:r>
      <w:r w:rsidR="00EB5331">
        <w:t>4</w:t>
      </w:r>
      <w:r>
        <w:t>)</w:t>
      </w:r>
      <w:r>
        <w:tab/>
      </w:r>
      <w:r w:rsidR="00D6532B">
        <w:t>PTP Obligation b</w:t>
      </w:r>
      <w:r w:rsidR="00D6532B" w:rsidRPr="00A35CB9">
        <w:t xml:space="preserve">ids shall not be </w:t>
      </w:r>
      <w:r w:rsidR="00D6532B">
        <w:t>awarded</w:t>
      </w:r>
      <w:r w:rsidR="00D6532B" w:rsidRPr="00A35CB9">
        <w:t xml:space="preserve"> where the DAM clearing price for the PTP Obligation is g</w:t>
      </w:r>
      <w:r w:rsidR="00D6532B">
        <w:t>reater than the PTP Obligation b</w:t>
      </w:r>
      <w:r w:rsidR="00D6532B" w:rsidRPr="00A35CB9">
        <w:t>id price</w:t>
      </w:r>
      <w:r w:rsidR="00D6532B">
        <w:t xml:space="preserve"> plus $0.01/MW per hour.</w:t>
      </w:r>
    </w:p>
    <w:p w14:paraId="30990BA0" w14:textId="77777777" w:rsidR="00FF2129" w:rsidRDefault="00482EF3" w:rsidP="002F0568">
      <w:pPr>
        <w:pStyle w:val="H3"/>
        <w:spacing w:before="480"/>
      </w:pPr>
      <w:bookmarkStart w:id="604" w:name="_Toc135990676"/>
      <w:r>
        <w:t>4.5.2</w:t>
      </w:r>
      <w:r>
        <w:tab/>
        <w:t>Ancillary Service Insufficiency</w:t>
      </w:r>
      <w:bookmarkEnd w:id="597"/>
      <w:bookmarkEnd w:id="598"/>
      <w:bookmarkEnd w:id="599"/>
      <w:bookmarkEnd w:id="600"/>
      <w:bookmarkEnd w:id="601"/>
      <w:bookmarkEnd w:id="602"/>
      <w:bookmarkEnd w:id="603"/>
      <w:bookmarkEnd w:id="604"/>
    </w:p>
    <w:p w14:paraId="7A5FD249" w14:textId="77777777" w:rsidR="00FF2129" w:rsidRDefault="00482EF3">
      <w:pPr>
        <w:pStyle w:val="BodyTextNumbered"/>
      </w:pPr>
      <w:r>
        <w:t>(1)</w:t>
      </w:r>
      <w:r>
        <w:tab/>
        <w:t xml:space="preserve">ERCOT shall determine if there is an insufficiency in Ancillary Service Offers. </w:t>
      </w:r>
      <w:r w:rsidR="00810745">
        <w:t xml:space="preserve"> </w:t>
      </w:r>
      <w:r>
        <w:t xml:space="preserve">If ERCOT receives insufficient Ancillary Service Offers in the DAM to procure one or more required Ancillary Service such that the Ancillary Service Plan is deficient and system security and reliability is threatened: </w:t>
      </w:r>
    </w:p>
    <w:p w14:paraId="49134091" w14:textId="77777777" w:rsidR="00FF2129" w:rsidRDefault="00482EF3" w:rsidP="009D6B45">
      <w:pPr>
        <w:pStyle w:val="List"/>
        <w:ind w:left="1440"/>
      </w:pPr>
      <w:r>
        <w:t>(a)</w:t>
      </w:r>
      <w:r>
        <w:tab/>
        <w:t xml:space="preserve">ERCOT shall declare an Ancillary Service insufficiency and issue a </w:t>
      </w:r>
      <w:r w:rsidR="003F0C82">
        <w:t>Watch</w:t>
      </w:r>
      <w:r>
        <w:t xml:space="preserve"> under Section 6.5.9.3.3, </w:t>
      </w:r>
      <w:r w:rsidR="00810745">
        <w:t>Watch</w:t>
      </w:r>
      <w:r>
        <w:t>.</w:t>
      </w:r>
    </w:p>
    <w:p w14:paraId="02A0D2DF" w14:textId="77777777" w:rsidR="00FF2129" w:rsidRDefault="00482EF3">
      <w:pPr>
        <w:pStyle w:val="List"/>
        <w:ind w:left="1440"/>
      </w:pPr>
      <w:r>
        <w:t>(b)</w:t>
      </w:r>
      <w:r>
        <w:tab/>
        <w:t xml:space="preserve">ERCOT shall request additional Ancillary Service Offers.  </w:t>
      </w:r>
    </w:p>
    <w:p w14:paraId="6EC66078" w14:textId="77777777" w:rsidR="00FF2129" w:rsidRDefault="00482EF3" w:rsidP="004156FB">
      <w:pPr>
        <w:pStyle w:val="BodyText"/>
        <w:ind w:left="2160" w:hanging="720"/>
      </w:pPr>
      <w:r>
        <w:t>(i)</w:t>
      </w:r>
      <w:r>
        <w:tab/>
        <w:t xml:space="preserve">A QSE may resubmit an offer for an Ancillary Service that it submitted before the </w:t>
      </w:r>
      <w:r w:rsidR="004156FB">
        <w:t>Watch</w:t>
      </w:r>
      <w:r>
        <w:t xml:space="preserve"> for the same Ancillary Service</w:t>
      </w:r>
      <w:r w:rsidR="005D4DD6">
        <w:t xml:space="preserve"> quantity block</w:t>
      </w:r>
      <w:r>
        <w:t>, but the resubmitted offer must meet the following criteria to be considered a valid offer:</w:t>
      </w:r>
    </w:p>
    <w:p w14:paraId="4B6FC2EC" w14:textId="77777777" w:rsidR="00FF2129" w:rsidRDefault="00482EF3" w:rsidP="004156FB">
      <w:pPr>
        <w:pStyle w:val="List"/>
        <w:ind w:left="2880"/>
      </w:pPr>
      <w:r>
        <w:t>(A)</w:t>
      </w:r>
      <w:r>
        <w:tab/>
        <w:t xml:space="preserve">The offer quantity may not be less than the offer quantity submitted before the </w:t>
      </w:r>
      <w:r w:rsidR="004156FB">
        <w:t>Watch</w:t>
      </w:r>
      <w:r>
        <w:t xml:space="preserve">, unless the </w:t>
      </w:r>
      <w:r w:rsidR="005D4DD6">
        <w:t>resubmitted</w:t>
      </w:r>
      <w:r>
        <w:t xml:space="preserve"> offer </w:t>
      </w:r>
      <w:r w:rsidR="005D4DD6">
        <w:t>quantity is</w:t>
      </w:r>
      <w:r>
        <w:t xml:space="preserve"> priced </w:t>
      </w:r>
      <w:r w:rsidR="005D4DD6">
        <w:t>lower</w:t>
      </w:r>
      <w:r>
        <w:t xml:space="preserve"> than the offer </w:t>
      </w:r>
      <w:r w:rsidR="005D4DD6">
        <w:t>quantity submitted before the Watch</w:t>
      </w:r>
      <w:r>
        <w:t>; and</w:t>
      </w:r>
    </w:p>
    <w:p w14:paraId="1995B4B9" w14:textId="77777777" w:rsidR="00FF2129" w:rsidRDefault="00482EF3" w:rsidP="004156FB">
      <w:pPr>
        <w:pStyle w:val="List2"/>
        <w:spacing w:after="240"/>
        <w:ind w:left="2880" w:hanging="720"/>
      </w:pPr>
      <w:r>
        <w:t>(B)</w:t>
      </w:r>
      <w:r>
        <w:tab/>
        <w:t xml:space="preserve">For the amount of the offer quantity that is </w:t>
      </w:r>
      <w:r w:rsidR="005D4DD6">
        <w:t>equal to or greater</w:t>
      </w:r>
      <w:r>
        <w:t xml:space="preserve"> than the offer quantity submitted before the </w:t>
      </w:r>
      <w:r w:rsidR="004156FB">
        <w:t>Watch</w:t>
      </w:r>
      <w:r>
        <w:t xml:space="preserve">, the offer must be </w:t>
      </w:r>
      <w:r>
        <w:lastRenderedPageBreak/>
        <w:t xml:space="preserve">priced equal to or less than the price of the offer submitted before the </w:t>
      </w:r>
      <w:r w:rsidR="004156FB">
        <w:t>Watch</w:t>
      </w:r>
      <w:r>
        <w:t xml:space="preserve">. </w:t>
      </w:r>
    </w:p>
    <w:p w14:paraId="1F42E0A5" w14:textId="77777777" w:rsidR="00FF2129" w:rsidRDefault="00482EF3" w:rsidP="004156FB">
      <w:pPr>
        <w:pStyle w:val="BodyText"/>
        <w:ind w:left="2160" w:hanging="720"/>
      </w:pPr>
      <w:r>
        <w:t>(ii)</w:t>
      </w:r>
      <w:r>
        <w:tab/>
      </w:r>
      <w:r w:rsidR="005D4DD6" w:rsidRPr="00931359">
        <w:t xml:space="preserve">A QSE may submit an offer for an additional Ancillary Service quantity block that was not submitted before the Watch. </w:t>
      </w:r>
      <w:r w:rsidR="005D4DD6">
        <w:t xml:space="preserve"> </w:t>
      </w:r>
      <w:r w:rsidR="005D4DD6" w:rsidRPr="00931359">
        <w:t xml:space="preserve">The incremental amount of the offer may be submitted at a price subject to the offer cap, provided the offer quantity of the Ancillary Service block from </w:t>
      </w:r>
      <w:r w:rsidR="005D4DD6">
        <w:t xml:space="preserve">paragraph </w:t>
      </w:r>
      <w:r w:rsidR="005D4DD6" w:rsidRPr="00931359">
        <w:t>(i)</w:t>
      </w:r>
      <w:r w:rsidR="005D4DD6">
        <w:t xml:space="preserve"> above</w:t>
      </w:r>
      <w:r w:rsidR="005D4DD6" w:rsidRPr="00931359">
        <w:t xml:space="preserve"> is not less than the offer quantity submitted before the Watch</w:t>
      </w:r>
      <w:r>
        <w:t>.</w:t>
      </w:r>
    </w:p>
    <w:p w14:paraId="63B0DFB3" w14:textId="77777777" w:rsidR="005D4DD6" w:rsidRDefault="005D4DD6" w:rsidP="005D4DD6">
      <w:pPr>
        <w:pStyle w:val="BodyText"/>
        <w:ind w:left="2160" w:hanging="720"/>
      </w:pPr>
      <w:r>
        <w:t>(iii)</w:t>
      </w:r>
      <w:r>
        <w:tab/>
      </w:r>
      <w:r w:rsidRPr="00B75328">
        <w:t xml:space="preserve">A QSE </w:t>
      </w:r>
      <w:r>
        <w:t xml:space="preserve">that did not submit an Ancillary Service Offer prior to the Watch </w:t>
      </w:r>
      <w:r w:rsidRPr="00B75328">
        <w:t>may submit a</w:t>
      </w:r>
      <w:r>
        <w:t xml:space="preserve"> new Ancillary Service O</w:t>
      </w:r>
      <w:r w:rsidRPr="00B75328">
        <w:t>ffer at a price subject to the offer cap</w:t>
      </w:r>
      <w:r>
        <w:t>.</w:t>
      </w:r>
    </w:p>
    <w:p w14:paraId="1382B3FE" w14:textId="77777777" w:rsidR="00FF2129" w:rsidRDefault="00482EF3">
      <w:pPr>
        <w:pStyle w:val="List"/>
        <w:ind w:left="1440"/>
      </w:pPr>
      <w:r>
        <w:t>(c)</w:t>
      </w:r>
      <w:r>
        <w:tab/>
        <w:t xml:space="preserve">ERCOT shall not begin executing the DAM sooner than 30 minutes after issuing the </w:t>
      </w:r>
      <w:r w:rsidR="004156FB">
        <w:t>Watch</w:t>
      </w:r>
      <w:r>
        <w:t>.  If the additional Ancillary Service Offers are still insufficient to supply the Ancillary Service required in the Day-Ahead Ancillary Service Plan</w:t>
      </w:r>
      <w:r w:rsidR="00CF7830">
        <w:t>,</w:t>
      </w:r>
      <w:r>
        <w:t xml:space="preserve"> then ERCOT shall run the DAM by reducing the Ancillary Service Plan </w:t>
      </w:r>
      <w:r>
        <w:rPr>
          <w:rStyle w:val="msoins0"/>
          <w:u w:val="none"/>
        </w:rPr>
        <w:t xml:space="preserve">quantities only for purposes of the DAM </w:t>
      </w:r>
      <w:r>
        <w:t xml:space="preserve">by the amount of insufficiency. </w:t>
      </w:r>
    </w:p>
    <w:p w14:paraId="183FC236" w14:textId="77777777" w:rsidR="00FF2129" w:rsidRDefault="00482EF3">
      <w:pPr>
        <w:pStyle w:val="List"/>
        <w:ind w:left="1440"/>
      </w:pPr>
      <w:r>
        <w:t>(d)</w:t>
      </w:r>
      <w:r>
        <w:tab/>
      </w:r>
      <w:r>
        <w:rPr>
          <w:rStyle w:val="msoins0"/>
          <w:u w:val="none"/>
        </w:rPr>
        <w:t xml:space="preserve">When ERCOT must </w:t>
      </w:r>
      <w:r>
        <w:t xml:space="preserve">reduce the Ancillary Service Plan </w:t>
      </w:r>
      <w:r>
        <w:rPr>
          <w:rStyle w:val="msoins0"/>
          <w:u w:val="none"/>
        </w:rPr>
        <w:t xml:space="preserve">for purposes of the DAM </w:t>
      </w:r>
      <w:r>
        <w:t>due to insufficient Ancillary Service Offers, ERCOT shall preserve the Ancillary Service Plan in the DAM in the following order of priority:</w:t>
      </w:r>
    </w:p>
    <w:p w14:paraId="610A482A" w14:textId="77777777" w:rsidR="00FF2129" w:rsidRDefault="00482EF3">
      <w:pPr>
        <w:pStyle w:val="List"/>
        <w:ind w:left="2160"/>
      </w:pPr>
      <w:r>
        <w:t>(i)</w:t>
      </w:r>
      <w:r>
        <w:tab/>
      </w:r>
      <w:r w:rsidR="00241DE8">
        <w:t>Regulation Up (</w:t>
      </w:r>
      <w:r>
        <w:t>Reg-Up</w:t>
      </w:r>
      <w:r w:rsidR="00241DE8">
        <w:t>)</w:t>
      </w:r>
      <w:r>
        <w:t>;</w:t>
      </w:r>
    </w:p>
    <w:p w14:paraId="627F5616" w14:textId="77777777" w:rsidR="00FF2129" w:rsidRDefault="00482EF3">
      <w:pPr>
        <w:pStyle w:val="List"/>
        <w:ind w:left="2160"/>
      </w:pPr>
      <w:r>
        <w:t>(ii)</w:t>
      </w:r>
      <w:r>
        <w:tab/>
      </w:r>
      <w:r w:rsidR="00241DE8">
        <w:t>Regulation Down (</w:t>
      </w:r>
      <w:r>
        <w:t>Reg-Down</w:t>
      </w:r>
      <w:r w:rsidR="00241DE8">
        <w:t>)</w:t>
      </w:r>
      <w:r>
        <w:t>;</w:t>
      </w:r>
    </w:p>
    <w:p w14:paraId="4A167A3C" w14:textId="729146CA" w:rsidR="00FF2129" w:rsidRDefault="00482EF3">
      <w:pPr>
        <w:pStyle w:val="List"/>
        <w:ind w:left="2160"/>
      </w:pPr>
      <w:r>
        <w:t>(iii)</w:t>
      </w:r>
      <w:r>
        <w:tab/>
      </w:r>
      <w:r w:rsidR="00241DE8">
        <w:t>Responsive Reserve (</w:t>
      </w:r>
      <w:r>
        <w:t>RRS</w:t>
      </w:r>
      <w:r w:rsidR="00241DE8">
        <w:t>)</w:t>
      </w:r>
      <w:r>
        <w:t>;</w:t>
      </w:r>
    </w:p>
    <w:p w14:paraId="2EF18EE4" w14:textId="7BB0933C" w:rsidR="00D46800" w:rsidRDefault="00D46800">
      <w:pPr>
        <w:pStyle w:val="List"/>
        <w:ind w:left="2160"/>
      </w:pPr>
      <w:r w:rsidRPr="0003648D">
        <w:t xml:space="preserve">(iv) </w:t>
      </w:r>
      <w:r w:rsidRPr="0003648D">
        <w:tab/>
      </w:r>
      <w:r>
        <w:t>ERCOT Contingency Reserve Service</w:t>
      </w:r>
      <w:r w:rsidRPr="0003648D">
        <w:rPr>
          <w:iCs/>
          <w:szCs w:val="20"/>
        </w:rPr>
        <w:t xml:space="preserve"> </w:t>
      </w:r>
      <w:r>
        <w:rPr>
          <w:iCs/>
          <w:szCs w:val="20"/>
        </w:rPr>
        <w:t>(ECRS)</w:t>
      </w:r>
      <w:r>
        <w:t>; and</w:t>
      </w:r>
    </w:p>
    <w:p w14:paraId="39C20DFF" w14:textId="6ECCA67B" w:rsidR="00FF2129" w:rsidRPr="00DF3AC4" w:rsidRDefault="00163CA7" w:rsidP="00A56EA7">
      <w:pPr>
        <w:pStyle w:val="List"/>
        <w:ind w:left="2160"/>
      </w:pPr>
      <w:r w:rsidRPr="00DF3AC4">
        <w:t>(v)</w:t>
      </w:r>
      <w:r w:rsidRPr="00DF3AC4">
        <w:tab/>
        <w:t>Non-Spin.</w:t>
      </w:r>
    </w:p>
    <w:p w14:paraId="649FD217" w14:textId="4A324E97" w:rsidR="00FF2129" w:rsidRDefault="00C852B6">
      <w:pPr>
        <w:pStyle w:val="BodyTextNumbered"/>
      </w:pPr>
      <w:r w:rsidRPr="00292125">
        <w:t>(2)</w:t>
      </w:r>
      <w:r w:rsidRPr="00292125">
        <w:tab/>
        <w:t>ERCOT shall procure the difference in capacity between the Day-Ahead Ancillary Service Plan and the DAM-reduced Ancillary Service Plan amounts using the Supplemental Ancillary Service Market (SASM) process in accordance with Section 6.4.9.2.2, SASM Clearing Process.  If the SASM process is insufficient, then ERCOT may acquire the insufficient amount of Ancillary Services from Hourly Reliability Unit Commitment (HRUC) Resources that are qualified to provide the needed Ancillary Service.  ERCOT may also issue a Watch and procure Ancillary Services in accordance with Section 6.5.9.3.3.</w:t>
      </w:r>
      <w:r w:rsidR="00482EF3">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F05358" w:rsidRPr="004B32CF" w14:paraId="298C7A4C" w14:textId="77777777" w:rsidTr="007258B7">
        <w:trPr>
          <w:trHeight w:val="386"/>
        </w:trPr>
        <w:tc>
          <w:tcPr>
            <w:tcW w:w="9350" w:type="dxa"/>
            <w:shd w:val="pct12" w:color="auto" w:fill="auto"/>
          </w:tcPr>
          <w:p w14:paraId="4C9FCD1C" w14:textId="66440CDD" w:rsidR="00F05358" w:rsidRPr="00B11AAC" w:rsidRDefault="00F05358" w:rsidP="007258B7">
            <w:pPr>
              <w:spacing w:before="120" w:after="240"/>
            </w:pPr>
            <w:bookmarkStart w:id="605" w:name="_Toc142108952"/>
            <w:bookmarkStart w:id="606" w:name="_Toc142113797"/>
            <w:bookmarkStart w:id="607" w:name="_Toc402345624"/>
            <w:bookmarkStart w:id="608" w:name="_Toc405383907"/>
            <w:bookmarkStart w:id="609" w:name="_Toc405537010"/>
            <w:bookmarkStart w:id="610" w:name="_Toc440871796"/>
            <w:r>
              <w:rPr>
                <w:b/>
                <w:i/>
                <w:iCs/>
              </w:rPr>
              <w:t>[NPRR1008:  Delete Section 4.5.2 above</w:t>
            </w:r>
            <w:r w:rsidRPr="004B32CF">
              <w:rPr>
                <w:b/>
                <w:i/>
                <w:iCs/>
              </w:rPr>
              <w:t xml:space="preserve"> upon system implementation</w:t>
            </w:r>
            <w:r>
              <w:rPr>
                <w:b/>
                <w:i/>
                <w:iCs/>
              </w:rPr>
              <w:t xml:space="preserve"> of the Real-Time Co-Optimization (RTC) project.</w:t>
            </w:r>
            <w:r w:rsidRPr="004B32CF">
              <w:rPr>
                <w:b/>
                <w:i/>
                <w:iCs/>
              </w:rPr>
              <w:t>]</w:t>
            </w:r>
          </w:p>
        </w:tc>
      </w:tr>
    </w:tbl>
    <w:p w14:paraId="624BB01E" w14:textId="77777777" w:rsidR="00FF2129" w:rsidRDefault="00482EF3" w:rsidP="002F0568">
      <w:pPr>
        <w:pStyle w:val="H3"/>
        <w:spacing w:before="480"/>
      </w:pPr>
      <w:bookmarkStart w:id="611" w:name="_Toc135990677"/>
      <w:r>
        <w:lastRenderedPageBreak/>
        <w:t>4.5.3</w:t>
      </w:r>
      <w:r>
        <w:tab/>
        <w:t>Communicating DAM Results</w:t>
      </w:r>
      <w:bookmarkStart w:id="612" w:name="_Toc90197131"/>
      <w:bookmarkStart w:id="613" w:name="_Toc92525569"/>
      <w:bookmarkStart w:id="614" w:name="_Toc92525949"/>
      <w:bookmarkStart w:id="615" w:name="_Toc92533787"/>
      <w:bookmarkEnd w:id="605"/>
      <w:bookmarkEnd w:id="606"/>
      <w:bookmarkEnd w:id="607"/>
      <w:bookmarkEnd w:id="608"/>
      <w:bookmarkEnd w:id="609"/>
      <w:bookmarkEnd w:id="610"/>
      <w:bookmarkEnd w:id="611"/>
    </w:p>
    <w:bookmarkEnd w:id="612"/>
    <w:bookmarkEnd w:id="613"/>
    <w:bookmarkEnd w:id="614"/>
    <w:bookmarkEnd w:id="615"/>
    <w:p w14:paraId="0CB06118" w14:textId="77777777" w:rsidR="00383FF4" w:rsidRPr="00E64084" w:rsidRDefault="00383FF4" w:rsidP="00383FF4">
      <w:pPr>
        <w:pStyle w:val="BodyTextNumbered"/>
      </w:pPr>
      <w:r w:rsidRPr="00E64084">
        <w:t>(1)</w:t>
      </w:r>
      <w:r w:rsidRPr="00E64084">
        <w:tab/>
        <w:t xml:space="preserve">As soon as practicable, but no later than 1330 in the Day-Ahead, ERCOT shall notify the parties to each cleared DAM transaction (e.g., the buyer and the seller) of the results of the DAM as follows: </w:t>
      </w:r>
    </w:p>
    <w:p w14:paraId="6589824D" w14:textId="77777777" w:rsidR="00383FF4" w:rsidRPr="00E64084" w:rsidRDefault="00383FF4" w:rsidP="00383FF4">
      <w:pPr>
        <w:pStyle w:val="List"/>
        <w:ind w:left="1440"/>
      </w:pPr>
      <w:r w:rsidRPr="00E64084">
        <w:t>(a)</w:t>
      </w:r>
      <w:r w:rsidRPr="00E64084">
        <w:tab/>
        <w:t>Awarded Ancillary Service Offers, specifying Resource, MW, Ancillary Service type, and price, for each hour of the awarded offer;</w:t>
      </w:r>
    </w:p>
    <w:p w14:paraId="6758A0BB" w14:textId="77777777" w:rsidR="00383FF4" w:rsidRPr="00E64084" w:rsidRDefault="00383FF4" w:rsidP="00383FF4">
      <w:pPr>
        <w:pStyle w:val="List"/>
        <w:ind w:left="1440"/>
      </w:pPr>
      <w:r w:rsidRPr="00E64084">
        <w:t>(b)</w:t>
      </w:r>
      <w:r w:rsidRPr="00E64084">
        <w:tab/>
        <w:t xml:space="preserve">Awarded </w:t>
      </w:r>
      <w:r w:rsidRPr="00F17C64">
        <w:rPr>
          <w:rStyle w:val="msoins0"/>
          <w:u w:val="none"/>
        </w:rPr>
        <w:t>energy offers from Three-Part Supply Offers and from</w:t>
      </w:r>
      <w:r w:rsidRPr="00F17C64">
        <w:t xml:space="preserve"> DAM Energy-Only Offers, specifying </w:t>
      </w:r>
      <w:r w:rsidRPr="00F17C64">
        <w:rPr>
          <w:rStyle w:val="msoins0"/>
          <w:u w:val="none"/>
        </w:rPr>
        <w:t>Resource (except for DAM Energy-Only Offers),</w:t>
      </w:r>
      <w:r w:rsidRPr="00E64084">
        <w:t xml:space="preserve"> MWh, Settlement Point, and Settlement Point Price, for each hour of the awarded offer;</w:t>
      </w:r>
    </w:p>
    <w:p w14:paraId="4E1B2131" w14:textId="77777777" w:rsidR="00383FF4" w:rsidRPr="00E64084" w:rsidRDefault="00383FF4" w:rsidP="00383FF4">
      <w:pPr>
        <w:pStyle w:val="List"/>
        <w:ind w:left="1440"/>
      </w:pPr>
      <w:r w:rsidRPr="00E64084">
        <w:t>(c)</w:t>
      </w:r>
      <w:r w:rsidRPr="00E64084">
        <w:tab/>
        <w:t xml:space="preserve">Awarded DAM Energy Bids, specifying MWh, Settlement Point, and Settlement Point Price for each hour of the awarded bid; </w:t>
      </w:r>
      <w:r w:rsidR="008E3F61">
        <w:t>and</w:t>
      </w:r>
    </w:p>
    <w:p w14:paraId="01D526ED" w14:textId="77777777" w:rsidR="00383FF4" w:rsidRPr="00E64084" w:rsidRDefault="00383FF4" w:rsidP="00383FF4">
      <w:pPr>
        <w:pStyle w:val="List"/>
        <w:ind w:left="1440"/>
      </w:pPr>
      <w:r w:rsidRPr="00E64084">
        <w:t>(</w:t>
      </w:r>
      <w:r w:rsidR="000C362C">
        <w:t>d</w:t>
      </w:r>
      <w:r w:rsidRPr="00E64084">
        <w:t>)</w:t>
      </w:r>
      <w:r w:rsidRPr="00E64084">
        <w:tab/>
        <w:t>Awarded PTP Obligation Bids, number of PTP Obligations in MW, source and sink Settlement Points, and price for each Settlement Interval of the awarded bid.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F05358" w:rsidRPr="004B32CF" w14:paraId="0A4ED435" w14:textId="77777777" w:rsidTr="00F05358">
        <w:trPr>
          <w:trHeight w:val="386"/>
        </w:trPr>
        <w:tc>
          <w:tcPr>
            <w:tcW w:w="9350" w:type="dxa"/>
            <w:shd w:val="pct12" w:color="auto" w:fill="auto"/>
          </w:tcPr>
          <w:p w14:paraId="11CA6812" w14:textId="7DBB0989" w:rsidR="00F05358" w:rsidRPr="004B32CF" w:rsidRDefault="00F05358" w:rsidP="007258B7">
            <w:pPr>
              <w:spacing w:before="120" w:after="240"/>
              <w:rPr>
                <w:b/>
                <w:i/>
                <w:iCs/>
              </w:rPr>
            </w:pPr>
            <w:r>
              <w:rPr>
                <w:b/>
                <w:i/>
                <w:iCs/>
              </w:rPr>
              <w:t>[NPRR1008</w:t>
            </w:r>
            <w:r w:rsidR="00EF5F32">
              <w:rPr>
                <w:b/>
                <w:i/>
                <w:iCs/>
              </w:rPr>
              <w:t xml:space="preserve"> and NPRR1014</w:t>
            </w:r>
            <w:r>
              <w:rPr>
                <w:b/>
                <w:i/>
                <w:iCs/>
              </w:rPr>
              <w:t xml:space="preserve">:  Replace </w:t>
            </w:r>
            <w:r w:rsidR="00EF5F32">
              <w:rPr>
                <w:b/>
                <w:i/>
                <w:iCs/>
              </w:rPr>
              <w:t xml:space="preserve">applicable portions of </w:t>
            </w:r>
            <w:r>
              <w:rPr>
                <w:b/>
                <w:i/>
                <w:iCs/>
              </w:rPr>
              <w:t>paragraph (1</w:t>
            </w:r>
            <w:r w:rsidRPr="004B32CF">
              <w:rPr>
                <w:b/>
                <w:i/>
                <w:iCs/>
              </w:rPr>
              <w:t>) above with the following upon system implementation</w:t>
            </w:r>
            <w:r>
              <w:rPr>
                <w:b/>
                <w:i/>
                <w:iCs/>
              </w:rPr>
              <w:t xml:space="preserve"> of the Real-Time Co-Optimization (RTC) project</w:t>
            </w:r>
            <w:r w:rsidR="00EF5F32">
              <w:rPr>
                <w:b/>
                <w:i/>
                <w:iCs/>
              </w:rPr>
              <w:t xml:space="preserve"> for NPRR1008; or upon system implementation</w:t>
            </w:r>
            <w:r w:rsidR="00E30EAB">
              <w:rPr>
                <w:b/>
                <w:i/>
                <w:iCs/>
              </w:rPr>
              <w:t xml:space="preserve"> for </w:t>
            </w:r>
            <w:r w:rsidR="00EF5F32">
              <w:rPr>
                <w:b/>
                <w:i/>
                <w:iCs/>
              </w:rPr>
              <w:t>NPRR1014</w:t>
            </w:r>
            <w:r w:rsidRPr="004B32CF">
              <w:rPr>
                <w:b/>
                <w:i/>
                <w:iCs/>
              </w:rPr>
              <w:t>:]</w:t>
            </w:r>
          </w:p>
          <w:p w14:paraId="444A6A00" w14:textId="77777777" w:rsidR="00F05358" w:rsidRPr="00E64084" w:rsidRDefault="00F05358" w:rsidP="00F05358">
            <w:pPr>
              <w:pStyle w:val="BodyTextNumbered"/>
            </w:pPr>
            <w:r w:rsidRPr="00E64084">
              <w:t>(1)</w:t>
            </w:r>
            <w:r w:rsidRPr="00E64084">
              <w:tab/>
              <w:t xml:space="preserve">As soon as practicable, but no later than 1330 in the Day-Ahead, ERCOT shall notify the parties to each cleared DAM transaction (e.g., the buyer and the seller) of the results of the DAM as follows: </w:t>
            </w:r>
          </w:p>
          <w:p w14:paraId="75D16A86" w14:textId="77777777" w:rsidR="00F05358" w:rsidRDefault="00F05358" w:rsidP="00F05358">
            <w:pPr>
              <w:pStyle w:val="List"/>
              <w:ind w:left="1440"/>
            </w:pPr>
            <w:r w:rsidRPr="00E64084">
              <w:t>(a)</w:t>
            </w:r>
            <w:r w:rsidRPr="00E64084">
              <w:tab/>
              <w:t xml:space="preserve">Awarded </w:t>
            </w:r>
            <w:r>
              <w:rPr>
                <w:iCs/>
              </w:rPr>
              <w:t>Resource-Specific</w:t>
            </w:r>
            <w:r w:rsidRPr="00931359">
              <w:rPr>
                <w:iCs/>
              </w:rPr>
              <w:t xml:space="preserve"> </w:t>
            </w:r>
            <w:r w:rsidRPr="00E64084">
              <w:t>Ancillary Service Offers, specifying Resource, MW, Ancillary Service type, and price, for each hour of the awarded offer;</w:t>
            </w:r>
          </w:p>
          <w:p w14:paraId="7DF08AE4" w14:textId="77777777" w:rsidR="00F05358" w:rsidRPr="00E64084" w:rsidRDefault="00F05358" w:rsidP="00F05358">
            <w:pPr>
              <w:pStyle w:val="List"/>
              <w:ind w:left="1440"/>
            </w:pPr>
            <w:r>
              <w:t>(b)</w:t>
            </w:r>
            <w:r>
              <w:tab/>
              <w:t>Awarded Ancillary Service Only Offers, specifying MW, Ancillary Service type, and price, for each hour of the awarded offer;</w:t>
            </w:r>
          </w:p>
          <w:p w14:paraId="100D428B" w14:textId="77777777" w:rsidR="00F05358" w:rsidRPr="00E64084" w:rsidRDefault="00F05358" w:rsidP="00F05358">
            <w:pPr>
              <w:pStyle w:val="List"/>
              <w:ind w:left="1440"/>
            </w:pPr>
            <w:r w:rsidRPr="00E64084">
              <w:t>(</w:t>
            </w:r>
            <w:r>
              <w:t>c</w:t>
            </w:r>
            <w:r w:rsidRPr="00E64084">
              <w:t>)</w:t>
            </w:r>
            <w:r w:rsidRPr="00E64084">
              <w:tab/>
              <w:t xml:space="preserve">Awarded </w:t>
            </w:r>
            <w:r w:rsidRPr="00F17C64">
              <w:rPr>
                <w:rStyle w:val="msoins0"/>
                <w:u w:val="none"/>
              </w:rPr>
              <w:t>energy offers from Three-Part Supply Offers and from</w:t>
            </w:r>
            <w:r w:rsidRPr="00F17C64">
              <w:t xml:space="preserve"> DAM Energy-Only Offers, specifying </w:t>
            </w:r>
            <w:r w:rsidRPr="00F17C64">
              <w:rPr>
                <w:rStyle w:val="msoins0"/>
                <w:u w:val="none"/>
              </w:rPr>
              <w:t>Resource (except for DAM Energy-Only Offers),</w:t>
            </w:r>
            <w:r w:rsidRPr="00E64084">
              <w:t xml:space="preserve"> MWh, Settlement Point, and Settlement Point Price, for each hour of the awarded offer;</w:t>
            </w:r>
          </w:p>
          <w:p w14:paraId="67BE8FC2" w14:textId="77077576" w:rsidR="00F05358" w:rsidRPr="00E64084" w:rsidRDefault="00F05358" w:rsidP="00F05358">
            <w:pPr>
              <w:pStyle w:val="List"/>
              <w:ind w:left="1440"/>
            </w:pPr>
            <w:r w:rsidRPr="00E64084">
              <w:t>(</w:t>
            </w:r>
            <w:r>
              <w:t>d</w:t>
            </w:r>
            <w:r w:rsidRPr="00E64084">
              <w:t>)</w:t>
            </w:r>
            <w:r w:rsidRPr="00E64084">
              <w:tab/>
              <w:t xml:space="preserve">Awarded DAM Energy Bids, specifying MWh, Settlement Point, and Settlement Point Price for each hour of the awarded bid; </w:t>
            </w:r>
          </w:p>
          <w:p w14:paraId="07C387DD" w14:textId="77777777" w:rsidR="00EF5F32" w:rsidRPr="00A552C3" w:rsidRDefault="00EF5F32" w:rsidP="00EF5F32">
            <w:pPr>
              <w:pStyle w:val="List"/>
              <w:ind w:left="1440"/>
            </w:pPr>
            <w:r w:rsidRPr="00A552C3">
              <w:t>(e)</w:t>
            </w:r>
            <w:r w:rsidRPr="00A552C3">
              <w:tab/>
              <w:t>Awarded Energy Bid/Offer Curves, specifying Resource, MWh, Settlement Point, and Settlement Point Price, for each hour of the awarded bid/offer; and</w:t>
            </w:r>
          </w:p>
          <w:p w14:paraId="0149E124" w14:textId="5E0AAF40" w:rsidR="00F05358" w:rsidRPr="004B32CF" w:rsidRDefault="00EF5F32" w:rsidP="00EF5F32">
            <w:pPr>
              <w:pStyle w:val="List"/>
              <w:ind w:left="1440"/>
            </w:pPr>
            <w:r w:rsidRPr="00A552C3">
              <w:lastRenderedPageBreak/>
              <w:t>(f)</w:t>
            </w:r>
            <w:r w:rsidRPr="00A552C3">
              <w:tab/>
              <w:t>Awarded PTP Obligation Bids, number of PTP Obligations in MW, source and sink Settlement Points, and price for each Settleme</w:t>
            </w:r>
            <w:r>
              <w:t>nt Interval of the awarded bid.</w:t>
            </w:r>
          </w:p>
        </w:tc>
      </w:tr>
    </w:tbl>
    <w:p w14:paraId="69430891" w14:textId="22CD9DAF" w:rsidR="00383FF4" w:rsidRPr="00E64084" w:rsidRDefault="00383FF4" w:rsidP="00F539C2">
      <w:pPr>
        <w:pStyle w:val="BodyTextNumbered"/>
        <w:spacing w:before="240"/>
      </w:pPr>
      <w:r w:rsidRPr="00E64084">
        <w:lastRenderedPageBreak/>
        <w:t>(2)</w:t>
      </w:r>
      <w:r w:rsidRPr="00E64084">
        <w:tab/>
        <w:t xml:space="preserve">As soon as practicable, but no later than 1330, ERCOT shall post on the </w:t>
      </w:r>
      <w:r w:rsidR="002310C0">
        <w:rPr>
          <w:iCs w:val="0"/>
          <w:szCs w:val="20"/>
        </w:rPr>
        <w:t>ERCOT website</w:t>
      </w:r>
      <w:r w:rsidRPr="00E64084">
        <w:t xml:space="preserve"> the hourly:</w:t>
      </w:r>
    </w:p>
    <w:p w14:paraId="4BACA4E7" w14:textId="77777777" w:rsidR="00383FF4" w:rsidRPr="00E64084" w:rsidRDefault="00383FF4" w:rsidP="00383FF4">
      <w:pPr>
        <w:pStyle w:val="List"/>
        <w:ind w:left="1440"/>
      </w:pPr>
      <w:r w:rsidRPr="00E64084">
        <w:t>(a)</w:t>
      </w:r>
      <w:r w:rsidRPr="00E64084">
        <w:tab/>
        <w:t>Day-Ahead MCPC for each type of Ancillary Service for each hour of the Operating Day;</w:t>
      </w:r>
    </w:p>
    <w:p w14:paraId="393F16EC" w14:textId="77777777" w:rsidR="00383FF4" w:rsidRPr="00E64084" w:rsidRDefault="00383FF4" w:rsidP="00383FF4">
      <w:pPr>
        <w:pStyle w:val="List"/>
        <w:ind w:left="1440"/>
      </w:pPr>
      <w:r w:rsidRPr="00E64084">
        <w:t>(b)</w:t>
      </w:r>
      <w:r w:rsidRPr="00E64084">
        <w:tab/>
      </w:r>
      <w:r>
        <w:t xml:space="preserve">DASPPs </w:t>
      </w:r>
      <w:r w:rsidRPr="00E64084">
        <w:t xml:space="preserve">for each Settlement Point for each hour of the Operating Day; </w:t>
      </w:r>
    </w:p>
    <w:p w14:paraId="445F2FE1" w14:textId="77777777" w:rsidR="00383FF4" w:rsidRPr="00E64084" w:rsidRDefault="00383FF4" w:rsidP="00383FF4">
      <w:pPr>
        <w:pStyle w:val="List"/>
        <w:ind w:left="1440"/>
      </w:pPr>
      <w:r w:rsidRPr="00E64084">
        <w:t>(c)</w:t>
      </w:r>
      <w:r w:rsidRPr="00E64084">
        <w:tab/>
        <w:t>Day-Ahead hourly LMPs for each Electrical Bus for each hour of the Operating Day;</w:t>
      </w:r>
    </w:p>
    <w:p w14:paraId="12BCA3E8" w14:textId="77777777" w:rsidR="00383FF4" w:rsidRPr="00E64084" w:rsidRDefault="00383FF4" w:rsidP="00383FF4">
      <w:pPr>
        <w:pStyle w:val="List"/>
        <w:ind w:left="1440"/>
      </w:pPr>
      <w:r w:rsidRPr="00E64084">
        <w:t>(d)</w:t>
      </w:r>
      <w:r w:rsidRPr="00E64084">
        <w:tab/>
        <w:t xml:space="preserve">Shadow Prices for every binding constraint for each hour of the Operating Day; </w:t>
      </w:r>
    </w:p>
    <w:p w14:paraId="69E8B499" w14:textId="77777777" w:rsidR="00383FF4" w:rsidRPr="00E64084" w:rsidRDefault="00383FF4" w:rsidP="00383FF4">
      <w:pPr>
        <w:pStyle w:val="List"/>
        <w:ind w:left="1440"/>
      </w:pPr>
      <w:r w:rsidRPr="00E64084">
        <w:t>(e)</w:t>
      </w:r>
      <w:r w:rsidRPr="00E64084">
        <w:tab/>
        <w:t>Quantity of total Ancillary Service Offers received in the DAM, in MW by Ancillary Service type for each hour of the Operating Day;</w:t>
      </w:r>
    </w:p>
    <w:p w14:paraId="1F655010" w14:textId="77777777" w:rsidR="000C362C" w:rsidRPr="00E64084" w:rsidRDefault="000C362C" w:rsidP="000C362C">
      <w:pPr>
        <w:pStyle w:val="List"/>
        <w:ind w:left="1440"/>
      </w:pPr>
      <w:r>
        <w:t>(f)</w:t>
      </w:r>
      <w:r>
        <w:tab/>
        <w:t>E</w:t>
      </w:r>
      <w:r w:rsidRPr="00E64084">
        <w:t>nergy bought in the DAM consisting of the following:</w:t>
      </w:r>
    </w:p>
    <w:p w14:paraId="0CBD40AB" w14:textId="77777777" w:rsidR="000C362C" w:rsidRPr="00E64084" w:rsidRDefault="000C362C" w:rsidP="000C362C">
      <w:pPr>
        <w:pStyle w:val="List"/>
        <w:ind w:left="2160"/>
      </w:pPr>
      <w:r w:rsidRPr="00E64084">
        <w:t>(i)</w:t>
      </w:r>
      <w:r w:rsidRPr="00E64084">
        <w:tab/>
        <w:t xml:space="preserve">The total quantity of awarded DAM Energy Bids (in MWh) bought in the DAM at each Settlement Point for each hour of the Operating Day; </w:t>
      </w:r>
      <w:r>
        <w:t>and</w:t>
      </w:r>
    </w:p>
    <w:p w14:paraId="5366A534" w14:textId="77777777" w:rsidR="000C362C" w:rsidRPr="00E64084" w:rsidRDefault="000C362C" w:rsidP="000C362C">
      <w:pPr>
        <w:pStyle w:val="List"/>
        <w:ind w:left="2160"/>
      </w:pPr>
      <w:r w:rsidRPr="00E64084">
        <w:t>(ii)</w:t>
      </w:r>
      <w:r w:rsidRPr="00E64084">
        <w:tab/>
        <w:t>The total quantity of awarded PTP Obligation Bids (in MWh) cleared in the DAM that sink at each Settlement Point for each hour of the Operating Day</w:t>
      </w:r>
      <w:r>
        <w:t xml:space="preserve">. </w:t>
      </w:r>
    </w:p>
    <w:p w14:paraId="23DCA7DD" w14:textId="77777777" w:rsidR="000C362C" w:rsidRPr="00E64084" w:rsidRDefault="000C362C" w:rsidP="000C362C">
      <w:pPr>
        <w:pStyle w:val="List"/>
        <w:ind w:left="1440"/>
      </w:pPr>
      <w:r>
        <w:t>(g)</w:t>
      </w:r>
      <w:r>
        <w:tab/>
        <w:t>E</w:t>
      </w:r>
      <w:r w:rsidRPr="00E64084">
        <w:t>nergy sold in the DAM consisting of the following:</w:t>
      </w:r>
    </w:p>
    <w:p w14:paraId="6320994F" w14:textId="77777777" w:rsidR="000C362C" w:rsidRPr="00E64084" w:rsidRDefault="000C362C" w:rsidP="000C362C">
      <w:pPr>
        <w:pStyle w:val="List"/>
        <w:ind w:left="2160"/>
      </w:pPr>
      <w:r w:rsidRPr="00E64084">
        <w:t>(i)</w:t>
      </w:r>
      <w:r w:rsidRPr="00E64084">
        <w:tab/>
        <w:t>The total quantity of awarded DAM Energy Offers (in MWh), from Three-Part Supply Offers and DAM Energy Only Offers, bought in the DAM at each Settlement Point for each hour of the Operating Day;</w:t>
      </w:r>
      <w:r>
        <w:t xml:space="preserve"> and</w:t>
      </w:r>
    </w:p>
    <w:p w14:paraId="74A6453C" w14:textId="77777777" w:rsidR="00383FF4" w:rsidRDefault="000C362C" w:rsidP="00383FF4">
      <w:pPr>
        <w:pStyle w:val="List"/>
        <w:ind w:left="2160"/>
      </w:pPr>
      <w:r w:rsidRPr="00E64084">
        <w:t>(ii)</w:t>
      </w:r>
      <w:r w:rsidRPr="00E64084">
        <w:tab/>
        <w:t>The total quantity of awarded PTP Obligation Bids (in MWh) cleared in the DAM that source at each Settlement Point for each hour of the Operating Day</w:t>
      </w:r>
      <w:r>
        <w:t>.</w:t>
      </w:r>
      <w:r w:rsidR="00383FF4">
        <w:t xml:space="preserve"> </w:t>
      </w:r>
    </w:p>
    <w:p w14:paraId="29BB1153" w14:textId="77777777" w:rsidR="00383FF4" w:rsidRDefault="00383FF4">
      <w:pPr>
        <w:pStyle w:val="List"/>
        <w:ind w:left="1440"/>
      </w:pPr>
      <w:r w:rsidRPr="00E64084">
        <w:t>(h)</w:t>
      </w:r>
      <w:r w:rsidRPr="00E64084">
        <w:tab/>
        <w:t xml:space="preserve">Aggregated Ancillary Service Offer Curve </w:t>
      </w:r>
      <w:r w:rsidRPr="00F17C64">
        <w:rPr>
          <w:rStyle w:val="msoins0"/>
          <w:u w:val="none"/>
        </w:rPr>
        <w:t>of all Ancillary Service Offers</w:t>
      </w:r>
      <w:r w:rsidRPr="00F17C64">
        <w:t xml:space="preserve"> </w:t>
      </w:r>
      <w:r w:rsidRPr="00E64084">
        <w:t>for each type of Ancillary Service for each hour of the Operating Day</w:t>
      </w:r>
      <w:r w:rsidR="00A45A3D">
        <w:t xml:space="preserve">; </w:t>
      </w:r>
    </w:p>
    <w:p w14:paraId="089460D1" w14:textId="77777777" w:rsidR="00306A05" w:rsidRDefault="00306A05" w:rsidP="000C396A">
      <w:pPr>
        <w:pStyle w:val="List"/>
        <w:ind w:left="1440"/>
      </w:pPr>
      <w:r>
        <w:t>(i)</w:t>
      </w:r>
      <w:r>
        <w:tab/>
        <w:t xml:space="preserve">Electrically Similar Settlement Points used during the DAM clearing process; and </w:t>
      </w:r>
    </w:p>
    <w:p w14:paraId="3F52E63A" w14:textId="77777777" w:rsidR="00A45A3D" w:rsidRDefault="00A45A3D" w:rsidP="00A45A3D">
      <w:pPr>
        <w:pStyle w:val="BodyTextNumbered"/>
        <w:ind w:left="1440"/>
      </w:pPr>
      <w:r>
        <w:t>(</w:t>
      </w:r>
      <w:r w:rsidR="00306A05">
        <w:t>j</w:t>
      </w:r>
      <w:r>
        <w:t>)</w:t>
      </w:r>
      <w:r>
        <w:tab/>
        <w:t>Settlement Points that were de-energized in the base case</w:t>
      </w:r>
      <w:r w:rsidR="00DC3362">
        <w:t>; and</w:t>
      </w:r>
    </w:p>
    <w:p w14:paraId="6A5710AA" w14:textId="77777777" w:rsidR="004F1285" w:rsidRDefault="004F1285" w:rsidP="00A45A3D">
      <w:pPr>
        <w:pStyle w:val="BodyTextNumbered"/>
        <w:ind w:left="1440"/>
      </w:pPr>
      <w:r>
        <w:t>(k)</w:t>
      </w:r>
      <w:r>
        <w:tab/>
        <w:t>System Lambda.</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F05358" w:rsidRPr="004B32CF" w14:paraId="09DF147A" w14:textId="77777777" w:rsidTr="007258B7">
        <w:trPr>
          <w:trHeight w:val="386"/>
        </w:trPr>
        <w:tc>
          <w:tcPr>
            <w:tcW w:w="9350" w:type="dxa"/>
            <w:shd w:val="pct12" w:color="auto" w:fill="auto"/>
          </w:tcPr>
          <w:p w14:paraId="4E62C043" w14:textId="68961392" w:rsidR="00F05358" w:rsidRPr="004B32CF" w:rsidRDefault="00F05358" w:rsidP="007258B7">
            <w:pPr>
              <w:spacing w:before="120" w:after="240"/>
              <w:rPr>
                <w:b/>
                <w:i/>
                <w:iCs/>
              </w:rPr>
            </w:pPr>
            <w:r>
              <w:rPr>
                <w:b/>
                <w:i/>
                <w:iCs/>
              </w:rPr>
              <w:lastRenderedPageBreak/>
              <w:t>[NPRR1008</w:t>
            </w:r>
            <w:r w:rsidR="00EF5F32">
              <w:rPr>
                <w:b/>
                <w:i/>
                <w:iCs/>
              </w:rPr>
              <w:t xml:space="preserve"> and NPRR1014</w:t>
            </w:r>
            <w:r>
              <w:rPr>
                <w:b/>
                <w:i/>
                <w:iCs/>
              </w:rPr>
              <w:t xml:space="preserve">:  Replace </w:t>
            </w:r>
            <w:r w:rsidR="00EF5F32">
              <w:rPr>
                <w:b/>
                <w:i/>
                <w:iCs/>
              </w:rPr>
              <w:t xml:space="preserve">applicable portions of </w:t>
            </w:r>
            <w:r>
              <w:rPr>
                <w:b/>
                <w:i/>
                <w:iCs/>
              </w:rPr>
              <w:t>paragraph (2</w:t>
            </w:r>
            <w:r w:rsidRPr="004B32CF">
              <w:rPr>
                <w:b/>
                <w:i/>
                <w:iCs/>
              </w:rPr>
              <w:t>) above with the following upon system implementation</w:t>
            </w:r>
            <w:r>
              <w:rPr>
                <w:b/>
                <w:i/>
                <w:iCs/>
              </w:rPr>
              <w:t xml:space="preserve"> of the Real-Time Co-Optimization (RTC) project</w:t>
            </w:r>
            <w:r w:rsidR="00EF5F32">
              <w:rPr>
                <w:b/>
                <w:i/>
                <w:iCs/>
              </w:rPr>
              <w:t xml:space="preserve"> for NPRR1008; or upon system implementation</w:t>
            </w:r>
            <w:r w:rsidR="00E30EAB">
              <w:rPr>
                <w:b/>
                <w:i/>
                <w:iCs/>
              </w:rPr>
              <w:t xml:space="preserve"> for </w:t>
            </w:r>
            <w:r w:rsidR="00EF5F32">
              <w:rPr>
                <w:b/>
                <w:i/>
                <w:iCs/>
              </w:rPr>
              <w:t>NPRR1014</w:t>
            </w:r>
            <w:r w:rsidRPr="004B32CF">
              <w:rPr>
                <w:b/>
                <w:i/>
                <w:iCs/>
              </w:rPr>
              <w:t>:]</w:t>
            </w:r>
          </w:p>
          <w:p w14:paraId="092E983D" w14:textId="6DCDB9FF" w:rsidR="00F05358" w:rsidRPr="00E64084" w:rsidRDefault="00F05358" w:rsidP="00F05358">
            <w:pPr>
              <w:pStyle w:val="BodyTextNumbered"/>
            </w:pPr>
            <w:r w:rsidRPr="00E64084">
              <w:t>(2)</w:t>
            </w:r>
            <w:r w:rsidRPr="00E64084">
              <w:tab/>
              <w:t xml:space="preserve">As soon as practicable, but no later than 1330, ERCOT shall post on the </w:t>
            </w:r>
            <w:r w:rsidR="002310C0">
              <w:rPr>
                <w:iCs w:val="0"/>
                <w:szCs w:val="20"/>
              </w:rPr>
              <w:t>ERCOT website</w:t>
            </w:r>
            <w:r w:rsidRPr="00E64084">
              <w:t xml:space="preserve"> the hourly:</w:t>
            </w:r>
          </w:p>
          <w:p w14:paraId="5B92FFD3" w14:textId="77777777" w:rsidR="00F05358" w:rsidRPr="00E64084" w:rsidRDefault="00F05358" w:rsidP="00F05358">
            <w:pPr>
              <w:pStyle w:val="List"/>
              <w:ind w:left="1440"/>
            </w:pPr>
            <w:r w:rsidRPr="00E64084">
              <w:t>(a)</w:t>
            </w:r>
            <w:r w:rsidRPr="00E64084">
              <w:tab/>
              <w:t>Day-Ahead MCPC for each type of Ancillary Service for each hour of the Operating Day;</w:t>
            </w:r>
          </w:p>
          <w:p w14:paraId="316D2D2D" w14:textId="77777777" w:rsidR="00F05358" w:rsidRPr="00E64084" w:rsidRDefault="00F05358" w:rsidP="00F05358">
            <w:pPr>
              <w:pStyle w:val="List"/>
              <w:ind w:left="1440"/>
            </w:pPr>
            <w:r w:rsidRPr="00E64084">
              <w:t>(b)</w:t>
            </w:r>
            <w:r w:rsidRPr="00E64084">
              <w:tab/>
            </w:r>
            <w:r>
              <w:t xml:space="preserve">DASPPs </w:t>
            </w:r>
            <w:r w:rsidRPr="00E64084">
              <w:t xml:space="preserve">for each Settlement Point for each hour of the Operating Day; </w:t>
            </w:r>
          </w:p>
          <w:p w14:paraId="446AE3ED" w14:textId="77777777" w:rsidR="00F05358" w:rsidRPr="00E64084" w:rsidRDefault="00F05358" w:rsidP="00F05358">
            <w:pPr>
              <w:pStyle w:val="List"/>
              <w:ind w:left="1440"/>
            </w:pPr>
            <w:r w:rsidRPr="00E64084">
              <w:t>(c)</w:t>
            </w:r>
            <w:r w:rsidRPr="00E64084">
              <w:tab/>
              <w:t>Day-Ahead hourly LMPs for each Electrical Bus for each hour of the Operating Day;</w:t>
            </w:r>
          </w:p>
          <w:p w14:paraId="53B6C700" w14:textId="77777777" w:rsidR="00F05358" w:rsidRPr="00E64084" w:rsidRDefault="00F05358" w:rsidP="00F05358">
            <w:pPr>
              <w:pStyle w:val="List"/>
              <w:ind w:left="1440"/>
            </w:pPr>
            <w:r w:rsidRPr="00E64084">
              <w:t>(d)</w:t>
            </w:r>
            <w:r w:rsidRPr="00E64084">
              <w:tab/>
              <w:t xml:space="preserve">Shadow Prices for every binding constraint for each hour of the Operating Day; </w:t>
            </w:r>
          </w:p>
          <w:p w14:paraId="25FD24EA" w14:textId="77777777" w:rsidR="00F05358" w:rsidRPr="00E64084" w:rsidRDefault="00F05358" w:rsidP="00F05358">
            <w:pPr>
              <w:pStyle w:val="List"/>
              <w:ind w:left="1440"/>
            </w:pPr>
            <w:r>
              <w:t>(e)</w:t>
            </w:r>
            <w:r>
              <w:tab/>
              <w:t>E</w:t>
            </w:r>
            <w:r w:rsidRPr="00E64084">
              <w:t>nergy bought in the DAM consisting of the following:</w:t>
            </w:r>
          </w:p>
          <w:p w14:paraId="7B7DFDA5" w14:textId="712D89EE" w:rsidR="00F05358" w:rsidRPr="00E64084" w:rsidRDefault="00F05358" w:rsidP="00F05358">
            <w:pPr>
              <w:pStyle w:val="List"/>
              <w:ind w:left="2160"/>
            </w:pPr>
            <w:r w:rsidRPr="00E64084">
              <w:t>(i)</w:t>
            </w:r>
            <w:r w:rsidRPr="00E64084">
              <w:tab/>
              <w:t>The total quantity of awarded DAM Energy Bids (in MWh) bought in the DAM at each Settlement Point for each hour of the Operating Day;</w:t>
            </w:r>
          </w:p>
          <w:p w14:paraId="411BC958" w14:textId="77777777" w:rsidR="00EF5F32" w:rsidRPr="00A552C3" w:rsidRDefault="00F05358" w:rsidP="00EF5F32">
            <w:pPr>
              <w:pStyle w:val="List"/>
              <w:ind w:left="2160"/>
            </w:pPr>
            <w:r w:rsidRPr="00E64084">
              <w:t>(ii)</w:t>
            </w:r>
            <w:r w:rsidRPr="00E64084">
              <w:tab/>
              <w:t>The total quantity of awarded PTP Obligation Bids (in MWh) cleared in the DAM that sink at each Settlement Point for each hour of the Operating Day</w:t>
            </w:r>
            <w:r w:rsidR="00EF5F32" w:rsidRPr="00A552C3">
              <w:t>; and</w:t>
            </w:r>
          </w:p>
          <w:p w14:paraId="2B789E93" w14:textId="66128D04" w:rsidR="00F05358" w:rsidRPr="00E64084" w:rsidRDefault="00EF5F32" w:rsidP="00EF5F32">
            <w:pPr>
              <w:pStyle w:val="List"/>
              <w:ind w:left="2160"/>
            </w:pPr>
            <w:r w:rsidRPr="00A552C3">
              <w:t>(iii)</w:t>
            </w:r>
            <w:r w:rsidRPr="00A552C3">
              <w:tab/>
              <w:t>The total absolute value quantity of awards to bid portions of Energy Bid/Offer Curves (in MWh) cleared in the DAM at each Settlement Point for each hour of the Operating Day</w:t>
            </w:r>
            <w:r>
              <w:t>.</w:t>
            </w:r>
          </w:p>
          <w:p w14:paraId="4D683C27" w14:textId="77777777" w:rsidR="00F05358" w:rsidRPr="00E64084" w:rsidRDefault="00F05358" w:rsidP="00F05358">
            <w:pPr>
              <w:pStyle w:val="List"/>
              <w:ind w:left="1440"/>
            </w:pPr>
            <w:r>
              <w:t>(f)</w:t>
            </w:r>
            <w:r>
              <w:tab/>
              <w:t>E</w:t>
            </w:r>
            <w:r w:rsidRPr="00E64084">
              <w:t>nergy sold in the DAM consisting of the following:</w:t>
            </w:r>
          </w:p>
          <w:p w14:paraId="32D87A56" w14:textId="314A3BB4" w:rsidR="00F05358" w:rsidRPr="00E64084" w:rsidRDefault="00F05358" w:rsidP="00F05358">
            <w:pPr>
              <w:pStyle w:val="List"/>
              <w:ind w:left="2160"/>
            </w:pPr>
            <w:r w:rsidRPr="00E64084">
              <w:t>(i)</w:t>
            </w:r>
            <w:r w:rsidRPr="00E64084">
              <w:tab/>
              <w:t>The total quantity of awarded DAM Energy Offers (in MWh), from Three-Part Supply Offers and DAM Energy Only Offers, bought in the DAM at each Settlement Point for each hour of the Operating Day;</w:t>
            </w:r>
          </w:p>
          <w:p w14:paraId="5067AF9F" w14:textId="77777777" w:rsidR="00EF5F32" w:rsidRPr="00A552C3" w:rsidRDefault="00F05358" w:rsidP="00EF5F32">
            <w:pPr>
              <w:pStyle w:val="List"/>
              <w:ind w:left="2160"/>
            </w:pPr>
            <w:r w:rsidRPr="00E64084">
              <w:t>(ii)</w:t>
            </w:r>
            <w:r w:rsidRPr="00E64084">
              <w:tab/>
              <w:t>The total quantity of awarded PTP Obligation Bids (in MWh) cleared in the DAM that source at each Settlement Point for each hour of the Operating Day</w:t>
            </w:r>
            <w:r w:rsidR="00EF5F32" w:rsidRPr="00A552C3">
              <w:t>; and</w:t>
            </w:r>
          </w:p>
          <w:p w14:paraId="35DA0ABC" w14:textId="5F1C94FE" w:rsidR="00F05358" w:rsidRDefault="00EF5F32" w:rsidP="00EF5F32">
            <w:pPr>
              <w:pStyle w:val="List"/>
              <w:ind w:left="2160"/>
            </w:pPr>
            <w:r w:rsidRPr="00A552C3">
              <w:t>(iii)</w:t>
            </w:r>
            <w:r w:rsidRPr="00A552C3">
              <w:tab/>
              <w:t>The total quantity of awards to offer portions of Energy Bid/Offer Curves (in MWh) cleared in the DAM at each Settlement Point for each hour of the Operating Day</w:t>
            </w:r>
            <w:r>
              <w:t>.</w:t>
            </w:r>
          </w:p>
          <w:p w14:paraId="08DAB1CE" w14:textId="77777777" w:rsidR="00F05358" w:rsidRDefault="00F05358" w:rsidP="00F05358">
            <w:pPr>
              <w:pStyle w:val="List"/>
              <w:ind w:left="1440"/>
            </w:pPr>
            <w:r w:rsidRPr="00E64084">
              <w:t>(</w:t>
            </w:r>
            <w:r>
              <w:t>g</w:t>
            </w:r>
            <w:r w:rsidRPr="00E64084">
              <w:t>)</w:t>
            </w:r>
            <w:r w:rsidRPr="00E64084">
              <w:tab/>
              <w:t xml:space="preserve">Aggregated Ancillary Service Offer Curve </w:t>
            </w:r>
            <w:r w:rsidRPr="00F17C64">
              <w:rPr>
                <w:rStyle w:val="msoins0"/>
                <w:u w:val="none"/>
              </w:rPr>
              <w:t>of all Ancillary Service Offers</w:t>
            </w:r>
            <w:r w:rsidRPr="00F17C64">
              <w:t xml:space="preserve"> </w:t>
            </w:r>
            <w:r>
              <w:t xml:space="preserve">(including both Resource-Specific Ancillary Service Offers and Ancillary </w:t>
            </w:r>
            <w:r>
              <w:lastRenderedPageBreak/>
              <w:t xml:space="preserve">Service Only Offers) </w:t>
            </w:r>
            <w:r w:rsidRPr="00E64084">
              <w:t>for each type of Ancillary Service for each hour of the Operating Day</w:t>
            </w:r>
            <w:r>
              <w:t xml:space="preserve">; </w:t>
            </w:r>
          </w:p>
          <w:p w14:paraId="48E3E7B4" w14:textId="59754232" w:rsidR="00F05358" w:rsidRDefault="00F05358" w:rsidP="00F05358">
            <w:pPr>
              <w:pStyle w:val="List"/>
              <w:ind w:left="1440"/>
            </w:pPr>
            <w:r>
              <w:t>(h)</w:t>
            </w:r>
            <w:r>
              <w:tab/>
              <w:t xml:space="preserve">Electrically Similar Settlement Points used during the DAM clearing process; </w:t>
            </w:r>
          </w:p>
          <w:p w14:paraId="6A3CC33F" w14:textId="77777777" w:rsidR="00F05358" w:rsidRDefault="00F05358" w:rsidP="00F05358">
            <w:pPr>
              <w:pStyle w:val="BodyTextNumbered"/>
              <w:ind w:left="1440"/>
            </w:pPr>
            <w:r>
              <w:t>(i)</w:t>
            </w:r>
            <w:r>
              <w:tab/>
              <w:t xml:space="preserve">Settlement Points that were de-energized in the base case; </w:t>
            </w:r>
          </w:p>
          <w:p w14:paraId="381B4671" w14:textId="77777777" w:rsidR="00F05358" w:rsidRDefault="00F05358" w:rsidP="00F05358">
            <w:pPr>
              <w:pStyle w:val="BodyTextNumbered"/>
              <w:ind w:left="1440"/>
            </w:pPr>
            <w:r>
              <w:t>(j)</w:t>
            </w:r>
            <w:r>
              <w:tab/>
              <w:t>System Lambda; and</w:t>
            </w:r>
          </w:p>
          <w:p w14:paraId="68EDE7B6" w14:textId="756DB796" w:rsidR="00F05358" w:rsidRPr="004B32CF" w:rsidRDefault="00F05358" w:rsidP="00F05358">
            <w:pPr>
              <w:pStyle w:val="BodyTextNumbered"/>
              <w:ind w:left="1440"/>
            </w:pPr>
            <w:r>
              <w:t xml:space="preserve">(k) </w:t>
            </w:r>
            <w:r>
              <w:tab/>
              <w:t xml:space="preserve">Ancillary Services sold in the DAM consisting of the total quantity of awarded </w:t>
            </w:r>
            <w:r>
              <w:rPr>
                <w:iCs w:val="0"/>
              </w:rPr>
              <w:t>Resource-Specific</w:t>
            </w:r>
            <w:r w:rsidRPr="00931359">
              <w:rPr>
                <w:iCs w:val="0"/>
              </w:rPr>
              <w:t xml:space="preserve"> </w:t>
            </w:r>
            <w:r>
              <w:t>Ancillary Service Offers and Ancillary Service Only Offers, for each Ancillary Service for each hour of the Operating Day.</w:t>
            </w:r>
          </w:p>
        </w:tc>
      </w:tr>
    </w:tbl>
    <w:p w14:paraId="2927428B" w14:textId="6BC49059" w:rsidR="00383FF4" w:rsidRDefault="00383FF4" w:rsidP="00F539C2">
      <w:pPr>
        <w:pStyle w:val="BodyTextNumbered"/>
        <w:spacing w:before="240"/>
      </w:pPr>
      <w:r w:rsidRPr="00E64084">
        <w:lastRenderedPageBreak/>
        <w:t>(3)</w:t>
      </w:r>
      <w:r w:rsidRPr="00E64084">
        <w:tab/>
        <w:t>ERCOT shall monitor Day-Ahead MCPCs and Day-Ahead hourly LMPs for errors and if there are conditions that cause the price to be questionable, ERCOT shall notify all Market Participants that the DAM prices are under investigation as soon as practicable.</w:t>
      </w:r>
    </w:p>
    <w:p w14:paraId="6230A0D7" w14:textId="12C5DD4D" w:rsidR="001967D6" w:rsidRPr="008E7488" w:rsidRDefault="001967D6" w:rsidP="001967D6">
      <w:pPr>
        <w:pStyle w:val="BodyTextNumbered"/>
      </w:pPr>
      <w:r w:rsidRPr="008E7488">
        <w:t>(4)</w:t>
      </w:r>
      <w:r w:rsidRPr="008E7488">
        <w:tab/>
      </w:r>
      <w:r w:rsidR="006914DE" w:rsidRPr="008E7488">
        <w:t xml:space="preserve">ERCOT shall correct prices </w:t>
      </w:r>
      <w:r w:rsidR="006914DE">
        <w:t xml:space="preserve">for an Operating Day </w:t>
      </w:r>
      <w:r w:rsidR="006914DE" w:rsidRPr="008E7488">
        <w:t>when a market solution is determined to be invalid or invalid prices are identified in an otherwise valid market solution, accurate prices can be determined</w:t>
      </w:r>
      <w:r w:rsidR="006914DE">
        <w:t>, and the impact of the price correction is significant</w:t>
      </w:r>
      <w:r w:rsidR="006914DE" w:rsidRPr="008E7488">
        <w:t>.  The following are some reasons that may cause</w:t>
      </w:r>
      <w:r w:rsidR="006914DE">
        <w:t xml:space="preserve"> an invalid market solution or invalid prices in a valid market solution</w:t>
      </w:r>
      <w:r w:rsidRPr="008E7488">
        <w:t>.</w:t>
      </w:r>
    </w:p>
    <w:p w14:paraId="7E9749D8" w14:textId="0601E560" w:rsidR="001967D6" w:rsidRPr="008E7488" w:rsidRDefault="001967D6" w:rsidP="00B518B2">
      <w:pPr>
        <w:pStyle w:val="BodyTextNumbered"/>
        <w:ind w:left="1440"/>
      </w:pPr>
      <w:r w:rsidRPr="008E7488">
        <w:t>(a)</w:t>
      </w:r>
      <w:r w:rsidRPr="008E7488">
        <w:tab/>
        <w:t>Data Input error:  Missing, incomplete, or incorrect versions of one or more data elements input to the DAM application may result in an invalid market solution and/or prices.</w:t>
      </w:r>
    </w:p>
    <w:p w14:paraId="0CF8D956" w14:textId="77777777" w:rsidR="001967D6" w:rsidRPr="008E7488" w:rsidRDefault="001967D6" w:rsidP="001967D6">
      <w:pPr>
        <w:pStyle w:val="BodyTextNumbered"/>
        <w:ind w:left="1440"/>
      </w:pPr>
      <w:r w:rsidRPr="008E7488">
        <w:t>(b)</w:t>
      </w:r>
      <w:r w:rsidRPr="008E7488">
        <w:tab/>
        <w:t>Software error:  Pricing errors may occur due to software implementation errors in DAM pre-processing, DAM clearing process, and/or DAM post processing.</w:t>
      </w:r>
    </w:p>
    <w:p w14:paraId="41B66114" w14:textId="77777777" w:rsidR="001967D6" w:rsidRDefault="001967D6" w:rsidP="00DA3021">
      <w:pPr>
        <w:pStyle w:val="BodyTextNumbered"/>
        <w:ind w:left="1440"/>
      </w:pPr>
      <w:r w:rsidRPr="001967D6">
        <w:rPr>
          <w:iCs w:val="0"/>
        </w:rPr>
        <w:t>(c)</w:t>
      </w:r>
      <w:r w:rsidRPr="008E7488">
        <w:tab/>
        <w:t>Inconsistency with these Protocols or the Public Utility Commission of Texas (PUCT) Substantive Rules:  Pricing errors may occur when specific circumstances result in prices that are in conflict with such Protocol language or the PUCT Substantive Rules.</w:t>
      </w:r>
    </w:p>
    <w:p w14:paraId="54CE5883" w14:textId="77777777" w:rsidR="006914DE" w:rsidRPr="009224B6" w:rsidRDefault="006914DE" w:rsidP="006914DE">
      <w:pPr>
        <w:spacing w:after="240"/>
        <w:ind w:left="720" w:hanging="720"/>
        <w:rPr>
          <w:iCs/>
        </w:rPr>
      </w:pPr>
      <w:r w:rsidRPr="009224B6">
        <w:rPr>
          <w:iCs/>
        </w:rPr>
        <w:t>(5)</w:t>
      </w:r>
      <w:r w:rsidRPr="009224B6">
        <w:rPr>
          <w:iCs/>
        </w:rPr>
        <w:tab/>
        <w:t>For purposes of a price correction performed prior to 1000 on the second Business Day after the Operating Day, the impact of a price correction is considered significant, as that term is used in paragraph (4)</w:t>
      </w:r>
      <w:r>
        <w:rPr>
          <w:iCs/>
        </w:rPr>
        <w:t xml:space="preserve"> above</w:t>
      </w:r>
      <w:r w:rsidRPr="009224B6">
        <w:rPr>
          <w:iCs/>
        </w:rPr>
        <w:t>, for the Operating Day when:</w:t>
      </w:r>
    </w:p>
    <w:p w14:paraId="0B268E08" w14:textId="77777777" w:rsidR="006914DE" w:rsidRPr="009224B6" w:rsidRDefault="006914DE" w:rsidP="006914DE">
      <w:pPr>
        <w:spacing w:after="240"/>
        <w:ind w:left="1440" w:hanging="720"/>
        <w:rPr>
          <w:iCs/>
        </w:rPr>
      </w:pPr>
      <w:r w:rsidRPr="009224B6">
        <w:t>(a)</w:t>
      </w:r>
      <w:r w:rsidRPr="009224B6">
        <w:rPr>
          <w:iCs/>
        </w:rPr>
        <w:tab/>
        <w:t xml:space="preserve">The absolute value change to any single </w:t>
      </w:r>
      <w:r w:rsidRPr="00074574">
        <w:rPr>
          <w:iCs/>
        </w:rPr>
        <w:t>DAM</w:t>
      </w:r>
      <w:r>
        <w:rPr>
          <w:iCs/>
        </w:rPr>
        <w:t xml:space="preserve"> Settlement Point Price at</w:t>
      </w:r>
      <w:r w:rsidRPr="009224B6">
        <w:rPr>
          <w:iCs/>
        </w:rPr>
        <w:t xml:space="preserve"> a Resource Node or Day-Ahead MCPC is greater than $0.05/MWh;</w:t>
      </w:r>
    </w:p>
    <w:p w14:paraId="612386B8" w14:textId="77777777" w:rsidR="006914DE" w:rsidRPr="009224B6" w:rsidRDefault="006914DE" w:rsidP="006914DE">
      <w:pPr>
        <w:spacing w:after="240"/>
        <w:ind w:left="1440" w:hanging="720"/>
        <w:rPr>
          <w:iCs/>
        </w:rPr>
      </w:pPr>
      <w:r w:rsidRPr="009224B6">
        <w:rPr>
          <w:iCs/>
        </w:rPr>
        <w:t xml:space="preserve">(b)       The price correction would require ERCOT to change more than </w:t>
      </w:r>
      <w:r>
        <w:rPr>
          <w:iCs/>
        </w:rPr>
        <w:t xml:space="preserve">ten </w:t>
      </w:r>
      <w:r w:rsidRPr="00074574">
        <w:rPr>
          <w:iCs/>
        </w:rPr>
        <w:t>DAM</w:t>
      </w:r>
      <w:r w:rsidRPr="009224B6">
        <w:rPr>
          <w:iCs/>
        </w:rPr>
        <w:t xml:space="preserve"> Settlement Point Prices and Day-Ahead </w:t>
      </w:r>
      <w:r w:rsidRPr="00641F69">
        <w:rPr>
          <w:iCs/>
        </w:rPr>
        <w:t>MCPC</w:t>
      </w:r>
      <w:r w:rsidRPr="009224B6">
        <w:rPr>
          <w:iCs/>
        </w:rPr>
        <w:t>s; or</w:t>
      </w:r>
    </w:p>
    <w:p w14:paraId="25B967C3" w14:textId="2AF43B6E" w:rsidR="006914DE" w:rsidRPr="00E64084" w:rsidRDefault="006914DE" w:rsidP="006914DE">
      <w:pPr>
        <w:pStyle w:val="BodyTextNumbered"/>
        <w:ind w:left="1440"/>
      </w:pPr>
      <w:r w:rsidRPr="00566900">
        <w:t>(c)       The absolute value change to a</w:t>
      </w:r>
      <w:r>
        <w:t>ny DAM Settlement Point Price at</w:t>
      </w:r>
      <w:r w:rsidRPr="00566900">
        <w:t xml:space="preserve"> a </w:t>
      </w:r>
      <w:r w:rsidRPr="00641F69">
        <w:t>Load Zone or Hub</w:t>
      </w:r>
      <w:r w:rsidRPr="00566900">
        <w:t xml:space="preserve"> is greater than $0.02/MWh.</w:t>
      </w:r>
    </w:p>
    <w:p w14:paraId="6F137D2A" w14:textId="4BC77E81" w:rsidR="006914DE" w:rsidRDefault="00383FF4" w:rsidP="006914DE">
      <w:pPr>
        <w:pStyle w:val="BodyTextNumbered"/>
      </w:pPr>
      <w:r w:rsidRPr="00E64084">
        <w:lastRenderedPageBreak/>
        <w:t>(</w:t>
      </w:r>
      <w:r w:rsidR="006914DE">
        <w:t>6</w:t>
      </w:r>
      <w:r w:rsidRPr="00E64084">
        <w:t>)</w:t>
      </w:r>
      <w:r w:rsidRPr="00E64084">
        <w:tab/>
      </w:r>
      <w:r w:rsidR="006914DE" w:rsidRPr="00E64084">
        <w:t xml:space="preserve">All DAM LMPs, MCPCs, and Settlement Point Prices are final at 1000 of the </w:t>
      </w:r>
      <w:r w:rsidR="006914DE">
        <w:t>second</w:t>
      </w:r>
      <w:r w:rsidR="006914DE" w:rsidRPr="00E64084">
        <w:t xml:space="preserve"> Business Day after the Operating Day.</w:t>
      </w:r>
    </w:p>
    <w:p w14:paraId="59B5B62F" w14:textId="77777777" w:rsidR="006914DE" w:rsidRDefault="006914DE" w:rsidP="006914DE">
      <w:pPr>
        <w:pStyle w:val="BodyTextNumbered"/>
        <w:ind w:left="1440"/>
      </w:pPr>
      <w:r w:rsidRPr="008E7488">
        <w:t>(a)</w:t>
      </w:r>
      <w:r w:rsidRPr="008E7488">
        <w:tab/>
        <w:t xml:space="preserve">However, after DAM LMPs, MCPCs, and Settlement Point Prices are final, if ERCOT determines that prices </w:t>
      </w:r>
      <w:r>
        <w:t xml:space="preserve">qualify for a correction pursuant to paragraph (4) above </w:t>
      </w:r>
      <w:r w:rsidRPr="008E7488">
        <w:t xml:space="preserve">and </w:t>
      </w:r>
      <w:r>
        <w:t>that ERCOT will seek</w:t>
      </w:r>
      <w:r w:rsidRPr="008E7488">
        <w:t xml:space="preserve"> ERCOT Board review of such prices, it shall notify Market Participants and describe the need for such correction as soon as practicable but no later than 30 days after the Operating Day.  Failure to notify Market Participants within this timeline precludes the ERCOT Board from reviewing such prices.</w:t>
      </w:r>
      <w:r>
        <w:t xml:space="preserve">  However, nothing in this section shall be understood to limit or otherwise inhibit any of the following:</w:t>
      </w:r>
    </w:p>
    <w:p w14:paraId="2B1B01B7" w14:textId="77777777" w:rsidR="006914DE" w:rsidRDefault="006914DE" w:rsidP="006914DE">
      <w:pPr>
        <w:pStyle w:val="BodyTextNumbered"/>
        <w:ind w:left="2160"/>
      </w:pPr>
      <w:r>
        <w:t>(i)</w:t>
      </w:r>
      <w:r>
        <w:tab/>
        <w:t xml:space="preserve">ERCOT’s duty to inform the PUCT of potential or actual violations of the ERCOT Protocols or PUCT Rules and its right to request that the PUCT authorize correction of any prices that may have been affected by such potential or actual violations; </w:t>
      </w:r>
    </w:p>
    <w:p w14:paraId="461D9EC0" w14:textId="77777777" w:rsidR="006914DE" w:rsidRDefault="006914DE" w:rsidP="006914DE">
      <w:pPr>
        <w:pStyle w:val="BodyTextNumbered"/>
        <w:ind w:left="2160"/>
      </w:pPr>
      <w:r>
        <w:t>(ii)</w:t>
      </w:r>
      <w:r>
        <w:tab/>
        <w:t>The PUCT’s authority to order price corrections when permitted to do so under other law; or</w:t>
      </w:r>
    </w:p>
    <w:p w14:paraId="795FFA59" w14:textId="005A19D7" w:rsidR="006914DE" w:rsidRPr="008E7488" w:rsidRDefault="006914DE" w:rsidP="006914DE">
      <w:pPr>
        <w:pStyle w:val="BodyTextNumbered"/>
        <w:ind w:left="2160"/>
      </w:pPr>
      <w:r>
        <w:t>(iii)</w:t>
      </w:r>
      <w:r>
        <w:tab/>
        <w:t>ERCOT’s authority to grant relief to a Market Participant pursuant to the timelines specified in Section 20, Alternative Dispute Resolution Procedure.</w:t>
      </w:r>
    </w:p>
    <w:p w14:paraId="721416EC" w14:textId="26F224E8" w:rsidR="006914DE" w:rsidRDefault="006914DE" w:rsidP="006914DE">
      <w:pPr>
        <w:pStyle w:val="BodyTextNumbered"/>
        <w:ind w:left="1440"/>
        <w:rPr>
          <w:iCs w:val="0"/>
        </w:rPr>
      </w:pPr>
      <w:r w:rsidRPr="009224B6">
        <w:rPr>
          <w:iCs w:val="0"/>
        </w:rPr>
        <w:t>(b)</w:t>
      </w:r>
      <w:r w:rsidRPr="009224B6">
        <w:rPr>
          <w:iCs w:val="0"/>
        </w:rPr>
        <w:tab/>
        <w:t xml:space="preserve">Before seeking ERCOT Board review of prices, ERCOT will determine </w:t>
      </w:r>
      <w:r>
        <w:rPr>
          <w:iCs w:val="0"/>
        </w:rPr>
        <w:t>if</w:t>
      </w:r>
      <w:r w:rsidRPr="009224B6">
        <w:rPr>
          <w:iCs w:val="0"/>
        </w:rPr>
        <w:t xml:space="preserve"> the impact of the price correction is significant, as that term is used in paragraph (4)</w:t>
      </w:r>
      <w:r>
        <w:rPr>
          <w:iCs w:val="0"/>
        </w:rPr>
        <w:t xml:space="preserve"> above</w:t>
      </w:r>
      <w:r w:rsidRPr="009224B6">
        <w:rPr>
          <w:iCs w:val="0"/>
        </w:rPr>
        <w:t xml:space="preserve">, by calculating the potential changes to the </w:t>
      </w:r>
      <w:r w:rsidRPr="00805B0A">
        <w:rPr>
          <w:iCs w:val="0"/>
        </w:rPr>
        <w:t>DAM Settlement Statement(s)</w:t>
      </w:r>
      <w:r w:rsidRPr="009224B6">
        <w:rPr>
          <w:iCs w:val="0"/>
        </w:rPr>
        <w:t xml:space="preserve"> of any Counter-Party on the given Operating Day. </w:t>
      </w:r>
      <w:r>
        <w:rPr>
          <w:iCs w:val="0"/>
        </w:rPr>
        <w:t xml:space="preserve"> </w:t>
      </w:r>
      <w:r w:rsidRPr="009224B6">
        <w:rPr>
          <w:iCs w:val="0"/>
        </w:rPr>
        <w:t xml:space="preserve">ERCOT shall seek ERCOT Board review of prices if the change in </w:t>
      </w:r>
      <w:r w:rsidR="00E27A96">
        <w:rPr>
          <w:iCs w:val="0"/>
        </w:rPr>
        <w:t>DAM Settlement Statement</w:t>
      </w:r>
      <w:r w:rsidRPr="00805B0A">
        <w:rPr>
          <w:iCs w:val="0"/>
        </w:rPr>
        <w:t>(s)</w:t>
      </w:r>
      <w:r>
        <w:rPr>
          <w:iCs w:val="0"/>
        </w:rPr>
        <w:t xml:space="preserve"> </w:t>
      </w:r>
      <w:r w:rsidRPr="009224B6">
        <w:rPr>
          <w:iCs w:val="0"/>
        </w:rPr>
        <w:t>would result in the absolute value impact to any single Counter-Party</w:t>
      </w:r>
      <w:r>
        <w:rPr>
          <w:iCs w:val="0"/>
        </w:rPr>
        <w:t>,</w:t>
      </w:r>
      <w:r>
        <w:t xml:space="preserve"> based on the sum of all original </w:t>
      </w:r>
      <w:r w:rsidRPr="00805B0A">
        <w:t>DAM Settlement Statement</w:t>
      </w:r>
      <w:r>
        <w:t xml:space="preserve"> amounts of Market Participants assigned to the Counter-Party,</w:t>
      </w:r>
      <w:r w:rsidRPr="009224B6">
        <w:rPr>
          <w:iCs w:val="0"/>
        </w:rPr>
        <w:t xml:space="preserve"> to be greater than</w:t>
      </w:r>
      <w:r>
        <w:rPr>
          <w:iCs w:val="0"/>
        </w:rPr>
        <w:t>:</w:t>
      </w:r>
    </w:p>
    <w:p w14:paraId="07C05FD6" w14:textId="77777777" w:rsidR="006914DE" w:rsidRDefault="006914DE" w:rsidP="006914DE">
      <w:pPr>
        <w:pStyle w:val="BodyTextNumbered"/>
        <w:ind w:left="2160"/>
      </w:pPr>
      <w:r w:rsidRPr="00D84FC1">
        <w:t>(i)</w:t>
      </w:r>
      <w:r w:rsidRPr="00D84FC1">
        <w:tab/>
        <w:t xml:space="preserve">2% and also greater than </w:t>
      </w:r>
      <w:r>
        <w:t>$20,000; or</w:t>
      </w:r>
    </w:p>
    <w:p w14:paraId="7A295135" w14:textId="77777777" w:rsidR="006914DE" w:rsidRDefault="006914DE" w:rsidP="006914DE">
      <w:pPr>
        <w:pStyle w:val="BodyTextNumbered"/>
        <w:ind w:left="2160"/>
      </w:pPr>
      <w:r>
        <w:t>(ii)</w:t>
      </w:r>
      <w:r>
        <w:tab/>
        <w:t>20% and also greater than $2,000</w:t>
      </w:r>
      <w:r w:rsidRPr="00D84FC1">
        <w:t>.</w:t>
      </w:r>
      <w:r w:rsidRPr="008E7488">
        <w:t xml:space="preserve"> </w:t>
      </w:r>
    </w:p>
    <w:p w14:paraId="1E1D4E80" w14:textId="77777777" w:rsidR="006914DE" w:rsidRPr="008E7488" w:rsidRDefault="006914DE" w:rsidP="006914DE">
      <w:pPr>
        <w:pStyle w:val="BodyTextNumbered"/>
        <w:ind w:left="1440"/>
      </w:pPr>
      <w:r w:rsidRPr="008E7488">
        <w:t>(</w:t>
      </w:r>
      <w:r>
        <w:t>c</w:t>
      </w:r>
      <w:r w:rsidRPr="008E7488">
        <w:t>)</w:t>
      </w:r>
      <w:r w:rsidRPr="008E7488">
        <w:tab/>
        <w:t xml:space="preserve">The ERCOT Board may review and change DAM LMPs, MCPCs, or Settlement Point Prices if ERCOT gave timely notice to Market Participants and the ERCOT Board finds that such prices </w:t>
      </w:r>
      <w:r>
        <w:t>should be corrected for an Operating Day</w:t>
      </w:r>
      <w:r w:rsidRPr="008E7488">
        <w:t>.</w:t>
      </w:r>
    </w:p>
    <w:p w14:paraId="3A72E07F" w14:textId="6E39ED0B" w:rsidR="00383FF4" w:rsidRDefault="006914DE" w:rsidP="00DA3021">
      <w:pPr>
        <w:pStyle w:val="BodyTextNumbered"/>
        <w:ind w:left="1440"/>
      </w:pPr>
      <w:r w:rsidRPr="008E7488">
        <w:t>(</w:t>
      </w:r>
      <w:r>
        <w:t>d</w:t>
      </w:r>
      <w:r w:rsidRPr="008E7488">
        <w:t>)</w:t>
      </w:r>
      <w:r w:rsidRPr="008E7488">
        <w:tab/>
        <w:t xml:space="preserve">In review of DAM LMPs, MCPCs, or Settlement Point Prices, the ERCOT Board may rely on the same reasons identified in paragraph (4) above to find that the prices </w:t>
      </w:r>
      <w:r>
        <w:t>should be corrected for an Operating Day</w:t>
      </w:r>
      <w:r w:rsidRPr="008E7488">
        <w:t>.</w:t>
      </w:r>
    </w:p>
    <w:p w14:paraId="641B2BB8" w14:textId="3F47B4B5" w:rsidR="00EC5548" w:rsidRDefault="00EC5548" w:rsidP="00B518B2">
      <w:pPr>
        <w:pStyle w:val="BodyTextNumbered"/>
      </w:pPr>
      <w:r>
        <w:t>(</w:t>
      </w:r>
      <w:r w:rsidR="006914DE">
        <w:t>7</w:t>
      </w:r>
      <w:r>
        <w:t>)</w:t>
      </w:r>
      <w:r>
        <w:tab/>
        <w:t xml:space="preserve">As soon as practicable, but no later than 1330, </w:t>
      </w:r>
      <w:r w:rsidRPr="00C90ECA">
        <w:t>ERCOT shall make available the Day</w:t>
      </w:r>
      <w:r>
        <w:t>-</w:t>
      </w:r>
      <w:r w:rsidRPr="00C90ECA">
        <w:t xml:space="preserve">Ahead Shift Factors for binding constraints in the DAM and post to the </w:t>
      </w:r>
      <w:r w:rsidR="00D2747C">
        <w:t>Market Information System (</w:t>
      </w:r>
      <w:r w:rsidRPr="00C90ECA">
        <w:t>MIS</w:t>
      </w:r>
      <w:r w:rsidR="00D2747C">
        <w:t>)</w:t>
      </w:r>
      <w:r w:rsidRPr="00C90ECA">
        <w:t xml:space="preserve"> </w:t>
      </w:r>
      <w:r>
        <w:t>Secure A</w:t>
      </w:r>
      <w:r w:rsidRPr="00C90ECA">
        <w:t>rea.</w:t>
      </w:r>
    </w:p>
    <w:p w14:paraId="01692BE8" w14:textId="77777777" w:rsidR="006C0FB2" w:rsidRDefault="00482EF3" w:rsidP="00003B06">
      <w:pPr>
        <w:pStyle w:val="H2"/>
        <w:numPr>
          <w:ilvl w:val="0"/>
          <w:numId w:val="0"/>
        </w:numPr>
        <w:spacing w:before="480"/>
      </w:pPr>
      <w:bookmarkStart w:id="616" w:name="_Toc142108953"/>
      <w:bookmarkStart w:id="617" w:name="_Toc142113798"/>
      <w:bookmarkStart w:id="618" w:name="_Toc402345625"/>
      <w:bookmarkStart w:id="619" w:name="_Toc405383908"/>
      <w:bookmarkStart w:id="620" w:name="_Toc405537011"/>
      <w:bookmarkStart w:id="621" w:name="_Toc440871797"/>
      <w:bookmarkStart w:id="622" w:name="_Toc135990678"/>
      <w:r>
        <w:lastRenderedPageBreak/>
        <w:t>4.6</w:t>
      </w:r>
      <w:r>
        <w:tab/>
        <w:t>DAM Settlement</w:t>
      </w:r>
      <w:bookmarkEnd w:id="616"/>
      <w:bookmarkEnd w:id="617"/>
      <w:bookmarkEnd w:id="618"/>
      <w:bookmarkEnd w:id="619"/>
      <w:bookmarkEnd w:id="620"/>
      <w:bookmarkEnd w:id="621"/>
      <w:bookmarkEnd w:id="622"/>
    </w:p>
    <w:p w14:paraId="3AC612A3" w14:textId="77777777" w:rsidR="00FF2129" w:rsidRDefault="00482EF3" w:rsidP="00003B06">
      <w:pPr>
        <w:pStyle w:val="H3"/>
        <w:spacing w:before="480"/>
      </w:pPr>
      <w:bookmarkStart w:id="623" w:name="_Toc109185124"/>
      <w:bookmarkStart w:id="624" w:name="_Toc142108954"/>
      <w:bookmarkStart w:id="625" w:name="_Toc142113799"/>
      <w:bookmarkStart w:id="626" w:name="_Toc402345626"/>
      <w:bookmarkStart w:id="627" w:name="_Toc405383909"/>
      <w:bookmarkStart w:id="628" w:name="_Toc405537012"/>
      <w:bookmarkStart w:id="629" w:name="_Toc440871798"/>
      <w:bookmarkStart w:id="630" w:name="_Toc135990679"/>
      <w:bookmarkStart w:id="631" w:name="_Toc73282795"/>
      <w:bookmarkStart w:id="632" w:name="_Toc73868379"/>
      <w:bookmarkStart w:id="633" w:name="_Toc75852528"/>
      <w:bookmarkStart w:id="634" w:name="_Toc90197133"/>
      <w:r>
        <w:t>4.6.1</w:t>
      </w:r>
      <w:r>
        <w:tab/>
        <w:t>Day-Ahead Settlement Point Prices</w:t>
      </w:r>
      <w:bookmarkEnd w:id="623"/>
      <w:bookmarkEnd w:id="624"/>
      <w:bookmarkEnd w:id="625"/>
      <w:bookmarkEnd w:id="626"/>
      <w:bookmarkEnd w:id="627"/>
      <w:bookmarkEnd w:id="628"/>
      <w:bookmarkEnd w:id="629"/>
      <w:bookmarkEnd w:id="630"/>
    </w:p>
    <w:p w14:paraId="5BC5C943" w14:textId="4E50FBCF" w:rsidR="00D075CD" w:rsidRPr="00D075CD" w:rsidRDefault="00EE47EB" w:rsidP="00E30EAB">
      <w:pPr>
        <w:pStyle w:val="H4"/>
        <w:spacing w:before="0"/>
        <w:ind w:left="720" w:hanging="720"/>
        <w:outlineLvl w:val="9"/>
        <w:rPr>
          <w:b w:val="0"/>
        </w:rPr>
      </w:pPr>
      <w:bookmarkStart w:id="635" w:name="_Toc109185125"/>
      <w:bookmarkStart w:id="636" w:name="_Toc142108955"/>
      <w:bookmarkStart w:id="637" w:name="_Toc142113800"/>
      <w:r>
        <w:rPr>
          <w:b w:val="0"/>
        </w:rPr>
        <w:t>(1)</w:t>
      </w:r>
      <w:r>
        <w:rPr>
          <w:b w:val="0"/>
        </w:rPr>
        <w:tab/>
      </w:r>
      <w:r w:rsidR="00D075CD" w:rsidRPr="00D075CD">
        <w:rPr>
          <w:b w:val="0"/>
        </w:rPr>
        <w:t>The Day-Ahead Settlement Point Price (DASPP) calculations are described in this Section for Resource Nodes, Load Zones, Hubs, and logical Resource Nodes.</w:t>
      </w:r>
    </w:p>
    <w:p w14:paraId="4DC6F0AC" w14:textId="74120C94" w:rsidR="00FF2129" w:rsidRDefault="00482EF3" w:rsidP="00CB0B4E">
      <w:pPr>
        <w:pStyle w:val="H4"/>
      </w:pPr>
      <w:bookmarkStart w:id="638" w:name="_Toc402345627"/>
      <w:bookmarkStart w:id="639" w:name="_Toc405383910"/>
      <w:bookmarkStart w:id="640" w:name="_Toc405537013"/>
      <w:bookmarkStart w:id="641" w:name="_Toc440871799"/>
      <w:bookmarkStart w:id="642" w:name="_Toc135990680"/>
      <w:r>
        <w:t>4.6.1.1</w:t>
      </w:r>
      <w:r>
        <w:tab/>
        <w:t>Day-Ahead Settlement Point Prices for Resource Nodes</w:t>
      </w:r>
      <w:bookmarkEnd w:id="635"/>
      <w:bookmarkEnd w:id="636"/>
      <w:bookmarkEnd w:id="637"/>
      <w:bookmarkEnd w:id="638"/>
      <w:bookmarkEnd w:id="639"/>
      <w:bookmarkEnd w:id="640"/>
      <w:bookmarkEnd w:id="641"/>
      <w:bookmarkEnd w:id="642"/>
    </w:p>
    <w:p w14:paraId="640BCE73" w14:textId="77777777" w:rsidR="00FF2129" w:rsidRDefault="00EE47EB" w:rsidP="00FA6269">
      <w:pPr>
        <w:pStyle w:val="BodyText"/>
        <w:ind w:left="720" w:hanging="720"/>
      </w:pPr>
      <w:r>
        <w:t>(1)</w:t>
      </w:r>
      <w:r>
        <w:tab/>
      </w:r>
      <w:r w:rsidR="00482EF3">
        <w:t xml:space="preserve">The DASPP for a Resource Node Settlement Point for an hour is the Locational Marginal Price (LMP) at that Resource Node for that hour as calculated in the Day-Ahead Market (DAM) process.  </w:t>
      </w:r>
    </w:p>
    <w:p w14:paraId="33FBF50F" w14:textId="77777777" w:rsidR="00FF2129" w:rsidRDefault="00482EF3" w:rsidP="00003B06">
      <w:pPr>
        <w:pStyle w:val="H4"/>
        <w:spacing w:before="480"/>
        <w:ind w:left="1267" w:hanging="1267"/>
      </w:pPr>
      <w:bookmarkStart w:id="643" w:name="_Toc109185126"/>
      <w:bookmarkStart w:id="644" w:name="_Toc142108956"/>
      <w:bookmarkStart w:id="645" w:name="_Toc142113801"/>
      <w:bookmarkStart w:id="646" w:name="_Toc402345628"/>
      <w:bookmarkStart w:id="647" w:name="_Toc405383911"/>
      <w:bookmarkStart w:id="648" w:name="_Toc405537014"/>
      <w:bookmarkStart w:id="649" w:name="_Toc440871800"/>
      <w:bookmarkStart w:id="650" w:name="_Toc135990681"/>
      <w:r>
        <w:t>4.6.1.2</w:t>
      </w:r>
      <w:r>
        <w:tab/>
        <w:t>Day-Ahead Settlement Point Prices for Load Zones</w:t>
      </w:r>
      <w:bookmarkEnd w:id="643"/>
      <w:bookmarkEnd w:id="644"/>
      <w:bookmarkEnd w:id="645"/>
      <w:bookmarkEnd w:id="646"/>
      <w:bookmarkEnd w:id="647"/>
      <w:bookmarkEnd w:id="648"/>
      <w:bookmarkEnd w:id="649"/>
      <w:bookmarkEnd w:id="650"/>
    </w:p>
    <w:p w14:paraId="63F50DC6" w14:textId="77777777" w:rsidR="00FF2129" w:rsidRDefault="00EE47EB" w:rsidP="00FA6269">
      <w:pPr>
        <w:pStyle w:val="BodyText"/>
        <w:ind w:left="720" w:hanging="720"/>
      </w:pPr>
      <w:r>
        <w:t>(1)</w:t>
      </w:r>
      <w:r>
        <w:tab/>
      </w:r>
      <w:r w:rsidR="00482EF3">
        <w:t>The DASPP for a Load Zone Settlement Point for an hour is calculated as follows:</w:t>
      </w:r>
    </w:p>
    <w:p w14:paraId="4B1E5027" w14:textId="77777777" w:rsidR="00132F47" w:rsidRDefault="00132F47" w:rsidP="00132F47">
      <w:pPr>
        <w:pStyle w:val="BodyText"/>
      </w:pPr>
      <w:r w:rsidRPr="00B82BD7">
        <w:t xml:space="preserve">For all Load Zones except </w:t>
      </w:r>
      <w:r>
        <w:t>Direct Current Tie (</w:t>
      </w:r>
      <w:r w:rsidRPr="00B82BD7">
        <w:t>DC Tie</w:t>
      </w:r>
      <w:r>
        <w:t>)</w:t>
      </w:r>
      <w:r w:rsidRPr="00B82BD7">
        <w:t xml:space="preserve"> Load Zones:</w:t>
      </w:r>
    </w:p>
    <w:p w14:paraId="64F5BF3C" w14:textId="77777777" w:rsidR="00132F47" w:rsidRDefault="00132F47" w:rsidP="00132F47">
      <w:pPr>
        <w:pStyle w:val="BodyText"/>
        <w:rPr>
          <w:b/>
          <w:bCs/>
        </w:rPr>
      </w:pPr>
      <w:r w:rsidRPr="00912F0D">
        <w:rPr>
          <w:b/>
          <w:bCs/>
        </w:rPr>
        <w:t>DASPP</w:t>
      </w:r>
      <w:r>
        <w:rPr>
          <w:b/>
          <w:bCs/>
        </w:rPr>
        <w:tab/>
      </w:r>
      <w:r w:rsidRPr="00912F0D">
        <w:rPr>
          <w:b/>
          <w:bCs/>
        </w:rPr>
        <w:t>=</w:t>
      </w:r>
      <w:r w:rsidRPr="00912F0D">
        <w:rPr>
          <w:b/>
          <w:bCs/>
        </w:rPr>
        <w:tab/>
        <w:t xml:space="preserve">DASL - </w:t>
      </w:r>
      <m:oMath>
        <m:eqArr>
          <m:eqArrPr>
            <m:ctrlPr>
              <w:rPr>
                <w:rFonts w:ascii="Cambria Math" w:hAnsi="Cambria Math"/>
                <w:bCs/>
              </w:rPr>
            </m:ctrlPr>
          </m:eqArrPr>
          <m:e>
            <m:r>
              <w:rPr>
                <w:rFonts w:ascii="Cambria Math" w:hAnsi="Cambria Math"/>
              </w:rPr>
              <m:t>Σ</m:t>
            </m:r>
          </m:e>
          <m:e>
            <m:r>
              <w:rPr>
                <w:rFonts w:ascii="Cambria Math" w:hAnsi="Cambria Math"/>
              </w:rPr>
              <m:t>c</m:t>
            </m:r>
          </m:e>
        </m:eqArr>
      </m:oMath>
      <w:r w:rsidRPr="00912F0D">
        <w:rPr>
          <w:b/>
          <w:bCs/>
        </w:rPr>
        <w:t xml:space="preserve">(DALZSF </w:t>
      </w:r>
      <w:r w:rsidRPr="00912F0D">
        <w:rPr>
          <w:b/>
          <w:bCs/>
          <w:i/>
          <w:vertAlign w:val="subscript"/>
        </w:rPr>
        <w:t>c</w:t>
      </w:r>
      <w:r w:rsidRPr="00912F0D">
        <w:rPr>
          <w:b/>
          <w:bCs/>
        </w:rPr>
        <w:t xml:space="preserve"> * DASP </w:t>
      </w:r>
      <w:r w:rsidRPr="00912F0D">
        <w:rPr>
          <w:b/>
          <w:bCs/>
          <w:i/>
          <w:vertAlign w:val="subscript"/>
        </w:rPr>
        <w:t>c</w:t>
      </w:r>
      <w:r w:rsidRPr="00912F0D">
        <w:rPr>
          <w:b/>
          <w:bCs/>
        </w:rPr>
        <w:t>)</w:t>
      </w:r>
    </w:p>
    <w:p w14:paraId="42B63D2F" w14:textId="77777777" w:rsidR="00132F47" w:rsidRPr="00E34BD8" w:rsidRDefault="00132F47" w:rsidP="00132F47">
      <w:pPr>
        <w:pStyle w:val="BodyText"/>
        <w:rPr>
          <w:bCs/>
        </w:rPr>
      </w:pPr>
      <w:r w:rsidRPr="00E34BD8">
        <w:rPr>
          <w:bCs/>
        </w:rPr>
        <w:t>Where:</w:t>
      </w:r>
    </w:p>
    <w:p w14:paraId="64560C7D" w14:textId="77777777" w:rsidR="00132F47" w:rsidRPr="00E34BD8" w:rsidRDefault="00132F47" w:rsidP="00132F47">
      <w:pPr>
        <w:pStyle w:val="BodyText"/>
        <w:ind w:firstLine="720"/>
      </w:pPr>
      <w:r w:rsidRPr="00E34BD8">
        <w:t xml:space="preserve">DALZSF </w:t>
      </w:r>
      <w:r w:rsidRPr="00E34BD8">
        <w:rPr>
          <w:i/>
          <w:vertAlign w:val="subscript"/>
        </w:rPr>
        <w:t>c</w:t>
      </w:r>
      <w:r w:rsidRPr="00E34BD8">
        <w:rPr>
          <w:i/>
          <w:vertAlign w:val="subscript"/>
        </w:rPr>
        <w:tab/>
      </w:r>
      <w:r w:rsidRPr="00E34BD8">
        <w:rPr>
          <w:i/>
        </w:rPr>
        <w:t>=</w:t>
      </w:r>
      <w:r w:rsidRPr="00E34BD8">
        <w:rPr>
          <w:i/>
          <w:vertAlign w:val="subscript"/>
        </w:rPr>
        <w:tab/>
      </w:r>
      <m:oMath>
        <m:eqArr>
          <m:eqArrPr>
            <m:ctrlPr>
              <w:rPr>
                <w:rFonts w:ascii="Cambria Math" w:hAnsi="Cambria Math"/>
                <w:vertAlign w:val="subscript"/>
              </w:rPr>
            </m:ctrlPr>
          </m:eqArrPr>
          <m:e>
            <m:r>
              <w:rPr>
                <w:rFonts w:ascii="Cambria Math" w:hAnsi="Cambria Math"/>
                <w:vertAlign w:val="subscript"/>
              </w:rPr>
              <m:t>Σ</m:t>
            </m:r>
          </m:e>
          <m:e>
            <m:r>
              <w:rPr>
                <w:rFonts w:ascii="Cambria Math" w:hAnsi="Cambria Math"/>
                <w:vertAlign w:val="subscript"/>
              </w:rPr>
              <m:t>pb</m:t>
            </m:r>
          </m:e>
        </m:eqArr>
      </m:oMath>
      <w:r w:rsidRPr="00E34BD8">
        <w:rPr>
          <w:vertAlign w:val="subscript"/>
        </w:rPr>
        <w:t xml:space="preserve"> </w:t>
      </w:r>
      <w:r w:rsidRPr="00E34BD8">
        <w:t xml:space="preserve">(DADF </w:t>
      </w:r>
      <w:r w:rsidRPr="00E34BD8">
        <w:rPr>
          <w:i/>
          <w:vertAlign w:val="subscript"/>
        </w:rPr>
        <w:t>pb,</w:t>
      </w:r>
      <w:r>
        <w:rPr>
          <w:i/>
          <w:vertAlign w:val="subscript"/>
        </w:rPr>
        <w:t xml:space="preserve"> </w:t>
      </w:r>
      <w:r w:rsidRPr="00E34BD8">
        <w:rPr>
          <w:i/>
          <w:vertAlign w:val="subscript"/>
        </w:rPr>
        <w:t>c</w:t>
      </w:r>
      <w:r w:rsidRPr="00E34BD8">
        <w:t xml:space="preserve"> * DASF </w:t>
      </w:r>
      <w:r w:rsidRPr="00E34BD8">
        <w:rPr>
          <w:i/>
          <w:vertAlign w:val="subscript"/>
        </w:rPr>
        <w:t>pb,</w:t>
      </w:r>
      <w:r>
        <w:rPr>
          <w:i/>
          <w:vertAlign w:val="subscript"/>
        </w:rPr>
        <w:t xml:space="preserve"> </w:t>
      </w:r>
      <w:r w:rsidRPr="00E34BD8">
        <w:rPr>
          <w:i/>
          <w:vertAlign w:val="subscript"/>
        </w:rPr>
        <w:t>c</w:t>
      </w:r>
      <w:r w:rsidRPr="00E34BD8">
        <w:t>)</w:t>
      </w:r>
    </w:p>
    <w:p w14:paraId="5429FE23" w14:textId="77777777" w:rsidR="00132F47" w:rsidRPr="00E34BD8" w:rsidRDefault="00132F47" w:rsidP="00132F47">
      <w:pPr>
        <w:pStyle w:val="BodyText"/>
        <w:ind w:firstLine="720"/>
      </w:pPr>
      <w:r w:rsidRPr="00E34BD8">
        <w:t xml:space="preserve">DADF </w:t>
      </w:r>
      <w:r w:rsidRPr="00E34BD8">
        <w:rPr>
          <w:i/>
          <w:vertAlign w:val="subscript"/>
        </w:rPr>
        <w:t>pb, c</w:t>
      </w:r>
      <w:r w:rsidRPr="00E34BD8">
        <w:tab/>
        <w:t>=</w:t>
      </w:r>
      <w:r w:rsidRPr="00E34BD8">
        <w:tab/>
        <w:t xml:space="preserve">DAL </w:t>
      </w:r>
      <w:r w:rsidRPr="00E34BD8">
        <w:rPr>
          <w:i/>
          <w:vertAlign w:val="subscript"/>
        </w:rPr>
        <w:t xml:space="preserve">pb, c </w:t>
      </w:r>
      <w:r w:rsidRPr="00E34BD8">
        <w:t>/ (</w:t>
      </w:r>
      <m:oMath>
        <m:eqArr>
          <m:eqArrPr>
            <m:ctrlPr>
              <w:rPr>
                <w:rFonts w:ascii="Cambria Math" w:hAnsi="Cambria Math"/>
              </w:rPr>
            </m:ctrlPr>
          </m:eqArrPr>
          <m:e>
            <m:r>
              <w:rPr>
                <w:rFonts w:ascii="Cambria Math" w:hAnsi="Cambria Math"/>
              </w:rPr>
              <m:t>Σ</m:t>
            </m:r>
          </m:e>
          <m:e>
            <m:r>
              <w:rPr>
                <w:rFonts w:ascii="Cambria Math" w:hAnsi="Cambria Math"/>
              </w:rPr>
              <m:t>pb</m:t>
            </m:r>
          </m:e>
        </m:eqArr>
      </m:oMath>
      <w:r w:rsidRPr="00E34BD8">
        <w:t xml:space="preserve"> DAL </w:t>
      </w:r>
      <w:r w:rsidRPr="00E34BD8">
        <w:rPr>
          <w:i/>
          <w:vertAlign w:val="subscript"/>
        </w:rPr>
        <w:t>pb,</w:t>
      </w:r>
      <w:r>
        <w:rPr>
          <w:i/>
          <w:vertAlign w:val="subscript"/>
        </w:rPr>
        <w:t xml:space="preserve"> </w:t>
      </w:r>
      <w:r w:rsidRPr="00E34BD8">
        <w:rPr>
          <w:i/>
          <w:vertAlign w:val="subscript"/>
        </w:rPr>
        <w:t>c</w:t>
      </w:r>
      <w:r w:rsidRPr="00E34BD8">
        <w:t>)</w:t>
      </w:r>
    </w:p>
    <w:p w14:paraId="6A075FAD" w14:textId="77777777" w:rsidR="00132F47" w:rsidRDefault="00132F47" w:rsidP="00132F47">
      <w:pPr>
        <w:pStyle w:val="BodyText"/>
        <w:rPr>
          <w:bCs/>
        </w:rPr>
      </w:pPr>
      <w:r w:rsidRPr="00B82BD7">
        <w:rPr>
          <w:bCs/>
        </w:rPr>
        <w:t>For a DC Tie Load Zone:</w:t>
      </w:r>
    </w:p>
    <w:p w14:paraId="37EE5D52" w14:textId="77777777" w:rsidR="00132F47" w:rsidRDefault="00132F47" w:rsidP="00132F47">
      <w:pPr>
        <w:pStyle w:val="BodyText"/>
        <w:ind w:firstLine="720"/>
        <w:rPr>
          <w:b/>
          <w:bCs/>
        </w:rPr>
      </w:pPr>
      <w:r w:rsidRPr="003F039C">
        <w:rPr>
          <w:b/>
          <w:bCs/>
        </w:rPr>
        <w:t>DA</w:t>
      </w:r>
      <w:r>
        <w:rPr>
          <w:b/>
          <w:bCs/>
        </w:rPr>
        <w:t>SPP</w:t>
      </w:r>
      <w:r w:rsidRPr="003F039C">
        <w:rPr>
          <w:b/>
          <w:bCs/>
          <w:i/>
          <w:vertAlign w:val="subscript"/>
        </w:rPr>
        <w:tab/>
      </w:r>
      <w:r w:rsidRPr="003F039C">
        <w:rPr>
          <w:b/>
          <w:bCs/>
        </w:rPr>
        <w:t>=</w:t>
      </w:r>
      <w:r>
        <w:rPr>
          <w:b/>
          <w:bCs/>
        </w:rPr>
        <w:tab/>
        <w:t xml:space="preserve">DALMP </w:t>
      </w:r>
      <w:r w:rsidRPr="003F039C">
        <w:rPr>
          <w:b/>
          <w:bCs/>
          <w:i/>
          <w:vertAlign w:val="subscript"/>
        </w:rPr>
        <w:t>b</w:t>
      </w:r>
    </w:p>
    <w:p w14:paraId="4E7ED4BA" w14:textId="77777777" w:rsidR="00132F47" w:rsidRPr="00B82BD7" w:rsidRDefault="00132F47" w:rsidP="00132F47">
      <w:pPr>
        <w:pStyle w:val="BodyText"/>
        <w:spacing w:after="0"/>
      </w:pPr>
      <w:r w:rsidRPr="00B82BD7">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5"/>
        <w:gridCol w:w="989"/>
        <w:gridCol w:w="6476"/>
      </w:tblGrid>
      <w:tr w:rsidR="00132F47" w:rsidRPr="00B82BD7" w14:paraId="0161A640" w14:textId="77777777" w:rsidTr="0067590B">
        <w:trPr>
          <w:tblHeader/>
        </w:trPr>
        <w:tc>
          <w:tcPr>
            <w:tcW w:w="1008" w:type="pct"/>
          </w:tcPr>
          <w:p w14:paraId="72B3B76A" w14:textId="77777777" w:rsidR="00132F47" w:rsidRPr="008D3926" w:rsidRDefault="00132F47" w:rsidP="0067590B">
            <w:pPr>
              <w:pStyle w:val="TableHead"/>
            </w:pPr>
            <w:r w:rsidRPr="008D3926">
              <w:t>Variable</w:t>
            </w:r>
          </w:p>
        </w:tc>
        <w:tc>
          <w:tcPr>
            <w:tcW w:w="529" w:type="pct"/>
          </w:tcPr>
          <w:p w14:paraId="73904129" w14:textId="77777777" w:rsidR="00132F47" w:rsidRPr="008D3926" w:rsidRDefault="00132F47" w:rsidP="0067590B">
            <w:pPr>
              <w:pStyle w:val="TableHead"/>
            </w:pPr>
            <w:r w:rsidRPr="008D3926">
              <w:t>Unit</w:t>
            </w:r>
          </w:p>
        </w:tc>
        <w:tc>
          <w:tcPr>
            <w:tcW w:w="3463" w:type="pct"/>
          </w:tcPr>
          <w:p w14:paraId="0020B237" w14:textId="77777777" w:rsidR="00132F47" w:rsidRPr="008D3926" w:rsidRDefault="00132F47" w:rsidP="0067590B">
            <w:pPr>
              <w:pStyle w:val="TableHead"/>
            </w:pPr>
            <w:r w:rsidRPr="008D3926">
              <w:t>Definition</w:t>
            </w:r>
          </w:p>
        </w:tc>
      </w:tr>
      <w:tr w:rsidR="00132F47" w:rsidRPr="00B82BD7" w14:paraId="0404B6AB" w14:textId="77777777" w:rsidTr="0067590B">
        <w:tc>
          <w:tcPr>
            <w:tcW w:w="1008" w:type="pct"/>
          </w:tcPr>
          <w:p w14:paraId="1A33968F" w14:textId="77777777" w:rsidR="00132F47" w:rsidRPr="008D3926" w:rsidRDefault="00132F47" w:rsidP="0067590B">
            <w:pPr>
              <w:pStyle w:val="TableBody"/>
            </w:pPr>
            <w:r w:rsidRPr="008D3926">
              <w:t>DASPP</w:t>
            </w:r>
          </w:p>
        </w:tc>
        <w:tc>
          <w:tcPr>
            <w:tcW w:w="529" w:type="pct"/>
          </w:tcPr>
          <w:p w14:paraId="48239B5E" w14:textId="77777777" w:rsidR="00132F47" w:rsidRPr="008D3926" w:rsidRDefault="00132F47" w:rsidP="0067590B">
            <w:pPr>
              <w:pStyle w:val="TableBody"/>
            </w:pPr>
            <w:r w:rsidRPr="008D3926">
              <w:t>$/MWh</w:t>
            </w:r>
          </w:p>
        </w:tc>
        <w:tc>
          <w:tcPr>
            <w:tcW w:w="3463" w:type="pct"/>
          </w:tcPr>
          <w:p w14:paraId="190C32C7" w14:textId="77777777" w:rsidR="00132F47" w:rsidRPr="008D3926" w:rsidRDefault="00132F47" w:rsidP="0067590B">
            <w:pPr>
              <w:pStyle w:val="TableBody"/>
            </w:pPr>
            <w:r w:rsidRPr="008D3926">
              <w:rPr>
                <w:i/>
              </w:rPr>
              <w:t>Day-Ahead Settlement Point Price</w:t>
            </w:r>
            <w:r w:rsidRPr="008D3926">
              <w:sym w:font="Symbol" w:char="F0BE"/>
            </w:r>
            <w:r w:rsidRPr="008D3926">
              <w:t>The DAM Settlement Point Price at the Load Zone, for the hour.</w:t>
            </w:r>
          </w:p>
        </w:tc>
      </w:tr>
      <w:tr w:rsidR="00132F47" w:rsidRPr="00B82BD7" w14:paraId="7FCD7779" w14:textId="77777777" w:rsidTr="0067590B">
        <w:tc>
          <w:tcPr>
            <w:tcW w:w="1008" w:type="pct"/>
          </w:tcPr>
          <w:p w14:paraId="43E05E57" w14:textId="77777777" w:rsidR="00132F47" w:rsidRPr="008D3926" w:rsidRDefault="00132F47" w:rsidP="0067590B">
            <w:pPr>
              <w:pStyle w:val="TableBody"/>
            </w:pPr>
            <w:r w:rsidRPr="008D3926">
              <w:t xml:space="preserve">DALMP </w:t>
            </w:r>
            <w:r w:rsidRPr="008D3926">
              <w:rPr>
                <w:i/>
                <w:vertAlign w:val="subscript"/>
              </w:rPr>
              <w:t>b</w:t>
            </w:r>
          </w:p>
        </w:tc>
        <w:tc>
          <w:tcPr>
            <w:tcW w:w="529" w:type="pct"/>
          </w:tcPr>
          <w:p w14:paraId="11900D7E" w14:textId="77777777" w:rsidR="00132F47" w:rsidRPr="008D3926" w:rsidRDefault="00132F47" w:rsidP="0067590B">
            <w:pPr>
              <w:pStyle w:val="TableBody"/>
            </w:pPr>
            <w:r w:rsidRPr="008D3926">
              <w:t>$/MWh</w:t>
            </w:r>
          </w:p>
        </w:tc>
        <w:tc>
          <w:tcPr>
            <w:tcW w:w="3463" w:type="pct"/>
          </w:tcPr>
          <w:p w14:paraId="5E62651A" w14:textId="77777777" w:rsidR="00132F47" w:rsidRPr="008D3926" w:rsidRDefault="00132F47" w:rsidP="0067590B">
            <w:pPr>
              <w:pStyle w:val="TableBody"/>
              <w:rPr>
                <w:i/>
              </w:rPr>
            </w:pPr>
            <w:r w:rsidRPr="008D3926">
              <w:rPr>
                <w:i/>
              </w:rPr>
              <w:t>Day-Ahead Locational Marginal Price per bus</w:t>
            </w:r>
            <w:r w:rsidRPr="008D3926">
              <w:sym w:font="Symbol" w:char="F0BE"/>
            </w:r>
            <w:r w:rsidRPr="008D3926">
              <w:t xml:space="preserve">The DAM LMP at Electrical Bus </w:t>
            </w:r>
            <w:r w:rsidRPr="008D3926">
              <w:rPr>
                <w:i/>
              </w:rPr>
              <w:t>b</w:t>
            </w:r>
            <w:r w:rsidRPr="008D3926">
              <w:t xml:space="preserve"> for the hour. </w:t>
            </w:r>
          </w:p>
        </w:tc>
      </w:tr>
      <w:tr w:rsidR="00132F47" w:rsidRPr="00B82BD7" w14:paraId="7DB7F07F" w14:textId="77777777" w:rsidTr="0067590B">
        <w:tc>
          <w:tcPr>
            <w:tcW w:w="1008" w:type="pct"/>
          </w:tcPr>
          <w:p w14:paraId="086D65C8" w14:textId="77777777" w:rsidR="00132F47" w:rsidRPr="008D3926" w:rsidRDefault="00132F47" w:rsidP="0067590B">
            <w:pPr>
              <w:pStyle w:val="TableBody"/>
            </w:pPr>
            <w:r w:rsidRPr="008D3926">
              <w:t>DASL</w:t>
            </w:r>
          </w:p>
        </w:tc>
        <w:tc>
          <w:tcPr>
            <w:tcW w:w="529" w:type="pct"/>
          </w:tcPr>
          <w:p w14:paraId="67E650D7" w14:textId="77777777" w:rsidR="00132F47" w:rsidRPr="008D3926" w:rsidRDefault="00132F47" w:rsidP="0067590B">
            <w:pPr>
              <w:pStyle w:val="TableBody"/>
            </w:pPr>
            <w:r w:rsidRPr="008D3926">
              <w:t>$/MWh</w:t>
            </w:r>
          </w:p>
        </w:tc>
        <w:tc>
          <w:tcPr>
            <w:tcW w:w="3463" w:type="pct"/>
          </w:tcPr>
          <w:p w14:paraId="09B8483D" w14:textId="77777777" w:rsidR="00132F47" w:rsidRPr="008D3926" w:rsidRDefault="00132F47" w:rsidP="0067590B">
            <w:pPr>
              <w:pStyle w:val="TableBody"/>
              <w:rPr>
                <w:i/>
              </w:rPr>
            </w:pPr>
            <w:r w:rsidRPr="008D3926">
              <w:rPr>
                <w:i/>
              </w:rPr>
              <w:t>Day-Ahead System Lambda</w:t>
            </w:r>
            <w:r w:rsidRPr="008D3926">
              <w:sym w:font="Symbol" w:char="F0BE"/>
            </w:r>
            <w:r w:rsidRPr="008D3926">
              <w:t>The DAM Shadow Price for the system power balance constraint for the hour.</w:t>
            </w:r>
          </w:p>
        </w:tc>
      </w:tr>
      <w:tr w:rsidR="00132F47" w:rsidRPr="00B82BD7" w14:paraId="1E5CA73D" w14:textId="77777777" w:rsidTr="0067590B">
        <w:tc>
          <w:tcPr>
            <w:tcW w:w="1008" w:type="pct"/>
          </w:tcPr>
          <w:p w14:paraId="14923C03" w14:textId="77777777" w:rsidR="00132F47" w:rsidRPr="008D3926" w:rsidRDefault="00132F47" w:rsidP="0067590B">
            <w:pPr>
              <w:pStyle w:val="TableBody"/>
            </w:pPr>
            <w:r w:rsidRPr="008D3926">
              <w:t xml:space="preserve">DASP </w:t>
            </w:r>
            <w:r w:rsidRPr="008D3926">
              <w:rPr>
                <w:i/>
                <w:vertAlign w:val="subscript"/>
              </w:rPr>
              <w:t>c</w:t>
            </w:r>
          </w:p>
        </w:tc>
        <w:tc>
          <w:tcPr>
            <w:tcW w:w="529" w:type="pct"/>
          </w:tcPr>
          <w:p w14:paraId="49150CF1" w14:textId="77777777" w:rsidR="00132F47" w:rsidRPr="008D3926" w:rsidRDefault="00132F47" w:rsidP="0067590B">
            <w:pPr>
              <w:pStyle w:val="TableBody"/>
            </w:pPr>
            <w:r w:rsidRPr="008D3926">
              <w:t>$/MWh</w:t>
            </w:r>
          </w:p>
        </w:tc>
        <w:tc>
          <w:tcPr>
            <w:tcW w:w="3463" w:type="pct"/>
          </w:tcPr>
          <w:p w14:paraId="479E48D3" w14:textId="77777777" w:rsidR="00132F47" w:rsidRPr="008D3926" w:rsidRDefault="00132F47" w:rsidP="0067590B">
            <w:pPr>
              <w:pStyle w:val="TableBody"/>
            </w:pPr>
            <w:r w:rsidRPr="008D3926">
              <w:rPr>
                <w:i/>
              </w:rPr>
              <w:t>Day-Ahead Shadow Price for a binding transmission constraint</w:t>
            </w:r>
            <w:r w:rsidRPr="008D3926">
              <w:sym w:font="Symbol" w:char="F0BE"/>
            </w:r>
            <w:r w:rsidRPr="008D3926">
              <w:t xml:space="preserve">The DAM Shadow Price for the constraint </w:t>
            </w:r>
            <w:r w:rsidRPr="008D3926">
              <w:rPr>
                <w:i/>
              </w:rPr>
              <w:t>c</w:t>
            </w:r>
            <w:r w:rsidRPr="008D3926">
              <w:t xml:space="preserve"> for the hour.</w:t>
            </w:r>
          </w:p>
        </w:tc>
      </w:tr>
      <w:tr w:rsidR="00132F47" w:rsidRPr="00B82BD7" w14:paraId="21D1BEC7" w14:textId="77777777" w:rsidTr="0067590B">
        <w:tc>
          <w:tcPr>
            <w:tcW w:w="1008" w:type="pct"/>
          </w:tcPr>
          <w:p w14:paraId="638887CE" w14:textId="77777777" w:rsidR="00132F47" w:rsidRPr="008D3926" w:rsidRDefault="00132F47" w:rsidP="0067590B">
            <w:pPr>
              <w:pStyle w:val="TableBody"/>
            </w:pPr>
            <w:r w:rsidRPr="008D3926">
              <w:t xml:space="preserve">DALZSF </w:t>
            </w:r>
            <w:r w:rsidRPr="008D3926">
              <w:rPr>
                <w:i/>
                <w:vertAlign w:val="subscript"/>
              </w:rPr>
              <w:t>c</w:t>
            </w:r>
          </w:p>
        </w:tc>
        <w:tc>
          <w:tcPr>
            <w:tcW w:w="529" w:type="pct"/>
          </w:tcPr>
          <w:p w14:paraId="07CECFF8" w14:textId="77777777" w:rsidR="00132F47" w:rsidRPr="008D3926" w:rsidRDefault="00132F47" w:rsidP="0067590B">
            <w:pPr>
              <w:pStyle w:val="TableBody"/>
            </w:pPr>
            <w:r w:rsidRPr="008D3926">
              <w:t>none</w:t>
            </w:r>
          </w:p>
        </w:tc>
        <w:tc>
          <w:tcPr>
            <w:tcW w:w="3463" w:type="pct"/>
          </w:tcPr>
          <w:p w14:paraId="240D0050" w14:textId="77777777" w:rsidR="00132F47" w:rsidRPr="008D3926" w:rsidRDefault="00132F47" w:rsidP="0067590B">
            <w:pPr>
              <w:pStyle w:val="TableBody"/>
            </w:pPr>
            <w:r w:rsidRPr="008D3926">
              <w:rPr>
                <w:i/>
              </w:rPr>
              <w:t xml:space="preserve">Day-Ahead Shift factor of the Load Zone </w:t>
            </w:r>
            <w:r w:rsidRPr="008D3926">
              <w:rPr>
                <w:i/>
              </w:rPr>
              <w:sym w:font="Symbol" w:char="F0BE"/>
            </w:r>
            <w:r w:rsidRPr="008D3926">
              <w:t xml:space="preserve">The DAM aggregated Shift Factor of a Load Zone for the constraint </w:t>
            </w:r>
            <w:r w:rsidRPr="008D3926">
              <w:rPr>
                <w:i/>
              </w:rPr>
              <w:t>c</w:t>
            </w:r>
            <w:r w:rsidRPr="008D3926">
              <w:t xml:space="preserve"> for the hour.</w:t>
            </w:r>
            <w:r w:rsidRPr="008D3926">
              <w:rPr>
                <w:i/>
              </w:rPr>
              <w:t xml:space="preserve"> </w:t>
            </w:r>
          </w:p>
        </w:tc>
      </w:tr>
      <w:tr w:rsidR="00132F47" w:rsidRPr="00B82BD7" w14:paraId="4C2CCD9F" w14:textId="77777777" w:rsidTr="0067590B">
        <w:tc>
          <w:tcPr>
            <w:tcW w:w="1008" w:type="pct"/>
          </w:tcPr>
          <w:p w14:paraId="0690973D" w14:textId="77777777" w:rsidR="00132F47" w:rsidRPr="008D3926" w:rsidRDefault="00132F47" w:rsidP="0067590B">
            <w:pPr>
              <w:pStyle w:val="TableBody"/>
            </w:pPr>
            <w:r w:rsidRPr="008D3926">
              <w:lastRenderedPageBreak/>
              <w:t xml:space="preserve">DASF </w:t>
            </w:r>
            <w:r w:rsidRPr="008D3926">
              <w:rPr>
                <w:i/>
                <w:vertAlign w:val="subscript"/>
              </w:rPr>
              <w:t>pb, ,c</w:t>
            </w:r>
          </w:p>
        </w:tc>
        <w:tc>
          <w:tcPr>
            <w:tcW w:w="529" w:type="pct"/>
          </w:tcPr>
          <w:p w14:paraId="7406A273" w14:textId="77777777" w:rsidR="00132F47" w:rsidRPr="008D3926" w:rsidRDefault="00132F47" w:rsidP="0067590B">
            <w:pPr>
              <w:pStyle w:val="TableBody"/>
            </w:pPr>
            <w:r w:rsidRPr="008D3926">
              <w:t>none</w:t>
            </w:r>
          </w:p>
        </w:tc>
        <w:tc>
          <w:tcPr>
            <w:tcW w:w="3463" w:type="pct"/>
          </w:tcPr>
          <w:p w14:paraId="3D9304D2" w14:textId="77777777" w:rsidR="00132F47" w:rsidRPr="008D3926" w:rsidRDefault="00132F47" w:rsidP="0067590B">
            <w:pPr>
              <w:pStyle w:val="TableBody"/>
            </w:pPr>
            <w:r w:rsidRPr="008D3926">
              <w:rPr>
                <w:i/>
              </w:rPr>
              <w:t>Day-Ahead Shift factor of the power flow bus</w:t>
            </w:r>
            <w:r w:rsidRPr="008D3926">
              <w:rPr>
                <w:i/>
              </w:rPr>
              <w:sym w:font="Symbol" w:char="F0BE"/>
            </w:r>
            <w:r w:rsidRPr="008D3926">
              <w:t xml:space="preserve">The DAM Shift Factor of a power flow bus </w:t>
            </w:r>
            <w:r w:rsidRPr="008D3926">
              <w:rPr>
                <w:i/>
              </w:rPr>
              <w:t>pb</w:t>
            </w:r>
            <w:r w:rsidRPr="008D3926">
              <w:t xml:space="preserve"> </w:t>
            </w:r>
            <w:r w:rsidRPr="008D3926">
              <w:rPr>
                <w:iCs w:val="0"/>
              </w:rPr>
              <w:t xml:space="preserve">that is a component of the Load Zone </w:t>
            </w:r>
            <w:r w:rsidRPr="008D3926">
              <w:t xml:space="preserve">for the constraint </w:t>
            </w:r>
            <w:r w:rsidRPr="008D3926">
              <w:rPr>
                <w:i/>
              </w:rPr>
              <w:t>c</w:t>
            </w:r>
            <w:r w:rsidRPr="008D3926">
              <w:t xml:space="preserve"> for the hour.</w:t>
            </w:r>
            <w:r w:rsidRPr="008D3926">
              <w:rPr>
                <w:i/>
              </w:rPr>
              <w:t xml:space="preserve"> </w:t>
            </w:r>
          </w:p>
        </w:tc>
      </w:tr>
      <w:tr w:rsidR="00132F47" w:rsidRPr="00B82BD7" w14:paraId="58105769" w14:textId="77777777" w:rsidTr="0067590B">
        <w:tc>
          <w:tcPr>
            <w:tcW w:w="1008" w:type="pct"/>
          </w:tcPr>
          <w:p w14:paraId="6DD924BA" w14:textId="77777777" w:rsidR="00132F47" w:rsidRPr="008D3926" w:rsidRDefault="00132F47" w:rsidP="0067590B">
            <w:pPr>
              <w:pStyle w:val="TableBody"/>
            </w:pPr>
            <w:r w:rsidRPr="008D3926">
              <w:t xml:space="preserve">DADF </w:t>
            </w:r>
            <w:r w:rsidRPr="008D3926">
              <w:rPr>
                <w:i/>
                <w:vertAlign w:val="subscript"/>
              </w:rPr>
              <w:t>pb, c</w:t>
            </w:r>
          </w:p>
        </w:tc>
        <w:tc>
          <w:tcPr>
            <w:tcW w:w="529" w:type="pct"/>
          </w:tcPr>
          <w:p w14:paraId="3E62D6DA" w14:textId="77777777" w:rsidR="00132F47" w:rsidRPr="008D3926" w:rsidRDefault="00132F47" w:rsidP="0067590B">
            <w:pPr>
              <w:pStyle w:val="TableBody"/>
            </w:pPr>
            <w:r w:rsidRPr="008D3926">
              <w:t>none</w:t>
            </w:r>
          </w:p>
        </w:tc>
        <w:tc>
          <w:tcPr>
            <w:tcW w:w="3463" w:type="pct"/>
          </w:tcPr>
          <w:p w14:paraId="70D93698" w14:textId="77777777" w:rsidR="00132F47" w:rsidRPr="008D3926" w:rsidRDefault="00132F47" w:rsidP="0067590B">
            <w:pPr>
              <w:pStyle w:val="TableBody"/>
            </w:pPr>
            <w:r w:rsidRPr="008D3926">
              <w:rPr>
                <w:i/>
              </w:rPr>
              <w:t>Day-Ahead Distribution factor per power flow bus for a constraint</w:t>
            </w:r>
            <w:r w:rsidRPr="008D3926">
              <w:sym w:font="Symbol" w:char="F0BE"/>
            </w:r>
            <w:r w:rsidRPr="008D3926">
              <w:t xml:space="preserve">The Load distribution factor for power flow bus </w:t>
            </w:r>
            <w:r w:rsidRPr="008D3926">
              <w:rPr>
                <w:i/>
              </w:rPr>
              <w:t>pb</w:t>
            </w:r>
            <w:r w:rsidRPr="008D3926">
              <w:t xml:space="preserve"> in the Load Zone for the constraint </w:t>
            </w:r>
            <w:r w:rsidRPr="008D3926">
              <w:rPr>
                <w:i/>
              </w:rPr>
              <w:t>c</w:t>
            </w:r>
            <w:r w:rsidRPr="008D3926">
              <w:t xml:space="preserve"> for the hour.  </w:t>
            </w:r>
          </w:p>
        </w:tc>
      </w:tr>
      <w:tr w:rsidR="00132F47" w:rsidRPr="00B82BD7" w14:paraId="4A883DDE" w14:textId="77777777" w:rsidTr="0067590B">
        <w:tc>
          <w:tcPr>
            <w:tcW w:w="1008" w:type="pct"/>
          </w:tcPr>
          <w:p w14:paraId="05F62A18" w14:textId="77777777" w:rsidR="00132F47" w:rsidRPr="008D3926" w:rsidRDefault="00132F47" w:rsidP="0067590B">
            <w:pPr>
              <w:pStyle w:val="TableBody"/>
              <w:rPr>
                <w:i/>
              </w:rPr>
            </w:pPr>
            <w:r w:rsidRPr="008D3926">
              <w:t xml:space="preserve">DAL </w:t>
            </w:r>
            <w:r w:rsidRPr="008D3926">
              <w:rPr>
                <w:i/>
                <w:vertAlign w:val="subscript"/>
              </w:rPr>
              <w:t>pb, c</w:t>
            </w:r>
          </w:p>
        </w:tc>
        <w:tc>
          <w:tcPr>
            <w:tcW w:w="529" w:type="pct"/>
          </w:tcPr>
          <w:p w14:paraId="4FB9911E" w14:textId="77777777" w:rsidR="00132F47" w:rsidRPr="008D3926" w:rsidRDefault="00132F47" w:rsidP="0067590B">
            <w:pPr>
              <w:pStyle w:val="TableBody"/>
            </w:pPr>
            <w:r w:rsidRPr="008D3926">
              <w:t>MW</w:t>
            </w:r>
          </w:p>
        </w:tc>
        <w:tc>
          <w:tcPr>
            <w:tcW w:w="3463" w:type="pct"/>
          </w:tcPr>
          <w:p w14:paraId="1D0100CB" w14:textId="77777777" w:rsidR="00132F47" w:rsidRPr="008D3926" w:rsidRDefault="00132F47" w:rsidP="0067590B">
            <w:pPr>
              <w:pStyle w:val="TableBody"/>
            </w:pPr>
            <w:r w:rsidRPr="008D3926">
              <w:rPr>
                <w:i/>
              </w:rPr>
              <w:t>Day-Ahead Load at power flow bus for a constraint</w:t>
            </w:r>
            <w:r w:rsidRPr="008D3926">
              <w:sym w:font="Symbol" w:char="F0BE"/>
            </w:r>
            <w:r w:rsidRPr="008D3926">
              <w:t xml:space="preserve">The DAM distributed load for power flow bus </w:t>
            </w:r>
            <w:r w:rsidRPr="008D3926">
              <w:rPr>
                <w:i/>
              </w:rPr>
              <w:t>pb</w:t>
            </w:r>
            <w:r w:rsidRPr="008D3926">
              <w:t xml:space="preserve"> in the Load Zone for the constraint </w:t>
            </w:r>
            <w:r w:rsidRPr="008D3926">
              <w:rPr>
                <w:i/>
              </w:rPr>
              <w:t>c</w:t>
            </w:r>
            <w:r w:rsidRPr="008D3926">
              <w:t xml:space="preserve"> for the hour.</w:t>
            </w:r>
          </w:p>
        </w:tc>
      </w:tr>
      <w:tr w:rsidR="00132F47" w:rsidRPr="00B82BD7" w14:paraId="309DD13A" w14:textId="77777777" w:rsidTr="0067590B">
        <w:tc>
          <w:tcPr>
            <w:tcW w:w="1008" w:type="pct"/>
          </w:tcPr>
          <w:p w14:paraId="67BA4A7C" w14:textId="77777777" w:rsidR="00132F47" w:rsidRPr="008D3926" w:rsidRDefault="00132F47" w:rsidP="0067590B">
            <w:pPr>
              <w:pStyle w:val="TableBody"/>
              <w:rPr>
                <w:i/>
              </w:rPr>
            </w:pPr>
            <w:r w:rsidRPr="008D3926">
              <w:rPr>
                <w:i/>
              </w:rPr>
              <w:t>b</w:t>
            </w:r>
          </w:p>
        </w:tc>
        <w:tc>
          <w:tcPr>
            <w:tcW w:w="529" w:type="pct"/>
          </w:tcPr>
          <w:p w14:paraId="70C852E8" w14:textId="77777777" w:rsidR="00132F47" w:rsidRPr="008D3926" w:rsidRDefault="00132F47" w:rsidP="0067590B">
            <w:pPr>
              <w:pStyle w:val="TableBody"/>
            </w:pPr>
            <w:r w:rsidRPr="008D3926">
              <w:t>none</w:t>
            </w:r>
          </w:p>
        </w:tc>
        <w:tc>
          <w:tcPr>
            <w:tcW w:w="3463" w:type="pct"/>
          </w:tcPr>
          <w:p w14:paraId="502182A5" w14:textId="77777777" w:rsidR="00132F47" w:rsidRPr="008D3926" w:rsidRDefault="00132F47" w:rsidP="0067590B">
            <w:pPr>
              <w:pStyle w:val="TableBody"/>
            </w:pPr>
            <w:r w:rsidRPr="008D3926">
              <w:t>An Electrical Bus that is assigned to the DC Tie Load Zone.</w:t>
            </w:r>
          </w:p>
        </w:tc>
      </w:tr>
      <w:tr w:rsidR="00132F47" w:rsidRPr="00B82BD7" w14:paraId="5CDB79F4" w14:textId="77777777" w:rsidTr="0067590B">
        <w:tc>
          <w:tcPr>
            <w:tcW w:w="1008" w:type="pct"/>
          </w:tcPr>
          <w:p w14:paraId="31707D61" w14:textId="77777777" w:rsidR="00132F47" w:rsidRPr="008D3926" w:rsidRDefault="00132F47" w:rsidP="0067590B">
            <w:pPr>
              <w:pStyle w:val="TableBody"/>
            </w:pPr>
            <w:r w:rsidRPr="008D3926">
              <w:rPr>
                <w:i/>
              </w:rPr>
              <w:t>pb</w:t>
            </w:r>
          </w:p>
        </w:tc>
        <w:tc>
          <w:tcPr>
            <w:tcW w:w="529" w:type="pct"/>
          </w:tcPr>
          <w:p w14:paraId="4386CDE0" w14:textId="77777777" w:rsidR="00132F47" w:rsidRPr="008D3926" w:rsidRDefault="00132F47" w:rsidP="0067590B">
            <w:pPr>
              <w:pStyle w:val="TableBody"/>
            </w:pPr>
            <w:r w:rsidRPr="008D3926">
              <w:t>none</w:t>
            </w:r>
          </w:p>
        </w:tc>
        <w:tc>
          <w:tcPr>
            <w:tcW w:w="3463" w:type="pct"/>
          </w:tcPr>
          <w:p w14:paraId="2594E9D6" w14:textId="77777777" w:rsidR="00132F47" w:rsidRPr="008D3926" w:rsidRDefault="00132F47" w:rsidP="0067590B">
            <w:pPr>
              <w:pStyle w:val="TableBody"/>
            </w:pPr>
            <w:r w:rsidRPr="008D3926">
              <w:t xml:space="preserve">An energized power flow bus that is assigned to the Load Zone for the constraint </w:t>
            </w:r>
            <w:r w:rsidRPr="008D3926">
              <w:rPr>
                <w:i/>
              </w:rPr>
              <w:t>c</w:t>
            </w:r>
            <w:r w:rsidRPr="008D3926">
              <w:t>.</w:t>
            </w:r>
          </w:p>
        </w:tc>
      </w:tr>
      <w:tr w:rsidR="00132F47" w:rsidRPr="00B82BD7" w14:paraId="4A2619C7" w14:textId="77777777" w:rsidTr="0067590B">
        <w:tc>
          <w:tcPr>
            <w:tcW w:w="1008" w:type="pct"/>
            <w:tcBorders>
              <w:top w:val="single" w:sz="4" w:space="0" w:color="auto"/>
              <w:left w:val="single" w:sz="4" w:space="0" w:color="auto"/>
              <w:bottom w:val="single" w:sz="4" w:space="0" w:color="auto"/>
              <w:right w:val="single" w:sz="4" w:space="0" w:color="auto"/>
            </w:tcBorders>
          </w:tcPr>
          <w:p w14:paraId="6AE25CDB" w14:textId="77777777" w:rsidR="00132F47" w:rsidRPr="008D3926" w:rsidRDefault="00132F47" w:rsidP="0067590B">
            <w:pPr>
              <w:pStyle w:val="TableBody"/>
              <w:rPr>
                <w:i/>
              </w:rPr>
            </w:pPr>
            <w:r w:rsidRPr="008D3926">
              <w:rPr>
                <w:i/>
              </w:rPr>
              <w:t>c</w:t>
            </w:r>
          </w:p>
        </w:tc>
        <w:tc>
          <w:tcPr>
            <w:tcW w:w="529" w:type="pct"/>
            <w:tcBorders>
              <w:top w:val="single" w:sz="4" w:space="0" w:color="auto"/>
              <w:left w:val="single" w:sz="4" w:space="0" w:color="auto"/>
              <w:bottom w:val="single" w:sz="4" w:space="0" w:color="auto"/>
              <w:right w:val="single" w:sz="4" w:space="0" w:color="auto"/>
            </w:tcBorders>
          </w:tcPr>
          <w:p w14:paraId="091127E3" w14:textId="77777777" w:rsidR="00132F47" w:rsidRPr="008D3926" w:rsidRDefault="00132F47" w:rsidP="0067590B">
            <w:pPr>
              <w:pStyle w:val="TableBody"/>
            </w:pPr>
            <w:r w:rsidRPr="00F8442E">
              <w:t>N</w:t>
            </w:r>
            <w:r w:rsidRPr="008D3926">
              <w:t>one</w:t>
            </w:r>
          </w:p>
        </w:tc>
        <w:tc>
          <w:tcPr>
            <w:tcW w:w="3463" w:type="pct"/>
            <w:tcBorders>
              <w:top w:val="single" w:sz="4" w:space="0" w:color="auto"/>
              <w:left w:val="single" w:sz="4" w:space="0" w:color="auto"/>
              <w:bottom w:val="single" w:sz="4" w:space="0" w:color="auto"/>
              <w:right w:val="single" w:sz="4" w:space="0" w:color="auto"/>
            </w:tcBorders>
          </w:tcPr>
          <w:p w14:paraId="7233D959" w14:textId="77777777" w:rsidR="00132F47" w:rsidRPr="008D3926" w:rsidRDefault="00132F47" w:rsidP="0067590B">
            <w:pPr>
              <w:pStyle w:val="TableBody"/>
            </w:pPr>
            <w:r w:rsidRPr="008D3926">
              <w:t>A DAM binding transmission constraint for the hour caused by either base case or a contingency.</w:t>
            </w:r>
          </w:p>
        </w:tc>
      </w:tr>
    </w:tbl>
    <w:p w14:paraId="32B7B73E" w14:textId="77777777" w:rsidR="00FF2129" w:rsidRDefault="00482EF3" w:rsidP="00003B06">
      <w:pPr>
        <w:pStyle w:val="H4"/>
        <w:spacing w:before="480"/>
        <w:ind w:left="1267" w:hanging="1267"/>
      </w:pPr>
      <w:bookmarkStart w:id="651" w:name="_Toc109185127"/>
      <w:bookmarkStart w:id="652" w:name="_Toc142108957"/>
      <w:bookmarkStart w:id="653" w:name="_Toc142113802"/>
      <w:bookmarkStart w:id="654" w:name="_Toc402345629"/>
      <w:bookmarkStart w:id="655" w:name="_Toc405383912"/>
      <w:bookmarkStart w:id="656" w:name="_Toc405537015"/>
      <w:bookmarkStart w:id="657" w:name="_Toc440871801"/>
      <w:bookmarkStart w:id="658" w:name="_Toc135990682"/>
      <w:r>
        <w:t>4.6.1.3</w:t>
      </w:r>
      <w:r>
        <w:tab/>
        <w:t>Day-Ahead Settlement Point Prices for Hubs</w:t>
      </w:r>
      <w:bookmarkEnd w:id="651"/>
      <w:bookmarkEnd w:id="652"/>
      <w:bookmarkEnd w:id="653"/>
      <w:bookmarkEnd w:id="654"/>
      <w:bookmarkEnd w:id="655"/>
      <w:bookmarkEnd w:id="656"/>
      <w:bookmarkEnd w:id="657"/>
      <w:bookmarkEnd w:id="658"/>
    </w:p>
    <w:p w14:paraId="4CFD9818" w14:textId="77777777" w:rsidR="00FF2129" w:rsidRDefault="00EE47EB" w:rsidP="00FA6269">
      <w:pPr>
        <w:pStyle w:val="BodyText"/>
        <w:ind w:left="720" w:hanging="720"/>
      </w:pPr>
      <w:r>
        <w:t>(1)</w:t>
      </w:r>
      <w:r>
        <w:tab/>
      </w:r>
      <w:r w:rsidR="00482EF3">
        <w:t xml:space="preserve">The DASPP for a Settlement Point at a Hub is determined according to the methodology included in the definition of that Hub in Section 3.5, Hubs. </w:t>
      </w:r>
    </w:p>
    <w:p w14:paraId="37C0B101" w14:textId="77777777" w:rsidR="004A1BC5" w:rsidRDefault="004A1BC5" w:rsidP="00003B06">
      <w:pPr>
        <w:pStyle w:val="H4"/>
        <w:spacing w:before="480"/>
        <w:ind w:left="1267" w:hanging="1267"/>
      </w:pPr>
      <w:bookmarkStart w:id="659" w:name="_Toc402345630"/>
      <w:bookmarkStart w:id="660" w:name="_Toc405383913"/>
      <w:bookmarkStart w:id="661" w:name="_Toc405537016"/>
      <w:bookmarkStart w:id="662" w:name="_Toc440871802"/>
      <w:bookmarkStart w:id="663" w:name="_Toc135990683"/>
      <w:r w:rsidRPr="004409A3">
        <w:t>4.6.1.4</w:t>
      </w:r>
      <w:r w:rsidRPr="004409A3">
        <w:tab/>
        <w:t xml:space="preserve">Day-Ahead Settlement Point Prices </w:t>
      </w:r>
      <w:r w:rsidRPr="00F66B4A">
        <w:t xml:space="preserve">at the </w:t>
      </w:r>
      <w:r>
        <w:t>L</w:t>
      </w:r>
      <w:r w:rsidRPr="00F66B4A">
        <w:t xml:space="preserve">ogical Resource Node </w:t>
      </w:r>
      <w:r w:rsidRPr="004409A3">
        <w:t xml:space="preserve">for </w:t>
      </w:r>
      <w:r w:rsidRPr="00F66B4A">
        <w:t xml:space="preserve">a </w:t>
      </w:r>
      <w:r w:rsidRPr="004409A3">
        <w:t>Combined Cycle Generation</w:t>
      </w:r>
      <w:r w:rsidRPr="00F66B4A">
        <w:t xml:space="preserve"> Resource</w:t>
      </w:r>
      <w:bookmarkEnd w:id="659"/>
      <w:bookmarkEnd w:id="660"/>
      <w:bookmarkEnd w:id="661"/>
      <w:bookmarkEnd w:id="662"/>
      <w:bookmarkEnd w:id="663"/>
    </w:p>
    <w:p w14:paraId="7653367F" w14:textId="77777777" w:rsidR="004A1BC5" w:rsidRPr="00F66B4A" w:rsidRDefault="00EE47EB" w:rsidP="00FA6269">
      <w:pPr>
        <w:pStyle w:val="BodyText"/>
        <w:ind w:left="720" w:hanging="720"/>
        <w:rPr>
          <w:iCs w:val="0"/>
        </w:rPr>
      </w:pPr>
      <w:r>
        <w:rPr>
          <w:iCs w:val="0"/>
        </w:rPr>
        <w:t>(1)</w:t>
      </w:r>
      <w:r>
        <w:rPr>
          <w:iCs w:val="0"/>
        </w:rPr>
        <w:tab/>
      </w:r>
      <w:r w:rsidR="004A1BC5" w:rsidRPr="00F66B4A">
        <w:rPr>
          <w:iCs w:val="0"/>
        </w:rPr>
        <w:t xml:space="preserve">ERCOT shall calculate the </w:t>
      </w:r>
      <w:r w:rsidR="002A59AC">
        <w:rPr>
          <w:iCs w:val="0"/>
        </w:rPr>
        <w:t>DASPP</w:t>
      </w:r>
      <w:r w:rsidR="004A1BC5" w:rsidRPr="00F66B4A">
        <w:rPr>
          <w:iCs w:val="0"/>
        </w:rPr>
        <w:t xml:space="preserve"> for each hour at the logical Resource Node for the Combined Cycle Generation Resource as follows:</w:t>
      </w:r>
    </w:p>
    <w:p w14:paraId="715E9CBF" w14:textId="77777777" w:rsidR="004A1BC5" w:rsidRDefault="004A1BC5" w:rsidP="004A1BC5">
      <w:pPr>
        <w:pStyle w:val="List"/>
        <w:ind w:left="1440"/>
        <w:rPr>
          <w:iCs/>
        </w:rPr>
      </w:pPr>
      <w:r>
        <w:t>(a)</w:t>
      </w:r>
      <w:r>
        <w:tab/>
      </w:r>
      <w:r w:rsidRPr="00A11FAD">
        <w:t>The</w:t>
      </w:r>
      <w:r w:rsidRPr="00F66B4A">
        <w:rPr>
          <w:iCs/>
        </w:rPr>
        <w:t xml:space="preserve"> </w:t>
      </w:r>
      <w:r w:rsidR="002A59AC">
        <w:rPr>
          <w:iCs/>
        </w:rPr>
        <w:t>DASPP</w:t>
      </w:r>
      <w:r w:rsidRPr="00F66B4A">
        <w:rPr>
          <w:iCs/>
        </w:rPr>
        <w:t xml:space="preserve"> at a logical Resource Node shall be the sum of a weight factor as determined in </w:t>
      </w:r>
      <w:r>
        <w:rPr>
          <w:iCs/>
        </w:rPr>
        <w:t xml:space="preserve">paragraph </w:t>
      </w:r>
      <w:r w:rsidRPr="00F66B4A">
        <w:rPr>
          <w:iCs/>
        </w:rPr>
        <w:t xml:space="preserve">(b) below times the Day-Ahead </w:t>
      </w:r>
      <w:r>
        <w:rPr>
          <w:iCs/>
        </w:rPr>
        <w:t>LMP</w:t>
      </w:r>
      <w:r w:rsidRPr="00F66B4A">
        <w:rPr>
          <w:iCs/>
        </w:rPr>
        <w:t xml:space="preserve"> at each of the Resource Nodes of the generation units registered in the Combined Cycle Train registration for the </w:t>
      </w:r>
      <w:r>
        <w:rPr>
          <w:iCs/>
        </w:rPr>
        <w:t>C</w:t>
      </w:r>
      <w:r w:rsidRPr="00F66B4A">
        <w:rPr>
          <w:iCs/>
        </w:rPr>
        <w:t>ombined Cycle Generation R</w:t>
      </w:r>
      <w:r w:rsidR="002A59AC">
        <w:rPr>
          <w:iCs/>
        </w:rPr>
        <w:t>esource designated in the Three-</w:t>
      </w:r>
      <w:r w:rsidRPr="00F66B4A">
        <w:rPr>
          <w:iCs/>
        </w:rPr>
        <w:t>Part Supply Offer</w:t>
      </w:r>
      <w:r>
        <w:rPr>
          <w:iCs/>
        </w:rPr>
        <w:t>:</w:t>
      </w:r>
    </w:p>
    <w:p w14:paraId="55B039E8" w14:textId="77777777" w:rsidR="00A47857" w:rsidRDefault="004A1BC5" w:rsidP="006141F6">
      <w:pPr>
        <w:pStyle w:val="BodyText"/>
        <w:ind w:left="1440"/>
        <w:rPr>
          <w:iCs w:val="0"/>
        </w:rPr>
      </w:pPr>
      <w:r>
        <w:rPr>
          <w:iCs w:val="0"/>
        </w:rPr>
        <w:t>Where:</w:t>
      </w:r>
    </w:p>
    <w:p w14:paraId="64AA501F" w14:textId="77777777" w:rsidR="004A1BC5" w:rsidRPr="006141F6" w:rsidRDefault="00EE47EB" w:rsidP="00E30EAB">
      <w:pPr>
        <w:pStyle w:val="FormulaBold"/>
        <w:rPr>
          <w:vertAlign w:val="subscript"/>
        </w:rPr>
      </w:pPr>
      <w:r>
        <w:tab/>
      </w:r>
      <w:r w:rsidR="004A1BC5" w:rsidRPr="006141F6">
        <w:t>DASPP = ∑</w:t>
      </w:r>
      <w:r w:rsidR="004A1BC5" w:rsidRPr="006141F6">
        <w:rPr>
          <w:vertAlign w:val="subscript"/>
        </w:rPr>
        <w:t>CCGR_PhyR</w:t>
      </w:r>
      <w:r w:rsidR="004A1BC5" w:rsidRPr="006141F6">
        <w:t xml:space="preserve"> DALMP </w:t>
      </w:r>
      <w:r w:rsidR="004A1BC5" w:rsidRPr="006141F6">
        <w:rPr>
          <w:vertAlign w:val="subscript"/>
        </w:rPr>
        <w:t>CCGR_PhyR</w:t>
      </w:r>
      <w:r w:rsidR="004A1BC5" w:rsidRPr="006141F6">
        <w:t xml:space="preserve"> * DACCGRWF </w:t>
      </w:r>
      <w:r w:rsidR="004A1BC5" w:rsidRPr="006141F6">
        <w:rPr>
          <w:vertAlign w:val="subscript"/>
        </w:rPr>
        <w:t>CCGR_PhyR</w:t>
      </w:r>
    </w:p>
    <w:p w14:paraId="74D0A31B" w14:textId="77777777" w:rsidR="004A1BC5" w:rsidRDefault="004A1BC5" w:rsidP="004A1BC5">
      <w:pPr>
        <w:rPr>
          <w:b/>
        </w:rPr>
      </w:pPr>
      <w:r>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1043"/>
        <w:gridCol w:w="6203"/>
      </w:tblGrid>
      <w:tr w:rsidR="004A1BC5" w:rsidRPr="00E135D0" w14:paraId="2073B958" w14:textId="77777777" w:rsidTr="004A1BC5">
        <w:tc>
          <w:tcPr>
            <w:tcW w:w="2132" w:type="dxa"/>
          </w:tcPr>
          <w:p w14:paraId="030E2797" w14:textId="77777777" w:rsidR="004A1BC5" w:rsidRDefault="004A1BC5" w:rsidP="004A1BC5">
            <w:pPr>
              <w:pStyle w:val="TableHead"/>
            </w:pPr>
            <w:r w:rsidRPr="00A11FAD">
              <w:t>Variable</w:t>
            </w:r>
          </w:p>
        </w:tc>
        <w:tc>
          <w:tcPr>
            <w:tcW w:w="1051" w:type="dxa"/>
          </w:tcPr>
          <w:p w14:paraId="51118B2B" w14:textId="77777777" w:rsidR="004A1BC5" w:rsidRDefault="004A1BC5" w:rsidP="004A1BC5">
            <w:pPr>
              <w:pStyle w:val="TableHead"/>
            </w:pPr>
            <w:r w:rsidRPr="00A11FAD">
              <w:t>Unit</w:t>
            </w:r>
          </w:p>
        </w:tc>
        <w:tc>
          <w:tcPr>
            <w:tcW w:w="6393" w:type="dxa"/>
          </w:tcPr>
          <w:p w14:paraId="2914DD1F" w14:textId="77777777" w:rsidR="004A1BC5" w:rsidRDefault="004A1BC5" w:rsidP="004A1BC5">
            <w:pPr>
              <w:pStyle w:val="TableHead"/>
            </w:pPr>
            <w:r w:rsidRPr="00A11FAD">
              <w:t>Definition</w:t>
            </w:r>
          </w:p>
        </w:tc>
      </w:tr>
      <w:tr w:rsidR="004A1BC5" w:rsidRPr="00E135D0" w14:paraId="1AD7663C" w14:textId="77777777" w:rsidTr="004A1BC5">
        <w:tc>
          <w:tcPr>
            <w:tcW w:w="2132" w:type="dxa"/>
          </w:tcPr>
          <w:p w14:paraId="129A1899" w14:textId="77777777" w:rsidR="004A1BC5" w:rsidRPr="00A11FAD" w:rsidRDefault="004A1BC5" w:rsidP="004A1BC5">
            <w:pPr>
              <w:rPr>
                <w:sz w:val="20"/>
                <w:szCs w:val="20"/>
              </w:rPr>
            </w:pPr>
            <w:r w:rsidRPr="00314B3D">
              <w:rPr>
                <w:sz w:val="20"/>
                <w:szCs w:val="20"/>
              </w:rPr>
              <w:t>DASPP</w:t>
            </w:r>
          </w:p>
        </w:tc>
        <w:tc>
          <w:tcPr>
            <w:tcW w:w="1051" w:type="dxa"/>
          </w:tcPr>
          <w:p w14:paraId="3CAE5ED4" w14:textId="77777777" w:rsidR="004A1BC5" w:rsidRPr="00A11FAD" w:rsidRDefault="004A1BC5" w:rsidP="004A1BC5">
            <w:pPr>
              <w:rPr>
                <w:sz w:val="20"/>
                <w:szCs w:val="20"/>
              </w:rPr>
            </w:pPr>
            <w:r w:rsidRPr="00314B3D">
              <w:rPr>
                <w:sz w:val="20"/>
                <w:szCs w:val="20"/>
              </w:rPr>
              <w:t>$/MWh</w:t>
            </w:r>
          </w:p>
        </w:tc>
        <w:tc>
          <w:tcPr>
            <w:tcW w:w="6393" w:type="dxa"/>
          </w:tcPr>
          <w:p w14:paraId="0878BC2B" w14:textId="77777777" w:rsidR="004A1BC5" w:rsidRPr="00A11FAD" w:rsidRDefault="004A1BC5" w:rsidP="004A1BC5">
            <w:pPr>
              <w:rPr>
                <w:sz w:val="20"/>
                <w:szCs w:val="20"/>
              </w:rPr>
            </w:pPr>
            <w:r w:rsidRPr="00314B3D">
              <w:rPr>
                <w:i/>
                <w:sz w:val="20"/>
                <w:szCs w:val="20"/>
              </w:rPr>
              <w:t>Day-Ahead Settlement Point Price at a logical Resource Node for a Combined Cycle Train</w:t>
            </w:r>
            <w:r>
              <w:t>—</w:t>
            </w:r>
            <w:r w:rsidRPr="00A11FAD">
              <w:rPr>
                <w:sz w:val="20"/>
                <w:szCs w:val="20"/>
              </w:rPr>
              <w:t xml:space="preserve">The DAM </w:t>
            </w:r>
            <w:r>
              <w:rPr>
                <w:sz w:val="20"/>
                <w:szCs w:val="20"/>
              </w:rPr>
              <w:t>Settlement Point Price</w:t>
            </w:r>
            <w:r w:rsidRPr="00314B3D">
              <w:rPr>
                <w:sz w:val="20"/>
                <w:szCs w:val="20"/>
              </w:rPr>
              <w:t xml:space="preserve"> at the logical Resource Node for a Combined Cycle Generation Resource for the hour.</w:t>
            </w:r>
          </w:p>
        </w:tc>
      </w:tr>
      <w:tr w:rsidR="004A1BC5" w:rsidRPr="00E135D0" w14:paraId="7F3EB69A" w14:textId="77777777" w:rsidTr="004A1BC5">
        <w:tc>
          <w:tcPr>
            <w:tcW w:w="2132" w:type="dxa"/>
          </w:tcPr>
          <w:p w14:paraId="5479D081" w14:textId="77777777" w:rsidR="004A1BC5" w:rsidRPr="00A11FAD" w:rsidRDefault="004A1BC5" w:rsidP="004A1BC5">
            <w:pPr>
              <w:rPr>
                <w:sz w:val="20"/>
                <w:szCs w:val="20"/>
                <w:vertAlign w:val="subscript"/>
              </w:rPr>
            </w:pPr>
            <w:r w:rsidRPr="00A11FAD">
              <w:rPr>
                <w:sz w:val="20"/>
                <w:szCs w:val="20"/>
              </w:rPr>
              <w:t>DALMP</w:t>
            </w:r>
            <w:r w:rsidR="00FE564A">
              <w:rPr>
                <w:sz w:val="20"/>
                <w:szCs w:val="20"/>
              </w:rPr>
              <w:t xml:space="preserve"> </w:t>
            </w:r>
            <w:r w:rsidR="00AE2B1F" w:rsidRPr="00FE564A">
              <w:rPr>
                <w:sz w:val="20"/>
                <w:szCs w:val="20"/>
                <w:vertAlign w:val="subscript"/>
              </w:rPr>
              <w:t>CCGR_PhyR</w:t>
            </w:r>
          </w:p>
        </w:tc>
        <w:tc>
          <w:tcPr>
            <w:tcW w:w="1051" w:type="dxa"/>
          </w:tcPr>
          <w:p w14:paraId="6040D45B" w14:textId="77777777" w:rsidR="004A1BC5" w:rsidRPr="00A11FAD" w:rsidRDefault="004A1BC5" w:rsidP="004A1BC5">
            <w:pPr>
              <w:rPr>
                <w:sz w:val="20"/>
                <w:szCs w:val="20"/>
              </w:rPr>
            </w:pPr>
            <w:r w:rsidRPr="00314B3D">
              <w:rPr>
                <w:sz w:val="20"/>
                <w:szCs w:val="20"/>
              </w:rPr>
              <w:t>$/MWh</w:t>
            </w:r>
          </w:p>
        </w:tc>
        <w:tc>
          <w:tcPr>
            <w:tcW w:w="6393" w:type="dxa"/>
          </w:tcPr>
          <w:p w14:paraId="321F8BB0" w14:textId="77777777" w:rsidR="004A1BC5" w:rsidRPr="00A11FAD" w:rsidRDefault="004A1BC5" w:rsidP="004A1BC5">
            <w:pPr>
              <w:rPr>
                <w:sz w:val="20"/>
                <w:szCs w:val="20"/>
              </w:rPr>
            </w:pPr>
            <w:r w:rsidRPr="00314B3D">
              <w:rPr>
                <w:i/>
                <w:sz w:val="20"/>
                <w:szCs w:val="20"/>
              </w:rPr>
              <w:t>Day-Ahead Locational Marginal Price at a Resource Node for a generation unit registered in the Combined Cycle Generation Resource</w:t>
            </w:r>
            <w:r>
              <w:t>—</w:t>
            </w:r>
            <w:r w:rsidRPr="00314B3D">
              <w:rPr>
                <w:sz w:val="20"/>
                <w:szCs w:val="20"/>
              </w:rPr>
              <w:t>The Day-Ahead LMP at the Resource Node of a generation unit designated in the Combine</w:t>
            </w:r>
            <w:r w:rsidR="002A59AC">
              <w:rPr>
                <w:sz w:val="20"/>
                <w:szCs w:val="20"/>
              </w:rPr>
              <w:t>d</w:t>
            </w:r>
            <w:r w:rsidRPr="00314B3D">
              <w:rPr>
                <w:sz w:val="20"/>
                <w:szCs w:val="20"/>
              </w:rPr>
              <w:t xml:space="preserve"> Cycle Train registration for the Combined Cycle Generation Resource.</w:t>
            </w:r>
          </w:p>
        </w:tc>
      </w:tr>
      <w:tr w:rsidR="004A1BC5" w:rsidRPr="00E135D0" w14:paraId="114F3E5B" w14:textId="77777777" w:rsidTr="004A1BC5">
        <w:tc>
          <w:tcPr>
            <w:tcW w:w="2132" w:type="dxa"/>
          </w:tcPr>
          <w:p w14:paraId="23F01FB8" w14:textId="77777777" w:rsidR="004A1BC5" w:rsidRPr="00A11FAD" w:rsidRDefault="004A1BC5" w:rsidP="004A1BC5">
            <w:pPr>
              <w:rPr>
                <w:sz w:val="20"/>
                <w:szCs w:val="20"/>
                <w:vertAlign w:val="subscript"/>
              </w:rPr>
            </w:pPr>
            <w:r w:rsidRPr="00A11FAD">
              <w:rPr>
                <w:sz w:val="20"/>
                <w:szCs w:val="20"/>
              </w:rPr>
              <w:lastRenderedPageBreak/>
              <w:t>DACCGRWF</w:t>
            </w:r>
            <w:r w:rsidR="00FE564A">
              <w:rPr>
                <w:sz w:val="20"/>
                <w:szCs w:val="20"/>
              </w:rPr>
              <w:t xml:space="preserve"> </w:t>
            </w:r>
            <w:r w:rsidR="00AE2B1F" w:rsidRPr="00FE564A">
              <w:rPr>
                <w:sz w:val="20"/>
                <w:szCs w:val="20"/>
                <w:vertAlign w:val="subscript"/>
              </w:rPr>
              <w:t>CCGR_PhyR</w:t>
            </w:r>
          </w:p>
        </w:tc>
        <w:tc>
          <w:tcPr>
            <w:tcW w:w="1051" w:type="dxa"/>
          </w:tcPr>
          <w:p w14:paraId="4DFD8D5D" w14:textId="77777777" w:rsidR="004A1BC5" w:rsidRPr="00A11FAD" w:rsidRDefault="008472BF" w:rsidP="004A1BC5">
            <w:pPr>
              <w:rPr>
                <w:sz w:val="20"/>
                <w:szCs w:val="20"/>
              </w:rPr>
            </w:pPr>
            <w:r>
              <w:rPr>
                <w:sz w:val="20"/>
                <w:szCs w:val="20"/>
              </w:rPr>
              <w:t>n</w:t>
            </w:r>
            <w:r w:rsidR="004A1BC5" w:rsidRPr="00314B3D">
              <w:rPr>
                <w:sz w:val="20"/>
                <w:szCs w:val="20"/>
              </w:rPr>
              <w:t>one</w:t>
            </w:r>
          </w:p>
        </w:tc>
        <w:tc>
          <w:tcPr>
            <w:tcW w:w="6393" w:type="dxa"/>
          </w:tcPr>
          <w:p w14:paraId="1325197B" w14:textId="77777777" w:rsidR="004A1BC5" w:rsidRPr="00A11FAD" w:rsidRDefault="004A1BC5" w:rsidP="004A1BC5">
            <w:pPr>
              <w:rPr>
                <w:sz w:val="20"/>
                <w:szCs w:val="20"/>
              </w:rPr>
            </w:pPr>
            <w:r w:rsidRPr="00314B3D">
              <w:rPr>
                <w:i/>
                <w:sz w:val="20"/>
                <w:szCs w:val="20"/>
              </w:rPr>
              <w:t>Day-Ahead Combined Cycle Generation Resource Weighting Factor</w:t>
            </w:r>
            <w:r>
              <w:t>—</w:t>
            </w:r>
            <w:r w:rsidRPr="00A11FAD">
              <w:rPr>
                <w:sz w:val="20"/>
                <w:szCs w:val="20"/>
              </w:rPr>
              <w:t xml:space="preserve">The DAM </w:t>
            </w:r>
            <w:r>
              <w:rPr>
                <w:sz w:val="20"/>
                <w:szCs w:val="20"/>
              </w:rPr>
              <w:t>Combined Cycle Generation Resource</w:t>
            </w:r>
            <w:r w:rsidRPr="00314B3D">
              <w:rPr>
                <w:sz w:val="20"/>
                <w:szCs w:val="20"/>
              </w:rPr>
              <w:t xml:space="preserve"> weighting factor for a generation unit designated in a Combined Cycle Train registration for the Combined Cycle Generation Resource.</w:t>
            </w:r>
          </w:p>
        </w:tc>
      </w:tr>
      <w:tr w:rsidR="004A1BC5" w:rsidRPr="00E135D0" w14:paraId="6F229997" w14:textId="77777777" w:rsidTr="004A1BC5">
        <w:tc>
          <w:tcPr>
            <w:tcW w:w="2132" w:type="dxa"/>
          </w:tcPr>
          <w:p w14:paraId="2817E527" w14:textId="77777777" w:rsidR="004A1BC5" w:rsidRPr="00A11FAD" w:rsidRDefault="004A1BC5" w:rsidP="004A1BC5">
            <w:pPr>
              <w:rPr>
                <w:sz w:val="20"/>
                <w:szCs w:val="20"/>
              </w:rPr>
            </w:pPr>
            <w:r w:rsidRPr="00A11FAD">
              <w:rPr>
                <w:sz w:val="20"/>
                <w:szCs w:val="20"/>
              </w:rPr>
              <w:t>CCGR_PhyR</w:t>
            </w:r>
          </w:p>
        </w:tc>
        <w:tc>
          <w:tcPr>
            <w:tcW w:w="1051" w:type="dxa"/>
          </w:tcPr>
          <w:p w14:paraId="37BED692" w14:textId="77777777" w:rsidR="004A1BC5" w:rsidRPr="00A11FAD" w:rsidRDefault="004A1BC5" w:rsidP="004A1BC5">
            <w:pPr>
              <w:rPr>
                <w:sz w:val="20"/>
                <w:szCs w:val="20"/>
              </w:rPr>
            </w:pPr>
            <w:r>
              <w:rPr>
                <w:sz w:val="20"/>
                <w:szCs w:val="20"/>
              </w:rPr>
              <w:t>n</w:t>
            </w:r>
            <w:r w:rsidRPr="00314B3D">
              <w:rPr>
                <w:sz w:val="20"/>
                <w:szCs w:val="20"/>
              </w:rPr>
              <w:t>one</w:t>
            </w:r>
          </w:p>
        </w:tc>
        <w:tc>
          <w:tcPr>
            <w:tcW w:w="6393" w:type="dxa"/>
          </w:tcPr>
          <w:p w14:paraId="2F3A6ADE" w14:textId="77777777" w:rsidR="004A1BC5" w:rsidRPr="00A11FAD" w:rsidRDefault="004A1BC5" w:rsidP="004A1BC5">
            <w:pPr>
              <w:rPr>
                <w:sz w:val="20"/>
                <w:szCs w:val="20"/>
              </w:rPr>
            </w:pPr>
            <w:r w:rsidRPr="00314B3D">
              <w:rPr>
                <w:sz w:val="20"/>
                <w:szCs w:val="20"/>
              </w:rPr>
              <w:t xml:space="preserve">A generation unit designated in a Combine Cycle Train for the </w:t>
            </w:r>
            <w:r>
              <w:rPr>
                <w:sz w:val="20"/>
                <w:szCs w:val="20"/>
              </w:rPr>
              <w:t>Combined Cycle Generation Resource</w:t>
            </w:r>
            <w:r w:rsidRPr="00314B3D">
              <w:rPr>
                <w:sz w:val="20"/>
                <w:szCs w:val="20"/>
              </w:rPr>
              <w:t>.</w:t>
            </w:r>
          </w:p>
        </w:tc>
      </w:tr>
    </w:tbl>
    <w:p w14:paraId="1D6B38FC" w14:textId="77777777" w:rsidR="00A47857" w:rsidRDefault="004A1BC5">
      <w:pPr>
        <w:pStyle w:val="List"/>
        <w:spacing w:before="240"/>
        <w:ind w:left="1440"/>
        <w:rPr>
          <w:iCs/>
        </w:rPr>
      </w:pPr>
      <w:r>
        <w:rPr>
          <w:iCs/>
        </w:rPr>
        <w:t>(b)</w:t>
      </w:r>
      <w:r>
        <w:rPr>
          <w:iCs/>
        </w:rPr>
        <w:tab/>
      </w:r>
      <w:r w:rsidRPr="00F66B4A">
        <w:rPr>
          <w:iCs/>
        </w:rPr>
        <w:t xml:space="preserve">The weight </w:t>
      </w:r>
      <w:r w:rsidRPr="00A11FAD">
        <w:t>factor</w:t>
      </w:r>
      <w:r w:rsidRPr="00F66B4A">
        <w:rPr>
          <w:iCs/>
        </w:rPr>
        <w:t xml:space="preserve"> for each generation unit designated in the Combine</w:t>
      </w:r>
      <w:r w:rsidR="002A59AC">
        <w:rPr>
          <w:iCs/>
        </w:rPr>
        <w:t>d</w:t>
      </w:r>
      <w:r w:rsidRPr="00F66B4A">
        <w:rPr>
          <w:iCs/>
        </w:rPr>
        <w:t xml:space="preserve"> Cycle Train registration for the Combined Cycle Generation Resource shall be the generation unit’s </w:t>
      </w:r>
      <w:r>
        <w:rPr>
          <w:iCs/>
        </w:rPr>
        <w:t>High Reasonability Limit (</w:t>
      </w:r>
      <w:r w:rsidRPr="00F66B4A">
        <w:rPr>
          <w:iCs/>
        </w:rPr>
        <w:t>HRL</w:t>
      </w:r>
      <w:r>
        <w:rPr>
          <w:iCs/>
        </w:rPr>
        <w:t>)</w:t>
      </w:r>
      <w:r w:rsidRPr="00F66B4A">
        <w:rPr>
          <w:iCs/>
        </w:rPr>
        <w:t xml:space="preserve">, as specified in </w:t>
      </w:r>
      <w:r w:rsidR="00D44134">
        <w:rPr>
          <w:iCs/>
        </w:rPr>
        <w:t xml:space="preserve">the </w:t>
      </w:r>
      <w:r>
        <w:rPr>
          <w:iCs/>
        </w:rPr>
        <w:t>Resource Registration</w:t>
      </w:r>
      <w:r w:rsidR="00D44134">
        <w:rPr>
          <w:iCs/>
        </w:rPr>
        <w:t xml:space="preserve"> data provided to ERCOT pursuant to Planning Guide Section 6.8.2, Resource Registration Process</w:t>
      </w:r>
      <w:r w:rsidRPr="00F66B4A">
        <w:rPr>
          <w:iCs/>
        </w:rPr>
        <w:t>, divided by the total of all HRL values for the generation units designated in the Combine</w:t>
      </w:r>
      <w:r w:rsidR="002A59AC">
        <w:rPr>
          <w:iCs/>
        </w:rPr>
        <w:t>d</w:t>
      </w:r>
      <w:r w:rsidRPr="00F66B4A">
        <w:rPr>
          <w:iCs/>
        </w:rPr>
        <w:t xml:space="preserve"> Cycle Generation Resource </w:t>
      </w:r>
      <w:r w:rsidR="00D44134">
        <w:rPr>
          <w:iCs/>
        </w:rPr>
        <w:t>R</w:t>
      </w:r>
      <w:r w:rsidRPr="00F66B4A">
        <w:rPr>
          <w:iCs/>
        </w:rPr>
        <w:t>egistration</w:t>
      </w:r>
      <w:r w:rsidR="00D44134">
        <w:rPr>
          <w:iCs/>
        </w:rPr>
        <w:t xml:space="preserve"> data</w:t>
      </w:r>
      <w:r>
        <w:rPr>
          <w:iCs/>
        </w:rPr>
        <w:t>.</w:t>
      </w:r>
    </w:p>
    <w:p w14:paraId="3575CA3A" w14:textId="77777777" w:rsidR="004A1BC5" w:rsidRPr="00EE47EB" w:rsidRDefault="004A1BC5" w:rsidP="006141F6">
      <w:pPr>
        <w:pStyle w:val="BodyText"/>
        <w:ind w:left="1440"/>
        <w:rPr>
          <w:i/>
          <w:vertAlign w:val="subscript"/>
        </w:rPr>
      </w:pPr>
      <w:r w:rsidRPr="006141F6">
        <w:rPr>
          <w:iCs w:val="0"/>
        </w:rPr>
        <w:t>Where</w:t>
      </w:r>
      <w:r w:rsidRPr="00EE47EB">
        <w:t>:</w:t>
      </w:r>
    </w:p>
    <w:p w14:paraId="02DBF322" w14:textId="77777777" w:rsidR="00A47857" w:rsidRPr="006141F6" w:rsidRDefault="004A1BC5">
      <w:pPr>
        <w:pStyle w:val="BodyText"/>
        <w:ind w:left="2880" w:hanging="1440"/>
        <w:rPr>
          <w:b/>
          <w:vertAlign w:val="subscript"/>
        </w:rPr>
      </w:pPr>
      <w:r w:rsidRPr="006141F6">
        <w:rPr>
          <w:b/>
        </w:rPr>
        <w:t xml:space="preserve">DACCGRWF </w:t>
      </w:r>
      <w:r w:rsidR="00EF43E9" w:rsidRPr="006141F6">
        <w:rPr>
          <w:b/>
          <w:i/>
          <w:vertAlign w:val="subscript"/>
        </w:rPr>
        <w:t>CCGR_PhyR</w:t>
      </w:r>
      <w:r w:rsidRPr="006141F6">
        <w:rPr>
          <w:b/>
        </w:rPr>
        <w:t xml:space="preserve"> = HRL </w:t>
      </w:r>
      <w:r w:rsidR="00EF43E9" w:rsidRPr="006141F6">
        <w:rPr>
          <w:b/>
          <w:i/>
          <w:vertAlign w:val="subscript"/>
        </w:rPr>
        <w:t>CCGR_PhyR</w:t>
      </w:r>
      <w:r w:rsidRPr="006141F6">
        <w:rPr>
          <w:b/>
        </w:rPr>
        <w:t xml:space="preserve"> / ∑</w:t>
      </w:r>
      <w:r w:rsidR="00EF43E9" w:rsidRPr="006141F6">
        <w:rPr>
          <w:b/>
          <w:i/>
          <w:vertAlign w:val="subscript"/>
        </w:rPr>
        <w:t>CCGR_PhyR</w:t>
      </w:r>
      <w:r w:rsidRPr="006141F6">
        <w:rPr>
          <w:b/>
        </w:rPr>
        <w:t xml:space="preserve"> HRL </w:t>
      </w:r>
      <w:r w:rsidR="00EF43E9" w:rsidRPr="006141F6">
        <w:rPr>
          <w:b/>
          <w:i/>
          <w:vertAlign w:val="subscript"/>
        </w:rPr>
        <w:t>CCGR_PhyR</w:t>
      </w:r>
    </w:p>
    <w:p w14:paraId="4B0B0D95" w14:textId="77777777" w:rsidR="004A1BC5" w:rsidRDefault="004A1BC5" w:rsidP="004A1BC5">
      <w:pPr>
        <w:rPr>
          <w:b/>
        </w:rPr>
      </w:pPr>
      <w:r>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1035"/>
        <w:gridCol w:w="6211"/>
      </w:tblGrid>
      <w:tr w:rsidR="004A1BC5" w:rsidRPr="00E135D0" w14:paraId="6BE82961" w14:textId="77777777" w:rsidTr="004A1BC5">
        <w:tc>
          <w:tcPr>
            <w:tcW w:w="2132" w:type="dxa"/>
          </w:tcPr>
          <w:p w14:paraId="0214E9BF" w14:textId="77777777" w:rsidR="004A1BC5" w:rsidRDefault="004A1BC5" w:rsidP="004A1BC5">
            <w:pPr>
              <w:pStyle w:val="TableHead"/>
            </w:pPr>
            <w:r w:rsidRPr="00A11FAD">
              <w:t>Variable</w:t>
            </w:r>
          </w:p>
        </w:tc>
        <w:tc>
          <w:tcPr>
            <w:tcW w:w="1051" w:type="dxa"/>
          </w:tcPr>
          <w:p w14:paraId="7757FBFB" w14:textId="77777777" w:rsidR="004A1BC5" w:rsidRDefault="004A1BC5" w:rsidP="004A1BC5">
            <w:pPr>
              <w:pStyle w:val="TableHead"/>
            </w:pPr>
            <w:r w:rsidRPr="00A11FAD">
              <w:t>Unit</w:t>
            </w:r>
          </w:p>
        </w:tc>
        <w:tc>
          <w:tcPr>
            <w:tcW w:w="6393" w:type="dxa"/>
          </w:tcPr>
          <w:p w14:paraId="056AC3DA" w14:textId="77777777" w:rsidR="004A1BC5" w:rsidRDefault="004A1BC5" w:rsidP="004A1BC5">
            <w:pPr>
              <w:pStyle w:val="TableHead"/>
            </w:pPr>
            <w:r w:rsidRPr="00A11FAD">
              <w:t>Definition</w:t>
            </w:r>
          </w:p>
        </w:tc>
      </w:tr>
      <w:tr w:rsidR="004A1BC5" w:rsidRPr="00E135D0" w14:paraId="6F832F62" w14:textId="77777777" w:rsidTr="004A1BC5">
        <w:tc>
          <w:tcPr>
            <w:tcW w:w="2132" w:type="dxa"/>
          </w:tcPr>
          <w:p w14:paraId="44886E5E" w14:textId="77777777" w:rsidR="004A1BC5" w:rsidRPr="0040745A" w:rsidRDefault="004A1BC5" w:rsidP="004A1BC5">
            <w:pPr>
              <w:rPr>
                <w:sz w:val="20"/>
                <w:szCs w:val="20"/>
                <w:vertAlign w:val="subscript"/>
              </w:rPr>
            </w:pPr>
            <w:r w:rsidRPr="00A11FAD">
              <w:rPr>
                <w:sz w:val="20"/>
                <w:szCs w:val="20"/>
              </w:rPr>
              <w:t>DACCGRWF</w:t>
            </w:r>
            <w:r w:rsidR="00FE564A">
              <w:rPr>
                <w:sz w:val="20"/>
                <w:szCs w:val="20"/>
              </w:rPr>
              <w:t xml:space="preserve"> </w:t>
            </w:r>
            <w:r w:rsidR="00AE2B1F" w:rsidRPr="00FE564A">
              <w:rPr>
                <w:sz w:val="20"/>
                <w:szCs w:val="20"/>
                <w:vertAlign w:val="subscript"/>
              </w:rPr>
              <w:t>CCGR_PhyR</w:t>
            </w:r>
          </w:p>
        </w:tc>
        <w:tc>
          <w:tcPr>
            <w:tcW w:w="1051" w:type="dxa"/>
          </w:tcPr>
          <w:p w14:paraId="40FED701" w14:textId="77777777" w:rsidR="004A1BC5" w:rsidRPr="0040745A" w:rsidRDefault="004A1BC5" w:rsidP="004A1BC5">
            <w:pPr>
              <w:rPr>
                <w:sz w:val="20"/>
                <w:szCs w:val="20"/>
              </w:rPr>
            </w:pPr>
            <w:r>
              <w:rPr>
                <w:sz w:val="20"/>
                <w:szCs w:val="20"/>
              </w:rPr>
              <w:t>n</w:t>
            </w:r>
            <w:r w:rsidR="00EF43E9" w:rsidRPr="00EF43E9">
              <w:rPr>
                <w:sz w:val="20"/>
                <w:szCs w:val="20"/>
              </w:rPr>
              <w:t>one</w:t>
            </w:r>
          </w:p>
        </w:tc>
        <w:tc>
          <w:tcPr>
            <w:tcW w:w="6393" w:type="dxa"/>
          </w:tcPr>
          <w:p w14:paraId="0B8B0673" w14:textId="77777777" w:rsidR="004A1BC5" w:rsidRPr="0040745A" w:rsidRDefault="00EF43E9" w:rsidP="004A1BC5">
            <w:pPr>
              <w:rPr>
                <w:sz w:val="20"/>
                <w:szCs w:val="20"/>
              </w:rPr>
            </w:pPr>
            <w:r w:rsidRPr="00EF43E9">
              <w:rPr>
                <w:i/>
                <w:sz w:val="20"/>
                <w:szCs w:val="20"/>
              </w:rPr>
              <w:t>Day-Ahead Combined Cycle Generation Resource Weighting Factor</w:t>
            </w:r>
            <w:r w:rsidR="004A1BC5">
              <w:t>—</w:t>
            </w:r>
            <w:r w:rsidR="004A1BC5" w:rsidRPr="00A11FAD">
              <w:rPr>
                <w:sz w:val="20"/>
                <w:szCs w:val="20"/>
              </w:rPr>
              <w:t xml:space="preserve">The DAM </w:t>
            </w:r>
            <w:r w:rsidR="004A1BC5">
              <w:rPr>
                <w:sz w:val="20"/>
                <w:szCs w:val="20"/>
              </w:rPr>
              <w:t>Combined Cycle Generation Resource</w:t>
            </w:r>
            <w:r w:rsidRPr="00EF43E9">
              <w:rPr>
                <w:sz w:val="20"/>
                <w:szCs w:val="20"/>
              </w:rPr>
              <w:t xml:space="preserve"> weighting factor for a generation unit designated in a Combined Cycle Train registration for the Combined Cycle Generation Resource.</w:t>
            </w:r>
          </w:p>
        </w:tc>
      </w:tr>
      <w:tr w:rsidR="004A1BC5" w:rsidRPr="00E135D0" w14:paraId="0FCFEF10" w14:textId="77777777" w:rsidTr="004A1BC5">
        <w:tc>
          <w:tcPr>
            <w:tcW w:w="2132" w:type="dxa"/>
          </w:tcPr>
          <w:p w14:paraId="16BDB8FE" w14:textId="77777777" w:rsidR="004A1BC5" w:rsidRPr="0040745A" w:rsidRDefault="004A1BC5" w:rsidP="004A1BC5">
            <w:pPr>
              <w:rPr>
                <w:sz w:val="20"/>
                <w:szCs w:val="20"/>
                <w:vertAlign w:val="subscript"/>
              </w:rPr>
            </w:pPr>
            <w:r w:rsidRPr="00A11FAD">
              <w:rPr>
                <w:sz w:val="20"/>
                <w:szCs w:val="20"/>
              </w:rPr>
              <w:t>HRL</w:t>
            </w:r>
            <w:r w:rsidR="00FE564A">
              <w:rPr>
                <w:sz w:val="20"/>
                <w:szCs w:val="20"/>
              </w:rPr>
              <w:t xml:space="preserve"> </w:t>
            </w:r>
            <w:r w:rsidR="00AE2B1F" w:rsidRPr="00FE564A">
              <w:rPr>
                <w:sz w:val="20"/>
                <w:szCs w:val="20"/>
                <w:vertAlign w:val="subscript"/>
              </w:rPr>
              <w:t>CCGR_PhyR</w:t>
            </w:r>
          </w:p>
        </w:tc>
        <w:tc>
          <w:tcPr>
            <w:tcW w:w="1051" w:type="dxa"/>
          </w:tcPr>
          <w:p w14:paraId="076E9B74" w14:textId="77777777" w:rsidR="004A1BC5" w:rsidRPr="0040745A" w:rsidRDefault="00EF43E9" w:rsidP="004A1BC5">
            <w:pPr>
              <w:rPr>
                <w:sz w:val="20"/>
                <w:szCs w:val="20"/>
              </w:rPr>
            </w:pPr>
            <w:r w:rsidRPr="00EF43E9">
              <w:rPr>
                <w:sz w:val="20"/>
                <w:szCs w:val="20"/>
              </w:rPr>
              <w:t>MW</w:t>
            </w:r>
          </w:p>
        </w:tc>
        <w:tc>
          <w:tcPr>
            <w:tcW w:w="6393" w:type="dxa"/>
          </w:tcPr>
          <w:p w14:paraId="394E66F1" w14:textId="77777777" w:rsidR="004A1BC5" w:rsidRPr="0040745A" w:rsidRDefault="00EF43E9" w:rsidP="006F5FFD">
            <w:pPr>
              <w:rPr>
                <w:sz w:val="20"/>
                <w:szCs w:val="20"/>
              </w:rPr>
            </w:pPr>
            <w:r w:rsidRPr="00EF43E9">
              <w:rPr>
                <w:i/>
                <w:sz w:val="20"/>
                <w:szCs w:val="20"/>
              </w:rPr>
              <w:t>High Reasonability Limit</w:t>
            </w:r>
            <w:r w:rsidR="004A1BC5">
              <w:t>—</w:t>
            </w:r>
            <w:r w:rsidR="004A1BC5" w:rsidRPr="00A11FAD">
              <w:rPr>
                <w:sz w:val="20"/>
                <w:szCs w:val="20"/>
              </w:rPr>
              <w:t>The HRL</w:t>
            </w:r>
            <w:r w:rsidR="004A1BC5">
              <w:rPr>
                <w:sz w:val="20"/>
                <w:szCs w:val="20"/>
              </w:rPr>
              <w:t xml:space="preserve"> as specified in the ERCOT-approved Resource Registration </w:t>
            </w:r>
            <w:r w:rsidR="00D44134">
              <w:rPr>
                <w:sz w:val="20"/>
                <w:szCs w:val="20"/>
              </w:rPr>
              <w:t>data</w:t>
            </w:r>
            <w:r w:rsidR="00722B15">
              <w:rPr>
                <w:sz w:val="20"/>
                <w:szCs w:val="20"/>
              </w:rPr>
              <w:t xml:space="preserve"> </w:t>
            </w:r>
            <w:r w:rsidRPr="00EF43E9">
              <w:rPr>
                <w:sz w:val="20"/>
                <w:szCs w:val="20"/>
              </w:rPr>
              <w:t>for a generation unit designated in a Combined Cycle Train registration for the Combined Cycle Generation Resource.</w:t>
            </w:r>
          </w:p>
        </w:tc>
      </w:tr>
      <w:tr w:rsidR="004A1BC5" w:rsidRPr="00E135D0" w14:paraId="42993D87" w14:textId="77777777" w:rsidTr="004A1BC5">
        <w:tc>
          <w:tcPr>
            <w:tcW w:w="2132" w:type="dxa"/>
          </w:tcPr>
          <w:p w14:paraId="3713058A" w14:textId="77777777" w:rsidR="004A1BC5" w:rsidRPr="0040745A" w:rsidRDefault="004A1BC5" w:rsidP="004A1BC5">
            <w:pPr>
              <w:rPr>
                <w:sz w:val="20"/>
                <w:szCs w:val="20"/>
              </w:rPr>
            </w:pPr>
            <w:r w:rsidRPr="00A11FAD">
              <w:rPr>
                <w:sz w:val="20"/>
                <w:szCs w:val="20"/>
              </w:rPr>
              <w:t>CCGR_PhyR</w:t>
            </w:r>
          </w:p>
        </w:tc>
        <w:tc>
          <w:tcPr>
            <w:tcW w:w="1051" w:type="dxa"/>
          </w:tcPr>
          <w:p w14:paraId="6FC858F8" w14:textId="77777777" w:rsidR="004A1BC5" w:rsidRPr="0040745A" w:rsidRDefault="004A1BC5" w:rsidP="004A1BC5">
            <w:pPr>
              <w:rPr>
                <w:sz w:val="20"/>
                <w:szCs w:val="20"/>
              </w:rPr>
            </w:pPr>
            <w:r>
              <w:rPr>
                <w:sz w:val="20"/>
                <w:szCs w:val="20"/>
              </w:rPr>
              <w:t>n</w:t>
            </w:r>
            <w:r w:rsidR="00EF43E9" w:rsidRPr="00EF43E9">
              <w:rPr>
                <w:sz w:val="20"/>
                <w:szCs w:val="20"/>
              </w:rPr>
              <w:t>one</w:t>
            </w:r>
          </w:p>
        </w:tc>
        <w:tc>
          <w:tcPr>
            <w:tcW w:w="6393" w:type="dxa"/>
          </w:tcPr>
          <w:p w14:paraId="740A1A20" w14:textId="77777777" w:rsidR="004A1BC5" w:rsidRPr="0040745A" w:rsidRDefault="00EF43E9" w:rsidP="004A1BC5">
            <w:pPr>
              <w:rPr>
                <w:sz w:val="20"/>
                <w:szCs w:val="20"/>
              </w:rPr>
            </w:pPr>
            <w:r w:rsidRPr="00EF43E9">
              <w:rPr>
                <w:sz w:val="20"/>
                <w:szCs w:val="20"/>
              </w:rPr>
              <w:t>A generation unit designated in a Combine</w:t>
            </w:r>
            <w:r w:rsidR="002A59AC">
              <w:rPr>
                <w:sz w:val="20"/>
                <w:szCs w:val="20"/>
              </w:rPr>
              <w:t>d</w:t>
            </w:r>
            <w:r w:rsidRPr="00EF43E9">
              <w:rPr>
                <w:sz w:val="20"/>
                <w:szCs w:val="20"/>
              </w:rPr>
              <w:t xml:space="preserve"> Cycle Train for the </w:t>
            </w:r>
            <w:r w:rsidR="004A1BC5">
              <w:rPr>
                <w:sz w:val="20"/>
                <w:szCs w:val="20"/>
              </w:rPr>
              <w:t>Combined Cycle Generation Resource</w:t>
            </w:r>
            <w:r w:rsidRPr="00EF43E9">
              <w:rPr>
                <w:sz w:val="20"/>
                <w:szCs w:val="20"/>
              </w:rPr>
              <w:t>.</w:t>
            </w:r>
          </w:p>
        </w:tc>
      </w:tr>
    </w:tbl>
    <w:p w14:paraId="0BDA4049" w14:textId="77777777" w:rsidR="00FF2129" w:rsidRDefault="00482EF3" w:rsidP="00003B06">
      <w:pPr>
        <w:pStyle w:val="H3"/>
        <w:spacing w:before="480"/>
      </w:pPr>
      <w:bookmarkStart w:id="664" w:name="_Toc109185128"/>
      <w:bookmarkStart w:id="665" w:name="_Toc142108958"/>
      <w:bookmarkStart w:id="666" w:name="_Toc142113803"/>
      <w:bookmarkStart w:id="667" w:name="_Toc402345631"/>
      <w:bookmarkStart w:id="668" w:name="_Toc405383914"/>
      <w:bookmarkStart w:id="669" w:name="_Toc405537017"/>
      <w:bookmarkStart w:id="670" w:name="_Toc440871803"/>
      <w:bookmarkStart w:id="671" w:name="_Toc135990684"/>
      <w:r>
        <w:t>4.6.2</w:t>
      </w:r>
      <w:r>
        <w:tab/>
        <w:t xml:space="preserve">Day-Ahead Energy </w:t>
      </w:r>
      <w:bookmarkEnd w:id="631"/>
      <w:bookmarkEnd w:id="632"/>
      <w:bookmarkEnd w:id="633"/>
      <w:bookmarkEnd w:id="634"/>
      <w:r>
        <w:t>and Make-Whole Settlement</w:t>
      </w:r>
      <w:bookmarkEnd w:id="664"/>
      <w:bookmarkEnd w:id="665"/>
      <w:bookmarkEnd w:id="666"/>
      <w:bookmarkEnd w:id="667"/>
      <w:bookmarkEnd w:id="668"/>
      <w:bookmarkEnd w:id="669"/>
      <w:bookmarkEnd w:id="670"/>
      <w:bookmarkEnd w:id="671"/>
    </w:p>
    <w:p w14:paraId="4EE0D4A2" w14:textId="77777777" w:rsidR="00FF2129" w:rsidRDefault="00482EF3" w:rsidP="00003B06">
      <w:pPr>
        <w:pStyle w:val="H4"/>
        <w:spacing w:before="480"/>
      </w:pPr>
      <w:bookmarkStart w:id="672" w:name="_Toc73282796"/>
      <w:bookmarkStart w:id="673" w:name="_Toc73868380"/>
      <w:bookmarkStart w:id="674" w:name="_Toc75852529"/>
      <w:bookmarkStart w:id="675" w:name="_Toc90197134"/>
      <w:bookmarkStart w:id="676" w:name="_Toc109185129"/>
      <w:bookmarkStart w:id="677" w:name="_Toc142108959"/>
      <w:bookmarkStart w:id="678" w:name="_Toc142113804"/>
      <w:bookmarkStart w:id="679" w:name="_Toc402345632"/>
      <w:bookmarkStart w:id="680" w:name="_Toc405383915"/>
      <w:bookmarkStart w:id="681" w:name="_Toc405537018"/>
      <w:bookmarkStart w:id="682" w:name="_Toc440871804"/>
      <w:bookmarkStart w:id="683" w:name="_Toc135990685"/>
      <w:r>
        <w:t>4.6.2.1</w:t>
      </w:r>
      <w:r>
        <w:tab/>
      </w:r>
      <w:bookmarkEnd w:id="672"/>
      <w:bookmarkEnd w:id="673"/>
      <w:bookmarkEnd w:id="674"/>
      <w:bookmarkEnd w:id="675"/>
      <w:r>
        <w:t>Day-Ahead Energy Payment</w:t>
      </w:r>
      <w:bookmarkEnd w:id="676"/>
      <w:bookmarkEnd w:id="677"/>
      <w:bookmarkEnd w:id="678"/>
      <w:bookmarkEnd w:id="679"/>
      <w:bookmarkEnd w:id="680"/>
      <w:bookmarkEnd w:id="681"/>
      <w:bookmarkEnd w:id="682"/>
      <w:bookmarkEnd w:id="683"/>
    </w:p>
    <w:p w14:paraId="224A39D3" w14:textId="77777777" w:rsidR="00FF2129" w:rsidRDefault="00482EF3">
      <w:pPr>
        <w:pStyle w:val="BodyTextNumbered"/>
      </w:pPr>
      <w:r>
        <w:t>(1)</w:t>
      </w:r>
      <w:r>
        <w:tab/>
        <w:t>The Day-Ahead Energy Payment is made for all cleared offers to sell energy in the DAM, whether through Three-Part Supply Offers or DAM Energy-Only Offer Curves.  The payment to each Qualified Scheduling Entity (QSE) for each Settlement Point for a given hour of the Operating Day is calculated as follows:</w:t>
      </w:r>
    </w:p>
    <w:p w14:paraId="14990781" w14:textId="77777777" w:rsidR="00FF2129" w:rsidRDefault="00482EF3" w:rsidP="00E30EAB">
      <w:pPr>
        <w:pStyle w:val="FormulaBold"/>
      </w:pPr>
      <w:r>
        <w:t xml:space="preserve">DAESAMT </w:t>
      </w:r>
      <w:r>
        <w:rPr>
          <w:i/>
          <w:vertAlign w:val="subscript"/>
        </w:rPr>
        <w:t>q,</w:t>
      </w:r>
      <w:r>
        <w:rPr>
          <w:vertAlign w:val="subscript"/>
        </w:rPr>
        <w:t xml:space="preserve"> </w:t>
      </w:r>
      <w:r>
        <w:rPr>
          <w:i/>
          <w:vertAlign w:val="subscript"/>
        </w:rPr>
        <w:t>p</w:t>
      </w:r>
      <w:r>
        <w:tab/>
        <w:t>=</w:t>
      </w:r>
      <w:r>
        <w:tab/>
        <w:t xml:space="preserve">(-1) * DASPP </w:t>
      </w:r>
      <w:r>
        <w:rPr>
          <w:i/>
          <w:vertAlign w:val="subscript"/>
        </w:rPr>
        <w:t>p</w:t>
      </w:r>
      <w:r>
        <w:t xml:space="preserve"> * DAES </w:t>
      </w:r>
      <w:r>
        <w:rPr>
          <w:i/>
          <w:vertAlign w:val="subscript"/>
        </w:rPr>
        <w:t>q,</w:t>
      </w:r>
      <w:r>
        <w:rPr>
          <w:vertAlign w:val="subscript"/>
        </w:rPr>
        <w:t xml:space="preserve"> </w:t>
      </w:r>
      <w:r>
        <w:rPr>
          <w:i/>
          <w:vertAlign w:val="subscript"/>
        </w:rPr>
        <w:t>p</w:t>
      </w:r>
    </w:p>
    <w:p w14:paraId="4DC1AE03" w14:textId="77777777" w:rsidR="00FF2129" w:rsidRDefault="00482EF3">
      <w:r>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871"/>
        <w:gridCol w:w="6457"/>
      </w:tblGrid>
      <w:tr w:rsidR="00FF2129" w14:paraId="73B11916" w14:textId="77777777">
        <w:trPr>
          <w:cantSplit/>
        </w:trPr>
        <w:tc>
          <w:tcPr>
            <w:tcW w:w="1528" w:type="dxa"/>
          </w:tcPr>
          <w:p w14:paraId="1A3D943D" w14:textId="77777777" w:rsidR="00FF2129" w:rsidRDefault="00482EF3">
            <w:pPr>
              <w:pStyle w:val="TableHead"/>
            </w:pPr>
            <w:r>
              <w:t>Variable</w:t>
            </w:r>
          </w:p>
        </w:tc>
        <w:tc>
          <w:tcPr>
            <w:tcW w:w="871" w:type="dxa"/>
          </w:tcPr>
          <w:p w14:paraId="476CB842" w14:textId="77777777" w:rsidR="00FF2129" w:rsidRDefault="00482EF3">
            <w:pPr>
              <w:pStyle w:val="TableHead"/>
            </w:pPr>
            <w:r>
              <w:t>Unit</w:t>
            </w:r>
          </w:p>
        </w:tc>
        <w:tc>
          <w:tcPr>
            <w:tcW w:w="6457" w:type="dxa"/>
          </w:tcPr>
          <w:p w14:paraId="30E59C7C" w14:textId="77777777" w:rsidR="00FF2129" w:rsidRDefault="00482EF3">
            <w:pPr>
              <w:pStyle w:val="TableHead"/>
            </w:pPr>
            <w:r>
              <w:t>Definition</w:t>
            </w:r>
          </w:p>
        </w:tc>
      </w:tr>
      <w:tr w:rsidR="00FF2129" w14:paraId="291819D2" w14:textId="77777777">
        <w:trPr>
          <w:cantSplit/>
        </w:trPr>
        <w:tc>
          <w:tcPr>
            <w:tcW w:w="1528" w:type="dxa"/>
          </w:tcPr>
          <w:p w14:paraId="6C1C4B3D" w14:textId="77777777" w:rsidR="00FF2129" w:rsidRDefault="00482EF3">
            <w:pPr>
              <w:pStyle w:val="TableBody"/>
            </w:pPr>
            <w:r>
              <w:lastRenderedPageBreak/>
              <w:t xml:space="preserve">DAESAMT </w:t>
            </w:r>
            <w:r w:rsidRPr="002E0760">
              <w:rPr>
                <w:i/>
                <w:vertAlign w:val="subscript"/>
              </w:rPr>
              <w:t>q, p</w:t>
            </w:r>
          </w:p>
        </w:tc>
        <w:tc>
          <w:tcPr>
            <w:tcW w:w="871" w:type="dxa"/>
          </w:tcPr>
          <w:p w14:paraId="147F52E2" w14:textId="77777777" w:rsidR="00FF2129" w:rsidRDefault="00482EF3">
            <w:pPr>
              <w:pStyle w:val="TableBody"/>
            </w:pPr>
            <w:r>
              <w:t>$</w:t>
            </w:r>
          </w:p>
        </w:tc>
        <w:tc>
          <w:tcPr>
            <w:tcW w:w="6457" w:type="dxa"/>
          </w:tcPr>
          <w:p w14:paraId="739B54FB" w14:textId="77777777" w:rsidR="00FF2129" w:rsidRDefault="00482EF3">
            <w:pPr>
              <w:pStyle w:val="TableBody"/>
            </w:pPr>
            <w:r>
              <w:rPr>
                <w:i/>
              </w:rPr>
              <w:t>Day-Ahead Energy Sale Amount per QSE per Settlement Point</w:t>
            </w:r>
            <w:r>
              <w:sym w:font="Symbol" w:char="F0BE"/>
            </w:r>
            <w:r>
              <w:t xml:space="preserve">The payment to QSE </w:t>
            </w:r>
            <w:r>
              <w:rPr>
                <w:i/>
              </w:rPr>
              <w:t>q</w:t>
            </w:r>
            <w:r>
              <w:t xml:space="preserve"> for the cleared energy offers at Settlement Point </w:t>
            </w:r>
            <w:r>
              <w:rPr>
                <w:i/>
              </w:rPr>
              <w:t>p</w:t>
            </w:r>
            <w:r>
              <w:t xml:space="preserve"> for the hour.</w:t>
            </w:r>
          </w:p>
        </w:tc>
      </w:tr>
      <w:tr w:rsidR="00FF2129" w14:paraId="717A0DA8" w14:textId="77777777">
        <w:trPr>
          <w:cantSplit/>
        </w:trPr>
        <w:tc>
          <w:tcPr>
            <w:tcW w:w="1528" w:type="dxa"/>
          </w:tcPr>
          <w:p w14:paraId="1CA351DA" w14:textId="77777777" w:rsidR="00FF2129" w:rsidRDefault="00482EF3">
            <w:pPr>
              <w:pStyle w:val="TableBody"/>
            </w:pPr>
            <w:r>
              <w:t xml:space="preserve">DASPP </w:t>
            </w:r>
            <w:r w:rsidRPr="002E0760">
              <w:rPr>
                <w:i/>
                <w:vertAlign w:val="subscript"/>
              </w:rPr>
              <w:t>p</w:t>
            </w:r>
          </w:p>
        </w:tc>
        <w:tc>
          <w:tcPr>
            <w:tcW w:w="871" w:type="dxa"/>
          </w:tcPr>
          <w:p w14:paraId="4087D364" w14:textId="77777777" w:rsidR="00FF2129" w:rsidRDefault="00482EF3">
            <w:pPr>
              <w:pStyle w:val="TableBody"/>
            </w:pPr>
            <w:r>
              <w:t>$/MWh</w:t>
            </w:r>
          </w:p>
        </w:tc>
        <w:tc>
          <w:tcPr>
            <w:tcW w:w="6457" w:type="dxa"/>
          </w:tcPr>
          <w:p w14:paraId="35C569D6" w14:textId="77777777" w:rsidR="00FF2129" w:rsidRDefault="00482EF3">
            <w:pPr>
              <w:pStyle w:val="TableBody"/>
              <w:rPr>
                <w:b/>
                <w:i/>
              </w:rPr>
            </w:pPr>
            <w:r>
              <w:rPr>
                <w:i/>
              </w:rPr>
              <w:t>Day-Ahead Settlement Point Price per Settlement Point</w:t>
            </w:r>
            <w:r>
              <w:sym w:font="Symbol" w:char="F0BE"/>
            </w:r>
            <w:r>
              <w:t xml:space="preserve">The DAM SPP at Settlement Point </w:t>
            </w:r>
            <w:r>
              <w:rPr>
                <w:i/>
              </w:rPr>
              <w:t>p</w:t>
            </w:r>
            <w:r>
              <w:t xml:space="preserve"> for the hour.</w:t>
            </w:r>
          </w:p>
        </w:tc>
      </w:tr>
      <w:tr w:rsidR="00FF2129" w14:paraId="229045B7" w14:textId="77777777">
        <w:tc>
          <w:tcPr>
            <w:tcW w:w="1528" w:type="dxa"/>
          </w:tcPr>
          <w:p w14:paraId="726ADAD7" w14:textId="77777777" w:rsidR="00FF2129" w:rsidRDefault="00482EF3">
            <w:pPr>
              <w:pStyle w:val="TableBody"/>
            </w:pPr>
            <w:r>
              <w:t xml:space="preserve">DAES </w:t>
            </w:r>
            <w:r w:rsidRPr="002E0760">
              <w:rPr>
                <w:i/>
                <w:vertAlign w:val="subscript"/>
              </w:rPr>
              <w:t>q, p</w:t>
            </w:r>
          </w:p>
        </w:tc>
        <w:tc>
          <w:tcPr>
            <w:tcW w:w="871" w:type="dxa"/>
          </w:tcPr>
          <w:p w14:paraId="085A7134" w14:textId="77777777" w:rsidR="00FF2129" w:rsidRDefault="00482EF3">
            <w:pPr>
              <w:pStyle w:val="TableBody"/>
            </w:pPr>
            <w:r>
              <w:t>MW</w:t>
            </w:r>
          </w:p>
        </w:tc>
        <w:tc>
          <w:tcPr>
            <w:tcW w:w="6457" w:type="dxa"/>
          </w:tcPr>
          <w:p w14:paraId="10B59E8D" w14:textId="77777777" w:rsidR="00FF2129" w:rsidRDefault="00482EF3" w:rsidP="002E0760">
            <w:pPr>
              <w:pStyle w:val="TableBody"/>
            </w:pPr>
            <w:r>
              <w:rPr>
                <w:i/>
              </w:rPr>
              <w:t>Day-Ahead Energy Sale per QSE per Settlement Point</w:t>
            </w:r>
            <w:r>
              <w:sym w:font="Symbol" w:char="F0BE"/>
            </w:r>
            <w:r>
              <w:t xml:space="preserve">The total amount of energy represented by QSE </w:t>
            </w:r>
            <w:r>
              <w:rPr>
                <w:i/>
              </w:rPr>
              <w:t>q</w:t>
            </w:r>
            <w:r>
              <w:t xml:space="preserve">’s cleared Three-Part Supply Offers in the DAM and cleared DAM Energy-Only Offer Curves at Settlement Point </w:t>
            </w:r>
            <w:r>
              <w:rPr>
                <w:i/>
              </w:rPr>
              <w:t>p</w:t>
            </w:r>
            <w:r>
              <w:t>, for the hour.</w:t>
            </w:r>
          </w:p>
        </w:tc>
      </w:tr>
      <w:tr w:rsidR="00FF2129" w14:paraId="25EDEB14" w14:textId="77777777">
        <w:trPr>
          <w:cantSplit/>
        </w:trPr>
        <w:tc>
          <w:tcPr>
            <w:tcW w:w="1528" w:type="dxa"/>
          </w:tcPr>
          <w:p w14:paraId="13CF43B1" w14:textId="77777777" w:rsidR="00FF2129" w:rsidRPr="002E0760" w:rsidRDefault="00482EF3">
            <w:pPr>
              <w:pStyle w:val="TableBody"/>
              <w:rPr>
                <w:i/>
              </w:rPr>
            </w:pPr>
            <w:r w:rsidRPr="002E0760">
              <w:rPr>
                <w:i/>
              </w:rPr>
              <w:t>q</w:t>
            </w:r>
          </w:p>
        </w:tc>
        <w:tc>
          <w:tcPr>
            <w:tcW w:w="871" w:type="dxa"/>
          </w:tcPr>
          <w:p w14:paraId="11649859" w14:textId="77777777" w:rsidR="00FF2129" w:rsidRDefault="00482EF3">
            <w:pPr>
              <w:pStyle w:val="TableBody"/>
            </w:pPr>
            <w:r>
              <w:t>none</w:t>
            </w:r>
          </w:p>
        </w:tc>
        <w:tc>
          <w:tcPr>
            <w:tcW w:w="6457" w:type="dxa"/>
          </w:tcPr>
          <w:p w14:paraId="5B3546E7" w14:textId="77777777" w:rsidR="00FF2129" w:rsidRDefault="00482EF3">
            <w:pPr>
              <w:pStyle w:val="TableBody"/>
            </w:pPr>
            <w:r>
              <w:t>A QSE.</w:t>
            </w:r>
          </w:p>
        </w:tc>
      </w:tr>
      <w:tr w:rsidR="00FF2129" w14:paraId="6ED9AB47" w14:textId="77777777">
        <w:trPr>
          <w:cantSplit/>
        </w:trPr>
        <w:tc>
          <w:tcPr>
            <w:tcW w:w="1528" w:type="dxa"/>
          </w:tcPr>
          <w:p w14:paraId="33602BF8" w14:textId="77777777" w:rsidR="00FF2129" w:rsidRPr="002E0760" w:rsidRDefault="00482EF3">
            <w:pPr>
              <w:pStyle w:val="TableBody"/>
              <w:rPr>
                <w:i/>
              </w:rPr>
            </w:pPr>
            <w:r w:rsidRPr="002E0760">
              <w:rPr>
                <w:i/>
              </w:rPr>
              <w:t>p</w:t>
            </w:r>
          </w:p>
        </w:tc>
        <w:tc>
          <w:tcPr>
            <w:tcW w:w="871" w:type="dxa"/>
          </w:tcPr>
          <w:p w14:paraId="0B838A6F" w14:textId="77777777" w:rsidR="00FF2129" w:rsidRDefault="00482EF3">
            <w:pPr>
              <w:pStyle w:val="TableBody"/>
            </w:pPr>
            <w:r>
              <w:t>none</w:t>
            </w:r>
          </w:p>
        </w:tc>
        <w:tc>
          <w:tcPr>
            <w:tcW w:w="6457" w:type="dxa"/>
          </w:tcPr>
          <w:p w14:paraId="506286C9" w14:textId="77777777" w:rsidR="00FF2129" w:rsidRDefault="00482EF3">
            <w:pPr>
              <w:pStyle w:val="TableBody"/>
            </w:pPr>
            <w:r>
              <w:t>A Settlement Point.</w:t>
            </w:r>
          </w:p>
        </w:tc>
      </w:tr>
    </w:tbl>
    <w:p w14:paraId="2F8CAFF7" w14:textId="77777777" w:rsidR="00FF2129" w:rsidRDefault="00FF2129">
      <w:bookmarkStart w:id="684" w:name="_Toc73282797"/>
      <w:bookmarkStart w:id="685" w:name="_Toc73868381"/>
      <w:bookmarkStart w:id="686" w:name="_Toc75852532"/>
      <w:bookmarkStart w:id="687" w:name="_Toc90197137"/>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EF5F32" w:rsidRPr="004B32CF" w14:paraId="535BD599" w14:textId="77777777" w:rsidTr="009540C4">
        <w:trPr>
          <w:trHeight w:val="386"/>
        </w:trPr>
        <w:tc>
          <w:tcPr>
            <w:tcW w:w="9350" w:type="dxa"/>
            <w:shd w:val="pct12" w:color="auto" w:fill="auto"/>
          </w:tcPr>
          <w:p w14:paraId="33537D0D" w14:textId="77777777" w:rsidR="00EF5F32" w:rsidRDefault="00EF5F32" w:rsidP="009540C4">
            <w:pPr>
              <w:spacing w:before="120" w:after="240"/>
              <w:rPr>
                <w:b/>
                <w:i/>
                <w:iCs/>
              </w:rPr>
            </w:pPr>
            <w:r>
              <w:rPr>
                <w:b/>
                <w:i/>
                <w:iCs/>
              </w:rPr>
              <w:t>[NPRR1014:  Replace paragraph (1</w:t>
            </w:r>
            <w:r w:rsidRPr="004B32CF">
              <w:rPr>
                <w:b/>
                <w:i/>
                <w:iCs/>
              </w:rPr>
              <w:t xml:space="preserve">) above </w:t>
            </w:r>
            <w:r>
              <w:rPr>
                <w:b/>
                <w:i/>
                <w:iCs/>
              </w:rPr>
              <w:t xml:space="preserve">with the following </w:t>
            </w:r>
            <w:r w:rsidRPr="004B32CF">
              <w:rPr>
                <w:b/>
                <w:i/>
                <w:iCs/>
              </w:rPr>
              <w:t>upon system implementation:]</w:t>
            </w:r>
          </w:p>
          <w:p w14:paraId="59565FAD" w14:textId="77777777" w:rsidR="00EF5F32" w:rsidRDefault="00EF5F32" w:rsidP="009540C4">
            <w:pPr>
              <w:spacing w:after="240"/>
              <w:ind w:left="720" w:hanging="720"/>
              <w:rPr>
                <w:iCs/>
              </w:rPr>
            </w:pPr>
            <w:r w:rsidRPr="00A552C3">
              <w:rPr>
                <w:iCs/>
              </w:rPr>
              <w:t>(1)</w:t>
            </w:r>
            <w:r w:rsidRPr="00A552C3">
              <w:rPr>
                <w:iCs/>
              </w:rPr>
              <w:tab/>
              <w:t>The Day-Ahead Energy Payment is made for all cleared offers to sell energy in the DAM, whether through Three-Part Supply Offers, DAM Energy-Only Offer Curves, or</w:t>
            </w:r>
            <w:r w:rsidRPr="00A552C3">
              <w:t xml:space="preserve"> cleared sales from the offer portion of Energy Bid/Offer Curves</w:t>
            </w:r>
            <w:r w:rsidRPr="00A552C3">
              <w:rPr>
                <w:iCs/>
              </w:rPr>
              <w:t>.  The payment to each Qualified Scheduling Entity (QSE) for each Settlement Point for a given hour of the Operatin</w:t>
            </w:r>
            <w:r>
              <w:rPr>
                <w:iCs/>
              </w:rPr>
              <w:t>g Day is calculated as follows:</w:t>
            </w:r>
          </w:p>
          <w:p w14:paraId="61A148A3" w14:textId="77777777" w:rsidR="00EF5F32" w:rsidRPr="00A552C3" w:rsidRDefault="00EF5F32" w:rsidP="00EF5F32">
            <w:pPr>
              <w:tabs>
                <w:tab w:val="left" w:pos="2352"/>
                <w:tab w:val="left" w:pos="3420"/>
                <w:tab w:val="left" w:pos="3822"/>
              </w:tabs>
              <w:spacing w:after="240"/>
              <w:ind w:left="1440" w:hanging="1440"/>
              <w:rPr>
                <w:bCs/>
                <w:iCs/>
                <w:lang w:val="x-none" w:eastAsia="x-none"/>
              </w:rPr>
            </w:pPr>
            <w:r w:rsidRPr="00A552C3">
              <w:rPr>
                <w:bCs/>
                <w:iCs/>
                <w:lang w:val="x-none" w:eastAsia="x-none"/>
              </w:rPr>
              <w:t xml:space="preserve">DAESAMT </w:t>
            </w:r>
            <w:r w:rsidRPr="00A552C3">
              <w:rPr>
                <w:bCs/>
                <w:i/>
                <w:iCs/>
                <w:vertAlign w:val="subscript"/>
                <w:lang w:val="x-none" w:eastAsia="x-none"/>
              </w:rPr>
              <w:t>q,</w:t>
            </w:r>
            <w:r w:rsidRPr="00A552C3">
              <w:rPr>
                <w:bCs/>
                <w:iCs/>
                <w:vertAlign w:val="subscript"/>
                <w:lang w:val="x-none" w:eastAsia="x-none"/>
              </w:rPr>
              <w:t xml:space="preserve"> </w:t>
            </w:r>
            <w:r w:rsidRPr="00A552C3">
              <w:rPr>
                <w:bCs/>
                <w:i/>
                <w:iCs/>
                <w:vertAlign w:val="subscript"/>
                <w:lang w:val="x-none" w:eastAsia="x-none"/>
              </w:rPr>
              <w:t>p</w:t>
            </w:r>
            <w:r w:rsidRPr="00A552C3">
              <w:rPr>
                <w:bCs/>
                <w:iCs/>
                <w:lang w:val="x-none" w:eastAsia="x-none"/>
              </w:rPr>
              <w:tab/>
              <w:t>=</w:t>
            </w:r>
            <w:r w:rsidRPr="00A552C3">
              <w:rPr>
                <w:bCs/>
                <w:iCs/>
                <w:lang w:val="x-none" w:eastAsia="x-none"/>
              </w:rPr>
              <w:tab/>
              <w:t xml:space="preserve">(-1) * DASPP </w:t>
            </w:r>
            <w:r w:rsidRPr="00A552C3">
              <w:rPr>
                <w:bCs/>
                <w:i/>
                <w:iCs/>
                <w:vertAlign w:val="subscript"/>
                <w:lang w:val="x-none" w:eastAsia="x-none"/>
              </w:rPr>
              <w:t>p</w:t>
            </w:r>
            <w:r w:rsidRPr="00A552C3">
              <w:rPr>
                <w:bCs/>
                <w:iCs/>
                <w:lang w:val="x-none" w:eastAsia="x-none"/>
              </w:rPr>
              <w:t xml:space="preserve"> * DAES </w:t>
            </w:r>
            <w:r w:rsidRPr="00A552C3">
              <w:rPr>
                <w:bCs/>
                <w:i/>
                <w:iCs/>
                <w:vertAlign w:val="subscript"/>
                <w:lang w:val="x-none" w:eastAsia="x-none"/>
              </w:rPr>
              <w:t>q,</w:t>
            </w:r>
            <w:r w:rsidRPr="00A552C3">
              <w:rPr>
                <w:bCs/>
                <w:iCs/>
                <w:vertAlign w:val="subscript"/>
                <w:lang w:val="x-none" w:eastAsia="x-none"/>
              </w:rPr>
              <w:t xml:space="preserve"> </w:t>
            </w:r>
            <w:r w:rsidRPr="00A552C3">
              <w:rPr>
                <w:bCs/>
                <w:i/>
                <w:iCs/>
                <w:vertAlign w:val="subscript"/>
                <w:lang w:val="x-none" w:eastAsia="x-none"/>
              </w:rPr>
              <w:t>p</w:t>
            </w:r>
          </w:p>
          <w:p w14:paraId="036C786D" w14:textId="77777777" w:rsidR="00EF5F32" w:rsidRPr="00A552C3" w:rsidRDefault="00EF5F32" w:rsidP="00EF5F32">
            <w:r w:rsidRPr="00A552C3">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871"/>
              <w:gridCol w:w="6457"/>
            </w:tblGrid>
            <w:tr w:rsidR="00EF5F32" w:rsidRPr="00A552C3" w14:paraId="01D883FF" w14:textId="77777777" w:rsidTr="009540C4">
              <w:trPr>
                <w:cantSplit/>
              </w:trPr>
              <w:tc>
                <w:tcPr>
                  <w:tcW w:w="1528" w:type="dxa"/>
                </w:tcPr>
                <w:p w14:paraId="73548D97" w14:textId="77777777" w:rsidR="00EF5F32" w:rsidRPr="00A552C3" w:rsidRDefault="00EF5F32" w:rsidP="00EF5F32">
                  <w:pPr>
                    <w:spacing w:after="120"/>
                    <w:rPr>
                      <w:b/>
                      <w:iCs/>
                      <w:sz w:val="20"/>
                      <w:szCs w:val="20"/>
                    </w:rPr>
                  </w:pPr>
                  <w:r w:rsidRPr="00A552C3">
                    <w:rPr>
                      <w:b/>
                      <w:iCs/>
                      <w:sz w:val="20"/>
                      <w:szCs w:val="20"/>
                    </w:rPr>
                    <w:t>Variable</w:t>
                  </w:r>
                </w:p>
              </w:tc>
              <w:tc>
                <w:tcPr>
                  <w:tcW w:w="871" w:type="dxa"/>
                </w:tcPr>
                <w:p w14:paraId="0DC8C934" w14:textId="77777777" w:rsidR="00EF5F32" w:rsidRPr="00A552C3" w:rsidRDefault="00EF5F32" w:rsidP="00EF5F32">
                  <w:pPr>
                    <w:spacing w:after="120"/>
                    <w:rPr>
                      <w:b/>
                      <w:iCs/>
                      <w:sz w:val="20"/>
                      <w:szCs w:val="20"/>
                    </w:rPr>
                  </w:pPr>
                  <w:r w:rsidRPr="00A552C3">
                    <w:rPr>
                      <w:b/>
                      <w:iCs/>
                      <w:sz w:val="20"/>
                      <w:szCs w:val="20"/>
                    </w:rPr>
                    <w:t>Unit</w:t>
                  </w:r>
                </w:p>
              </w:tc>
              <w:tc>
                <w:tcPr>
                  <w:tcW w:w="6457" w:type="dxa"/>
                </w:tcPr>
                <w:p w14:paraId="6ADB805E" w14:textId="77777777" w:rsidR="00EF5F32" w:rsidRPr="00A552C3" w:rsidRDefault="00EF5F32" w:rsidP="00EF5F32">
                  <w:pPr>
                    <w:spacing w:after="120"/>
                    <w:rPr>
                      <w:b/>
                      <w:iCs/>
                      <w:sz w:val="20"/>
                      <w:szCs w:val="20"/>
                    </w:rPr>
                  </w:pPr>
                  <w:r w:rsidRPr="00A552C3">
                    <w:rPr>
                      <w:b/>
                      <w:iCs/>
                      <w:sz w:val="20"/>
                      <w:szCs w:val="20"/>
                    </w:rPr>
                    <w:t>Definition</w:t>
                  </w:r>
                </w:p>
              </w:tc>
            </w:tr>
            <w:tr w:rsidR="00EF5F32" w:rsidRPr="00A552C3" w14:paraId="61023F79" w14:textId="77777777" w:rsidTr="009540C4">
              <w:trPr>
                <w:cantSplit/>
              </w:trPr>
              <w:tc>
                <w:tcPr>
                  <w:tcW w:w="1528" w:type="dxa"/>
                </w:tcPr>
                <w:p w14:paraId="6A4C8C33" w14:textId="77777777" w:rsidR="00EF5F32" w:rsidRPr="00A552C3" w:rsidRDefault="00EF5F32" w:rsidP="00EF5F32">
                  <w:pPr>
                    <w:spacing w:after="60"/>
                    <w:rPr>
                      <w:iCs/>
                      <w:sz w:val="20"/>
                      <w:szCs w:val="20"/>
                    </w:rPr>
                  </w:pPr>
                  <w:r w:rsidRPr="00A552C3">
                    <w:rPr>
                      <w:iCs/>
                      <w:sz w:val="20"/>
                      <w:szCs w:val="20"/>
                    </w:rPr>
                    <w:t xml:space="preserve">DAESAMT </w:t>
                  </w:r>
                  <w:r w:rsidRPr="00A552C3">
                    <w:rPr>
                      <w:i/>
                      <w:iCs/>
                      <w:sz w:val="20"/>
                      <w:szCs w:val="20"/>
                      <w:vertAlign w:val="subscript"/>
                    </w:rPr>
                    <w:t>q, p</w:t>
                  </w:r>
                </w:p>
              </w:tc>
              <w:tc>
                <w:tcPr>
                  <w:tcW w:w="871" w:type="dxa"/>
                </w:tcPr>
                <w:p w14:paraId="15AB7412" w14:textId="77777777" w:rsidR="00EF5F32" w:rsidRPr="00A552C3" w:rsidRDefault="00EF5F32" w:rsidP="00EF5F32">
                  <w:pPr>
                    <w:spacing w:after="60"/>
                    <w:rPr>
                      <w:iCs/>
                      <w:sz w:val="20"/>
                      <w:szCs w:val="20"/>
                    </w:rPr>
                  </w:pPr>
                  <w:r w:rsidRPr="00A552C3">
                    <w:rPr>
                      <w:iCs/>
                      <w:sz w:val="20"/>
                      <w:szCs w:val="20"/>
                    </w:rPr>
                    <w:t>$</w:t>
                  </w:r>
                </w:p>
              </w:tc>
              <w:tc>
                <w:tcPr>
                  <w:tcW w:w="6457" w:type="dxa"/>
                </w:tcPr>
                <w:p w14:paraId="6D90A476" w14:textId="77777777" w:rsidR="00EF5F32" w:rsidRPr="00A552C3" w:rsidRDefault="00EF5F32" w:rsidP="00EF5F32">
                  <w:pPr>
                    <w:spacing w:after="60"/>
                    <w:rPr>
                      <w:iCs/>
                      <w:sz w:val="20"/>
                      <w:szCs w:val="20"/>
                    </w:rPr>
                  </w:pPr>
                  <w:r w:rsidRPr="00A552C3">
                    <w:rPr>
                      <w:i/>
                      <w:iCs/>
                      <w:sz w:val="20"/>
                      <w:szCs w:val="20"/>
                    </w:rPr>
                    <w:t>Day-Ahead Energy Sale Amount per QSE per Settlement Point</w:t>
                  </w:r>
                  <w:r w:rsidRPr="00A552C3">
                    <w:rPr>
                      <w:iCs/>
                      <w:sz w:val="20"/>
                      <w:szCs w:val="20"/>
                    </w:rPr>
                    <w:sym w:font="Symbol" w:char="F0BE"/>
                  </w:r>
                  <w:r w:rsidRPr="00A552C3">
                    <w:rPr>
                      <w:iCs/>
                      <w:sz w:val="20"/>
                      <w:szCs w:val="20"/>
                    </w:rPr>
                    <w:t xml:space="preserve">The payment to QSE </w:t>
                  </w:r>
                  <w:r w:rsidRPr="00A552C3">
                    <w:rPr>
                      <w:i/>
                      <w:iCs/>
                      <w:sz w:val="20"/>
                      <w:szCs w:val="20"/>
                    </w:rPr>
                    <w:t>q</w:t>
                  </w:r>
                  <w:r w:rsidRPr="00A552C3">
                    <w:rPr>
                      <w:iCs/>
                      <w:sz w:val="20"/>
                      <w:szCs w:val="20"/>
                    </w:rPr>
                    <w:t xml:space="preserve"> for the cleared energy offers at Settlement Point </w:t>
                  </w:r>
                  <w:r w:rsidRPr="00A552C3">
                    <w:rPr>
                      <w:i/>
                      <w:iCs/>
                      <w:sz w:val="20"/>
                      <w:szCs w:val="20"/>
                    </w:rPr>
                    <w:t>p</w:t>
                  </w:r>
                  <w:r w:rsidRPr="00A552C3">
                    <w:rPr>
                      <w:iCs/>
                      <w:sz w:val="20"/>
                      <w:szCs w:val="20"/>
                    </w:rPr>
                    <w:t xml:space="preserve"> for the hour.</w:t>
                  </w:r>
                </w:p>
              </w:tc>
            </w:tr>
            <w:tr w:rsidR="00EF5F32" w:rsidRPr="00A552C3" w14:paraId="1C8D3CE3" w14:textId="77777777" w:rsidTr="009540C4">
              <w:trPr>
                <w:cantSplit/>
              </w:trPr>
              <w:tc>
                <w:tcPr>
                  <w:tcW w:w="1528" w:type="dxa"/>
                </w:tcPr>
                <w:p w14:paraId="2E49E17F" w14:textId="77777777" w:rsidR="00EF5F32" w:rsidRPr="00A552C3" w:rsidRDefault="00EF5F32" w:rsidP="00EF5F32">
                  <w:pPr>
                    <w:spacing w:after="60"/>
                    <w:rPr>
                      <w:iCs/>
                      <w:sz w:val="20"/>
                      <w:szCs w:val="20"/>
                    </w:rPr>
                  </w:pPr>
                  <w:r w:rsidRPr="00A552C3">
                    <w:rPr>
                      <w:iCs/>
                      <w:sz w:val="20"/>
                      <w:szCs w:val="20"/>
                    </w:rPr>
                    <w:t xml:space="preserve">DASPP </w:t>
                  </w:r>
                  <w:r w:rsidRPr="00A552C3">
                    <w:rPr>
                      <w:i/>
                      <w:iCs/>
                      <w:sz w:val="20"/>
                      <w:szCs w:val="20"/>
                      <w:vertAlign w:val="subscript"/>
                    </w:rPr>
                    <w:t>p</w:t>
                  </w:r>
                </w:p>
              </w:tc>
              <w:tc>
                <w:tcPr>
                  <w:tcW w:w="871" w:type="dxa"/>
                </w:tcPr>
                <w:p w14:paraId="635C8520" w14:textId="77777777" w:rsidR="00EF5F32" w:rsidRPr="00A552C3" w:rsidRDefault="00EF5F32" w:rsidP="00EF5F32">
                  <w:pPr>
                    <w:spacing w:after="60"/>
                    <w:rPr>
                      <w:iCs/>
                      <w:sz w:val="20"/>
                      <w:szCs w:val="20"/>
                    </w:rPr>
                  </w:pPr>
                  <w:r w:rsidRPr="00A552C3">
                    <w:rPr>
                      <w:iCs/>
                      <w:sz w:val="20"/>
                      <w:szCs w:val="20"/>
                    </w:rPr>
                    <w:t>$/MWh</w:t>
                  </w:r>
                </w:p>
              </w:tc>
              <w:tc>
                <w:tcPr>
                  <w:tcW w:w="6457" w:type="dxa"/>
                </w:tcPr>
                <w:p w14:paraId="6F6BFB1B" w14:textId="77777777" w:rsidR="00EF5F32" w:rsidRPr="00A552C3" w:rsidRDefault="00EF5F32" w:rsidP="00EF5F32">
                  <w:pPr>
                    <w:spacing w:after="60"/>
                    <w:rPr>
                      <w:b/>
                      <w:i/>
                      <w:iCs/>
                      <w:sz w:val="20"/>
                      <w:szCs w:val="20"/>
                    </w:rPr>
                  </w:pPr>
                  <w:r w:rsidRPr="00A552C3">
                    <w:rPr>
                      <w:i/>
                      <w:iCs/>
                      <w:sz w:val="20"/>
                      <w:szCs w:val="20"/>
                    </w:rPr>
                    <w:t>Day-Ahead Settlement Point Price per Settlement Point</w:t>
                  </w:r>
                  <w:r w:rsidRPr="00A552C3">
                    <w:rPr>
                      <w:iCs/>
                      <w:sz w:val="20"/>
                      <w:szCs w:val="20"/>
                    </w:rPr>
                    <w:sym w:font="Symbol" w:char="F0BE"/>
                  </w:r>
                  <w:r w:rsidRPr="00A552C3">
                    <w:rPr>
                      <w:iCs/>
                      <w:sz w:val="20"/>
                      <w:szCs w:val="20"/>
                    </w:rPr>
                    <w:t xml:space="preserve">The DAM SPP at Settlement Point </w:t>
                  </w:r>
                  <w:r w:rsidRPr="00A552C3">
                    <w:rPr>
                      <w:i/>
                      <w:iCs/>
                      <w:sz w:val="20"/>
                      <w:szCs w:val="20"/>
                    </w:rPr>
                    <w:t>p</w:t>
                  </w:r>
                  <w:r w:rsidRPr="00A552C3">
                    <w:rPr>
                      <w:iCs/>
                      <w:sz w:val="20"/>
                      <w:szCs w:val="20"/>
                    </w:rPr>
                    <w:t xml:space="preserve"> for the hour.</w:t>
                  </w:r>
                </w:p>
              </w:tc>
            </w:tr>
            <w:tr w:rsidR="00EF5F32" w:rsidRPr="00A552C3" w14:paraId="11FA791E" w14:textId="77777777" w:rsidTr="009540C4">
              <w:tc>
                <w:tcPr>
                  <w:tcW w:w="1528" w:type="dxa"/>
                </w:tcPr>
                <w:p w14:paraId="71659087" w14:textId="77777777" w:rsidR="00EF5F32" w:rsidRPr="00A552C3" w:rsidRDefault="00EF5F32" w:rsidP="00EF5F32">
                  <w:pPr>
                    <w:spacing w:after="60"/>
                    <w:rPr>
                      <w:iCs/>
                      <w:sz w:val="20"/>
                      <w:szCs w:val="20"/>
                    </w:rPr>
                  </w:pPr>
                  <w:r w:rsidRPr="00A552C3">
                    <w:rPr>
                      <w:iCs/>
                      <w:sz w:val="20"/>
                      <w:szCs w:val="20"/>
                    </w:rPr>
                    <w:t xml:space="preserve">DAES </w:t>
                  </w:r>
                  <w:r w:rsidRPr="00A552C3">
                    <w:rPr>
                      <w:i/>
                      <w:iCs/>
                      <w:sz w:val="20"/>
                      <w:szCs w:val="20"/>
                      <w:vertAlign w:val="subscript"/>
                    </w:rPr>
                    <w:t>q, p</w:t>
                  </w:r>
                </w:p>
              </w:tc>
              <w:tc>
                <w:tcPr>
                  <w:tcW w:w="871" w:type="dxa"/>
                </w:tcPr>
                <w:p w14:paraId="6066707F" w14:textId="77777777" w:rsidR="00EF5F32" w:rsidRPr="00A552C3" w:rsidRDefault="00EF5F32" w:rsidP="00EF5F32">
                  <w:pPr>
                    <w:spacing w:after="60"/>
                    <w:rPr>
                      <w:iCs/>
                      <w:sz w:val="20"/>
                      <w:szCs w:val="20"/>
                    </w:rPr>
                  </w:pPr>
                  <w:r w:rsidRPr="00A552C3">
                    <w:rPr>
                      <w:iCs/>
                      <w:sz w:val="20"/>
                      <w:szCs w:val="20"/>
                    </w:rPr>
                    <w:t>MW</w:t>
                  </w:r>
                </w:p>
              </w:tc>
              <w:tc>
                <w:tcPr>
                  <w:tcW w:w="6457" w:type="dxa"/>
                </w:tcPr>
                <w:p w14:paraId="54F68FE0" w14:textId="77777777" w:rsidR="00EF5F32" w:rsidRPr="00A552C3" w:rsidRDefault="00EF5F32" w:rsidP="00EF5F32">
                  <w:pPr>
                    <w:spacing w:after="60"/>
                    <w:rPr>
                      <w:iCs/>
                      <w:sz w:val="20"/>
                      <w:szCs w:val="20"/>
                    </w:rPr>
                  </w:pPr>
                  <w:r w:rsidRPr="00A552C3">
                    <w:rPr>
                      <w:i/>
                      <w:iCs/>
                      <w:sz w:val="20"/>
                      <w:szCs w:val="20"/>
                    </w:rPr>
                    <w:t>Day-Ahead Energy Sale per QSE per Settlement Point</w:t>
                  </w:r>
                  <w:r w:rsidRPr="00A552C3">
                    <w:rPr>
                      <w:iCs/>
                      <w:sz w:val="20"/>
                      <w:szCs w:val="20"/>
                    </w:rPr>
                    <w:sym w:font="Symbol" w:char="F0BE"/>
                  </w:r>
                  <w:r w:rsidRPr="00A552C3">
                    <w:rPr>
                      <w:iCs/>
                      <w:sz w:val="20"/>
                      <w:szCs w:val="20"/>
                    </w:rPr>
                    <w:t xml:space="preserve">The total amount of energy represented by QSE </w:t>
                  </w:r>
                  <w:r w:rsidRPr="00A552C3">
                    <w:rPr>
                      <w:i/>
                      <w:iCs/>
                      <w:sz w:val="20"/>
                      <w:szCs w:val="20"/>
                    </w:rPr>
                    <w:t>q</w:t>
                  </w:r>
                  <w:r w:rsidRPr="00A552C3">
                    <w:rPr>
                      <w:iCs/>
                      <w:sz w:val="20"/>
                      <w:szCs w:val="20"/>
                    </w:rPr>
                    <w:t>’s cleared Three-Part Supply Offers in the DAM, cleared DAM Energy-Only Offer Curves,</w:t>
                  </w:r>
                  <w:r w:rsidRPr="00A552C3">
                    <w:t xml:space="preserve"> </w:t>
                  </w:r>
                  <w:r w:rsidRPr="00A552C3">
                    <w:rPr>
                      <w:iCs/>
                      <w:sz w:val="20"/>
                      <w:szCs w:val="20"/>
                    </w:rPr>
                    <w:t xml:space="preserve">and cleared sales from the offer portion of Energy Bid/Offer Curves at Settlement Point </w:t>
                  </w:r>
                  <w:r w:rsidRPr="00A552C3">
                    <w:rPr>
                      <w:i/>
                      <w:iCs/>
                      <w:sz w:val="20"/>
                      <w:szCs w:val="20"/>
                    </w:rPr>
                    <w:t>p</w:t>
                  </w:r>
                  <w:r w:rsidRPr="00A552C3">
                    <w:rPr>
                      <w:iCs/>
                      <w:sz w:val="20"/>
                      <w:szCs w:val="20"/>
                    </w:rPr>
                    <w:t>, for the hour.</w:t>
                  </w:r>
                </w:p>
              </w:tc>
            </w:tr>
            <w:tr w:rsidR="00EF5F32" w:rsidRPr="00A552C3" w14:paraId="5F916011" w14:textId="77777777" w:rsidTr="009540C4">
              <w:trPr>
                <w:cantSplit/>
              </w:trPr>
              <w:tc>
                <w:tcPr>
                  <w:tcW w:w="1528" w:type="dxa"/>
                </w:tcPr>
                <w:p w14:paraId="51052739" w14:textId="77777777" w:rsidR="00EF5F32" w:rsidRPr="00A552C3" w:rsidRDefault="00EF5F32" w:rsidP="00EF5F32">
                  <w:pPr>
                    <w:spacing w:after="60"/>
                    <w:rPr>
                      <w:i/>
                      <w:iCs/>
                      <w:sz w:val="20"/>
                      <w:szCs w:val="20"/>
                    </w:rPr>
                  </w:pPr>
                  <w:r w:rsidRPr="00A552C3">
                    <w:rPr>
                      <w:i/>
                      <w:iCs/>
                      <w:sz w:val="20"/>
                      <w:szCs w:val="20"/>
                    </w:rPr>
                    <w:t>q</w:t>
                  </w:r>
                </w:p>
              </w:tc>
              <w:tc>
                <w:tcPr>
                  <w:tcW w:w="871" w:type="dxa"/>
                </w:tcPr>
                <w:p w14:paraId="4DBE9FCE" w14:textId="77777777" w:rsidR="00EF5F32" w:rsidRPr="00A552C3" w:rsidRDefault="00EF5F32" w:rsidP="00EF5F32">
                  <w:pPr>
                    <w:spacing w:after="60"/>
                    <w:rPr>
                      <w:iCs/>
                      <w:sz w:val="20"/>
                      <w:szCs w:val="20"/>
                    </w:rPr>
                  </w:pPr>
                  <w:r w:rsidRPr="00A552C3">
                    <w:rPr>
                      <w:iCs/>
                      <w:sz w:val="20"/>
                      <w:szCs w:val="20"/>
                    </w:rPr>
                    <w:t>none</w:t>
                  </w:r>
                </w:p>
              </w:tc>
              <w:tc>
                <w:tcPr>
                  <w:tcW w:w="6457" w:type="dxa"/>
                </w:tcPr>
                <w:p w14:paraId="25058378" w14:textId="77777777" w:rsidR="00EF5F32" w:rsidRPr="00A552C3" w:rsidRDefault="00EF5F32" w:rsidP="00EF5F32">
                  <w:pPr>
                    <w:spacing w:after="60"/>
                    <w:rPr>
                      <w:iCs/>
                      <w:sz w:val="20"/>
                      <w:szCs w:val="20"/>
                    </w:rPr>
                  </w:pPr>
                  <w:r w:rsidRPr="00A552C3">
                    <w:rPr>
                      <w:iCs/>
                      <w:sz w:val="20"/>
                      <w:szCs w:val="20"/>
                    </w:rPr>
                    <w:t>A QSE.</w:t>
                  </w:r>
                </w:p>
              </w:tc>
            </w:tr>
            <w:tr w:rsidR="00EF5F32" w:rsidRPr="00A552C3" w14:paraId="1063AE70" w14:textId="77777777" w:rsidTr="009540C4">
              <w:trPr>
                <w:cantSplit/>
              </w:trPr>
              <w:tc>
                <w:tcPr>
                  <w:tcW w:w="1528" w:type="dxa"/>
                </w:tcPr>
                <w:p w14:paraId="671F6555" w14:textId="77777777" w:rsidR="00EF5F32" w:rsidRPr="00A552C3" w:rsidRDefault="00EF5F32" w:rsidP="00EF5F32">
                  <w:pPr>
                    <w:spacing w:after="60"/>
                    <w:rPr>
                      <w:i/>
                      <w:iCs/>
                      <w:sz w:val="20"/>
                      <w:szCs w:val="20"/>
                    </w:rPr>
                  </w:pPr>
                  <w:r w:rsidRPr="00A552C3">
                    <w:rPr>
                      <w:i/>
                      <w:iCs/>
                      <w:sz w:val="20"/>
                      <w:szCs w:val="20"/>
                    </w:rPr>
                    <w:t>p</w:t>
                  </w:r>
                </w:p>
              </w:tc>
              <w:tc>
                <w:tcPr>
                  <w:tcW w:w="871" w:type="dxa"/>
                </w:tcPr>
                <w:p w14:paraId="3A7F6311" w14:textId="77777777" w:rsidR="00EF5F32" w:rsidRPr="00A552C3" w:rsidRDefault="00EF5F32" w:rsidP="00EF5F32">
                  <w:pPr>
                    <w:spacing w:after="60"/>
                    <w:rPr>
                      <w:iCs/>
                      <w:sz w:val="20"/>
                      <w:szCs w:val="20"/>
                    </w:rPr>
                  </w:pPr>
                  <w:r w:rsidRPr="00A552C3">
                    <w:rPr>
                      <w:iCs/>
                      <w:sz w:val="20"/>
                      <w:szCs w:val="20"/>
                    </w:rPr>
                    <w:t>none</w:t>
                  </w:r>
                </w:p>
              </w:tc>
              <w:tc>
                <w:tcPr>
                  <w:tcW w:w="6457" w:type="dxa"/>
                </w:tcPr>
                <w:p w14:paraId="44086050" w14:textId="77777777" w:rsidR="00EF5F32" w:rsidRPr="00A552C3" w:rsidRDefault="00EF5F32" w:rsidP="00EF5F32">
                  <w:pPr>
                    <w:spacing w:after="60"/>
                    <w:rPr>
                      <w:iCs/>
                      <w:sz w:val="20"/>
                      <w:szCs w:val="20"/>
                    </w:rPr>
                  </w:pPr>
                  <w:r w:rsidRPr="00A552C3">
                    <w:rPr>
                      <w:iCs/>
                      <w:sz w:val="20"/>
                      <w:szCs w:val="20"/>
                    </w:rPr>
                    <w:t>A Settlement Point.</w:t>
                  </w:r>
                </w:p>
              </w:tc>
            </w:tr>
          </w:tbl>
          <w:p w14:paraId="24F12D19" w14:textId="77777777" w:rsidR="00EF5F32" w:rsidRPr="00EF5F32" w:rsidRDefault="00EF5F32" w:rsidP="009540C4">
            <w:pPr>
              <w:spacing w:after="240"/>
              <w:ind w:left="720" w:hanging="720"/>
              <w:rPr>
                <w:iCs/>
              </w:rPr>
            </w:pPr>
          </w:p>
        </w:tc>
      </w:tr>
    </w:tbl>
    <w:p w14:paraId="4347633B" w14:textId="71BC607F" w:rsidR="00FF2129" w:rsidRDefault="00482EF3" w:rsidP="00F539C2">
      <w:pPr>
        <w:pStyle w:val="BodyTextNumbered"/>
        <w:spacing w:before="240"/>
      </w:pPr>
      <w:r>
        <w:t>(2)</w:t>
      </w:r>
      <w:r>
        <w:tab/>
        <w:t>The total of the Day-Ahead Energy Payments to each QSE for the hour is calculated as follows:</w:t>
      </w:r>
    </w:p>
    <w:p w14:paraId="24B6B9BC" w14:textId="77777777" w:rsidR="00FF2129" w:rsidRDefault="00482EF3" w:rsidP="00E30EAB">
      <w:pPr>
        <w:pStyle w:val="FormulaBold"/>
      </w:pPr>
      <w:r>
        <w:t xml:space="preserve">DAESAMTQSETOT </w:t>
      </w:r>
      <w:r>
        <w:rPr>
          <w:i/>
          <w:vertAlign w:val="subscript"/>
        </w:rPr>
        <w:t>q</w:t>
      </w:r>
      <w:r>
        <w:tab/>
        <w:t>=</w:t>
      </w:r>
      <w:r>
        <w:tab/>
      </w:r>
      <w:r w:rsidR="00FF2129" w:rsidRPr="00FF2129">
        <w:rPr>
          <w:position w:val="-22"/>
        </w:rPr>
        <w:object w:dxaOrig="220" w:dyaOrig="460" w14:anchorId="2CC65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1pt" o:ole="">
            <v:imagedata r:id="rId15" o:title=""/>
          </v:shape>
          <o:OLEObject Type="Embed" ProgID="Equation.3" ShapeID="_x0000_i1025" DrawAspect="Content" ObjectID="_1775281318" r:id="rId16"/>
        </w:object>
      </w:r>
      <w:r>
        <w:t xml:space="preserve">DAESAMT </w:t>
      </w:r>
      <w:r>
        <w:rPr>
          <w:i/>
          <w:vertAlign w:val="subscript"/>
        </w:rPr>
        <w:t>q, p</w:t>
      </w:r>
    </w:p>
    <w:p w14:paraId="110018F9" w14:textId="77777777" w:rsidR="00FF2129" w:rsidRDefault="00482EF3">
      <w:r>
        <w:t>The above variables are defined as follows: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691"/>
        <w:gridCol w:w="6018"/>
      </w:tblGrid>
      <w:tr w:rsidR="00FF2129" w14:paraId="08B00B04" w14:textId="77777777">
        <w:tc>
          <w:tcPr>
            <w:tcW w:w="2147" w:type="dxa"/>
          </w:tcPr>
          <w:p w14:paraId="4BCABA5C" w14:textId="77777777" w:rsidR="00FF2129" w:rsidRDefault="00482EF3">
            <w:pPr>
              <w:pStyle w:val="TableHead"/>
            </w:pPr>
            <w:r>
              <w:t>Variable</w:t>
            </w:r>
          </w:p>
        </w:tc>
        <w:tc>
          <w:tcPr>
            <w:tcW w:w="691" w:type="dxa"/>
          </w:tcPr>
          <w:p w14:paraId="3B5C3436" w14:textId="77777777" w:rsidR="00FF2129" w:rsidRDefault="00482EF3">
            <w:pPr>
              <w:pStyle w:val="TableHead"/>
            </w:pPr>
            <w:r>
              <w:t>Unit</w:t>
            </w:r>
          </w:p>
        </w:tc>
        <w:tc>
          <w:tcPr>
            <w:tcW w:w="6018" w:type="dxa"/>
          </w:tcPr>
          <w:p w14:paraId="5B4BDED2" w14:textId="77777777" w:rsidR="00FF2129" w:rsidRDefault="00482EF3">
            <w:pPr>
              <w:pStyle w:val="TableHead"/>
            </w:pPr>
            <w:r>
              <w:t>Definition</w:t>
            </w:r>
          </w:p>
        </w:tc>
      </w:tr>
      <w:tr w:rsidR="00FF2129" w14:paraId="37C729A1" w14:textId="77777777">
        <w:tc>
          <w:tcPr>
            <w:tcW w:w="2147" w:type="dxa"/>
          </w:tcPr>
          <w:p w14:paraId="64A33B11" w14:textId="77777777" w:rsidR="00FF2129" w:rsidRDefault="00482EF3">
            <w:pPr>
              <w:pStyle w:val="TableBody"/>
            </w:pPr>
            <w:r>
              <w:lastRenderedPageBreak/>
              <w:t>DAESAMTQSETOT</w:t>
            </w:r>
            <w:r w:rsidRPr="002E0760">
              <w:rPr>
                <w:i/>
              </w:rPr>
              <w:t xml:space="preserve"> </w:t>
            </w:r>
            <w:r w:rsidRPr="002E0760">
              <w:rPr>
                <w:i/>
                <w:vertAlign w:val="subscript"/>
              </w:rPr>
              <w:t>q</w:t>
            </w:r>
          </w:p>
        </w:tc>
        <w:tc>
          <w:tcPr>
            <w:tcW w:w="691" w:type="dxa"/>
          </w:tcPr>
          <w:p w14:paraId="651DF83B" w14:textId="77777777" w:rsidR="00FF2129" w:rsidRDefault="00482EF3">
            <w:pPr>
              <w:pStyle w:val="TableBody"/>
            </w:pPr>
            <w:r>
              <w:t>$</w:t>
            </w:r>
          </w:p>
        </w:tc>
        <w:tc>
          <w:tcPr>
            <w:tcW w:w="6018" w:type="dxa"/>
          </w:tcPr>
          <w:p w14:paraId="49C8CF57" w14:textId="77777777" w:rsidR="00FF2129" w:rsidRDefault="00482EF3">
            <w:pPr>
              <w:pStyle w:val="TableBody"/>
            </w:pPr>
            <w:r>
              <w:rPr>
                <w:i/>
              </w:rPr>
              <w:t>Day-Ahead Energy Sale Amount QSE Total per QSE</w:t>
            </w:r>
            <w:r>
              <w:sym w:font="Symbol" w:char="F0BE"/>
            </w:r>
            <w:r>
              <w:t xml:space="preserve">The total of the payments to QSE </w:t>
            </w:r>
            <w:r>
              <w:rPr>
                <w:i/>
              </w:rPr>
              <w:t>q</w:t>
            </w:r>
            <w:r>
              <w:t xml:space="preserve"> for its cleared energy offers at all Settlement Points for the hour.</w:t>
            </w:r>
          </w:p>
        </w:tc>
      </w:tr>
      <w:tr w:rsidR="00FF2129" w14:paraId="1BFFBE1B" w14:textId="77777777">
        <w:tc>
          <w:tcPr>
            <w:tcW w:w="2147" w:type="dxa"/>
          </w:tcPr>
          <w:p w14:paraId="6E94C3FA" w14:textId="77777777" w:rsidR="00FF2129" w:rsidRDefault="00482EF3">
            <w:pPr>
              <w:pStyle w:val="TableBody"/>
            </w:pPr>
            <w:r>
              <w:t xml:space="preserve">DAESAMT </w:t>
            </w:r>
            <w:r w:rsidRPr="002E0760">
              <w:rPr>
                <w:i/>
                <w:vertAlign w:val="subscript"/>
              </w:rPr>
              <w:t>q, p</w:t>
            </w:r>
          </w:p>
        </w:tc>
        <w:tc>
          <w:tcPr>
            <w:tcW w:w="691" w:type="dxa"/>
          </w:tcPr>
          <w:p w14:paraId="5C2F3A64" w14:textId="77777777" w:rsidR="00FF2129" w:rsidRDefault="00482EF3">
            <w:pPr>
              <w:pStyle w:val="TableBody"/>
            </w:pPr>
            <w:r>
              <w:t>$</w:t>
            </w:r>
          </w:p>
        </w:tc>
        <w:tc>
          <w:tcPr>
            <w:tcW w:w="6018" w:type="dxa"/>
          </w:tcPr>
          <w:p w14:paraId="1ADFEFD0" w14:textId="77777777" w:rsidR="00FF2129" w:rsidRDefault="00482EF3">
            <w:pPr>
              <w:pStyle w:val="TableBody"/>
            </w:pPr>
            <w:r>
              <w:rPr>
                <w:i/>
              </w:rPr>
              <w:t>Day-Ahead Energy Sale Amount per QSE per Settlement Point</w:t>
            </w:r>
            <w:r>
              <w:sym w:font="Symbol" w:char="F0BE"/>
            </w:r>
            <w:r>
              <w:t xml:space="preserve">The payment to QSE </w:t>
            </w:r>
            <w:r>
              <w:rPr>
                <w:i/>
              </w:rPr>
              <w:t>q</w:t>
            </w:r>
            <w:r>
              <w:t xml:space="preserve"> for the cleared energy offers at Settlement Point </w:t>
            </w:r>
            <w:r>
              <w:rPr>
                <w:i/>
              </w:rPr>
              <w:t>p</w:t>
            </w:r>
            <w:r>
              <w:t xml:space="preserve"> for the hour.</w:t>
            </w:r>
          </w:p>
        </w:tc>
      </w:tr>
      <w:tr w:rsidR="00FF2129" w14:paraId="3E1E2158" w14:textId="77777777">
        <w:tc>
          <w:tcPr>
            <w:tcW w:w="2147" w:type="dxa"/>
            <w:tcBorders>
              <w:top w:val="single" w:sz="4" w:space="0" w:color="auto"/>
              <w:left w:val="single" w:sz="4" w:space="0" w:color="auto"/>
              <w:bottom w:val="single" w:sz="4" w:space="0" w:color="auto"/>
              <w:right w:val="single" w:sz="4" w:space="0" w:color="auto"/>
            </w:tcBorders>
          </w:tcPr>
          <w:p w14:paraId="3D2CC67C" w14:textId="77777777" w:rsidR="00FF2129" w:rsidRPr="002E0760" w:rsidRDefault="00482EF3">
            <w:pPr>
              <w:pStyle w:val="TableBody"/>
              <w:rPr>
                <w:i/>
              </w:rPr>
            </w:pPr>
            <w:r w:rsidRPr="002E0760">
              <w:rPr>
                <w:i/>
              </w:rPr>
              <w:t>q</w:t>
            </w:r>
          </w:p>
        </w:tc>
        <w:tc>
          <w:tcPr>
            <w:tcW w:w="691" w:type="dxa"/>
            <w:tcBorders>
              <w:top w:val="single" w:sz="4" w:space="0" w:color="auto"/>
              <w:left w:val="single" w:sz="4" w:space="0" w:color="auto"/>
              <w:bottom w:val="single" w:sz="4" w:space="0" w:color="auto"/>
              <w:right w:val="single" w:sz="4" w:space="0" w:color="auto"/>
            </w:tcBorders>
          </w:tcPr>
          <w:p w14:paraId="79C7511E" w14:textId="77777777" w:rsidR="00FF2129" w:rsidRDefault="00482EF3">
            <w:pPr>
              <w:pStyle w:val="TableBody"/>
            </w:pPr>
            <w:r>
              <w:t>none</w:t>
            </w:r>
          </w:p>
        </w:tc>
        <w:tc>
          <w:tcPr>
            <w:tcW w:w="6018" w:type="dxa"/>
            <w:tcBorders>
              <w:top w:val="single" w:sz="4" w:space="0" w:color="auto"/>
              <w:left w:val="single" w:sz="4" w:space="0" w:color="auto"/>
              <w:bottom w:val="single" w:sz="4" w:space="0" w:color="auto"/>
              <w:right w:val="single" w:sz="4" w:space="0" w:color="auto"/>
            </w:tcBorders>
          </w:tcPr>
          <w:p w14:paraId="6E7FF670" w14:textId="77777777" w:rsidR="00FF2129" w:rsidRDefault="00482EF3">
            <w:pPr>
              <w:pStyle w:val="TableBody"/>
            </w:pPr>
            <w:r>
              <w:t>A QSE.</w:t>
            </w:r>
          </w:p>
        </w:tc>
      </w:tr>
      <w:tr w:rsidR="00FF2129" w14:paraId="3FE5D9D0" w14:textId="77777777">
        <w:tc>
          <w:tcPr>
            <w:tcW w:w="2147" w:type="dxa"/>
            <w:tcBorders>
              <w:top w:val="single" w:sz="4" w:space="0" w:color="auto"/>
              <w:left w:val="single" w:sz="4" w:space="0" w:color="auto"/>
              <w:bottom w:val="single" w:sz="4" w:space="0" w:color="auto"/>
              <w:right w:val="single" w:sz="4" w:space="0" w:color="auto"/>
            </w:tcBorders>
          </w:tcPr>
          <w:p w14:paraId="24F21426" w14:textId="77777777" w:rsidR="00FF2129" w:rsidRPr="002E0760" w:rsidRDefault="00482EF3">
            <w:pPr>
              <w:pStyle w:val="TableBody"/>
              <w:rPr>
                <w:i/>
              </w:rPr>
            </w:pPr>
            <w:r w:rsidRPr="002E0760">
              <w:rPr>
                <w:i/>
              </w:rPr>
              <w:t>p</w:t>
            </w:r>
          </w:p>
        </w:tc>
        <w:tc>
          <w:tcPr>
            <w:tcW w:w="691" w:type="dxa"/>
            <w:tcBorders>
              <w:top w:val="single" w:sz="4" w:space="0" w:color="auto"/>
              <w:left w:val="single" w:sz="4" w:space="0" w:color="auto"/>
              <w:bottom w:val="single" w:sz="4" w:space="0" w:color="auto"/>
              <w:right w:val="single" w:sz="4" w:space="0" w:color="auto"/>
            </w:tcBorders>
          </w:tcPr>
          <w:p w14:paraId="75FBADD9" w14:textId="77777777" w:rsidR="00FF2129" w:rsidRDefault="00482EF3">
            <w:pPr>
              <w:pStyle w:val="TableBody"/>
            </w:pPr>
            <w:r>
              <w:t>none</w:t>
            </w:r>
          </w:p>
        </w:tc>
        <w:tc>
          <w:tcPr>
            <w:tcW w:w="6018" w:type="dxa"/>
            <w:tcBorders>
              <w:top w:val="single" w:sz="4" w:space="0" w:color="auto"/>
              <w:left w:val="single" w:sz="4" w:space="0" w:color="auto"/>
              <w:bottom w:val="single" w:sz="4" w:space="0" w:color="auto"/>
              <w:right w:val="single" w:sz="4" w:space="0" w:color="auto"/>
            </w:tcBorders>
          </w:tcPr>
          <w:p w14:paraId="534958F0" w14:textId="77777777" w:rsidR="00FF2129" w:rsidRDefault="00482EF3">
            <w:pPr>
              <w:pStyle w:val="TableBody"/>
            </w:pPr>
            <w:r>
              <w:t>A Settlement Point.</w:t>
            </w:r>
          </w:p>
        </w:tc>
      </w:tr>
    </w:tbl>
    <w:p w14:paraId="6FE1C63E" w14:textId="0025E2C0" w:rsidR="00FF2129" w:rsidRDefault="00482EF3" w:rsidP="00003B06">
      <w:pPr>
        <w:pStyle w:val="H4"/>
        <w:spacing w:before="480"/>
        <w:ind w:left="1267" w:hanging="1267"/>
      </w:pPr>
      <w:bookmarkStart w:id="688" w:name="_Toc109185130"/>
      <w:bookmarkStart w:id="689" w:name="_Toc142108960"/>
      <w:bookmarkStart w:id="690" w:name="_Toc142113805"/>
      <w:bookmarkStart w:id="691" w:name="_Toc402345633"/>
      <w:bookmarkStart w:id="692" w:name="_Toc405383916"/>
      <w:bookmarkStart w:id="693" w:name="_Toc405537019"/>
      <w:bookmarkStart w:id="694" w:name="_Toc440871805"/>
      <w:bookmarkStart w:id="695" w:name="_Toc135990686"/>
      <w:r>
        <w:t>4.6.2.2</w:t>
      </w:r>
      <w:r>
        <w:tab/>
      </w:r>
      <w:bookmarkEnd w:id="684"/>
      <w:bookmarkEnd w:id="685"/>
      <w:bookmarkEnd w:id="686"/>
      <w:r>
        <w:t>Day-Ahead Energy Charge</w:t>
      </w:r>
      <w:bookmarkEnd w:id="687"/>
      <w:bookmarkEnd w:id="688"/>
      <w:bookmarkEnd w:id="689"/>
      <w:bookmarkEnd w:id="690"/>
      <w:bookmarkEnd w:id="691"/>
      <w:bookmarkEnd w:id="692"/>
      <w:bookmarkEnd w:id="693"/>
      <w:bookmarkEnd w:id="694"/>
      <w:bookmarkEnd w:id="695"/>
    </w:p>
    <w:p w14:paraId="437F35E1" w14:textId="77777777" w:rsidR="00FF2129" w:rsidRDefault="00482EF3">
      <w:pPr>
        <w:pStyle w:val="BodyTextNumbered"/>
      </w:pPr>
      <w:r>
        <w:t>(1)</w:t>
      </w:r>
      <w:r>
        <w:tab/>
        <w:t>The Day-Ahead Energy Charge is made for all cleared DAM Energy Bids.  This charge to each QSE for each Settlement Point for a given hour of the Operating Day is calculated as follows:</w:t>
      </w:r>
    </w:p>
    <w:p w14:paraId="0242CE3C" w14:textId="77777777" w:rsidR="00FF2129" w:rsidRDefault="00482EF3" w:rsidP="00E30EAB">
      <w:pPr>
        <w:pStyle w:val="FormulaBold"/>
      </w:pPr>
      <w:r>
        <w:t xml:space="preserve">DAEPAMT </w:t>
      </w:r>
      <w:r>
        <w:rPr>
          <w:i/>
          <w:vertAlign w:val="subscript"/>
        </w:rPr>
        <w:t>q, p</w:t>
      </w:r>
      <w:r>
        <w:t xml:space="preserve"> </w:t>
      </w:r>
      <w:r>
        <w:tab/>
        <w:t>=</w:t>
      </w:r>
      <w:r>
        <w:tab/>
        <w:t xml:space="preserve">DASPP </w:t>
      </w:r>
      <w:r>
        <w:rPr>
          <w:i/>
          <w:vertAlign w:val="subscript"/>
        </w:rPr>
        <w:t>p</w:t>
      </w:r>
      <w:r>
        <w:t xml:space="preserve"> * DAEP </w:t>
      </w:r>
      <w:r>
        <w:rPr>
          <w:i/>
          <w:vertAlign w:val="subscript"/>
        </w:rPr>
        <w:t>q, p</w:t>
      </w:r>
    </w:p>
    <w:p w14:paraId="57EE90F0" w14:textId="77777777" w:rsidR="00FF2129" w:rsidRDefault="00482EF3">
      <w:r>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839"/>
        <w:gridCol w:w="6225"/>
      </w:tblGrid>
      <w:tr w:rsidR="00FF2129" w14:paraId="13BE4BC1" w14:textId="77777777">
        <w:trPr>
          <w:tblHeader/>
        </w:trPr>
        <w:tc>
          <w:tcPr>
            <w:tcW w:w="1528" w:type="dxa"/>
          </w:tcPr>
          <w:p w14:paraId="763B296B" w14:textId="77777777" w:rsidR="00FF2129" w:rsidRDefault="00482EF3">
            <w:pPr>
              <w:pStyle w:val="TableHead"/>
            </w:pPr>
            <w:r>
              <w:t>Variable</w:t>
            </w:r>
          </w:p>
        </w:tc>
        <w:tc>
          <w:tcPr>
            <w:tcW w:w="839" w:type="dxa"/>
          </w:tcPr>
          <w:p w14:paraId="56B0E3BB" w14:textId="77777777" w:rsidR="00FF2129" w:rsidRDefault="00482EF3">
            <w:pPr>
              <w:pStyle w:val="TableHead"/>
            </w:pPr>
            <w:r>
              <w:t>Unit</w:t>
            </w:r>
          </w:p>
        </w:tc>
        <w:tc>
          <w:tcPr>
            <w:tcW w:w="6225" w:type="dxa"/>
          </w:tcPr>
          <w:p w14:paraId="5B1D727F" w14:textId="77777777" w:rsidR="00FF2129" w:rsidRDefault="00482EF3">
            <w:pPr>
              <w:pStyle w:val="TableHead"/>
            </w:pPr>
            <w:r>
              <w:t>Definition</w:t>
            </w:r>
          </w:p>
        </w:tc>
      </w:tr>
      <w:tr w:rsidR="00FF2129" w14:paraId="279F65B2" w14:textId="77777777">
        <w:tc>
          <w:tcPr>
            <w:tcW w:w="1528" w:type="dxa"/>
          </w:tcPr>
          <w:p w14:paraId="066CE7E2" w14:textId="77777777" w:rsidR="00FF2129" w:rsidRDefault="00482EF3">
            <w:pPr>
              <w:pStyle w:val="TableBody"/>
            </w:pPr>
            <w:r>
              <w:t xml:space="preserve">DAEPAMT </w:t>
            </w:r>
            <w:r w:rsidRPr="002E0760">
              <w:rPr>
                <w:i/>
                <w:vertAlign w:val="subscript"/>
              </w:rPr>
              <w:t>q, p</w:t>
            </w:r>
          </w:p>
        </w:tc>
        <w:tc>
          <w:tcPr>
            <w:tcW w:w="839" w:type="dxa"/>
          </w:tcPr>
          <w:p w14:paraId="1B08887E" w14:textId="77777777" w:rsidR="00FF2129" w:rsidRDefault="00482EF3">
            <w:pPr>
              <w:pStyle w:val="TableBody"/>
            </w:pPr>
            <w:r>
              <w:t>$</w:t>
            </w:r>
          </w:p>
        </w:tc>
        <w:tc>
          <w:tcPr>
            <w:tcW w:w="6225" w:type="dxa"/>
          </w:tcPr>
          <w:p w14:paraId="316916E0" w14:textId="77777777" w:rsidR="00FF2129" w:rsidRDefault="00482EF3">
            <w:pPr>
              <w:pStyle w:val="TableBody"/>
            </w:pPr>
            <w:r>
              <w:rPr>
                <w:i/>
              </w:rPr>
              <w:t>Day-Ahead Energy Charge per QSE per Settlement Point</w:t>
            </w:r>
            <w:r>
              <w:sym w:font="Symbol" w:char="F0BE"/>
            </w:r>
            <w:r>
              <w:t xml:space="preserve">The charge to QSE </w:t>
            </w:r>
            <w:r>
              <w:rPr>
                <w:i/>
              </w:rPr>
              <w:t>q</w:t>
            </w:r>
            <w:r>
              <w:t xml:space="preserve"> for all its cleared DAM Energy Bids at Settlement Point </w:t>
            </w:r>
            <w:r>
              <w:rPr>
                <w:i/>
              </w:rPr>
              <w:t>p</w:t>
            </w:r>
            <w:r>
              <w:t xml:space="preserve"> for the hour.</w:t>
            </w:r>
          </w:p>
        </w:tc>
      </w:tr>
      <w:tr w:rsidR="00FF2129" w14:paraId="4FA6CB55" w14:textId="77777777">
        <w:tc>
          <w:tcPr>
            <w:tcW w:w="1528" w:type="dxa"/>
          </w:tcPr>
          <w:p w14:paraId="290D1ABB" w14:textId="77777777" w:rsidR="00FF2129" w:rsidRDefault="00482EF3">
            <w:pPr>
              <w:pStyle w:val="TableBody"/>
            </w:pPr>
            <w:r>
              <w:t xml:space="preserve">DASPP </w:t>
            </w:r>
            <w:r w:rsidRPr="002E0760">
              <w:rPr>
                <w:i/>
                <w:vertAlign w:val="subscript"/>
              </w:rPr>
              <w:t>p</w:t>
            </w:r>
          </w:p>
        </w:tc>
        <w:tc>
          <w:tcPr>
            <w:tcW w:w="839" w:type="dxa"/>
          </w:tcPr>
          <w:p w14:paraId="76C75331" w14:textId="77777777" w:rsidR="00FF2129" w:rsidRDefault="00482EF3">
            <w:pPr>
              <w:pStyle w:val="TableBody"/>
            </w:pPr>
            <w:r>
              <w:t>$/MWh</w:t>
            </w:r>
          </w:p>
        </w:tc>
        <w:tc>
          <w:tcPr>
            <w:tcW w:w="6225" w:type="dxa"/>
          </w:tcPr>
          <w:p w14:paraId="57CF8825" w14:textId="77777777" w:rsidR="00FF2129" w:rsidRDefault="00482EF3">
            <w:pPr>
              <w:pStyle w:val="TableBody"/>
            </w:pPr>
            <w:r>
              <w:rPr>
                <w:i/>
              </w:rPr>
              <w:t>Day-Ahead Settlement Point Price per Settlement Point</w:t>
            </w:r>
            <w:r>
              <w:sym w:font="Symbol" w:char="F0BE"/>
            </w:r>
            <w:r>
              <w:t xml:space="preserve">The DAM SPP at Settlement Point </w:t>
            </w:r>
            <w:r>
              <w:rPr>
                <w:i/>
              </w:rPr>
              <w:t>p</w:t>
            </w:r>
            <w:r>
              <w:t xml:space="preserve"> for the hour. </w:t>
            </w:r>
          </w:p>
        </w:tc>
      </w:tr>
      <w:tr w:rsidR="00FF2129" w14:paraId="24C3FEE3" w14:textId="77777777">
        <w:tc>
          <w:tcPr>
            <w:tcW w:w="1528" w:type="dxa"/>
          </w:tcPr>
          <w:p w14:paraId="4CD35831" w14:textId="77777777" w:rsidR="00FF2129" w:rsidRDefault="00482EF3">
            <w:pPr>
              <w:pStyle w:val="TableBody"/>
            </w:pPr>
            <w:r>
              <w:t xml:space="preserve">DAEP </w:t>
            </w:r>
            <w:r w:rsidRPr="002E0760">
              <w:rPr>
                <w:i/>
                <w:vertAlign w:val="subscript"/>
              </w:rPr>
              <w:t>q, p</w:t>
            </w:r>
          </w:p>
        </w:tc>
        <w:tc>
          <w:tcPr>
            <w:tcW w:w="839" w:type="dxa"/>
          </w:tcPr>
          <w:p w14:paraId="62EB213F" w14:textId="77777777" w:rsidR="00FF2129" w:rsidRDefault="00482EF3">
            <w:pPr>
              <w:pStyle w:val="TableBody"/>
            </w:pPr>
            <w:r>
              <w:t>MW</w:t>
            </w:r>
          </w:p>
        </w:tc>
        <w:tc>
          <w:tcPr>
            <w:tcW w:w="6225" w:type="dxa"/>
          </w:tcPr>
          <w:p w14:paraId="716758BB" w14:textId="77777777" w:rsidR="00FF2129" w:rsidRDefault="00482EF3">
            <w:pPr>
              <w:pStyle w:val="TableBody"/>
            </w:pPr>
            <w:r>
              <w:rPr>
                <w:i/>
              </w:rPr>
              <w:t>Day-Ahead Energy Purchase per QSE per Settlement Point</w:t>
            </w:r>
            <w:r>
              <w:sym w:font="Symbol" w:char="F0BE"/>
            </w:r>
            <w:r>
              <w:t xml:space="preserve">The total amount of energy represented by QSE </w:t>
            </w:r>
            <w:r>
              <w:rPr>
                <w:i/>
              </w:rPr>
              <w:t>q</w:t>
            </w:r>
            <w:r>
              <w:t xml:space="preserve">’s cleared DAM Energy Bids at Settlement Point </w:t>
            </w:r>
            <w:r>
              <w:rPr>
                <w:i/>
              </w:rPr>
              <w:t>p</w:t>
            </w:r>
            <w:r>
              <w:t xml:space="preserve"> for the hour.</w:t>
            </w:r>
          </w:p>
        </w:tc>
      </w:tr>
      <w:tr w:rsidR="00FF2129" w14:paraId="630B982A" w14:textId="77777777">
        <w:tc>
          <w:tcPr>
            <w:tcW w:w="1528" w:type="dxa"/>
          </w:tcPr>
          <w:p w14:paraId="0E16152C" w14:textId="77777777" w:rsidR="00FF2129" w:rsidRPr="002E0760" w:rsidRDefault="00482EF3">
            <w:pPr>
              <w:pStyle w:val="TableBody"/>
              <w:rPr>
                <w:i/>
              </w:rPr>
            </w:pPr>
            <w:r w:rsidRPr="002E0760">
              <w:rPr>
                <w:i/>
              </w:rPr>
              <w:t>q</w:t>
            </w:r>
          </w:p>
        </w:tc>
        <w:tc>
          <w:tcPr>
            <w:tcW w:w="839" w:type="dxa"/>
          </w:tcPr>
          <w:p w14:paraId="0036F023" w14:textId="77777777" w:rsidR="00FF2129" w:rsidRDefault="00482EF3">
            <w:pPr>
              <w:pStyle w:val="TableBody"/>
            </w:pPr>
            <w:r>
              <w:t>none</w:t>
            </w:r>
          </w:p>
        </w:tc>
        <w:tc>
          <w:tcPr>
            <w:tcW w:w="6225" w:type="dxa"/>
          </w:tcPr>
          <w:p w14:paraId="56A71633" w14:textId="77777777" w:rsidR="00FF2129" w:rsidRDefault="00482EF3">
            <w:pPr>
              <w:pStyle w:val="TableBody"/>
              <w:rPr>
                <w:i/>
              </w:rPr>
            </w:pPr>
            <w:r>
              <w:t>A QSE.</w:t>
            </w:r>
          </w:p>
        </w:tc>
      </w:tr>
      <w:tr w:rsidR="00FF2129" w14:paraId="3AD2EE45" w14:textId="77777777">
        <w:tc>
          <w:tcPr>
            <w:tcW w:w="1528" w:type="dxa"/>
          </w:tcPr>
          <w:p w14:paraId="4ED9723A" w14:textId="77777777" w:rsidR="00FF2129" w:rsidRPr="002E0760" w:rsidRDefault="00482EF3">
            <w:pPr>
              <w:pStyle w:val="TableBody"/>
              <w:rPr>
                <w:i/>
              </w:rPr>
            </w:pPr>
            <w:r w:rsidRPr="002E0760">
              <w:rPr>
                <w:i/>
              </w:rPr>
              <w:t>p</w:t>
            </w:r>
          </w:p>
        </w:tc>
        <w:tc>
          <w:tcPr>
            <w:tcW w:w="839" w:type="dxa"/>
          </w:tcPr>
          <w:p w14:paraId="06FFF54A" w14:textId="77777777" w:rsidR="00FF2129" w:rsidRDefault="00482EF3">
            <w:pPr>
              <w:pStyle w:val="TableBody"/>
            </w:pPr>
            <w:r>
              <w:t>none</w:t>
            </w:r>
          </w:p>
        </w:tc>
        <w:tc>
          <w:tcPr>
            <w:tcW w:w="6225" w:type="dxa"/>
          </w:tcPr>
          <w:p w14:paraId="2471BFAC" w14:textId="77777777" w:rsidR="00FF2129" w:rsidRDefault="00482EF3">
            <w:pPr>
              <w:pStyle w:val="TableBody"/>
              <w:rPr>
                <w:i/>
              </w:rPr>
            </w:pPr>
            <w:r>
              <w:t>A Settlement Point.</w:t>
            </w:r>
          </w:p>
        </w:tc>
      </w:tr>
    </w:tbl>
    <w:p w14:paraId="490B9D2A" w14:textId="77777777" w:rsidR="00FF2129" w:rsidRDefault="00FF2129" w:rsidP="002E17E2">
      <w:pPr>
        <w:pStyle w:val="BodyTextNumbered"/>
        <w:spacing w:after="0"/>
      </w:pPr>
      <w:bookmarkStart w:id="696" w:name="_Toc73282798"/>
      <w:bookmarkStart w:id="697" w:name="_Toc73868382"/>
      <w:bookmarkStart w:id="698" w:name="_Toc75852535"/>
      <w:bookmarkStart w:id="699" w:name="_Toc90197140"/>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2E17E2" w:rsidRPr="004B32CF" w14:paraId="2BD19E26" w14:textId="77777777" w:rsidTr="009540C4">
        <w:trPr>
          <w:trHeight w:val="386"/>
        </w:trPr>
        <w:tc>
          <w:tcPr>
            <w:tcW w:w="9350" w:type="dxa"/>
            <w:shd w:val="pct12" w:color="auto" w:fill="auto"/>
          </w:tcPr>
          <w:p w14:paraId="251F6A87" w14:textId="77777777" w:rsidR="002E17E2" w:rsidRDefault="002E17E2" w:rsidP="009540C4">
            <w:pPr>
              <w:spacing w:before="120" w:after="240"/>
              <w:rPr>
                <w:b/>
                <w:i/>
                <w:iCs/>
              </w:rPr>
            </w:pPr>
            <w:r>
              <w:rPr>
                <w:b/>
                <w:i/>
                <w:iCs/>
              </w:rPr>
              <w:t>[NPRR1014:  Replace paragraph (1</w:t>
            </w:r>
            <w:r w:rsidRPr="004B32CF">
              <w:rPr>
                <w:b/>
                <w:i/>
                <w:iCs/>
              </w:rPr>
              <w:t xml:space="preserve">) above </w:t>
            </w:r>
            <w:r>
              <w:rPr>
                <w:b/>
                <w:i/>
                <w:iCs/>
              </w:rPr>
              <w:t xml:space="preserve">with the following </w:t>
            </w:r>
            <w:r w:rsidRPr="004B32CF">
              <w:rPr>
                <w:b/>
                <w:i/>
                <w:iCs/>
              </w:rPr>
              <w:t>upon system implementation:]</w:t>
            </w:r>
          </w:p>
          <w:p w14:paraId="037B4839" w14:textId="77777777" w:rsidR="002E17E2" w:rsidRPr="00A552C3" w:rsidRDefault="002E17E2" w:rsidP="002E17E2">
            <w:pPr>
              <w:spacing w:after="240"/>
              <w:ind w:left="720" w:hanging="720"/>
              <w:rPr>
                <w:iCs/>
              </w:rPr>
            </w:pPr>
            <w:r w:rsidRPr="00A552C3">
              <w:rPr>
                <w:iCs/>
              </w:rPr>
              <w:t>(1)</w:t>
            </w:r>
            <w:r w:rsidRPr="00A552C3">
              <w:rPr>
                <w:iCs/>
              </w:rPr>
              <w:tab/>
              <w:t>The Day-Ahead Energy Charge is made for all cleared DAM Energy Bids</w:t>
            </w:r>
            <w:r w:rsidRPr="00A552C3">
              <w:t xml:space="preserve"> or cleared purchases from the bid portion of Energy Bid/Offer Curves</w:t>
            </w:r>
            <w:r w:rsidRPr="00A552C3">
              <w:rPr>
                <w:iCs/>
              </w:rPr>
              <w:t>.  This charge to each QSE for each Settlement Point for a given hour of the Operating Day is calculated as follows:</w:t>
            </w:r>
          </w:p>
          <w:p w14:paraId="2B8E5CD1" w14:textId="77777777" w:rsidR="002E17E2" w:rsidRPr="00A552C3" w:rsidRDefault="002E17E2" w:rsidP="002E17E2">
            <w:pPr>
              <w:tabs>
                <w:tab w:val="left" w:pos="2352"/>
                <w:tab w:val="left" w:pos="3420"/>
                <w:tab w:val="left" w:pos="3822"/>
              </w:tabs>
              <w:spacing w:after="240"/>
              <w:ind w:left="1440" w:hanging="1440"/>
              <w:rPr>
                <w:bCs/>
                <w:iCs/>
                <w:lang w:val="x-none" w:eastAsia="x-none"/>
              </w:rPr>
            </w:pPr>
            <w:r w:rsidRPr="00A552C3">
              <w:rPr>
                <w:bCs/>
                <w:iCs/>
                <w:lang w:val="x-none" w:eastAsia="x-none"/>
              </w:rPr>
              <w:t xml:space="preserve">DAEPAMT </w:t>
            </w:r>
            <w:r w:rsidRPr="00A552C3">
              <w:rPr>
                <w:bCs/>
                <w:i/>
                <w:iCs/>
                <w:vertAlign w:val="subscript"/>
                <w:lang w:val="x-none" w:eastAsia="x-none"/>
              </w:rPr>
              <w:t>q, p</w:t>
            </w:r>
            <w:r w:rsidRPr="00A552C3">
              <w:rPr>
                <w:bCs/>
                <w:iCs/>
                <w:lang w:val="x-none" w:eastAsia="x-none"/>
              </w:rPr>
              <w:t xml:space="preserve"> </w:t>
            </w:r>
            <w:r w:rsidRPr="00A552C3">
              <w:rPr>
                <w:bCs/>
                <w:iCs/>
                <w:lang w:val="x-none" w:eastAsia="x-none"/>
              </w:rPr>
              <w:tab/>
              <w:t>=</w:t>
            </w:r>
            <w:r w:rsidRPr="00A552C3">
              <w:rPr>
                <w:bCs/>
                <w:iCs/>
                <w:lang w:val="x-none" w:eastAsia="x-none"/>
              </w:rPr>
              <w:tab/>
              <w:t xml:space="preserve">DASPP </w:t>
            </w:r>
            <w:r w:rsidRPr="00A552C3">
              <w:rPr>
                <w:bCs/>
                <w:i/>
                <w:iCs/>
                <w:vertAlign w:val="subscript"/>
                <w:lang w:val="x-none" w:eastAsia="x-none"/>
              </w:rPr>
              <w:t>p</w:t>
            </w:r>
            <w:r w:rsidRPr="00A552C3">
              <w:rPr>
                <w:bCs/>
                <w:iCs/>
                <w:lang w:val="x-none" w:eastAsia="x-none"/>
              </w:rPr>
              <w:t xml:space="preserve"> * DAEP </w:t>
            </w:r>
            <w:r w:rsidRPr="00A552C3">
              <w:rPr>
                <w:bCs/>
                <w:i/>
                <w:iCs/>
                <w:vertAlign w:val="subscript"/>
                <w:lang w:val="x-none" w:eastAsia="x-none"/>
              </w:rPr>
              <w:t>q, p</w:t>
            </w:r>
          </w:p>
          <w:p w14:paraId="0F8B9AEA" w14:textId="77777777" w:rsidR="002E17E2" w:rsidRPr="00A552C3" w:rsidRDefault="002E17E2" w:rsidP="002E17E2">
            <w:r w:rsidRPr="00A552C3">
              <w:t>The above variables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839"/>
              <w:gridCol w:w="6225"/>
            </w:tblGrid>
            <w:tr w:rsidR="002E17E2" w:rsidRPr="00A552C3" w14:paraId="4C414715" w14:textId="77777777" w:rsidTr="009540C4">
              <w:trPr>
                <w:tblHeader/>
              </w:trPr>
              <w:tc>
                <w:tcPr>
                  <w:tcW w:w="1528" w:type="dxa"/>
                </w:tcPr>
                <w:p w14:paraId="79C2C671" w14:textId="77777777" w:rsidR="002E17E2" w:rsidRPr="00A552C3" w:rsidRDefault="002E17E2" w:rsidP="002E17E2">
                  <w:pPr>
                    <w:spacing w:after="120"/>
                    <w:rPr>
                      <w:b/>
                      <w:iCs/>
                      <w:sz w:val="20"/>
                      <w:szCs w:val="20"/>
                    </w:rPr>
                  </w:pPr>
                  <w:r w:rsidRPr="00A552C3">
                    <w:rPr>
                      <w:b/>
                      <w:iCs/>
                      <w:sz w:val="20"/>
                      <w:szCs w:val="20"/>
                    </w:rPr>
                    <w:t>Variable</w:t>
                  </w:r>
                </w:p>
              </w:tc>
              <w:tc>
                <w:tcPr>
                  <w:tcW w:w="839" w:type="dxa"/>
                </w:tcPr>
                <w:p w14:paraId="4043C92C" w14:textId="77777777" w:rsidR="002E17E2" w:rsidRPr="00A552C3" w:rsidRDefault="002E17E2" w:rsidP="002E17E2">
                  <w:pPr>
                    <w:spacing w:after="120"/>
                    <w:rPr>
                      <w:b/>
                      <w:iCs/>
                      <w:sz w:val="20"/>
                      <w:szCs w:val="20"/>
                    </w:rPr>
                  </w:pPr>
                  <w:r w:rsidRPr="00A552C3">
                    <w:rPr>
                      <w:b/>
                      <w:iCs/>
                      <w:sz w:val="20"/>
                      <w:szCs w:val="20"/>
                    </w:rPr>
                    <w:t>Unit</w:t>
                  </w:r>
                </w:p>
              </w:tc>
              <w:tc>
                <w:tcPr>
                  <w:tcW w:w="6225" w:type="dxa"/>
                </w:tcPr>
                <w:p w14:paraId="03897B06" w14:textId="77777777" w:rsidR="002E17E2" w:rsidRPr="00A552C3" w:rsidRDefault="002E17E2" w:rsidP="002E17E2">
                  <w:pPr>
                    <w:spacing w:after="120"/>
                    <w:rPr>
                      <w:b/>
                      <w:iCs/>
                      <w:sz w:val="20"/>
                      <w:szCs w:val="20"/>
                    </w:rPr>
                  </w:pPr>
                  <w:r w:rsidRPr="00A552C3">
                    <w:rPr>
                      <w:b/>
                      <w:iCs/>
                      <w:sz w:val="20"/>
                      <w:szCs w:val="20"/>
                    </w:rPr>
                    <w:t>Definition</w:t>
                  </w:r>
                </w:p>
              </w:tc>
            </w:tr>
            <w:tr w:rsidR="002E17E2" w:rsidRPr="00A552C3" w14:paraId="43AA8D1B" w14:textId="77777777" w:rsidTr="009540C4">
              <w:tc>
                <w:tcPr>
                  <w:tcW w:w="1528" w:type="dxa"/>
                </w:tcPr>
                <w:p w14:paraId="7F50C96A" w14:textId="77777777" w:rsidR="002E17E2" w:rsidRPr="00A552C3" w:rsidRDefault="002E17E2" w:rsidP="002E17E2">
                  <w:pPr>
                    <w:spacing w:after="60"/>
                    <w:rPr>
                      <w:iCs/>
                      <w:sz w:val="20"/>
                      <w:szCs w:val="20"/>
                    </w:rPr>
                  </w:pPr>
                  <w:r w:rsidRPr="00A552C3">
                    <w:rPr>
                      <w:iCs/>
                      <w:sz w:val="20"/>
                      <w:szCs w:val="20"/>
                    </w:rPr>
                    <w:t xml:space="preserve">DAEPAMT </w:t>
                  </w:r>
                  <w:r w:rsidRPr="00A552C3">
                    <w:rPr>
                      <w:i/>
                      <w:iCs/>
                      <w:sz w:val="20"/>
                      <w:szCs w:val="20"/>
                      <w:vertAlign w:val="subscript"/>
                    </w:rPr>
                    <w:t>q, p</w:t>
                  </w:r>
                </w:p>
              </w:tc>
              <w:tc>
                <w:tcPr>
                  <w:tcW w:w="839" w:type="dxa"/>
                </w:tcPr>
                <w:p w14:paraId="594BF113" w14:textId="77777777" w:rsidR="002E17E2" w:rsidRPr="00A552C3" w:rsidRDefault="002E17E2" w:rsidP="002E17E2">
                  <w:pPr>
                    <w:spacing w:after="60"/>
                    <w:rPr>
                      <w:iCs/>
                      <w:sz w:val="20"/>
                      <w:szCs w:val="20"/>
                    </w:rPr>
                  </w:pPr>
                  <w:r w:rsidRPr="00A552C3">
                    <w:rPr>
                      <w:iCs/>
                      <w:sz w:val="20"/>
                      <w:szCs w:val="20"/>
                    </w:rPr>
                    <w:t>$</w:t>
                  </w:r>
                </w:p>
              </w:tc>
              <w:tc>
                <w:tcPr>
                  <w:tcW w:w="6225" w:type="dxa"/>
                </w:tcPr>
                <w:p w14:paraId="516C529F" w14:textId="77777777" w:rsidR="002E17E2" w:rsidRPr="00A552C3" w:rsidRDefault="002E17E2" w:rsidP="002E17E2">
                  <w:pPr>
                    <w:spacing w:after="60"/>
                    <w:rPr>
                      <w:iCs/>
                      <w:sz w:val="20"/>
                      <w:szCs w:val="20"/>
                    </w:rPr>
                  </w:pPr>
                  <w:r w:rsidRPr="00A552C3">
                    <w:rPr>
                      <w:i/>
                      <w:iCs/>
                      <w:sz w:val="20"/>
                      <w:szCs w:val="20"/>
                    </w:rPr>
                    <w:t>Day-Ahead Energy Charge per QSE per Settlement Point</w:t>
                  </w:r>
                  <w:r w:rsidRPr="00A552C3">
                    <w:rPr>
                      <w:iCs/>
                      <w:sz w:val="20"/>
                      <w:szCs w:val="20"/>
                    </w:rPr>
                    <w:sym w:font="Symbol" w:char="F0BE"/>
                  </w:r>
                  <w:r w:rsidRPr="00A552C3">
                    <w:rPr>
                      <w:iCs/>
                      <w:sz w:val="20"/>
                      <w:szCs w:val="20"/>
                    </w:rPr>
                    <w:t xml:space="preserve">The charge to QSE </w:t>
                  </w:r>
                  <w:r w:rsidRPr="00A552C3">
                    <w:rPr>
                      <w:i/>
                      <w:iCs/>
                      <w:sz w:val="20"/>
                      <w:szCs w:val="20"/>
                    </w:rPr>
                    <w:t>q</w:t>
                  </w:r>
                  <w:r w:rsidRPr="00A552C3">
                    <w:rPr>
                      <w:iCs/>
                      <w:sz w:val="20"/>
                      <w:szCs w:val="20"/>
                    </w:rPr>
                    <w:t xml:space="preserve"> for all its cleared energy bids at Settlement Point </w:t>
                  </w:r>
                  <w:r w:rsidRPr="00A552C3">
                    <w:rPr>
                      <w:i/>
                      <w:iCs/>
                      <w:sz w:val="20"/>
                      <w:szCs w:val="20"/>
                    </w:rPr>
                    <w:t>p</w:t>
                  </w:r>
                  <w:r w:rsidRPr="00A552C3">
                    <w:rPr>
                      <w:iCs/>
                      <w:sz w:val="20"/>
                      <w:szCs w:val="20"/>
                    </w:rPr>
                    <w:t xml:space="preserve"> for the hour.</w:t>
                  </w:r>
                </w:p>
              </w:tc>
            </w:tr>
            <w:tr w:rsidR="002E17E2" w:rsidRPr="00A552C3" w14:paraId="133067D5" w14:textId="77777777" w:rsidTr="009540C4">
              <w:tc>
                <w:tcPr>
                  <w:tcW w:w="1528" w:type="dxa"/>
                </w:tcPr>
                <w:p w14:paraId="00F41B81" w14:textId="77777777" w:rsidR="002E17E2" w:rsidRPr="00A552C3" w:rsidRDefault="002E17E2" w:rsidP="002E17E2">
                  <w:pPr>
                    <w:spacing w:after="60"/>
                    <w:rPr>
                      <w:iCs/>
                      <w:sz w:val="20"/>
                      <w:szCs w:val="20"/>
                    </w:rPr>
                  </w:pPr>
                  <w:r w:rsidRPr="00A552C3">
                    <w:rPr>
                      <w:iCs/>
                      <w:sz w:val="20"/>
                      <w:szCs w:val="20"/>
                    </w:rPr>
                    <w:lastRenderedPageBreak/>
                    <w:t xml:space="preserve">DASPP </w:t>
                  </w:r>
                  <w:r w:rsidRPr="00A552C3">
                    <w:rPr>
                      <w:i/>
                      <w:iCs/>
                      <w:sz w:val="20"/>
                      <w:szCs w:val="20"/>
                      <w:vertAlign w:val="subscript"/>
                    </w:rPr>
                    <w:t>p</w:t>
                  </w:r>
                </w:p>
              </w:tc>
              <w:tc>
                <w:tcPr>
                  <w:tcW w:w="839" w:type="dxa"/>
                </w:tcPr>
                <w:p w14:paraId="2FCFDD69" w14:textId="77777777" w:rsidR="002E17E2" w:rsidRPr="00A552C3" w:rsidRDefault="002E17E2" w:rsidP="002E17E2">
                  <w:pPr>
                    <w:spacing w:after="60"/>
                    <w:rPr>
                      <w:iCs/>
                      <w:sz w:val="20"/>
                      <w:szCs w:val="20"/>
                    </w:rPr>
                  </w:pPr>
                  <w:r w:rsidRPr="00A552C3">
                    <w:rPr>
                      <w:iCs/>
                      <w:sz w:val="20"/>
                      <w:szCs w:val="20"/>
                    </w:rPr>
                    <w:t>$/MWh</w:t>
                  </w:r>
                </w:p>
              </w:tc>
              <w:tc>
                <w:tcPr>
                  <w:tcW w:w="6225" w:type="dxa"/>
                </w:tcPr>
                <w:p w14:paraId="546DCBCD" w14:textId="77777777" w:rsidR="002E17E2" w:rsidRPr="00A552C3" w:rsidRDefault="002E17E2" w:rsidP="002E17E2">
                  <w:pPr>
                    <w:spacing w:after="60"/>
                    <w:rPr>
                      <w:iCs/>
                      <w:sz w:val="20"/>
                      <w:szCs w:val="20"/>
                    </w:rPr>
                  </w:pPr>
                  <w:r w:rsidRPr="00A552C3">
                    <w:rPr>
                      <w:i/>
                      <w:iCs/>
                      <w:sz w:val="20"/>
                      <w:szCs w:val="20"/>
                    </w:rPr>
                    <w:t>Day-Ahead Settlement Point Price per Settlement Point</w:t>
                  </w:r>
                  <w:r w:rsidRPr="00A552C3">
                    <w:rPr>
                      <w:iCs/>
                      <w:sz w:val="20"/>
                      <w:szCs w:val="20"/>
                    </w:rPr>
                    <w:sym w:font="Symbol" w:char="F0BE"/>
                  </w:r>
                  <w:r w:rsidRPr="00A552C3">
                    <w:rPr>
                      <w:iCs/>
                      <w:sz w:val="20"/>
                      <w:szCs w:val="20"/>
                    </w:rPr>
                    <w:t xml:space="preserve">The DAM SPP at Settlement Point </w:t>
                  </w:r>
                  <w:r w:rsidRPr="00A552C3">
                    <w:rPr>
                      <w:i/>
                      <w:iCs/>
                      <w:sz w:val="20"/>
                      <w:szCs w:val="20"/>
                    </w:rPr>
                    <w:t>p</w:t>
                  </w:r>
                  <w:r w:rsidRPr="00A552C3">
                    <w:rPr>
                      <w:iCs/>
                      <w:sz w:val="20"/>
                      <w:szCs w:val="20"/>
                    </w:rPr>
                    <w:t xml:space="preserve"> for the hour. </w:t>
                  </w:r>
                </w:p>
              </w:tc>
            </w:tr>
            <w:tr w:rsidR="002E17E2" w:rsidRPr="00A552C3" w14:paraId="13A4874C" w14:textId="77777777" w:rsidTr="009540C4">
              <w:tc>
                <w:tcPr>
                  <w:tcW w:w="1528" w:type="dxa"/>
                </w:tcPr>
                <w:p w14:paraId="430C04D6" w14:textId="77777777" w:rsidR="002E17E2" w:rsidRPr="00A552C3" w:rsidRDefault="002E17E2" w:rsidP="002E17E2">
                  <w:pPr>
                    <w:spacing w:after="60"/>
                    <w:rPr>
                      <w:iCs/>
                      <w:sz w:val="20"/>
                      <w:szCs w:val="20"/>
                    </w:rPr>
                  </w:pPr>
                  <w:r w:rsidRPr="00A552C3">
                    <w:rPr>
                      <w:iCs/>
                      <w:sz w:val="20"/>
                      <w:szCs w:val="20"/>
                    </w:rPr>
                    <w:t xml:space="preserve">DAEP </w:t>
                  </w:r>
                  <w:r w:rsidRPr="00A552C3">
                    <w:rPr>
                      <w:i/>
                      <w:iCs/>
                      <w:sz w:val="20"/>
                      <w:szCs w:val="20"/>
                      <w:vertAlign w:val="subscript"/>
                    </w:rPr>
                    <w:t>q, p</w:t>
                  </w:r>
                </w:p>
              </w:tc>
              <w:tc>
                <w:tcPr>
                  <w:tcW w:w="839" w:type="dxa"/>
                </w:tcPr>
                <w:p w14:paraId="3F2250E5" w14:textId="77777777" w:rsidR="002E17E2" w:rsidRPr="00A552C3" w:rsidRDefault="002E17E2" w:rsidP="002E17E2">
                  <w:pPr>
                    <w:spacing w:after="60"/>
                    <w:rPr>
                      <w:iCs/>
                      <w:sz w:val="20"/>
                      <w:szCs w:val="20"/>
                    </w:rPr>
                  </w:pPr>
                  <w:r w:rsidRPr="00A552C3">
                    <w:rPr>
                      <w:iCs/>
                      <w:sz w:val="20"/>
                      <w:szCs w:val="20"/>
                    </w:rPr>
                    <w:t>MW</w:t>
                  </w:r>
                </w:p>
              </w:tc>
              <w:tc>
                <w:tcPr>
                  <w:tcW w:w="6225" w:type="dxa"/>
                </w:tcPr>
                <w:p w14:paraId="22864227" w14:textId="77777777" w:rsidR="002E17E2" w:rsidRPr="00A552C3" w:rsidRDefault="002E17E2" w:rsidP="002E17E2">
                  <w:pPr>
                    <w:spacing w:after="60"/>
                    <w:rPr>
                      <w:iCs/>
                      <w:sz w:val="20"/>
                      <w:szCs w:val="20"/>
                    </w:rPr>
                  </w:pPr>
                  <w:r w:rsidRPr="00A552C3">
                    <w:rPr>
                      <w:i/>
                      <w:iCs/>
                      <w:sz w:val="20"/>
                      <w:szCs w:val="20"/>
                    </w:rPr>
                    <w:t>Day-Ahead Energy Purchase per QSE per Settlement Point</w:t>
                  </w:r>
                  <w:r w:rsidRPr="00A552C3">
                    <w:rPr>
                      <w:iCs/>
                      <w:sz w:val="20"/>
                      <w:szCs w:val="20"/>
                    </w:rPr>
                    <w:sym w:font="Symbol" w:char="F0BE"/>
                  </w:r>
                  <w:r w:rsidRPr="00A552C3">
                    <w:rPr>
                      <w:iCs/>
                      <w:sz w:val="20"/>
                      <w:szCs w:val="20"/>
                    </w:rPr>
                    <w:t xml:space="preserve">The total amount of energy represented by QSE </w:t>
                  </w:r>
                  <w:r w:rsidRPr="00A552C3">
                    <w:rPr>
                      <w:i/>
                      <w:iCs/>
                      <w:sz w:val="20"/>
                      <w:szCs w:val="20"/>
                    </w:rPr>
                    <w:t>q</w:t>
                  </w:r>
                  <w:r w:rsidRPr="00A552C3">
                    <w:rPr>
                      <w:iCs/>
                      <w:sz w:val="20"/>
                      <w:szCs w:val="20"/>
                    </w:rPr>
                    <w:t xml:space="preserve">’s cleared DAM Energy Bids and cleared purchases from the bid portion of Energy Bid/Offer Curves at Settlement Point </w:t>
                  </w:r>
                  <w:r w:rsidRPr="00A552C3">
                    <w:rPr>
                      <w:i/>
                      <w:iCs/>
                      <w:sz w:val="20"/>
                      <w:szCs w:val="20"/>
                    </w:rPr>
                    <w:t>p</w:t>
                  </w:r>
                  <w:r w:rsidRPr="00A552C3">
                    <w:rPr>
                      <w:iCs/>
                      <w:sz w:val="20"/>
                      <w:szCs w:val="20"/>
                    </w:rPr>
                    <w:t xml:space="preserve"> for the hour.</w:t>
                  </w:r>
                </w:p>
              </w:tc>
            </w:tr>
            <w:tr w:rsidR="002E17E2" w:rsidRPr="00A552C3" w14:paraId="6C5D4F85" w14:textId="77777777" w:rsidTr="009540C4">
              <w:tc>
                <w:tcPr>
                  <w:tcW w:w="1528" w:type="dxa"/>
                </w:tcPr>
                <w:p w14:paraId="29E719C5" w14:textId="77777777" w:rsidR="002E17E2" w:rsidRPr="00A552C3" w:rsidRDefault="002E17E2" w:rsidP="002E17E2">
                  <w:pPr>
                    <w:spacing w:after="60"/>
                    <w:rPr>
                      <w:i/>
                      <w:iCs/>
                      <w:sz w:val="20"/>
                      <w:szCs w:val="20"/>
                    </w:rPr>
                  </w:pPr>
                  <w:r w:rsidRPr="00A552C3">
                    <w:rPr>
                      <w:i/>
                      <w:iCs/>
                      <w:sz w:val="20"/>
                      <w:szCs w:val="20"/>
                    </w:rPr>
                    <w:t>q</w:t>
                  </w:r>
                </w:p>
              </w:tc>
              <w:tc>
                <w:tcPr>
                  <w:tcW w:w="839" w:type="dxa"/>
                </w:tcPr>
                <w:p w14:paraId="21D46605" w14:textId="77777777" w:rsidR="002E17E2" w:rsidRPr="00A552C3" w:rsidRDefault="002E17E2" w:rsidP="002E17E2">
                  <w:pPr>
                    <w:spacing w:after="60"/>
                    <w:rPr>
                      <w:iCs/>
                      <w:sz w:val="20"/>
                      <w:szCs w:val="20"/>
                    </w:rPr>
                  </w:pPr>
                  <w:r w:rsidRPr="00A552C3">
                    <w:rPr>
                      <w:iCs/>
                      <w:sz w:val="20"/>
                      <w:szCs w:val="20"/>
                    </w:rPr>
                    <w:t>none</w:t>
                  </w:r>
                </w:p>
              </w:tc>
              <w:tc>
                <w:tcPr>
                  <w:tcW w:w="6225" w:type="dxa"/>
                </w:tcPr>
                <w:p w14:paraId="6C5AA448" w14:textId="77777777" w:rsidR="002E17E2" w:rsidRPr="00A552C3" w:rsidRDefault="002E17E2" w:rsidP="002E17E2">
                  <w:pPr>
                    <w:spacing w:after="60"/>
                    <w:rPr>
                      <w:i/>
                      <w:iCs/>
                      <w:sz w:val="20"/>
                      <w:szCs w:val="20"/>
                    </w:rPr>
                  </w:pPr>
                  <w:r w:rsidRPr="00A552C3">
                    <w:rPr>
                      <w:iCs/>
                      <w:sz w:val="20"/>
                      <w:szCs w:val="20"/>
                    </w:rPr>
                    <w:t>A QSE.</w:t>
                  </w:r>
                </w:p>
              </w:tc>
            </w:tr>
            <w:tr w:rsidR="002E17E2" w:rsidRPr="00A552C3" w14:paraId="143182D8" w14:textId="77777777" w:rsidTr="009540C4">
              <w:tc>
                <w:tcPr>
                  <w:tcW w:w="1528" w:type="dxa"/>
                </w:tcPr>
                <w:p w14:paraId="52C09AC6" w14:textId="77777777" w:rsidR="002E17E2" w:rsidRPr="00A552C3" w:rsidRDefault="002E17E2" w:rsidP="002E17E2">
                  <w:pPr>
                    <w:spacing w:after="60"/>
                    <w:rPr>
                      <w:i/>
                      <w:iCs/>
                      <w:sz w:val="20"/>
                      <w:szCs w:val="20"/>
                    </w:rPr>
                  </w:pPr>
                  <w:r w:rsidRPr="00A552C3">
                    <w:rPr>
                      <w:i/>
                      <w:iCs/>
                      <w:sz w:val="20"/>
                      <w:szCs w:val="20"/>
                    </w:rPr>
                    <w:t>p</w:t>
                  </w:r>
                </w:p>
              </w:tc>
              <w:tc>
                <w:tcPr>
                  <w:tcW w:w="839" w:type="dxa"/>
                </w:tcPr>
                <w:p w14:paraId="41FE88B4" w14:textId="77777777" w:rsidR="002E17E2" w:rsidRPr="00A552C3" w:rsidRDefault="002E17E2" w:rsidP="002E17E2">
                  <w:pPr>
                    <w:spacing w:after="60"/>
                    <w:rPr>
                      <w:iCs/>
                      <w:sz w:val="20"/>
                      <w:szCs w:val="20"/>
                    </w:rPr>
                  </w:pPr>
                  <w:r w:rsidRPr="00A552C3">
                    <w:rPr>
                      <w:iCs/>
                      <w:sz w:val="20"/>
                      <w:szCs w:val="20"/>
                    </w:rPr>
                    <w:t>none</w:t>
                  </w:r>
                </w:p>
              </w:tc>
              <w:tc>
                <w:tcPr>
                  <w:tcW w:w="6225" w:type="dxa"/>
                </w:tcPr>
                <w:p w14:paraId="5CCF3502" w14:textId="77777777" w:rsidR="002E17E2" w:rsidRPr="00A552C3" w:rsidRDefault="002E17E2" w:rsidP="002E17E2">
                  <w:pPr>
                    <w:spacing w:after="60"/>
                    <w:rPr>
                      <w:i/>
                      <w:iCs/>
                      <w:sz w:val="20"/>
                      <w:szCs w:val="20"/>
                    </w:rPr>
                  </w:pPr>
                  <w:r w:rsidRPr="00A552C3">
                    <w:rPr>
                      <w:iCs/>
                      <w:sz w:val="20"/>
                      <w:szCs w:val="20"/>
                    </w:rPr>
                    <w:t>A Settlement Point.</w:t>
                  </w:r>
                </w:p>
              </w:tc>
            </w:tr>
          </w:tbl>
          <w:p w14:paraId="1CDED658" w14:textId="77777777" w:rsidR="002E17E2" w:rsidRPr="00EF5F32" w:rsidRDefault="002E17E2" w:rsidP="009540C4">
            <w:pPr>
              <w:spacing w:after="240"/>
              <w:ind w:left="720" w:hanging="720"/>
              <w:rPr>
                <w:iCs/>
              </w:rPr>
            </w:pPr>
          </w:p>
        </w:tc>
      </w:tr>
    </w:tbl>
    <w:p w14:paraId="5D9934C4" w14:textId="3B914631" w:rsidR="00FF2129" w:rsidRDefault="00482EF3" w:rsidP="00F539C2">
      <w:pPr>
        <w:pStyle w:val="BodyTextNumbered"/>
        <w:spacing w:before="240"/>
      </w:pPr>
      <w:r>
        <w:lastRenderedPageBreak/>
        <w:t>(2)</w:t>
      </w:r>
      <w:r>
        <w:tab/>
        <w:t>The total of the Day-Ahead Energy Charges to each QSE for the hour is calculated as follows:</w:t>
      </w:r>
    </w:p>
    <w:p w14:paraId="598A1B3E" w14:textId="77777777" w:rsidR="00FF2129" w:rsidRDefault="00482EF3" w:rsidP="00E30EAB">
      <w:pPr>
        <w:pStyle w:val="FormulaBold"/>
      </w:pPr>
      <w:r>
        <w:t xml:space="preserve">DAEPAMTQSETOT </w:t>
      </w:r>
      <w:r>
        <w:rPr>
          <w:i/>
          <w:vertAlign w:val="subscript"/>
        </w:rPr>
        <w:t>q</w:t>
      </w:r>
      <w:r>
        <w:tab/>
        <w:t>=</w:t>
      </w:r>
      <w:r>
        <w:tab/>
      </w:r>
      <w:r w:rsidR="00FF2129" w:rsidRPr="00FF2129">
        <w:rPr>
          <w:position w:val="-22"/>
        </w:rPr>
        <w:object w:dxaOrig="220" w:dyaOrig="460" w14:anchorId="4F9CBBAE">
          <v:shape id="_x0000_i1026" type="#_x0000_t75" style="width:13.2pt;height:21pt" o:ole="">
            <v:imagedata r:id="rId15" o:title=""/>
          </v:shape>
          <o:OLEObject Type="Embed" ProgID="Equation.3" ShapeID="_x0000_i1026" DrawAspect="Content" ObjectID="_1775281319" r:id="rId17"/>
        </w:object>
      </w:r>
      <w:r>
        <w:t xml:space="preserve">DAEPAMT </w:t>
      </w:r>
      <w:r>
        <w:rPr>
          <w:i/>
          <w:vertAlign w:val="subscript"/>
        </w:rPr>
        <w:t>q, p</w:t>
      </w:r>
    </w:p>
    <w:p w14:paraId="224403C6" w14:textId="77777777" w:rsidR="00FF2129" w:rsidRDefault="00482EF3">
      <w:r>
        <w:t>The above variables are defined as follows:</w:t>
      </w:r>
    </w:p>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832"/>
        <w:gridCol w:w="6074"/>
      </w:tblGrid>
      <w:tr w:rsidR="00FF2129" w14:paraId="6E70A66E" w14:textId="77777777">
        <w:tc>
          <w:tcPr>
            <w:tcW w:w="2165" w:type="dxa"/>
          </w:tcPr>
          <w:p w14:paraId="26518C23" w14:textId="77777777" w:rsidR="00FF2129" w:rsidRDefault="00482EF3">
            <w:pPr>
              <w:pStyle w:val="TableHead"/>
            </w:pPr>
            <w:r>
              <w:t>Variable</w:t>
            </w:r>
          </w:p>
        </w:tc>
        <w:tc>
          <w:tcPr>
            <w:tcW w:w="832" w:type="dxa"/>
          </w:tcPr>
          <w:p w14:paraId="2179DFF3" w14:textId="77777777" w:rsidR="00FF2129" w:rsidRDefault="00482EF3">
            <w:pPr>
              <w:pStyle w:val="TableHead"/>
            </w:pPr>
            <w:r>
              <w:t>Unit</w:t>
            </w:r>
          </w:p>
        </w:tc>
        <w:tc>
          <w:tcPr>
            <w:tcW w:w="6074" w:type="dxa"/>
          </w:tcPr>
          <w:p w14:paraId="5B9140D2" w14:textId="77777777" w:rsidR="00FF2129" w:rsidRDefault="00482EF3">
            <w:pPr>
              <w:pStyle w:val="TableHead"/>
            </w:pPr>
            <w:r>
              <w:t>Definition</w:t>
            </w:r>
          </w:p>
        </w:tc>
      </w:tr>
      <w:tr w:rsidR="00FF2129" w14:paraId="74342965" w14:textId="77777777">
        <w:tc>
          <w:tcPr>
            <w:tcW w:w="2165" w:type="dxa"/>
          </w:tcPr>
          <w:p w14:paraId="72ADCA9C" w14:textId="77777777" w:rsidR="00FF2129" w:rsidRDefault="00482EF3">
            <w:pPr>
              <w:pStyle w:val="TableBody"/>
            </w:pPr>
            <w:r>
              <w:t xml:space="preserve">DAEPAMTQSETOT </w:t>
            </w:r>
            <w:r w:rsidRPr="002E0760">
              <w:rPr>
                <w:i/>
                <w:vertAlign w:val="subscript"/>
              </w:rPr>
              <w:t>q</w:t>
            </w:r>
          </w:p>
        </w:tc>
        <w:tc>
          <w:tcPr>
            <w:tcW w:w="832" w:type="dxa"/>
          </w:tcPr>
          <w:p w14:paraId="1042BE3B" w14:textId="77777777" w:rsidR="00FF2129" w:rsidRDefault="00482EF3">
            <w:pPr>
              <w:pStyle w:val="TableBody"/>
            </w:pPr>
            <w:r>
              <w:t>$</w:t>
            </w:r>
          </w:p>
        </w:tc>
        <w:tc>
          <w:tcPr>
            <w:tcW w:w="6074" w:type="dxa"/>
          </w:tcPr>
          <w:p w14:paraId="6B88A523" w14:textId="77777777" w:rsidR="00FF2129" w:rsidRDefault="00482EF3">
            <w:pPr>
              <w:pStyle w:val="TableBody"/>
            </w:pPr>
            <w:r>
              <w:rPr>
                <w:i/>
              </w:rPr>
              <w:t>Day-Ahead Energy Purchase Amount QSE Total per QSE</w:t>
            </w:r>
            <w:r>
              <w:sym w:font="Symbol" w:char="F0BE"/>
            </w:r>
            <w:r>
              <w:t xml:space="preserve">The total of the charges to QSE </w:t>
            </w:r>
            <w:r>
              <w:rPr>
                <w:i/>
              </w:rPr>
              <w:t>q</w:t>
            </w:r>
            <w:r>
              <w:t xml:space="preserve"> for its cleared DAM Energy Bids at all Settlement Points for the hour.</w:t>
            </w:r>
          </w:p>
        </w:tc>
      </w:tr>
      <w:tr w:rsidR="00FF2129" w14:paraId="26B4337E" w14:textId="77777777">
        <w:tc>
          <w:tcPr>
            <w:tcW w:w="2165" w:type="dxa"/>
          </w:tcPr>
          <w:p w14:paraId="1025074C" w14:textId="77777777" w:rsidR="00FF2129" w:rsidRDefault="00482EF3">
            <w:pPr>
              <w:pStyle w:val="TableBody"/>
            </w:pPr>
            <w:r>
              <w:t xml:space="preserve">DAEPAMT </w:t>
            </w:r>
            <w:r w:rsidRPr="002E0760">
              <w:rPr>
                <w:i/>
                <w:vertAlign w:val="subscript"/>
              </w:rPr>
              <w:t>q, p</w:t>
            </w:r>
          </w:p>
        </w:tc>
        <w:tc>
          <w:tcPr>
            <w:tcW w:w="832" w:type="dxa"/>
          </w:tcPr>
          <w:p w14:paraId="7795AEF8" w14:textId="77777777" w:rsidR="00FF2129" w:rsidRDefault="00482EF3">
            <w:pPr>
              <w:pStyle w:val="TableBody"/>
            </w:pPr>
            <w:r>
              <w:t>$</w:t>
            </w:r>
          </w:p>
        </w:tc>
        <w:tc>
          <w:tcPr>
            <w:tcW w:w="6074" w:type="dxa"/>
          </w:tcPr>
          <w:p w14:paraId="4466616C" w14:textId="77777777" w:rsidR="00FF2129" w:rsidRDefault="00482EF3">
            <w:pPr>
              <w:pStyle w:val="TableBody"/>
            </w:pPr>
            <w:r>
              <w:rPr>
                <w:i/>
              </w:rPr>
              <w:t>Day-Ahead Energy Purchase Amount per QSE per Settlement Point</w:t>
            </w:r>
            <w:r>
              <w:sym w:font="Symbol" w:char="F0BE"/>
            </w:r>
            <w:r>
              <w:t xml:space="preserve">The charge to QSE </w:t>
            </w:r>
            <w:r>
              <w:rPr>
                <w:i/>
              </w:rPr>
              <w:t>q</w:t>
            </w:r>
            <w:r>
              <w:t xml:space="preserve"> for its cleared DAM Energy Bids at Settlement Point </w:t>
            </w:r>
            <w:r>
              <w:rPr>
                <w:i/>
              </w:rPr>
              <w:t>p</w:t>
            </w:r>
            <w:r>
              <w:t xml:space="preserve"> for the hour.</w:t>
            </w:r>
          </w:p>
        </w:tc>
      </w:tr>
      <w:tr w:rsidR="00FF2129" w14:paraId="69C285B2" w14:textId="77777777">
        <w:tc>
          <w:tcPr>
            <w:tcW w:w="2165" w:type="dxa"/>
            <w:tcBorders>
              <w:top w:val="single" w:sz="4" w:space="0" w:color="auto"/>
              <w:left w:val="single" w:sz="4" w:space="0" w:color="auto"/>
              <w:bottom w:val="single" w:sz="4" w:space="0" w:color="auto"/>
              <w:right w:val="single" w:sz="4" w:space="0" w:color="auto"/>
            </w:tcBorders>
          </w:tcPr>
          <w:p w14:paraId="6A2838A5" w14:textId="77777777" w:rsidR="00FF2129" w:rsidRPr="002E0760" w:rsidRDefault="00482EF3">
            <w:pPr>
              <w:pStyle w:val="TableBody"/>
              <w:rPr>
                <w:i/>
              </w:rPr>
            </w:pPr>
            <w:r w:rsidRPr="002E0760">
              <w:rPr>
                <w:i/>
              </w:rPr>
              <w:t>q</w:t>
            </w:r>
          </w:p>
        </w:tc>
        <w:tc>
          <w:tcPr>
            <w:tcW w:w="832" w:type="dxa"/>
            <w:tcBorders>
              <w:top w:val="single" w:sz="4" w:space="0" w:color="auto"/>
              <w:left w:val="single" w:sz="4" w:space="0" w:color="auto"/>
              <w:bottom w:val="single" w:sz="4" w:space="0" w:color="auto"/>
              <w:right w:val="single" w:sz="4" w:space="0" w:color="auto"/>
            </w:tcBorders>
          </w:tcPr>
          <w:p w14:paraId="241203E9" w14:textId="77777777" w:rsidR="00FF2129" w:rsidRDefault="00482EF3">
            <w:pPr>
              <w:pStyle w:val="TableBody"/>
            </w:pPr>
            <w:r>
              <w:t>none</w:t>
            </w:r>
          </w:p>
        </w:tc>
        <w:tc>
          <w:tcPr>
            <w:tcW w:w="6074" w:type="dxa"/>
            <w:tcBorders>
              <w:top w:val="single" w:sz="4" w:space="0" w:color="auto"/>
              <w:left w:val="single" w:sz="4" w:space="0" w:color="auto"/>
              <w:bottom w:val="single" w:sz="4" w:space="0" w:color="auto"/>
              <w:right w:val="single" w:sz="4" w:space="0" w:color="auto"/>
            </w:tcBorders>
          </w:tcPr>
          <w:p w14:paraId="622CBFAF" w14:textId="77777777" w:rsidR="00FF2129" w:rsidRDefault="00482EF3">
            <w:pPr>
              <w:pStyle w:val="TableBody"/>
            </w:pPr>
            <w:r>
              <w:t>A QSE.</w:t>
            </w:r>
          </w:p>
        </w:tc>
      </w:tr>
      <w:tr w:rsidR="00FF2129" w14:paraId="70274082" w14:textId="77777777">
        <w:tc>
          <w:tcPr>
            <w:tcW w:w="2165" w:type="dxa"/>
            <w:tcBorders>
              <w:top w:val="single" w:sz="4" w:space="0" w:color="auto"/>
              <w:left w:val="single" w:sz="4" w:space="0" w:color="auto"/>
              <w:bottom w:val="single" w:sz="4" w:space="0" w:color="auto"/>
              <w:right w:val="single" w:sz="4" w:space="0" w:color="auto"/>
            </w:tcBorders>
          </w:tcPr>
          <w:p w14:paraId="668FF7CC" w14:textId="77777777" w:rsidR="00FF2129" w:rsidRPr="002E0760" w:rsidRDefault="00482EF3">
            <w:pPr>
              <w:pStyle w:val="TableBody"/>
              <w:rPr>
                <w:i/>
              </w:rPr>
            </w:pPr>
            <w:r w:rsidRPr="002E0760">
              <w:rPr>
                <w:i/>
              </w:rPr>
              <w:t>p</w:t>
            </w:r>
          </w:p>
        </w:tc>
        <w:tc>
          <w:tcPr>
            <w:tcW w:w="832" w:type="dxa"/>
            <w:tcBorders>
              <w:top w:val="single" w:sz="4" w:space="0" w:color="auto"/>
              <w:left w:val="single" w:sz="4" w:space="0" w:color="auto"/>
              <w:bottom w:val="single" w:sz="4" w:space="0" w:color="auto"/>
              <w:right w:val="single" w:sz="4" w:space="0" w:color="auto"/>
            </w:tcBorders>
          </w:tcPr>
          <w:p w14:paraId="3C2229CC" w14:textId="77777777" w:rsidR="00FF2129" w:rsidRDefault="00482EF3">
            <w:pPr>
              <w:pStyle w:val="TableBody"/>
            </w:pPr>
            <w:r>
              <w:t>none</w:t>
            </w:r>
          </w:p>
        </w:tc>
        <w:tc>
          <w:tcPr>
            <w:tcW w:w="6074" w:type="dxa"/>
            <w:tcBorders>
              <w:top w:val="single" w:sz="4" w:space="0" w:color="auto"/>
              <w:left w:val="single" w:sz="4" w:space="0" w:color="auto"/>
              <w:bottom w:val="single" w:sz="4" w:space="0" w:color="auto"/>
              <w:right w:val="single" w:sz="4" w:space="0" w:color="auto"/>
            </w:tcBorders>
          </w:tcPr>
          <w:p w14:paraId="05AA450A" w14:textId="77777777" w:rsidR="00FF2129" w:rsidRDefault="00482EF3">
            <w:pPr>
              <w:pStyle w:val="TableBody"/>
            </w:pPr>
            <w:r>
              <w:t>A Settlement Point.</w:t>
            </w:r>
          </w:p>
        </w:tc>
      </w:tr>
    </w:tbl>
    <w:p w14:paraId="7AFEED42" w14:textId="77777777" w:rsidR="00463DAF" w:rsidRDefault="00463DAF" w:rsidP="00463DAF">
      <w:pPr>
        <w:pStyle w:val="BodyTextNumbered"/>
        <w:spacing w:after="0"/>
      </w:pPr>
      <w:bookmarkStart w:id="700" w:name="_Toc109185131"/>
      <w:bookmarkStart w:id="701" w:name="_Toc142108961"/>
      <w:bookmarkStart w:id="702" w:name="_Toc142113806"/>
      <w:bookmarkStart w:id="703" w:name="_Toc402345634"/>
      <w:bookmarkStart w:id="704" w:name="_Toc405383917"/>
      <w:bookmarkStart w:id="705" w:name="_Toc405537020"/>
      <w:bookmarkStart w:id="706" w:name="_Toc440871806"/>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63DAF" w:rsidRPr="004B32CF" w14:paraId="0EDE0F7B" w14:textId="77777777" w:rsidTr="009540C4">
        <w:trPr>
          <w:trHeight w:val="386"/>
        </w:trPr>
        <w:tc>
          <w:tcPr>
            <w:tcW w:w="9350" w:type="dxa"/>
            <w:shd w:val="pct12" w:color="auto" w:fill="auto"/>
          </w:tcPr>
          <w:p w14:paraId="20E103A0" w14:textId="769D823A" w:rsidR="00463DAF" w:rsidRDefault="00463DAF" w:rsidP="009540C4">
            <w:pPr>
              <w:spacing w:before="120" w:after="240"/>
              <w:rPr>
                <w:b/>
                <w:i/>
                <w:iCs/>
              </w:rPr>
            </w:pPr>
            <w:r>
              <w:rPr>
                <w:b/>
                <w:i/>
                <w:iCs/>
              </w:rPr>
              <w:t>[NPRR1014:  Replace paragraph (2</w:t>
            </w:r>
            <w:r w:rsidRPr="004B32CF">
              <w:rPr>
                <w:b/>
                <w:i/>
                <w:iCs/>
              </w:rPr>
              <w:t xml:space="preserve">) above </w:t>
            </w:r>
            <w:r>
              <w:rPr>
                <w:b/>
                <w:i/>
                <w:iCs/>
              </w:rPr>
              <w:t xml:space="preserve">with the following </w:t>
            </w:r>
            <w:r w:rsidRPr="004B32CF">
              <w:rPr>
                <w:b/>
                <w:i/>
                <w:iCs/>
              </w:rPr>
              <w:t>upon system implementation:]</w:t>
            </w:r>
          </w:p>
          <w:p w14:paraId="6002F4A0" w14:textId="77777777" w:rsidR="00463DAF" w:rsidRPr="00A552C3" w:rsidRDefault="00463DAF" w:rsidP="00463DAF">
            <w:pPr>
              <w:spacing w:before="240" w:after="240"/>
              <w:ind w:left="720" w:hanging="720"/>
              <w:rPr>
                <w:iCs/>
              </w:rPr>
            </w:pPr>
            <w:r w:rsidRPr="00A552C3">
              <w:rPr>
                <w:iCs/>
              </w:rPr>
              <w:t>(2)</w:t>
            </w:r>
            <w:r w:rsidRPr="00A552C3">
              <w:rPr>
                <w:iCs/>
              </w:rPr>
              <w:tab/>
              <w:t>The total of the Day-Ahead Energy Charges to each QSE for the hour is calculated as follows:</w:t>
            </w:r>
          </w:p>
          <w:p w14:paraId="6C6F8719" w14:textId="77777777" w:rsidR="00463DAF" w:rsidRPr="00A552C3" w:rsidRDefault="00463DAF" w:rsidP="00463DAF">
            <w:pPr>
              <w:tabs>
                <w:tab w:val="left" w:pos="2352"/>
                <w:tab w:val="left" w:pos="3420"/>
                <w:tab w:val="left" w:pos="3822"/>
              </w:tabs>
              <w:spacing w:after="240"/>
              <w:ind w:left="1440" w:hanging="1440"/>
              <w:rPr>
                <w:bCs/>
                <w:iCs/>
                <w:lang w:val="x-none" w:eastAsia="x-none"/>
              </w:rPr>
            </w:pPr>
            <w:r w:rsidRPr="00A552C3">
              <w:rPr>
                <w:bCs/>
                <w:iCs/>
                <w:lang w:val="x-none" w:eastAsia="x-none"/>
              </w:rPr>
              <w:t xml:space="preserve">DAEPAMTQSETOT </w:t>
            </w:r>
            <w:r w:rsidRPr="00A552C3">
              <w:rPr>
                <w:bCs/>
                <w:i/>
                <w:iCs/>
                <w:vertAlign w:val="subscript"/>
                <w:lang w:val="x-none" w:eastAsia="x-none"/>
              </w:rPr>
              <w:t>q</w:t>
            </w:r>
            <w:r w:rsidRPr="00A552C3">
              <w:rPr>
                <w:bCs/>
                <w:iCs/>
                <w:lang w:val="x-none" w:eastAsia="x-none"/>
              </w:rPr>
              <w:tab/>
              <w:t>=</w:t>
            </w:r>
            <w:r w:rsidRPr="00A552C3">
              <w:rPr>
                <w:bCs/>
                <w:iCs/>
                <w:lang w:val="x-none" w:eastAsia="x-none"/>
              </w:rPr>
              <w:tab/>
            </w:r>
            <w:r w:rsidRPr="00A552C3">
              <w:rPr>
                <w:bCs/>
                <w:iCs/>
                <w:position w:val="-22"/>
                <w:lang w:val="x-none" w:eastAsia="x-none"/>
              </w:rPr>
              <w:object w:dxaOrig="220" w:dyaOrig="460" w14:anchorId="6243D9AF">
                <v:shape id="_x0000_i1027" type="#_x0000_t75" style="width:13.2pt;height:21pt" o:ole="">
                  <v:imagedata r:id="rId15" o:title=""/>
                </v:shape>
                <o:OLEObject Type="Embed" ProgID="Equation.3" ShapeID="_x0000_i1027" DrawAspect="Content" ObjectID="_1775281320" r:id="rId18"/>
              </w:object>
            </w:r>
            <w:r w:rsidRPr="00A552C3">
              <w:rPr>
                <w:bCs/>
                <w:iCs/>
                <w:lang w:val="x-none" w:eastAsia="x-none"/>
              </w:rPr>
              <w:t xml:space="preserve">DAEPAMT </w:t>
            </w:r>
            <w:r w:rsidRPr="00A552C3">
              <w:rPr>
                <w:bCs/>
                <w:i/>
                <w:iCs/>
                <w:vertAlign w:val="subscript"/>
                <w:lang w:val="x-none" w:eastAsia="x-none"/>
              </w:rPr>
              <w:t>q, p</w:t>
            </w:r>
          </w:p>
          <w:p w14:paraId="0D9EB648" w14:textId="77777777" w:rsidR="00463DAF" w:rsidRPr="00A552C3" w:rsidRDefault="00463DAF" w:rsidP="00463DAF">
            <w:r w:rsidRPr="00A552C3">
              <w:t>The above variables are defined as follows:</w:t>
            </w:r>
          </w:p>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832"/>
              <w:gridCol w:w="6074"/>
            </w:tblGrid>
            <w:tr w:rsidR="00463DAF" w:rsidRPr="00A552C3" w14:paraId="7E3A33C5" w14:textId="77777777" w:rsidTr="009540C4">
              <w:tc>
                <w:tcPr>
                  <w:tcW w:w="2165" w:type="dxa"/>
                </w:tcPr>
                <w:p w14:paraId="1CC3A6B9" w14:textId="77777777" w:rsidR="00463DAF" w:rsidRPr="00A552C3" w:rsidRDefault="00463DAF" w:rsidP="00463DAF">
                  <w:pPr>
                    <w:spacing w:after="120"/>
                    <w:rPr>
                      <w:b/>
                      <w:iCs/>
                      <w:sz w:val="20"/>
                      <w:szCs w:val="20"/>
                    </w:rPr>
                  </w:pPr>
                  <w:r w:rsidRPr="00A552C3">
                    <w:rPr>
                      <w:b/>
                      <w:iCs/>
                      <w:sz w:val="20"/>
                      <w:szCs w:val="20"/>
                    </w:rPr>
                    <w:t>Variable</w:t>
                  </w:r>
                </w:p>
              </w:tc>
              <w:tc>
                <w:tcPr>
                  <w:tcW w:w="832" w:type="dxa"/>
                </w:tcPr>
                <w:p w14:paraId="18DFD463" w14:textId="77777777" w:rsidR="00463DAF" w:rsidRPr="00A552C3" w:rsidRDefault="00463DAF" w:rsidP="00463DAF">
                  <w:pPr>
                    <w:spacing w:after="120"/>
                    <w:rPr>
                      <w:b/>
                      <w:iCs/>
                      <w:sz w:val="20"/>
                      <w:szCs w:val="20"/>
                    </w:rPr>
                  </w:pPr>
                  <w:r w:rsidRPr="00A552C3">
                    <w:rPr>
                      <w:b/>
                      <w:iCs/>
                      <w:sz w:val="20"/>
                      <w:szCs w:val="20"/>
                    </w:rPr>
                    <w:t>Unit</w:t>
                  </w:r>
                </w:p>
              </w:tc>
              <w:tc>
                <w:tcPr>
                  <w:tcW w:w="6074" w:type="dxa"/>
                </w:tcPr>
                <w:p w14:paraId="5DE390E3" w14:textId="77777777" w:rsidR="00463DAF" w:rsidRPr="00A552C3" w:rsidRDefault="00463DAF" w:rsidP="00463DAF">
                  <w:pPr>
                    <w:spacing w:after="120"/>
                    <w:rPr>
                      <w:b/>
                      <w:iCs/>
                      <w:sz w:val="20"/>
                      <w:szCs w:val="20"/>
                    </w:rPr>
                  </w:pPr>
                  <w:r w:rsidRPr="00A552C3">
                    <w:rPr>
                      <w:b/>
                      <w:iCs/>
                      <w:sz w:val="20"/>
                      <w:szCs w:val="20"/>
                    </w:rPr>
                    <w:t>Definition</w:t>
                  </w:r>
                </w:p>
              </w:tc>
            </w:tr>
            <w:tr w:rsidR="00463DAF" w:rsidRPr="00A552C3" w14:paraId="29595235" w14:textId="77777777" w:rsidTr="009540C4">
              <w:tc>
                <w:tcPr>
                  <w:tcW w:w="2165" w:type="dxa"/>
                </w:tcPr>
                <w:p w14:paraId="19E10E92" w14:textId="77777777" w:rsidR="00463DAF" w:rsidRPr="00A552C3" w:rsidRDefault="00463DAF" w:rsidP="00463DAF">
                  <w:pPr>
                    <w:spacing w:after="60"/>
                    <w:rPr>
                      <w:iCs/>
                      <w:sz w:val="20"/>
                      <w:szCs w:val="20"/>
                    </w:rPr>
                  </w:pPr>
                  <w:r w:rsidRPr="00A552C3">
                    <w:rPr>
                      <w:iCs/>
                      <w:sz w:val="20"/>
                      <w:szCs w:val="20"/>
                    </w:rPr>
                    <w:t xml:space="preserve">DAEPAMTQSETOT </w:t>
                  </w:r>
                  <w:r w:rsidRPr="00A552C3">
                    <w:rPr>
                      <w:i/>
                      <w:iCs/>
                      <w:sz w:val="20"/>
                      <w:szCs w:val="20"/>
                      <w:vertAlign w:val="subscript"/>
                    </w:rPr>
                    <w:t>q</w:t>
                  </w:r>
                </w:p>
              </w:tc>
              <w:tc>
                <w:tcPr>
                  <w:tcW w:w="832" w:type="dxa"/>
                </w:tcPr>
                <w:p w14:paraId="69F8B035" w14:textId="77777777" w:rsidR="00463DAF" w:rsidRPr="00A552C3" w:rsidRDefault="00463DAF" w:rsidP="00463DAF">
                  <w:pPr>
                    <w:spacing w:after="60"/>
                    <w:rPr>
                      <w:iCs/>
                      <w:sz w:val="20"/>
                      <w:szCs w:val="20"/>
                    </w:rPr>
                  </w:pPr>
                  <w:r w:rsidRPr="00A552C3">
                    <w:rPr>
                      <w:iCs/>
                      <w:sz w:val="20"/>
                      <w:szCs w:val="20"/>
                    </w:rPr>
                    <w:t>$</w:t>
                  </w:r>
                </w:p>
              </w:tc>
              <w:tc>
                <w:tcPr>
                  <w:tcW w:w="6074" w:type="dxa"/>
                </w:tcPr>
                <w:p w14:paraId="048CD1CD" w14:textId="77777777" w:rsidR="00463DAF" w:rsidRPr="00A552C3" w:rsidRDefault="00463DAF" w:rsidP="00463DAF">
                  <w:pPr>
                    <w:spacing w:after="60"/>
                    <w:rPr>
                      <w:iCs/>
                      <w:sz w:val="20"/>
                      <w:szCs w:val="20"/>
                    </w:rPr>
                  </w:pPr>
                  <w:r w:rsidRPr="00A552C3">
                    <w:rPr>
                      <w:i/>
                      <w:iCs/>
                      <w:sz w:val="20"/>
                      <w:szCs w:val="20"/>
                    </w:rPr>
                    <w:t>Day-Ahead Energy Purchase Amount QSE Total per QSE</w:t>
                  </w:r>
                  <w:r w:rsidRPr="00A552C3">
                    <w:rPr>
                      <w:iCs/>
                      <w:sz w:val="20"/>
                      <w:szCs w:val="20"/>
                    </w:rPr>
                    <w:sym w:font="Symbol" w:char="F0BE"/>
                  </w:r>
                  <w:r w:rsidRPr="00A552C3">
                    <w:rPr>
                      <w:iCs/>
                      <w:sz w:val="20"/>
                      <w:szCs w:val="20"/>
                    </w:rPr>
                    <w:t xml:space="preserve">The total of the charges to QSE </w:t>
                  </w:r>
                  <w:r w:rsidRPr="00A552C3">
                    <w:rPr>
                      <w:i/>
                      <w:iCs/>
                      <w:sz w:val="20"/>
                      <w:szCs w:val="20"/>
                    </w:rPr>
                    <w:t>q</w:t>
                  </w:r>
                  <w:r w:rsidRPr="00A552C3">
                    <w:rPr>
                      <w:iCs/>
                      <w:sz w:val="20"/>
                      <w:szCs w:val="20"/>
                    </w:rPr>
                    <w:t xml:space="preserve"> for its cleared energy bids at all Settlement Points for the hour.</w:t>
                  </w:r>
                </w:p>
              </w:tc>
            </w:tr>
            <w:tr w:rsidR="00463DAF" w:rsidRPr="00A552C3" w14:paraId="6063FAE0" w14:textId="77777777" w:rsidTr="009540C4">
              <w:tc>
                <w:tcPr>
                  <w:tcW w:w="2165" w:type="dxa"/>
                </w:tcPr>
                <w:p w14:paraId="62B37F96" w14:textId="77777777" w:rsidR="00463DAF" w:rsidRPr="00A552C3" w:rsidRDefault="00463DAF" w:rsidP="00463DAF">
                  <w:pPr>
                    <w:spacing w:after="60"/>
                    <w:rPr>
                      <w:iCs/>
                      <w:sz w:val="20"/>
                      <w:szCs w:val="20"/>
                    </w:rPr>
                  </w:pPr>
                  <w:r w:rsidRPr="00A552C3">
                    <w:rPr>
                      <w:iCs/>
                      <w:sz w:val="20"/>
                      <w:szCs w:val="20"/>
                    </w:rPr>
                    <w:t xml:space="preserve">DAEPAMT </w:t>
                  </w:r>
                  <w:r w:rsidRPr="00A552C3">
                    <w:rPr>
                      <w:i/>
                      <w:iCs/>
                      <w:sz w:val="20"/>
                      <w:szCs w:val="20"/>
                      <w:vertAlign w:val="subscript"/>
                    </w:rPr>
                    <w:t>q, p</w:t>
                  </w:r>
                </w:p>
              </w:tc>
              <w:tc>
                <w:tcPr>
                  <w:tcW w:w="832" w:type="dxa"/>
                </w:tcPr>
                <w:p w14:paraId="1B329082" w14:textId="77777777" w:rsidR="00463DAF" w:rsidRPr="00A552C3" w:rsidRDefault="00463DAF" w:rsidP="00463DAF">
                  <w:pPr>
                    <w:spacing w:after="60"/>
                    <w:rPr>
                      <w:iCs/>
                      <w:sz w:val="20"/>
                      <w:szCs w:val="20"/>
                    </w:rPr>
                  </w:pPr>
                  <w:r w:rsidRPr="00A552C3">
                    <w:rPr>
                      <w:iCs/>
                      <w:sz w:val="20"/>
                      <w:szCs w:val="20"/>
                    </w:rPr>
                    <w:t>$</w:t>
                  </w:r>
                </w:p>
              </w:tc>
              <w:tc>
                <w:tcPr>
                  <w:tcW w:w="6074" w:type="dxa"/>
                </w:tcPr>
                <w:p w14:paraId="7DDE9E18" w14:textId="77777777" w:rsidR="00463DAF" w:rsidRPr="00A552C3" w:rsidRDefault="00463DAF" w:rsidP="00463DAF">
                  <w:pPr>
                    <w:spacing w:after="60"/>
                    <w:rPr>
                      <w:iCs/>
                      <w:sz w:val="20"/>
                      <w:szCs w:val="20"/>
                    </w:rPr>
                  </w:pPr>
                  <w:r w:rsidRPr="00A552C3">
                    <w:rPr>
                      <w:i/>
                      <w:iCs/>
                      <w:sz w:val="20"/>
                      <w:szCs w:val="20"/>
                    </w:rPr>
                    <w:t>Day-Ahead Energy Purchase Amount per QSE per Settlement Point</w:t>
                  </w:r>
                  <w:r w:rsidRPr="00A552C3">
                    <w:rPr>
                      <w:iCs/>
                      <w:sz w:val="20"/>
                      <w:szCs w:val="20"/>
                    </w:rPr>
                    <w:sym w:font="Symbol" w:char="F0BE"/>
                  </w:r>
                  <w:r w:rsidRPr="00A552C3">
                    <w:rPr>
                      <w:iCs/>
                      <w:sz w:val="20"/>
                      <w:szCs w:val="20"/>
                    </w:rPr>
                    <w:t xml:space="preserve">The charge to QSE </w:t>
                  </w:r>
                  <w:r w:rsidRPr="00A552C3">
                    <w:rPr>
                      <w:i/>
                      <w:iCs/>
                      <w:sz w:val="20"/>
                      <w:szCs w:val="20"/>
                    </w:rPr>
                    <w:t>q</w:t>
                  </w:r>
                  <w:r w:rsidRPr="00A552C3">
                    <w:rPr>
                      <w:iCs/>
                      <w:sz w:val="20"/>
                      <w:szCs w:val="20"/>
                    </w:rPr>
                    <w:t xml:space="preserve"> for its cleared DAM Energy Bids and cleared purchases from the bid portion of Energy Bid/Offer Curves at Settlement Point </w:t>
                  </w:r>
                  <w:r w:rsidRPr="00A552C3">
                    <w:rPr>
                      <w:i/>
                      <w:iCs/>
                      <w:sz w:val="20"/>
                      <w:szCs w:val="20"/>
                    </w:rPr>
                    <w:t>p</w:t>
                  </w:r>
                  <w:r w:rsidRPr="00A552C3">
                    <w:rPr>
                      <w:iCs/>
                      <w:sz w:val="20"/>
                      <w:szCs w:val="20"/>
                    </w:rPr>
                    <w:t xml:space="preserve"> for the hour.</w:t>
                  </w:r>
                </w:p>
              </w:tc>
            </w:tr>
            <w:tr w:rsidR="00463DAF" w:rsidRPr="00A552C3" w14:paraId="1E6743A6" w14:textId="77777777" w:rsidTr="009540C4">
              <w:tc>
                <w:tcPr>
                  <w:tcW w:w="2165" w:type="dxa"/>
                  <w:tcBorders>
                    <w:top w:val="single" w:sz="4" w:space="0" w:color="auto"/>
                    <w:left w:val="single" w:sz="4" w:space="0" w:color="auto"/>
                    <w:bottom w:val="single" w:sz="4" w:space="0" w:color="auto"/>
                    <w:right w:val="single" w:sz="4" w:space="0" w:color="auto"/>
                  </w:tcBorders>
                </w:tcPr>
                <w:p w14:paraId="769C3C76" w14:textId="77777777" w:rsidR="00463DAF" w:rsidRPr="00A552C3" w:rsidRDefault="00463DAF" w:rsidP="00463DAF">
                  <w:pPr>
                    <w:spacing w:after="60"/>
                    <w:rPr>
                      <w:i/>
                      <w:iCs/>
                      <w:sz w:val="20"/>
                      <w:szCs w:val="20"/>
                    </w:rPr>
                  </w:pPr>
                  <w:r w:rsidRPr="00A552C3">
                    <w:rPr>
                      <w:i/>
                      <w:iCs/>
                      <w:sz w:val="20"/>
                      <w:szCs w:val="20"/>
                    </w:rPr>
                    <w:t>q</w:t>
                  </w:r>
                </w:p>
              </w:tc>
              <w:tc>
                <w:tcPr>
                  <w:tcW w:w="832" w:type="dxa"/>
                  <w:tcBorders>
                    <w:top w:val="single" w:sz="4" w:space="0" w:color="auto"/>
                    <w:left w:val="single" w:sz="4" w:space="0" w:color="auto"/>
                    <w:bottom w:val="single" w:sz="4" w:space="0" w:color="auto"/>
                    <w:right w:val="single" w:sz="4" w:space="0" w:color="auto"/>
                  </w:tcBorders>
                </w:tcPr>
                <w:p w14:paraId="62C879F2" w14:textId="77777777" w:rsidR="00463DAF" w:rsidRPr="00A552C3" w:rsidRDefault="00463DAF" w:rsidP="00463DAF">
                  <w:pPr>
                    <w:spacing w:after="60"/>
                    <w:rPr>
                      <w:iCs/>
                      <w:sz w:val="20"/>
                      <w:szCs w:val="20"/>
                    </w:rPr>
                  </w:pPr>
                  <w:r w:rsidRPr="00A552C3">
                    <w:rPr>
                      <w:iCs/>
                      <w:sz w:val="20"/>
                      <w:szCs w:val="20"/>
                    </w:rPr>
                    <w:t>none</w:t>
                  </w:r>
                </w:p>
              </w:tc>
              <w:tc>
                <w:tcPr>
                  <w:tcW w:w="6074" w:type="dxa"/>
                  <w:tcBorders>
                    <w:top w:val="single" w:sz="4" w:space="0" w:color="auto"/>
                    <w:left w:val="single" w:sz="4" w:space="0" w:color="auto"/>
                    <w:bottom w:val="single" w:sz="4" w:space="0" w:color="auto"/>
                    <w:right w:val="single" w:sz="4" w:space="0" w:color="auto"/>
                  </w:tcBorders>
                </w:tcPr>
                <w:p w14:paraId="3FFB1527" w14:textId="77777777" w:rsidR="00463DAF" w:rsidRPr="00A552C3" w:rsidRDefault="00463DAF" w:rsidP="00463DAF">
                  <w:pPr>
                    <w:spacing w:after="60"/>
                    <w:rPr>
                      <w:iCs/>
                      <w:sz w:val="20"/>
                      <w:szCs w:val="20"/>
                    </w:rPr>
                  </w:pPr>
                  <w:r w:rsidRPr="00A552C3">
                    <w:rPr>
                      <w:iCs/>
                      <w:sz w:val="20"/>
                      <w:szCs w:val="20"/>
                    </w:rPr>
                    <w:t>A QSE.</w:t>
                  </w:r>
                </w:p>
              </w:tc>
            </w:tr>
            <w:tr w:rsidR="00463DAF" w:rsidRPr="00A552C3" w14:paraId="47886AB0" w14:textId="77777777" w:rsidTr="009540C4">
              <w:tc>
                <w:tcPr>
                  <w:tcW w:w="2165" w:type="dxa"/>
                  <w:tcBorders>
                    <w:top w:val="single" w:sz="4" w:space="0" w:color="auto"/>
                    <w:left w:val="single" w:sz="4" w:space="0" w:color="auto"/>
                    <w:bottom w:val="single" w:sz="4" w:space="0" w:color="auto"/>
                    <w:right w:val="single" w:sz="4" w:space="0" w:color="auto"/>
                  </w:tcBorders>
                </w:tcPr>
                <w:p w14:paraId="7A9AFFE8" w14:textId="77777777" w:rsidR="00463DAF" w:rsidRPr="00A552C3" w:rsidRDefault="00463DAF" w:rsidP="00463DAF">
                  <w:pPr>
                    <w:spacing w:after="60"/>
                    <w:rPr>
                      <w:i/>
                      <w:iCs/>
                      <w:sz w:val="20"/>
                      <w:szCs w:val="20"/>
                    </w:rPr>
                  </w:pPr>
                  <w:r w:rsidRPr="00A552C3">
                    <w:rPr>
                      <w:i/>
                      <w:iCs/>
                      <w:sz w:val="20"/>
                      <w:szCs w:val="20"/>
                    </w:rPr>
                    <w:t>p</w:t>
                  </w:r>
                </w:p>
              </w:tc>
              <w:tc>
                <w:tcPr>
                  <w:tcW w:w="832" w:type="dxa"/>
                  <w:tcBorders>
                    <w:top w:val="single" w:sz="4" w:space="0" w:color="auto"/>
                    <w:left w:val="single" w:sz="4" w:space="0" w:color="auto"/>
                    <w:bottom w:val="single" w:sz="4" w:space="0" w:color="auto"/>
                    <w:right w:val="single" w:sz="4" w:space="0" w:color="auto"/>
                  </w:tcBorders>
                </w:tcPr>
                <w:p w14:paraId="275867DC" w14:textId="77777777" w:rsidR="00463DAF" w:rsidRPr="00A552C3" w:rsidRDefault="00463DAF" w:rsidP="00463DAF">
                  <w:pPr>
                    <w:spacing w:after="60"/>
                    <w:rPr>
                      <w:iCs/>
                      <w:sz w:val="20"/>
                      <w:szCs w:val="20"/>
                    </w:rPr>
                  </w:pPr>
                  <w:r w:rsidRPr="00A552C3">
                    <w:rPr>
                      <w:iCs/>
                      <w:sz w:val="20"/>
                      <w:szCs w:val="20"/>
                    </w:rPr>
                    <w:t>none</w:t>
                  </w:r>
                </w:p>
              </w:tc>
              <w:tc>
                <w:tcPr>
                  <w:tcW w:w="6074" w:type="dxa"/>
                  <w:tcBorders>
                    <w:top w:val="single" w:sz="4" w:space="0" w:color="auto"/>
                    <w:left w:val="single" w:sz="4" w:space="0" w:color="auto"/>
                    <w:bottom w:val="single" w:sz="4" w:space="0" w:color="auto"/>
                    <w:right w:val="single" w:sz="4" w:space="0" w:color="auto"/>
                  </w:tcBorders>
                </w:tcPr>
                <w:p w14:paraId="05953113" w14:textId="77777777" w:rsidR="00463DAF" w:rsidRPr="00A552C3" w:rsidRDefault="00463DAF" w:rsidP="00463DAF">
                  <w:pPr>
                    <w:spacing w:after="60"/>
                    <w:rPr>
                      <w:iCs/>
                      <w:sz w:val="20"/>
                      <w:szCs w:val="20"/>
                    </w:rPr>
                  </w:pPr>
                  <w:r w:rsidRPr="00A552C3">
                    <w:rPr>
                      <w:iCs/>
                      <w:sz w:val="20"/>
                      <w:szCs w:val="20"/>
                    </w:rPr>
                    <w:t>A Settlement Point.</w:t>
                  </w:r>
                </w:p>
              </w:tc>
            </w:tr>
          </w:tbl>
          <w:p w14:paraId="31AE82D6" w14:textId="77777777" w:rsidR="00463DAF" w:rsidRPr="00EF5F32" w:rsidRDefault="00463DAF" w:rsidP="009540C4">
            <w:pPr>
              <w:spacing w:after="240"/>
              <w:ind w:left="720" w:hanging="720"/>
              <w:rPr>
                <w:iCs/>
              </w:rPr>
            </w:pPr>
          </w:p>
        </w:tc>
      </w:tr>
    </w:tbl>
    <w:p w14:paraId="2CE2BE0E" w14:textId="470DEE7A" w:rsidR="00FF2129" w:rsidRDefault="00482EF3" w:rsidP="00003B06">
      <w:pPr>
        <w:pStyle w:val="H4"/>
        <w:spacing w:before="480"/>
        <w:ind w:left="1267" w:hanging="1267"/>
      </w:pPr>
      <w:bookmarkStart w:id="707" w:name="_Toc135990687"/>
      <w:r>
        <w:lastRenderedPageBreak/>
        <w:t>4.6.2.3</w:t>
      </w:r>
      <w:r>
        <w:tab/>
        <w:t>Day-Ahead Make-Whole</w:t>
      </w:r>
      <w:bookmarkEnd w:id="696"/>
      <w:bookmarkEnd w:id="697"/>
      <w:bookmarkEnd w:id="698"/>
      <w:bookmarkEnd w:id="699"/>
      <w:r>
        <w:t xml:space="preserve"> Settlements</w:t>
      </w:r>
      <w:bookmarkEnd w:id="700"/>
      <w:bookmarkEnd w:id="701"/>
      <w:bookmarkEnd w:id="702"/>
      <w:bookmarkEnd w:id="703"/>
      <w:bookmarkEnd w:id="704"/>
      <w:bookmarkEnd w:id="705"/>
      <w:bookmarkEnd w:id="706"/>
      <w:bookmarkEnd w:id="707"/>
    </w:p>
    <w:p w14:paraId="11A1D842" w14:textId="77777777" w:rsidR="00FF2129" w:rsidRDefault="00482EF3">
      <w:pPr>
        <w:pStyle w:val="BodyText"/>
        <w:ind w:left="720" w:hanging="720"/>
      </w:pPr>
      <w:r>
        <w:t>(1)</w:t>
      </w:r>
      <w:r>
        <w:tab/>
        <w:t xml:space="preserve">A QSE that has a Three-Part Supply Offer cleared in the DAM is eligible for a Day-Ahead Make-Whole Payment startup cost compensation, if, for the Resource associated with the offer:  </w:t>
      </w:r>
    </w:p>
    <w:p w14:paraId="08F22629" w14:textId="77777777" w:rsidR="00FF2129" w:rsidRDefault="00482EF3">
      <w:pPr>
        <w:pStyle w:val="BodyText"/>
        <w:ind w:left="1440" w:hanging="720"/>
      </w:pPr>
      <w:r>
        <w:t>(a)</w:t>
      </w:r>
      <w:r>
        <w:tab/>
        <w:t xml:space="preserve">The generator’s breakers were open, as indicated by a telemetered Resource status of Off-Line, for at least five minutes during the Adjustment Period for the beginning of the DAM commitment; </w:t>
      </w:r>
    </w:p>
    <w:p w14:paraId="4CAE9FA0" w14:textId="77777777" w:rsidR="00FF2129" w:rsidRDefault="00482EF3">
      <w:pPr>
        <w:pStyle w:val="BodyText"/>
        <w:ind w:left="1440" w:hanging="720"/>
      </w:pPr>
      <w:r>
        <w:t>(b)</w:t>
      </w:r>
      <w:r>
        <w:tab/>
        <w:t xml:space="preserve">The generator’s breakers were closed, as indicated by a telemetered Resource status of On-Line, for at least one minute during the DAM commitment period; and </w:t>
      </w:r>
    </w:p>
    <w:p w14:paraId="622EA7D2" w14:textId="77777777" w:rsidR="00FF2129" w:rsidRDefault="00482EF3">
      <w:pPr>
        <w:pStyle w:val="BodyText"/>
        <w:ind w:left="1440" w:hanging="720"/>
      </w:pPr>
      <w:r>
        <w:t>(c)</w:t>
      </w:r>
      <w:r>
        <w:tab/>
        <w:t xml:space="preserve">The breaker open-close sequence, as indicated by the On-Line/Off-Line sequence from the telemetered Resource status, for which the QSE is eligible for startup cost compensation in the DAM or Reliability Unit Commitment (RUC) for the previous Operating Day does not qualify in meeting the criteria in items (a) and (b) above. </w:t>
      </w:r>
    </w:p>
    <w:p w14:paraId="32E9164E" w14:textId="77777777" w:rsidR="00FF2129" w:rsidRDefault="00482EF3">
      <w:pPr>
        <w:pStyle w:val="BodyText"/>
        <w:ind w:left="1440" w:hanging="720"/>
        <w:rPr>
          <w:szCs w:val="18"/>
        </w:rPr>
      </w:pPr>
      <w:r>
        <w:t>(d)</w:t>
      </w:r>
      <w:r>
        <w:tab/>
        <w:t>T</w:t>
      </w:r>
      <w:r>
        <w:rPr>
          <w:szCs w:val="18"/>
        </w:rPr>
        <w:t xml:space="preserve">he breaker open-close sequence for which the QSE is eligible for startup cost compensation in an earlier DAM commitment period within the same Operating Day does not qualify in meeting the criteria in items (a) and (b) above.   </w:t>
      </w:r>
    </w:p>
    <w:p w14:paraId="33098135" w14:textId="77777777" w:rsidR="00587C14" w:rsidRDefault="00587C14" w:rsidP="00587C14">
      <w:pPr>
        <w:pStyle w:val="BodyText"/>
        <w:ind w:left="720" w:hanging="720"/>
      </w:pPr>
      <w:r>
        <w:t>(2)</w:t>
      </w:r>
      <w:r>
        <w:tab/>
        <w:t>Notwithstanding the eligibility criteria described in paragraph (1) above, a Resource will not be eligible for Day-Ahead Make-Whole Payment Startup Cost compensation if the Resource was considered by the DAM as not having a cost to start due to the DAM commitment period being contiguous with a self-committed hour, as described in   Section 4.4.9.1, Three-Part Supply Offers.</w:t>
      </w:r>
    </w:p>
    <w:p w14:paraId="0EAEA40D" w14:textId="77777777" w:rsidR="00FF2129" w:rsidRDefault="00482EF3" w:rsidP="00587C14">
      <w:pPr>
        <w:pStyle w:val="BodyText"/>
        <w:ind w:left="720" w:hanging="720"/>
      </w:pPr>
      <w:r>
        <w:t>(</w:t>
      </w:r>
      <w:r w:rsidR="00587C14">
        <w:t>3</w:t>
      </w:r>
      <w:r>
        <w:t>)</w:t>
      </w:r>
      <w:r>
        <w:tab/>
        <w:t>A QSE that has a Three-Part Supply Offer cleared in the DAM is eligible for Day-Ahead Make-Whole Payment energy cost compensation in a DAM-committed Operating Hour, if, for the Resource associated with the offer the generator’s breakers were closed</w:t>
      </w:r>
      <w:r w:rsidR="006838B3" w:rsidRPr="004B32CF">
        <w:t>, as indicated by a telemetered Resource Status of On-Line,</w:t>
      </w:r>
      <w:r>
        <w:t xml:space="preserve"> for at least one minute during the DAM-committed Operating Hour.</w:t>
      </w:r>
    </w:p>
    <w:p w14:paraId="5CD8395F" w14:textId="5081F63A" w:rsidR="00A94AF0" w:rsidRDefault="00482EF3">
      <w:pPr>
        <w:pStyle w:val="BodyText"/>
        <w:ind w:left="720" w:hanging="720"/>
      </w:pPr>
      <w:r>
        <w:t>(</w:t>
      </w:r>
      <w:r w:rsidR="00587C14">
        <w:t>4</w:t>
      </w:r>
      <w:r>
        <w:t>)</w:t>
      </w:r>
      <w:r>
        <w:tab/>
        <w:t xml:space="preserve">The Day-Ahead Make-Whole Payment guarantees the QSE that the total payment received from the DAM for a DAM-committed Resource is not less than the total cost calculated based on the Startup </w:t>
      </w:r>
      <w:r w:rsidR="00951F5A">
        <w:t>Cap</w:t>
      </w:r>
      <w:r>
        <w:t xml:space="preserve">, the Minimum Energy </w:t>
      </w:r>
      <w:r w:rsidR="00951F5A">
        <w:t>Cap</w:t>
      </w:r>
      <w:r>
        <w:t xml:space="preserve">, and the Energy Offer Curve capped by the </w:t>
      </w:r>
      <w:bookmarkStart w:id="708" w:name="_Toc75852536"/>
      <w:bookmarkStart w:id="709" w:name="_Toc90197141"/>
      <w:r>
        <w:t xml:space="preserve">Energy Offer Curve Cap defined under Section 4.4.9.3.3, Energy Offer Curve </w:t>
      </w:r>
      <w:r w:rsidR="00AA5DBF">
        <w:t xml:space="preserve">Cost </w:t>
      </w:r>
      <w:r>
        <w:t>Caps.</w:t>
      </w:r>
    </w:p>
    <w:p w14:paraId="6E1DE99F" w14:textId="77777777" w:rsidR="00FF2129" w:rsidRDefault="00482EF3" w:rsidP="001142A3">
      <w:pPr>
        <w:pStyle w:val="BodyText"/>
        <w:ind w:left="714" w:hanging="700"/>
      </w:pPr>
      <w:r>
        <w:t>(</w:t>
      </w:r>
      <w:r w:rsidR="00587C14">
        <w:t>5</w:t>
      </w:r>
      <w:r>
        <w:t>)</w:t>
      </w:r>
      <w:r>
        <w:tab/>
        <w:t>If a Generation Resource is eligible for startup or energy cost compensation in the Day-Ahead Make-Whole payment, then Ancillary Service revenue from the hours committed in the D</w:t>
      </w:r>
      <w:r w:rsidR="00B70700">
        <w:t>AM</w:t>
      </w:r>
      <w:r>
        <w:t xml:space="preserve"> will be included in its </w:t>
      </w:r>
      <w:r w:rsidR="00B70700">
        <w:t>m</w:t>
      </w:r>
      <w:r>
        <w:t>ake-</w:t>
      </w:r>
      <w:r w:rsidR="00B70700">
        <w:t>w</w:t>
      </w:r>
      <w:r>
        <w:t xml:space="preserve">hole calculation for that Resource. </w:t>
      </w:r>
    </w:p>
    <w:p w14:paraId="7D5F43FE" w14:textId="77777777" w:rsidR="00463DAF" w:rsidRPr="004B32CF" w:rsidRDefault="006838B3" w:rsidP="006838B3">
      <w:pPr>
        <w:spacing w:after="240"/>
        <w:ind w:left="714" w:hanging="700"/>
      </w:pPr>
      <w:bookmarkStart w:id="710" w:name="_Toc109185132"/>
      <w:bookmarkStart w:id="711" w:name="_Toc142108962"/>
      <w:bookmarkStart w:id="712" w:name="_Toc142113807"/>
      <w:bookmarkStart w:id="713" w:name="_Toc402345635"/>
      <w:bookmarkStart w:id="714" w:name="_Toc405383918"/>
      <w:bookmarkStart w:id="715" w:name="_Toc405537021"/>
      <w:bookmarkStart w:id="716" w:name="_Toc440871807"/>
      <w:r w:rsidRPr="004B32CF">
        <w:t>(6)</w:t>
      </w:r>
      <w:r w:rsidRPr="004B32CF">
        <w:tab/>
        <w:t xml:space="preserve">For purposes of this Section 4.6.2.3, the telemetered Resource Status of OFFQS shall be considered as </w:t>
      </w:r>
      <w:r w:rsidR="005C1E91">
        <w:t>Off</w:t>
      </w:r>
      <w:r w:rsidRPr="004B32CF">
        <w:t>-Line.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63DAF" w:rsidRPr="004B32CF" w14:paraId="26252FCA" w14:textId="77777777" w:rsidTr="009540C4">
        <w:trPr>
          <w:trHeight w:val="386"/>
        </w:trPr>
        <w:tc>
          <w:tcPr>
            <w:tcW w:w="9350" w:type="dxa"/>
            <w:shd w:val="pct12" w:color="auto" w:fill="auto"/>
          </w:tcPr>
          <w:p w14:paraId="521DA757" w14:textId="4E6C4A45" w:rsidR="00463DAF" w:rsidRDefault="00463DAF" w:rsidP="009540C4">
            <w:pPr>
              <w:spacing w:before="120" w:after="240"/>
              <w:rPr>
                <w:b/>
                <w:i/>
                <w:iCs/>
              </w:rPr>
            </w:pPr>
            <w:r>
              <w:rPr>
                <w:b/>
                <w:i/>
                <w:iCs/>
              </w:rPr>
              <w:lastRenderedPageBreak/>
              <w:t>[NPRR1014:  Insert paragraph (7</w:t>
            </w:r>
            <w:r w:rsidRPr="004B32CF">
              <w:rPr>
                <w:b/>
                <w:i/>
                <w:iCs/>
              </w:rPr>
              <w:t xml:space="preserve">) </w:t>
            </w:r>
            <w:r>
              <w:rPr>
                <w:b/>
                <w:i/>
                <w:iCs/>
              </w:rPr>
              <w:t xml:space="preserve">below </w:t>
            </w:r>
            <w:r w:rsidRPr="004B32CF">
              <w:rPr>
                <w:b/>
                <w:i/>
                <w:iCs/>
              </w:rPr>
              <w:t>upon system implementation:]</w:t>
            </w:r>
          </w:p>
          <w:p w14:paraId="529E8370" w14:textId="5E586B0E" w:rsidR="00463DAF" w:rsidRPr="00EF5F32" w:rsidRDefault="00463DAF" w:rsidP="009540C4">
            <w:pPr>
              <w:spacing w:after="240"/>
              <w:ind w:left="720" w:hanging="720"/>
              <w:rPr>
                <w:iCs/>
              </w:rPr>
            </w:pPr>
            <w:r w:rsidRPr="00A552C3">
              <w:t>(7)</w:t>
            </w:r>
            <w:r w:rsidRPr="00A552C3">
              <w:tab/>
              <w:t>An Energy Storage Resource (ESR) is not eligible for Day-Ahead Make-Whole Payment.</w:t>
            </w:r>
          </w:p>
        </w:tc>
      </w:tr>
    </w:tbl>
    <w:p w14:paraId="096D85F0" w14:textId="77777777" w:rsidR="00FF2129" w:rsidRDefault="00482EF3" w:rsidP="00F539C2">
      <w:pPr>
        <w:pStyle w:val="H5"/>
        <w:spacing w:before="480"/>
        <w:ind w:left="1627" w:hanging="1627"/>
      </w:pPr>
      <w:bookmarkStart w:id="717" w:name="_Toc135990688"/>
      <w:r>
        <w:t>4.6.2.3.1</w:t>
      </w:r>
      <w:r>
        <w:tab/>
        <w:t>Day-Ahead Make-Whole Payment</w:t>
      </w:r>
      <w:bookmarkEnd w:id="708"/>
      <w:bookmarkEnd w:id="709"/>
      <w:bookmarkEnd w:id="710"/>
      <w:bookmarkEnd w:id="711"/>
      <w:bookmarkEnd w:id="712"/>
      <w:bookmarkEnd w:id="713"/>
      <w:bookmarkEnd w:id="714"/>
      <w:bookmarkEnd w:id="715"/>
      <w:bookmarkEnd w:id="716"/>
      <w:bookmarkEnd w:id="717"/>
    </w:p>
    <w:p w14:paraId="49B7F12C" w14:textId="77777777" w:rsidR="00FF2129" w:rsidRDefault="00482EF3">
      <w:pPr>
        <w:pStyle w:val="BodyTextNumbered"/>
      </w:pPr>
      <w:r>
        <w:t>(1)</w:t>
      </w:r>
      <w:r>
        <w:tab/>
        <w:t xml:space="preserve">ERCOT shall pay the QSE a Day-Ahead Make-Whole Payment for an eligible Resource for each Operating Hour in a DAM-commitment period.  </w:t>
      </w:r>
    </w:p>
    <w:p w14:paraId="30AC0C89" w14:textId="77777777" w:rsidR="00FF2129" w:rsidRDefault="00482EF3">
      <w:pPr>
        <w:pStyle w:val="BodyTextNumbered"/>
      </w:pPr>
      <w:r>
        <w:t>(2)</w:t>
      </w:r>
      <w:r>
        <w:tab/>
        <w:t>Any Ancillary Service Offer cleared for the same Operating Hour, QSE, and Generation Resource as a Three-Part Supply Offer cleared in the DAM shall be included in the calculation of the Day-Ahead Make-Whole Payment.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F05358" w:rsidRPr="004B32CF" w14:paraId="3B4FA0EB" w14:textId="77777777" w:rsidTr="007258B7">
        <w:trPr>
          <w:trHeight w:val="386"/>
        </w:trPr>
        <w:tc>
          <w:tcPr>
            <w:tcW w:w="9350" w:type="dxa"/>
            <w:shd w:val="pct12" w:color="auto" w:fill="auto"/>
          </w:tcPr>
          <w:p w14:paraId="04517EE4" w14:textId="77777777" w:rsidR="00F05358" w:rsidRPr="004B32CF" w:rsidRDefault="00F05358" w:rsidP="007258B7">
            <w:pPr>
              <w:spacing w:before="120" w:after="240"/>
              <w:rPr>
                <w:b/>
                <w:i/>
                <w:iCs/>
              </w:rPr>
            </w:pPr>
            <w:r>
              <w:rPr>
                <w:b/>
                <w:i/>
                <w:iCs/>
              </w:rPr>
              <w:t>[NPRR1008:  Replace paragraph (2</w:t>
            </w:r>
            <w:r w:rsidRPr="004B32CF">
              <w:rPr>
                <w:b/>
                <w:i/>
                <w:iCs/>
              </w:rPr>
              <w:t>) above with the following upon system implementation</w:t>
            </w:r>
            <w:r>
              <w:rPr>
                <w:b/>
                <w:i/>
                <w:iCs/>
              </w:rPr>
              <w:t xml:space="preserve"> of the Real-Time Co-Optimization (RTC) project</w:t>
            </w:r>
            <w:r w:rsidRPr="004B32CF">
              <w:rPr>
                <w:b/>
                <w:i/>
                <w:iCs/>
              </w:rPr>
              <w:t>:]</w:t>
            </w:r>
          </w:p>
          <w:p w14:paraId="5039250F" w14:textId="5D11B323" w:rsidR="00F05358" w:rsidRPr="004B32CF" w:rsidRDefault="00F05358" w:rsidP="00F05358">
            <w:pPr>
              <w:pStyle w:val="BodyTextNumbered"/>
            </w:pPr>
            <w:r>
              <w:t>(2)</w:t>
            </w:r>
            <w:r>
              <w:tab/>
              <w:t xml:space="preserve">Any Resource-Specific </w:t>
            </w:r>
            <w:r w:rsidRPr="006049CA">
              <w:t>Ancillary Service Offer</w:t>
            </w:r>
            <w:r>
              <w:t xml:space="preserve"> cleared for the same Operating Hour, QSE, and Generation Resource as a Three-Part Supply Offer cleared in the DAM shall be included in the calculation of the Day-Ahead Make-Whole Payment.</w:t>
            </w:r>
          </w:p>
        </w:tc>
      </w:tr>
    </w:tbl>
    <w:p w14:paraId="5369BEA8" w14:textId="56A7ADF4" w:rsidR="009F68A8" w:rsidRDefault="00482EF3" w:rsidP="00F539C2">
      <w:pPr>
        <w:pStyle w:val="BodyTextNumbered"/>
        <w:spacing w:before="240"/>
        <w:rPr>
          <w:lang w:val="pt-BR"/>
        </w:rPr>
      </w:pPr>
      <w:r>
        <w:t>(3)</w:t>
      </w:r>
      <w:r>
        <w:tab/>
      </w:r>
      <w:r w:rsidR="009F68A8">
        <w:rPr>
          <w:lang w:val="pt-BR"/>
        </w:rPr>
        <w:t>T</w:t>
      </w:r>
      <w:r w:rsidR="009F68A8" w:rsidRPr="00A16315">
        <w:rPr>
          <w:lang w:val="pt-BR"/>
        </w:rPr>
        <w:t xml:space="preserve">he guaranteed cost, energy revenue, and </w:t>
      </w:r>
      <w:r w:rsidR="009F68A8">
        <w:rPr>
          <w:lang w:val="pt-BR"/>
        </w:rPr>
        <w:t>A</w:t>
      </w:r>
      <w:r w:rsidR="009F68A8" w:rsidRPr="00A16315">
        <w:rPr>
          <w:lang w:val="pt-BR"/>
        </w:rPr>
        <w:t xml:space="preserve">ncillary </w:t>
      </w:r>
      <w:r w:rsidR="009F68A8">
        <w:rPr>
          <w:lang w:val="pt-BR"/>
        </w:rPr>
        <w:t>S</w:t>
      </w:r>
      <w:r w:rsidR="009F68A8" w:rsidRPr="00A16315">
        <w:rPr>
          <w:lang w:val="pt-BR"/>
        </w:rPr>
        <w:t xml:space="preserve">ervice revenue calculated for each Combined Cycle Generation Resource are each summed for the Combined Cycle Train, and the the Day-Ahead Make-Whole Amount is calculated for the Combined Cycle </w:t>
      </w:r>
      <w:r w:rsidR="009F68A8">
        <w:rPr>
          <w:lang w:val="pt-BR"/>
        </w:rPr>
        <w:t>Train.</w:t>
      </w:r>
    </w:p>
    <w:p w14:paraId="1AC41989" w14:textId="77777777" w:rsidR="009B5863" w:rsidRDefault="009B5863">
      <w:pPr>
        <w:pStyle w:val="BodyTextNumbered"/>
        <w:rPr>
          <w:lang w:val="pt-BR"/>
        </w:rPr>
      </w:pPr>
      <w:r w:rsidRPr="009E5389">
        <w:rPr>
          <w:lang w:val="pt-BR"/>
        </w:rPr>
        <w:t>(4)</w:t>
      </w:r>
      <w:r w:rsidRPr="009E5389">
        <w:rPr>
          <w:lang w:val="pt-BR"/>
        </w:rPr>
        <w:tab/>
      </w:r>
      <w:r w:rsidRPr="009E5389">
        <w:rPr>
          <w:szCs w:val="18"/>
        </w:rPr>
        <w:t xml:space="preserve">For an </w:t>
      </w:r>
      <w:r w:rsidRPr="009E5389">
        <w:t>Aggregate Generation Resource (AGR), Startup Cost shall be scaled according to the ratio of the maximum number of its generators online during a contiguous block of DAM-committed Intervals, as indicated by telemetry, compared to the total number of generators registered to the AGR and used in the approved verifiable cost for the AGR</w:t>
      </w:r>
      <w:r w:rsidRPr="009E5389">
        <w:rPr>
          <w:iCs w:val="0"/>
        </w:rPr>
        <w:t>.</w:t>
      </w:r>
    </w:p>
    <w:p w14:paraId="701462D3" w14:textId="77777777" w:rsidR="00FF2129" w:rsidRDefault="009F68A8">
      <w:pPr>
        <w:pStyle w:val="BodyTextNumbered"/>
      </w:pPr>
      <w:r>
        <w:rPr>
          <w:lang w:val="pt-BR"/>
        </w:rPr>
        <w:t>(</w:t>
      </w:r>
      <w:r w:rsidR="009B5863">
        <w:rPr>
          <w:lang w:val="pt-BR"/>
        </w:rPr>
        <w:t>5</w:t>
      </w:r>
      <w:r>
        <w:rPr>
          <w:lang w:val="pt-BR"/>
        </w:rPr>
        <w:t>)</w:t>
      </w:r>
      <w:r>
        <w:rPr>
          <w:lang w:val="pt-BR"/>
        </w:rPr>
        <w:tab/>
      </w:r>
      <w:r w:rsidR="00482EF3">
        <w:t>The Day-Ahead Make-Whole Payment to each QSE for each DAM-committed Generation Resource is calculated as follows:</w:t>
      </w:r>
    </w:p>
    <w:p w14:paraId="5920327C" w14:textId="77777777" w:rsidR="00FF2129" w:rsidRDefault="00482EF3" w:rsidP="00E30EAB">
      <w:pPr>
        <w:pStyle w:val="FormulaBold"/>
      </w:pPr>
      <w:r>
        <w:t xml:space="preserve">DAMWAMT </w:t>
      </w:r>
      <w:r>
        <w:rPr>
          <w:i/>
          <w:vertAlign w:val="subscript"/>
        </w:rPr>
        <w:t>q, p, r, h</w:t>
      </w:r>
      <w:r>
        <w:tab/>
        <w:t>=</w:t>
      </w:r>
      <w:r>
        <w:tab/>
        <w:t xml:space="preserve">(-1) * Max (0, DAMGCOST </w:t>
      </w:r>
      <w:r>
        <w:rPr>
          <w:i/>
          <w:vertAlign w:val="subscript"/>
        </w:rPr>
        <w:t>q, p, r</w:t>
      </w:r>
      <w:r>
        <w:t xml:space="preserve"> + </w:t>
      </w:r>
      <w:r w:rsidR="00DF6616">
        <w:rPr>
          <w:noProof/>
          <w:position w:val="-20"/>
          <w:lang w:val="en-US" w:eastAsia="en-US"/>
        </w:rPr>
        <w:drawing>
          <wp:inline distT="0" distB="0" distL="0" distR="0" wp14:anchorId="4AD8D468" wp14:editId="7B597D95">
            <wp:extent cx="14287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t xml:space="preserve">DAEREV </w:t>
      </w:r>
      <w:r>
        <w:rPr>
          <w:i/>
          <w:vertAlign w:val="subscript"/>
        </w:rPr>
        <w:t>q, p, r, h</w:t>
      </w:r>
      <w:r w:rsidR="001A7784">
        <w:rPr>
          <w:i/>
          <w:vertAlign w:val="subscript"/>
          <w:lang w:val="en-US"/>
        </w:rPr>
        <w:t xml:space="preserve"> </w:t>
      </w:r>
      <w:r>
        <w:t xml:space="preserve">+ </w:t>
      </w:r>
      <w:r w:rsidR="00DF6616">
        <w:rPr>
          <w:noProof/>
          <w:position w:val="-20"/>
          <w:lang w:val="en-US" w:eastAsia="en-US"/>
        </w:rPr>
        <w:drawing>
          <wp:inline distT="0" distB="0" distL="0" distR="0" wp14:anchorId="3333BB3C" wp14:editId="62A2BB3F">
            <wp:extent cx="14287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t>DAASREV</w:t>
      </w:r>
      <w:r>
        <w:rPr>
          <w:i/>
          <w:vertAlign w:val="subscript"/>
        </w:rPr>
        <w:t xml:space="preserve"> q, r, h</w:t>
      </w:r>
      <w:r>
        <w:t xml:space="preserve">) * DAESR </w:t>
      </w:r>
      <w:r>
        <w:rPr>
          <w:i/>
          <w:vertAlign w:val="subscript"/>
        </w:rPr>
        <w:t>q, p, r, h</w:t>
      </w:r>
      <w:r>
        <w:t xml:space="preserve"> / (</w:t>
      </w:r>
      <w:r w:rsidR="00DF6616">
        <w:rPr>
          <w:noProof/>
          <w:position w:val="-20"/>
          <w:lang w:val="en-US" w:eastAsia="en-US"/>
        </w:rPr>
        <w:drawing>
          <wp:inline distT="0" distB="0" distL="0" distR="0" wp14:anchorId="17F6408C" wp14:editId="5D16FA79">
            <wp:extent cx="1428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t xml:space="preserve">DAESR </w:t>
      </w:r>
      <w:r>
        <w:rPr>
          <w:i/>
          <w:vertAlign w:val="subscript"/>
        </w:rPr>
        <w:t>q, p, r, h</w:t>
      </w:r>
      <w:r>
        <w:t>)</w:t>
      </w:r>
    </w:p>
    <w:p w14:paraId="433DA660" w14:textId="77777777" w:rsidR="000608E3" w:rsidRPr="000608E3" w:rsidRDefault="000608E3" w:rsidP="006141F6">
      <w:pPr>
        <w:pStyle w:val="BodyTextNumbered"/>
      </w:pPr>
      <w:r w:rsidRPr="000608E3">
        <w:t>(</w:t>
      </w:r>
      <w:r w:rsidR="002E0760">
        <w:t>6</w:t>
      </w:r>
      <w:r w:rsidRPr="000608E3">
        <w:t>)</w:t>
      </w:r>
      <w:r w:rsidRPr="000608E3">
        <w:tab/>
        <w:t>The Day-Ahead Make-Whole Guaranteed Costs are calculated for each eligible DAM-Committed Generation Resource as follows:</w:t>
      </w:r>
    </w:p>
    <w:p w14:paraId="2F2476DC" w14:textId="77777777" w:rsidR="000608E3" w:rsidRPr="006141F6" w:rsidRDefault="000608E3" w:rsidP="006141F6">
      <w:pPr>
        <w:spacing w:after="240"/>
        <w:ind w:left="1440" w:hanging="720"/>
        <w:rPr>
          <w:b/>
        </w:rPr>
      </w:pPr>
      <w:r w:rsidRPr="006141F6">
        <w:rPr>
          <w:b/>
        </w:rPr>
        <w:t>For non-Combined Cycle Trains,</w:t>
      </w:r>
    </w:p>
    <w:p w14:paraId="24F0A26D" w14:textId="77777777" w:rsidR="000608E3" w:rsidRDefault="000608E3" w:rsidP="00D46800">
      <w:pPr>
        <w:pStyle w:val="Formula"/>
      </w:pPr>
      <w:r>
        <w:lastRenderedPageBreak/>
        <w:t xml:space="preserve">DAMGCOST </w:t>
      </w:r>
      <w:r>
        <w:rPr>
          <w:i/>
          <w:vertAlign w:val="subscript"/>
        </w:rPr>
        <w:t>q, p, r</w:t>
      </w:r>
      <w:r>
        <w:tab/>
        <w:t>=</w:t>
      </w:r>
      <w:r>
        <w:tab/>
        <w:t xml:space="preserve">Min(DASUO </w:t>
      </w:r>
      <w:r>
        <w:rPr>
          <w:i/>
          <w:vertAlign w:val="subscript"/>
        </w:rPr>
        <w:t>q, p, r</w:t>
      </w:r>
      <w:r>
        <w:t xml:space="preserve"> , </w:t>
      </w:r>
      <w:r w:rsidRPr="006A7952">
        <w:t xml:space="preserve">DASUCAP </w:t>
      </w:r>
      <w:r w:rsidRPr="006A7952">
        <w:rPr>
          <w:i/>
          <w:vertAlign w:val="subscript"/>
        </w:rPr>
        <w:t>q, p, r</w:t>
      </w:r>
      <w:r w:rsidRPr="006A7952">
        <w:t xml:space="preserve">) </w:t>
      </w:r>
      <w:r>
        <w:t xml:space="preserve">+ </w:t>
      </w:r>
      <w:r w:rsidR="00DF6616">
        <w:rPr>
          <w:noProof/>
          <w:position w:val="-20"/>
          <w:lang w:val="en-US" w:eastAsia="en-US"/>
        </w:rPr>
        <w:drawing>
          <wp:inline distT="0" distB="0" distL="0" distR="0" wp14:anchorId="5593D5F6" wp14:editId="23842EB0">
            <wp:extent cx="142875" cy="276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t xml:space="preserve">(Min(DAMEO </w:t>
      </w:r>
      <w:r>
        <w:rPr>
          <w:i/>
          <w:vertAlign w:val="subscript"/>
        </w:rPr>
        <w:t>q, p, r, h</w:t>
      </w:r>
      <w:r>
        <w:t xml:space="preserve"> ,</w:t>
      </w:r>
      <w:r w:rsidRPr="006A7952">
        <w:t xml:space="preserve"> DAMECAP </w:t>
      </w:r>
      <w:r w:rsidRPr="006A7952">
        <w:rPr>
          <w:i/>
          <w:vertAlign w:val="subscript"/>
        </w:rPr>
        <w:t>p</w:t>
      </w:r>
      <w:r w:rsidR="001A7784">
        <w:rPr>
          <w:i/>
          <w:vertAlign w:val="subscript"/>
          <w:lang w:val="en-US"/>
        </w:rPr>
        <w:t xml:space="preserve"> </w:t>
      </w:r>
      <w:r w:rsidRPr="006A7952">
        <w:rPr>
          <w:i/>
          <w:vertAlign w:val="subscript"/>
        </w:rPr>
        <w:t>,q, r</w:t>
      </w:r>
      <w:r w:rsidR="001A7784">
        <w:rPr>
          <w:i/>
          <w:vertAlign w:val="subscript"/>
          <w:lang w:val="en-US"/>
        </w:rPr>
        <w:t xml:space="preserve"> </w:t>
      </w:r>
      <w:r w:rsidRPr="006A7952">
        <w:rPr>
          <w:i/>
          <w:vertAlign w:val="subscript"/>
        </w:rPr>
        <w:t>,h</w:t>
      </w:r>
      <w:r>
        <w:rPr>
          <w:i/>
          <w:vertAlign w:val="subscript"/>
          <w:lang w:val="en-US"/>
        </w:rPr>
        <w:t xml:space="preserve"> </w:t>
      </w:r>
      <w:r w:rsidRPr="009A5D80">
        <w:t>)</w:t>
      </w:r>
      <w:r>
        <w:t>* DALSL</w:t>
      </w:r>
      <w:r>
        <w:rPr>
          <w:i/>
          <w:vertAlign w:val="subscript"/>
        </w:rPr>
        <w:t xml:space="preserve"> q, p, r, h</w:t>
      </w:r>
      <w:r>
        <w:t xml:space="preserve">) + </w:t>
      </w:r>
      <w:r w:rsidR="00DF6616">
        <w:rPr>
          <w:noProof/>
          <w:position w:val="-20"/>
          <w:lang w:val="en-US" w:eastAsia="en-US"/>
        </w:rPr>
        <w:drawing>
          <wp:inline distT="0" distB="0" distL="0" distR="0" wp14:anchorId="20FFD421" wp14:editId="1179C6B0">
            <wp:extent cx="1428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t xml:space="preserve">(DAAIEC </w:t>
      </w:r>
      <w:r>
        <w:rPr>
          <w:i/>
          <w:vertAlign w:val="subscript"/>
        </w:rPr>
        <w:t>q, p, r, h</w:t>
      </w:r>
      <w:r>
        <w:t xml:space="preserve"> * (DAESR </w:t>
      </w:r>
      <w:r>
        <w:rPr>
          <w:i/>
          <w:vertAlign w:val="subscript"/>
        </w:rPr>
        <w:t>q, p, r, h</w:t>
      </w:r>
      <w:r>
        <w:t xml:space="preserve"> – DALSL </w:t>
      </w:r>
      <w:r>
        <w:rPr>
          <w:i/>
          <w:vertAlign w:val="subscript"/>
        </w:rPr>
        <w:t>q, p, r, h</w:t>
      </w:r>
      <w:r>
        <w:t>))</w:t>
      </w:r>
    </w:p>
    <w:p w14:paraId="3E93F488" w14:textId="77777777" w:rsidR="000608E3" w:rsidRPr="006A7952" w:rsidRDefault="000608E3" w:rsidP="000608E3">
      <w:pPr>
        <w:spacing w:after="240"/>
        <w:ind w:left="1440" w:hanging="720"/>
        <w:rPr>
          <w:b/>
        </w:rPr>
      </w:pPr>
      <w:r w:rsidRPr="006A7952">
        <w:rPr>
          <w:b/>
        </w:rPr>
        <w:t xml:space="preserve">For a Resource which is not an AGR, </w:t>
      </w:r>
    </w:p>
    <w:p w14:paraId="4D18E371" w14:textId="77777777" w:rsidR="000608E3" w:rsidRPr="006A7952" w:rsidRDefault="000608E3" w:rsidP="001A7784">
      <w:pPr>
        <w:spacing w:after="240"/>
        <w:ind w:left="720"/>
        <w:rPr>
          <w:iCs/>
        </w:rPr>
      </w:pPr>
      <w:r w:rsidRPr="006A7952">
        <w:t>If ERCOT has approved verifiable Startup Costs and minimum-energy costs for the Resource,</w:t>
      </w:r>
    </w:p>
    <w:p w14:paraId="4EDA3E51" w14:textId="77777777" w:rsidR="000608E3" w:rsidRPr="006A7952" w:rsidRDefault="000608E3" w:rsidP="005F477F">
      <w:pPr>
        <w:tabs>
          <w:tab w:val="left" w:pos="900"/>
          <w:tab w:val="left" w:pos="2070"/>
          <w:tab w:val="left" w:pos="3870"/>
          <w:tab w:val="left" w:pos="4230"/>
        </w:tabs>
        <w:spacing w:after="240"/>
        <w:ind w:left="1440" w:hanging="720"/>
        <w:rPr>
          <w:bCs/>
        </w:rPr>
      </w:pPr>
      <w:r w:rsidRPr="006A7952">
        <w:rPr>
          <w:bCs/>
        </w:rPr>
        <w:t>Then</w:t>
      </w:r>
      <w:r>
        <w:rPr>
          <w:bCs/>
        </w:rPr>
        <w:t>:</w:t>
      </w:r>
      <w:r w:rsidRPr="006A7952">
        <w:rPr>
          <w:bCs/>
        </w:rPr>
        <w:tab/>
      </w:r>
      <w:r w:rsidR="001A7784">
        <w:rPr>
          <w:bCs/>
        </w:rPr>
        <w:tab/>
      </w:r>
      <w:r w:rsidRPr="006A7952">
        <w:rPr>
          <w:bCs/>
        </w:rPr>
        <w:t xml:space="preserve">DASUCAP </w:t>
      </w:r>
      <w:r w:rsidRPr="006A7952">
        <w:rPr>
          <w:bCs/>
          <w:i/>
          <w:vertAlign w:val="subscript"/>
        </w:rPr>
        <w:t>p,q, r</w:t>
      </w:r>
      <w:r w:rsidRPr="006A7952">
        <w:rPr>
          <w:bCs/>
        </w:rPr>
        <w:t xml:space="preserve"> </w:t>
      </w:r>
      <w:r w:rsidR="001A7784">
        <w:rPr>
          <w:bCs/>
        </w:rPr>
        <w:tab/>
      </w:r>
      <w:r w:rsidRPr="006A7952">
        <w:rPr>
          <w:bCs/>
        </w:rPr>
        <w:t>=</w:t>
      </w:r>
      <w:r w:rsidRPr="006A7952">
        <w:rPr>
          <w:bCs/>
        </w:rPr>
        <w:tab/>
        <w:t xml:space="preserve">verifiable Startup Costs </w:t>
      </w:r>
      <w:r w:rsidRPr="006A7952">
        <w:rPr>
          <w:bCs/>
          <w:i/>
          <w:vertAlign w:val="subscript"/>
        </w:rPr>
        <w:t>q, r, s</w:t>
      </w:r>
    </w:p>
    <w:p w14:paraId="25958238" w14:textId="77777777" w:rsidR="000608E3" w:rsidRPr="006A7952" w:rsidRDefault="000608E3" w:rsidP="005F477F">
      <w:pPr>
        <w:tabs>
          <w:tab w:val="left" w:pos="1440"/>
          <w:tab w:val="left" w:pos="2070"/>
          <w:tab w:val="left" w:pos="3870"/>
        </w:tabs>
        <w:spacing w:after="240"/>
        <w:ind w:left="4230" w:hanging="3510"/>
        <w:rPr>
          <w:bCs/>
        </w:rPr>
      </w:pPr>
      <w:r w:rsidRPr="006A7952">
        <w:rPr>
          <w:bCs/>
        </w:rPr>
        <w:tab/>
      </w:r>
      <w:r w:rsidRPr="006A7952">
        <w:rPr>
          <w:bCs/>
        </w:rPr>
        <w:tab/>
        <w:t xml:space="preserve">DAMECAP </w:t>
      </w:r>
      <w:r w:rsidRPr="006A7952">
        <w:rPr>
          <w:bCs/>
          <w:i/>
          <w:vertAlign w:val="subscript"/>
        </w:rPr>
        <w:t>p,q,r,h</w:t>
      </w:r>
      <w:r w:rsidRPr="006A7952">
        <w:rPr>
          <w:bCs/>
        </w:rPr>
        <w:t xml:space="preserve"> </w:t>
      </w:r>
      <w:r w:rsidR="001A7784">
        <w:rPr>
          <w:bCs/>
        </w:rPr>
        <w:tab/>
      </w:r>
      <w:r w:rsidRPr="006A7952">
        <w:rPr>
          <w:bCs/>
        </w:rPr>
        <w:t>=</w:t>
      </w:r>
      <w:r w:rsidRPr="006A7952">
        <w:rPr>
          <w:bCs/>
        </w:rPr>
        <w:tab/>
        <w:t xml:space="preserve">verifiable minimum-energy costs </w:t>
      </w:r>
      <w:r w:rsidRPr="006A7952">
        <w:rPr>
          <w:bCs/>
          <w:i/>
          <w:vertAlign w:val="subscript"/>
        </w:rPr>
        <w:t>q, r, i</w:t>
      </w:r>
    </w:p>
    <w:p w14:paraId="73B15B2F" w14:textId="77777777" w:rsidR="000608E3" w:rsidRPr="006A7952" w:rsidRDefault="000608E3" w:rsidP="001A7784">
      <w:pPr>
        <w:tabs>
          <w:tab w:val="left" w:pos="1440"/>
          <w:tab w:val="left" w:pos="2070"/>
          <w:tab w:val="left" w:pos="3870"/>
        </w:tabs>
        <w:spacing w:after="240"/>
        <w:ind w:left="4230" w:hanging="3510"/>
        <w:rPr>
          <w:bCs/>
        </w:rPr>
      </w:pPr>
      <w:r w:rsidRPr="006A7952">
        <w:rPr>
          <w:bCs/>
        </w:rPr>
        <w:t>Otherwise</w:t>
      </w:r>
      <w:r>
        <w:rPr>
          <w:bCs/>
        </w:rPr>
        <w:t>:</w:t>
      </w:r>
      <w:r w:rsidRPr="006A7952">
        <w:rPr>
          <w:bCs/>
        </w:rPr>
        <w:t xml:space="preserve"> </w:t>
      </w:r>
      <w:r w:rsidRPr="006A7952">
        <w:rPr>
          <w:bCs/>
        </w:rPr>
        <w:tab/>
        <w:t xml:space="preserve">DASUCAP </w:t>
      </w:r>
      <w:r w:rsidRPr="006A7952">
        <w:rPr>
          <w:bCs/>
          <w:i/>
          <w:vertAlign w:val="subscript"/>
        </w:rPr>
        <w:t>p,q, r</w:t>
      </w:r>
      <w:r w:rsidRPr="006A7952">
        <w:rPr>
          <w:bCs/>
        </w:rPr>
        <w:t xml:space="preserve"> </w:t>
      </w:r>
      <w:r w:rsidR="001A7784">
        <w:rPr>
          <w:bCs/>
        </w:rPr>
        <w:tab/>
      </w:r>
      <w:r w:rsidRPr="006A7952">
        <w:rPr>
          <w:bCs/>
        </w:rPr>
        <w:t xml:space="preserve">=  </w:t>
      </w:r>
      <w:r w:rsidR="001A7784">
        <w:rPr>
          <w:bCs/>
        </w:rPr>
        <w:tab/>
      </w:r>
      <w:r w:rsidRPr="006A7952">
        <w:rPr>
          <w:bCs/>
        </w:rPr>
        <w:t>Resource Category Startup Offer Generic Cap (RCGSC)</w:t>
      </w:r>
    </w:p>
    <w:p w14:paraId="760406CB" w14:textId="77777777" w:rsidR="000608E3" w:rsidRPr="006A7952" w:rsidRDefault="000608E3" w:rsidP="001A7784">
      <w:pPr>
        <w:tabs>
          <w:tab w:val="left" w:pos="1440"/>
        </w:tabs>
        <w:spacing w:after="240"/>
        <w:ind w:left="4230" w:hanging="2160"/>
        <w:rPr>
          <w:bCs/>
          <w:i/>
          <w:vertAlign w:val="subscript"/>
        </w:rPr>
      </w:pPr>
      <w:r w:rsidRPr="006A7952">
        <w:rPr>
          <w:bCs/>
        </w:rPr>
        <w:t xml:space="preserve">DAMECAP </w:t>
      </w:r>
      <w:r w:rsidRPr="006A7952">
        <w:rPr>
          <w:bCs/>
          <w:i/>
          <w:vertAlign w:val="subscript"/>
        </w:rPr>
        <w:t>p,q, r, h</w:t>
      </w:r>
      <w:r w:rsidRPr="006A7952">
        <w:rPr>
          <w:bCs/>
        </w:rPr>
        <w:t xml:space="preserve"> = </w:t>
      </w:r>
      <w:r w:rsidR="005F477F">
        <w:rPr>
          <w:bCs/>
        </w:rPr>
        <w:tab/>
      </w:r>
      <w:r w:rsidRPr="006A7952">
        <w:rPr>
          <w:bCs/>
        </w:rPr>
        <w:t>Resource Category Minimum-Energy Generic Cap (RCGMEC)</w:t>
      </w:r>
    </w:p>
    <w:p w14:paraId="1385892B" w14:textId="77777777" w:rsidR="000608E3" w:rsidRPr="009E5389" w:rsidRDefault="000608E3" w:rsidP="000608E3">
      <w:pPr>
        <w:tabs>
          <w:tab w:val="left" w:pos="2352"/>
          <w:tab w:val="left" w:pos="3420"/>
          <w:tab w:val="left" w:pos="3822"/>
        </w:tabs>
        <w:spacing w:after="240"/>
        <w:ind w:left="3600" w:hanging="2880"/>
        <w:rPr>
          <w:b/>
          <w:bCs/>
          <w:iCs/>
          <w:lang w:val="pt-BR"/>
        </w:rPr>
      </w:pPr>
      <w:r w:rsidRPr="009E5389">
        <w:rPr>
          <w:b/>
          <w:bCs/>
          <w:iCs/>
          <w:lang w:val="pt-BR"/>
        </w:rPr>
        <w:t>For an AGR,</w:t>
      </w:r>
    </w:p>
    <w:p w14:paraId="04EBEDFF" w14:textId="77777777" w:rsidR="000608E3" w:rsidRPr="009E5389" w:rsidRDefault="000608E3" w:rsidP="005F477F">
      <w:pPr>
        <w:tabs>
          <w:tab w:val="left" w:pos="2352"/>
          <w:tab w:val="left" w:pos="2700"/>
        </w:tabs>
        <w:spacing w:after="120"/>
        <w:ind w:left="3060" w:hanging="2340"/>
        <w:rPr>
          <w:b/>
          <w:bCs/>
          <w:iCs/>
          <w:lang w:val="pt-BR"/>
        </w:rPr>
      </w:pPr>
      <w:r w:rsidRPr="009E5389">
        <w:rPr>
          <w:bCs/>
          <w:lang w:val="pt-BR"/>
        </w:rPr>
        <w:t xml:space="preserve">DAMGCOST </w:t>
      </w:r>
      <w:r w:rsidRPr="009E5389">
        <w:rPr>
          <w:bCs/>
          <w:i/>
          <w:vertAlign w:val="subscript"/>
          <w:lang w:val="pt-BR"/>
        </w:rPr>
        <w:t>q, p, r</w:t>
      </w:r>
      <w:r w:rsidRPr="009E5389">
        <w:rPr>
          <w:bCs/>
          <w:lang w:val="pt-BR"/>
        </w:rPr>
        <w:tab/>
        <w:t>=</w:t>
      </w:r>
      <w:r>
        <w:rPr>
          <w:bCs/>
          <w:lang w:val="pt-BR"/>
        </w:rPr>
        <w:tab/>
      </w:r>
      <w:r w:rsidRPr="009E5389">
        <w:rPr>
          <w:bCs/>
          <w:lang w:val="pt-BR"/>
        </w:rPr>
        <w:t xml:space="preserve">DASUPR </w:t>
      </w:r>
      <w:r w:rsidRPr="009E5389">
        <w:rPr>
          <w:bCs/>
          <w:i/>
          <w:vertAlign w:val="subscript"/>
          <w:lang w:val="pt-BR"/>
        </w:rPr>
        <w:t>q, p, r</w:t>
      </w:r>
      <w:r w:rsidRPr="009E5389">
        <w:rPr>
          <w:bCs/>
          <w:lang w:val="pt-BR"/>
        </w:rPr>
        <w:t xml:space="preserve"> + </w:t>
      </w:r>
      <w:r w:rsidR="00DF6616">
        <w:rPr>
          <w:noProof/>
          <w:position w:val="-20"/>
        </w:rPr>
        <w:drawing>
          <wp:inline distT="0" distB="0" distL="0" distR="0" wp14:anchorId="07C81978" wp14:editId="2285C7AB">
            <wp:extent cx="142875" cy="276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rsidRPr="009E5389">
        <w:rPr>
          <w:bCs/>
          <w:lang w:val="pt-BR"/>
        </w:rPr>
        <w:t>(</w:t>
      </w:r>
      <w:r>
        <w:rPr>
          <w:bCs/>
          <w:lang w:val="pt-BR"/>
        </w:rPr>
        <w:t>Min(</w:t>
      </w:r>
      <w:r w:rsidRPr="009E5389">
        <w:rPr>
          <w:bCs/>
          <w:lang w:val="pt-BR"/>
        </w:rPr>
        <w:t>DAMEO</w:t>
      </w:r>
      <w:r w:rsidRPr="009E5389">
        <w:rPr>
          <w:bCs/>
          <w:i/>
          <w:vertAlign w:val="subscript"/>
          <w:lang w:val="pt-BR"/>
        </w:rPr>
        <w:t>q, p, r, h</w:t>
      </w:r>
      <w:r>
        <w:rPr>
          <w:bCs/>
          <w:i/>
          <w:lang w:val="pt-BR"/>
        </w:rPr>
        <w:t xml:space="preserve">, </w:t>
      </w:r>
      <w:r>
        <w:rPr>
          <w:bCs/>
          <w:lang w:val="pt-BR"/>
        </w:rPr>
        <w:t xml:space="preserve">DAMECAP </w:t>
      </w:r>
      <w:r>
        <w:rPr>
          <w:bCs/>
          <w:i/>
          <w:vertAlign w:val="subscript"/>
          <w:lang w:val="pt-BR"/>
        </w:rPr>
        <w:t>p,q,r,h</w:t>
      </w:r>
      <w:r>
        <w:rPr>
          <w:bCs/>
          <w:lang w:val="pt-BR"/>
        </w:rPr>
        <w:t>)</w:t>
      </w:r>
      <w:r w:rsidRPr="009E5389">
        <w:rPr>
          <w:bCs/>
          <w:lang w:val="pt-BR"/>
        </w:rPr>
        <w:t xml:space="preserve"> * DALSL</w:t>
      </w:r>
      <w:r w:rsidRPr="009E5389">
        <w:rPr>
          <w:bCs/>
          <w:i/>
          <w:vertAlign w:val="subscript"/>
          <w:lang w:val="pt-BR"/>
        </w:rPr>
        <w:t xml:space="preserve"> q, p, r, h</w:t>
      </w:r>
      <w:r w:rsidRPr="009E5389">
        <w:rPr>
          <w:bCs/>
          <w:lang w:val="pt-BR"/>
        </w:rPr>
        <w:t>)</w:t>
      </w:r>
      <w:r>
        <w:rPr>
          <w:bCs/>
          <w:lang w:val="pt-BR"/>
        </w:rPr>
        <w:t xml:space="preserve"> </w:t>
      </w:r>
      <w:r w:rsidRPr="009E5389">
        <w:rPr>
          <w:bCs/>
          <w:lang w:val="pt-BR"/>
        </w:rPr>
        <w:t xml:space="preserve">+ </w:t>
      </w:r>
      <w:r w:rsidR="00DF6616">
        <w:rPr>
          <w:noProof/>
          <w:position w:val="-20"/>
        </w:rPr>
        <w:drawing>
          <wp:inline distT="0" distB="0" distL="0" distR="0" wp14:anchorId="0149B202" wp14:editId="033EA3C3">
            <wp:extent cx="1428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rsidRPr="009E5389">
        <w:rPr>
          <w:bCs/>
          <w:lang w:val="pt-BR"/>
        </w:rPr>
        <w:t xml:space="preserve">(DAAIEC </w:t>
      </w:r>
      <w:r w:rsidRPr="009E5389">
        <w:rPr>
          <w:bCs/>
          <w:i/>
          <w:vertAlign w:val="subscript"/>
          <w:lang w:val="pt-BR"/>
        </w:rPr>
        <w:t>q, p, r, h</w:t>
      </w:r>
      <w:r w:rsidRPr="009E5389">
        <w:rPr>
          <w:bCs/>
          <w:lang w:val="pt-BR"/>
        </w:rPr>
        <w:t xml:space="preserve"> * (DAESR </w:t>
      </w:r>
      <w:r w:rsidRPr="009E5389">
        <w:rPr>
          <w:bCs/>
          <w:i/>
          <w:vertAlign w:val="subscript"/>
          <w:lang w:val="pt-BR"/>
        </w:rPr>
        <w:t>q, p, r, h</w:t>
      </w:r>
      <w:r w:rsidRPr="009E5389">
        <w:rPr>
          <w:bCs/>
          <w:lang w:val="pt-BR"/>
        </w:rPr>
        <w:t xml:space="preserve"> – DALSL </w:t>
      </w:r>
      <w:r w:rsidRPr="009E5389">
        <w:rPr>
          <w:bCs/>
          <w:i/>
          <w:vertAlign w:val="subscript"/>
          <w:lang w:val="pt-BR"/>
        </w:rPr>
        <w:t>q, p, r, h</w:t>
      </w:r>
      <w:r w:rsidRPr="009E5389">
        <w:rPr>
          <w:bCs/>
          <w:lang w:val="pt-BR"/>
        </w:rPr>
        <w:t>))</w:t>
      </w:r>
    </w:p>
    <w:p w14:paraId="6A160C07" w14:textId="77777777" w:rsidR="005F477F" w:rsidRDefault="000608E3" w:rsidP="001A7784">
      <w:pPr>
        <w:tabs>
          <w:tab w:val="left" w:pos="2340"/>
          <w:tab w:val="left" w:pos="3420"/>
        </w:tabs>
        <w:spacing w:after="240"/>
        <w:ind w:left="4147" w:hanging="3427"/>
        <w:rPr>
          <w:bCs/>
          <w:lang w:val="pt-BR"/>
        </w:rPr>
      </w:pPr>
      <w:r w:rsidRPr="009E5389">
        <w:rPr>
          <w:bCs/>
          <w:lang w:val="pt-BR"/>
        </w:rPr>
        <w:t>Where:</w:t>
      </w:r>
      <w:r>
        <w:rPr>
          <w:bCs/>
          <w:lang w:val="pt-BR"/>
        </w:rPr>
        <w:t xml:space="preserve">       </w:t>
      </w:r>
    </w:p>
    <w:p w14:paraId="6AD851D1" w14:textId="77777777" w:rsidR="000608E3" w:rsidRPr="009E5389" w:rsidRDefault="000608E3" w:rsidP="005F477F">
      <w:pPr>
        <w:tabs>
          <w:tab w:val="left" w:pos="2340"/>
          <w:tab w:val="left" w:pos="2700"/>
        </w:tabs>
        <w:spacing w:after="240"/>
        <w:ind w:left="3060" w:hanging="2340"/>
        <w:rPr>
          <w:lang w:val="pt-BR"/>
        </w:rPr>
      </w:pPr>
      <w:r w:rsidRPr="009E5389">
        <w:rPr>
          <w:lang w:val="pt-BR"/>
        </w:rPr>
        <w:t xml:space="preserve">DASUPR </w:t>
      </w:r>
      <w:r w:rsidRPr="009E5389">
        <w:rPr>
          <w:i/>
          <w:vertAlign w:val="subscript"/>
          <w:lang w:val="pt-BR"/>
        </w:rPr>
        <w:t>q, p, r</w:t>
      </w:r>
      <w:r w:rsidRPr="009E5389">
        <w:rPr>
          <w:i/>
          <w:vertAlign w:val="subscript"/>
          <w:lang w:val="pt-BR"/>
        </w:rPr>
        <w:tab/>
      </w:r>
      <w:r w:rsidR="005F477F">
        <w:rPr>
          <w:i/>
          <w:vertAlign w:val="subscript"/>
          <w:lang w:val="pt-BR"/>
        </w:rPr>
        <w:tab/>
      </w:r>
      <w:r w:rsidRPr="009E5389">
        <w:rPr>
          <w:i/>
          <w:vertAlign w:val="subscript"/>
          <w:lang w:val="pt-BR"/>
        </w:rPr>
        <w:t xml:space="preserve"> </w:t>
      </w:r>
      <w:r w:rsidR="005F477F">
        <w:rPr>
          <w:lang w:val="pt-BR"/>
        </w:rPr>
        <w:t>=</w:t>
      </w:r>
      <w:r w:rsidR="005F477F">
        <w:rPr>
          <w:lang w:val="pt-BR"/>
        </w:rPr>
        <w:tab/>
      </w:r>
      <w:r w:rsidRPr="009E5389">
        <w:rPr>
          <w:lang w:val="pt-BR"/>
        </w:rPr>
        <w:t xml:space="preserve">Min(DASUO </w:t>
      </w:r>
      <w:r w:rsidRPr="009E5389">
        <w:rPr>
          <w:i/>
          <w:vertAlign w:val="subscript"/>
          <w:lang w:val="pt-BR"/>
        </w:rPr>
        <w:t>q, p, r</w:t>
      </w:r>
      <w:r w:rsidRPr="009E5389">
        <w:rPr>
          <w:lang w:val="pt-BR"/>
        </w:rPr>
        <w:t>, DASUCAP</w:t>
      </w:r>
      <w:r w:rsidRPr="009E5389">
        <w:rPr>
          <w:i/>
          <w:vertAlign w:val="subscript"/>
          <w:lang w:val="pt-BR"/>
        </w:rPr>
        <w:t xml:space="preserve"> q, p, r</w:t>
      </w:r>
      <w:r w:rsidRPr="009E5389">
        <w:rPr>
          <w:lang w:val="pt-BR"/>
        </w:rPr>
        <w:t>)</w:t>
      </w:r>
    </w:p>
    <w:p w14:paraId="07C7A0A3" w14:textId="77777777" w:rsidR="000608E3" w:rsidRPr="009E5389" w:rsidRDefault="000608E3" w:rsidP="001A7784">
      <w:pPr>
        <w:tabs>
          <w:tab w:val="left" w:pos="2340"/>
          <w:tab w:val="left" w:pos="3420"/>
        </w:tabs>
        <w:spacing w:after="240"/>
        <w:ind w:left="4147" w:hanging="3427"/>
        <w:rPr>
          <w:lang w:val="pt-BR"/>
        </w:rPr>
      </w:pPr>
      <w:r w:rsidRPr="009E5389">
        <w:rPr>
          <w:lang w:val="pt-BR"/>
        </w:rPr>
        <w:t>If ERCOT has approved verifiable Startup Costs</w:t>
      </w:r>
    </w:p>
    <w:p w14:paraId="106A3B4D" w14:textId="77777777" w:rsidR="000608E3" w:rsidRPr="009E5389" w:rsidRDefault="000608E3" w:rsidP="005F477F">
      <w:pPr>
        <w:tabs>
          <w:tab w:val="left" w:pos="2340"/>
          <w:tab w:val="left" w:pos="3420"/>
          <w:tab w:val="left" w:pos="4140"/>
        </w:tabs>
        <w:spacing w:after="240"/>
        <w:ind w:left="4500" w:hanging="3420"/>
        <w:rPr>
          <w:bCs/>
        </w:rPr>
      </w:pPr>
      <w:r w:rsidRPr="009E5389">
        <w:rPr>
          <w:lang w:val="pt-BR"/>
        </w:rPr>
        <w:t>Then:</w:t>
      </w:r>
      <w:r w:rsidR="005F477F">
        <w:rPr>
          <w:lang w:val="pt-BR"/>
        </w:rPr>
        <w:tab/>
      </w:r>
      <w:r w:rsidRPr="009E5389">
        <w:rPr>
          <w:bCs/>
          <w:iCs/>
        </w:rPr>
        <w:t xml:space="preserve">DASUCAP </w:t>
      </w:r>
      <w:r w:rsidRPr="009E5389">
        <w:rPr>
          <w:bCs/>
          <w:i/>
          <w:vertAlign w:val="subscript"/>
        </w:rPr>
        <w:t>q, p, r</w:t>
      </w:r>
      <w:r w:rsidR="005F477F">
        <w:rPr>
          <w:bCs/>
          <w:i/>
          <w:vertAlign w:val="subscript"/>
        </w:rPr>
        <w:tab/>
      </w:r>
      <w:r w:rsidRPr="009E5389">
        <w:rPr>
          <w:bCs/>
          <w:iCs/>
        </w:rPr>
        <w:t>=</w:t>
      </w:r>
      <w:r w:rsidR="005F477F">
        <w:rPr>
          <w:bCs/>
          <w:iCs/>
        </w:rPr>
        <w:tab/>
      </w:r>
      <w:r w:rsidRPr="009E5389">
        <w:rPr>
          <w:bCs/>
          <w:iCs/>
        </w:rPr>
        <w:t>Max</w:t>
      </w:r>
      <w:r w:rsidRPr="009E5389">
        <w:rPr>
          <w:bCs/>
          <w:iCs/>
          <w:vertAlign w:val="subscript"/>
        </w:rPr>
        <w:t>c</w:t>
      </w:r>
      <w:r w:rsidRPr="009E5389">
        <w:rPr>
          <w:bCs/>
          <w:iCs/>
        </w:rPr>
        <w:t>(</w:t>
      </w:r>
      <w:r w:rsidRPr="009E5389">
        <w:rPr>
          <w:bCs/>
          <w:lang w:val="pt-BR"/>
        </w:rPr>
        <w:t xml:space="preserve">AGRRATIO </w:t>
      </w:r>
      <w:r w:rsidRPr="009E5389">
        <w:rPr>
          <w:bCs/>
          <w:i/>
          <w:vertAlign w:val="subscript"/>
          <w:lang w:val="pt-BR"/>
        </w:rPr>
        <w:t xml:space="preserve">q, p, r </w:t>
      </w:r>
      <w:r w:rsidRPr="009E5389">
        <w:rPr>
          <w:bCs/>
          <w:lang w:val="pt-BR"/>
        </w:rPr>
        <w:t xml:space="preserve">) * </w:t>
      </w:r>
      <w:r w:rsidRPr="009E5389">
        <w:rPr>
          <w:bCs/>
          <w:iCs/>
        </w:rPr>
        <w:t xml:space="preserve">verifiable Startup Costs </w:t>
      </w:r>
      <w:r w:rsidRPr="009E5389">
        <w:rPr>
          <w:bCs/>
          <w:i/>
          <w:vertAlign w:val="subscript"/>
        </w:rPr>
        <w:t>q, r</w:t>
      </w:r>
    </w:p>
    <w:p w14:paraId="5671A148" w14:textId="77777777" w:rsidR="000608E3" w:rsidRPr="009E5389" w:rsidRDefault="000608E3" w:rsidP="005F477F">
      <w:pPr>
        <w:tabs>
          <w:tab w:val="left" w:pos="2340"/>
          <w:tab w:val="left" w:pos="3420"/>
          <w:tab w:val="left" w:pos="4500"/>
        </w:tabs>
        <w:spacing w:before="240" w:after="240"/>
        <w:ind w:left="4147" w:hanging="3067"/>
        <w:rPr>
          <w:bCs/>
          <w:lang w:val="pt-BR"/>
        </w:rPr>
      </w:pPr>
      <w:r w:rsidRPr="009E5389">
        <w:rPr>
          <w:bCs/>
          <w:lang w:val="pt-BR"/>
        </w:rPr>
        <w:t>Where:</w:t>
      </w:r>
      <w:r w:rsidR="005F477F">
        <w:rPr>
          <w:bCs/>
          <w:lang w:val="pt-BR"/>
        </w:rPr>
        <w:tab/>
      </w:r>
      <w:r w:rsidRPr="009E5389">
        <w:rPr>
          <w:bCs/>
          <w:lang w:val="pt-BR"/>
        </w:rPr>
        <w:t>AGRRATIO</w:t>
      </w:r>
      <w:r w:rsidR="005F477F">
        <w:rPr>
          <w:bCs/>
          <w:i/>
          <w:vertAlign w:val="subscript"/>
          <w:lang w:val="pt-BR"/>
        </w:rPr>
        <w:t xml:space="preserve"> q, p, r</w:t>
      </w:r>
      <w:r w:rsidR="005F477F">
        <w:rPr>
          <w:bCs/>
          <w:i/>
          <w:vertAlign w:val="subscript"/>
          <w:lang w:val="pt-BR"/>
        </w:rPr>
        <w:tab/>
      </w:r>
      <w:r w:rsidRPr="009E5389">
        <w:rPr>
          <w:bCs/>
          <w:lang w:val="pt-BR"/>
        </w:rPr>
        <w:t>=</w:t>
      </w:r>
      <w:r w:rsidRPr="009E5389">
        <w:rPr>
          <w:bCs/>
          <w:lang w:val="pt-BR"/>
        </w:rPr>
        <w:tab/>
        <w:t>AGRMAXON</w:t>
      </w:r>
      <w:r w:rsidRPr="009E5389">
        <w:rPr>
          <w:bCs/>
          <w:i/>
          <w:vertAlign w:val="subscript"/>
          <w:lang w:val="pt-BR"/>
        </w:rPr>
        <w:t xml:space="preserve"> q, p, r</w:t>
      </w:r>
      <w:r w:rsidRPr="009E5389">
        <w:rPr>
          <w:bCs/>
          <w:lang w:val="pt-BR"/>
        </w:rPr>
        <w:t xml:space="preserve"> / AGRTOT</w:t>
      </w:r>
      <w:r w:rsidRPr="009E5389">
        <w:rPr>
          <w:bCs/>
          <w:i/>
          <w:vertAlign w:val="subscript"/>
          <w:lang w:val="pt-BR"/>
        </w:rPr>
        <w:t xml:space="preserve"> q, p, r</w:t>
      </w:r>
    </w:p>
    <w:p w14:paraId="60453CB8" w14:textId="77777777" w:rsidR="000608E3" w:rsidRDefault="000608E3" w:rsidP="005F477F">
      <w:pPr>
        <w:tabs>
          <w:tab w:val="left" w:pos="2340"/>
          <w:tab w:val="left" w:pos="3420"/>
          <w:tab w:val="left" w:pos="4500"/>
        </w:tabs>
        <w:spacing w:after="240"/>
        <w:ind w:left="4147" w:hanging="3067"/>
        <w:rPr>
          <w:i/>
          <w:vertAlign w:val="subscript"/>
        </w:rPr>
      </w:pPr>
      <w:r w:rsidRPr="009E5389">
        <w:rPr>
          <w:bCs/>
          <w:lang w:val="pt-BR"/>
        </w:rPr>
        <w:t>Otherwise:</w:t>
      </w:r>
      <w:r w:rsidR="005F477F">
        <w:rPr>
          <w:bCs/>
          <w:lang w:val="pt-BR"/>
        </w:rPr>
        <w:tab/>
      </w:r>
      <w:r w:rsidRPr="009E5389">
        <w:rPr>
          <w:bCs/>
          <w:iCs/>
        </w:rPr>
        <w:t xml:space="preserve">DASUCAP </w:t>
      </w:r>
      <w:r w:rsidRPr="009E5389">
        <w:rPr>
          <w:bCs/>
          <w:i/>
          <w:vertAlign w:val="subscript"/>
        </w:rPr>
        <w:t>q, p, r</w:t>
      </w:r>
      <w:r w:rsidR="005F477F">
        <w:rPr>
          <w:bCs/>
          <w:iCs/>
        </w:rPr>
        <w:tab/>
      </w:r>
      <w:r w:rsidRPr="009E5389">
        <w:rPr>
          <w:bCs/>
          <w:iCs/>
        </w:rPr>
        <w:t>=</w:t>
      </w:r>
      <w:r w:rsidR="005F477F">
        <w:rPr>
          <w:bCs/>
          <w:iCs/>
        </w:rPr>
        <w:tab/>
      </w:r>
      <w:r w:rsidRPr="009E5389">
        <w:rPr>
          <w:bCs/>
          <w:iCs/>
        </w:rPr>
        <w:t>Max</w:t>
      </w:r>
      <w:r w:rsidRPr="009E5389">
        <w:rPr>
          <w:bCs/>
          <w:i/>
          <w:vertAlign w:val="subscript"/>
          <w:lang w:val="pt-BR"/>
        </w:rPr>
        <w:t>c</w:t>
      </w:r>
      <w:r w:rsidRPr="009E5389">
        <w:rPr>
          <w:bCs/>
          <w:iCs/>
        </w:rPr>
        <w:t>(AGGRATIO</w:t>
      </w:r>
      <w:r w:rsidRPr="009E5389">
        <w:rPr>
          <w:bCs/>
          <w:i/>
          <w:vertAlign w:val="subscript"/>
          <w:lang w:val="pt-BR"/>
        </w:rPr>
        <w:t xml:space="preserve"> q,p,r</w:t>
      </w:r>
      <w:r w:rsidRPr="009E5389">
        <w:rPr>
          <w:bCs/>
          <w:iCs/>
        </w:rPr>
        <w:t>) * RCGSC</w:t>
      </w:r>
      <w:r w:rsidRPr="009E5389">
        <w:rPr>
          <w:bCs/>
          <w:lang w:val="pt-BR"/>
        </w:rPr>
        <w:tab/>
      </w:r>
    </w:p>
    <w:p w14:paraId="5B373875" w14:textId="77777777" w:rsidR="000608E3" w:rsidRPr="006141F6" w:rsidRDefault="000608E3" w:rsidP="006141F6">
      <w:pPr>
        <w:tabs>
          <w:tab w:val="left" w:pos="2352"/>
          <w:tab w:val="left" w:pos="3420"/>
          <w:tab w:val="left" w:pos="3822"/>
        </w:tabs>
        <w:spacing w:after="240"/>
        <w:ind w:left="3600" w:hanging="2880"/>
        <w:rPr>
          <w:b/>
        </w:rPr>
      </w:pPr>
      <w:r w:rsidRPr="006141F6">
        <w:rPr>
          <w:b/>
        </w:rPr>
        <w:t>For Combined Cycle Trains,</w:t>
      </w:r>
    </w:p>
    <w:p w14:paraId="707DC3A2" w14:textId="77777777" w:rsidR="000608E3" w:rsidRPr="001A7784" w:rsidRDefault="000608E3" w:rsidP="00E30EAB">
      <w:pPr>
        <w:pStyle w:val="FormulaBold"/>
      </w:pPr>
      <w:r w:rsidRPr="001A7784">
        <w:t xml:space="preserve">DAMGCOST </w:t>
      </w:r>
      <w:r w:rsidRPr="001A7784">
        <w:rPr>
          <w:i/>
          <w:vertAlign w:val="subscript"/>
        </w:rPr>
        <w:t>q, p, r</w:t>
      </w:r>
      <w:r w:rsidRPr="001A7784">
        <w:tab/>
        <w:t>=</w:t>
      </w:r>
      <w:r w:rsidR="005F477F">
        <w:rPr>
          <w:lang w:val="en-US"/>
        </w:rPr>
        <w:tab/>
      </w:r>
      <w:r w:rsidRPr="001A7784">
        <w:rPr>
          <w:lang w:val="en-US"/>
        </w:rPr>
        <w:t>Min(</w:t>
      </w:r>
      <w:r w:rsidRPr="001A7784">
        <w:t xml:space="preserve">DASUO </w:t>
      </w:r>
      <w:r w:rsidRPr="001A7784">
        <w:rPr>
          <w:i/>
          <w:vertAlign w:val="subscript"/>
        </w:rPr>
        <w:t>q, p, r</w:t>
      </w:r>
      <w:r w:rsidRPr="001A7784">
        <w:t xml:space="preserve"> </w:t>
      </w:r>
      <w:r w:rsidRPr="001A7784">
        <w:rPr>
          <w:lang w:val="en-US"/>
        </w:rPr>
        <w:t xml:space="preserve">, </w:t>
      </w:r>
      <w:r w:rsidRPr="001A7784">
        <w:rPr>
          <w:lang w:val="pt-BR"/>
        </w:rPr>
        <w:t>DASUCAP</w:t>
      </w:r>
      <w:r w:rsidRPr="001A7784">
        <w:rPr>
          <w:i/>
          <w:vertAlign w:val="subscript"/>
          <w:lang w:val="pt-BR"/>
        </w:rPr>
        <w:t>q, p, r</w:t>
      </w:r>
      <w:r w:rsidRPr="001A7784">
        <w:rPr>
          <w:lang w:val="pt-BR"/>
        </w:rPr>
        <w:t xml:space="preserve">) </w:t>
      </w:r>
      <w:r w:rsidRPr="001A7784">
        <w:t xml:space="preserve">+ </w:t>
      </w:r>
      <w:r w:rsidR="00DF6616">
        <w:rPr>
          <w:noProof/>
          <w:position w:val="-20"/>
          <w:lang w:val="en-US" w:eastAsia="en-US"/>
        </w:rPr>
        <w:drawing>
          <wp:inline distT="0" distB="0" distL="0" distR="0" wp14:anchorId="151D29B0" wp14:editId="1AD50C9B">
            <wp:extent cx="114300"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1A7784">
        <w:rPr>
          <w:noProof/>
          <w:position w:val="-20"/>
        </w:rPr>
        <w:t xml:space="preserve"> </w:t>
      </w:r>
      <w:r w:rsidRPr="001A7784">
        <w:t>(</w:t>
      </w:r>
      <w:r w:rsidRPr="001A7784">
        <w:rPr>
          <w:lang w:val="en-US"/>
        </w:rPr>
        <w:t>Min(</w:t>
      </w:r>
      <w:r w:rsidRPr="001A7784">
        <w:t xml:space="preserve">DAMEO </w:t>
      </w:r>
      <w:r w:rsidRPr="001A7784">
        <w:rPr>
          <w:i/>
          <w:vertAlign w:val="subscript"/>
        </w:rPr>
        <w:t>q, p, r, h</w:t>
      </w:r>
      <w:r w:rsidRPr="001A7784">
        <w:rPr>
          <w:i/>
          <w:vertAlign w:val="subscript"/>
          <w:lang w:val="en-US"/>
        </w:rPr>
        <w:t xml:space="preserve"> </w:t>
      </w:r>
      <w:r w:rsidRPr="001A7784">
        <w:rPr>
          <w:lang w:val="pt-BR"/>
        </w:rPr>
        <w:t xml:space="preserve">, </w:t>
      </w:r>
      <w:r w:rsidRPr="001A7784">
        <w:t>DAMECAP</w:t>
      </w:r>
      <w:r w:rsidRPr="001A7784">
        <w:rPr>
          <w:i/>
          <w:vertAlign w:val="subscript"/>
          <w:lang w:val="pt-BR"/>
        </w:rPr>
        <w:t xml:space="preserve"> q, p, r,h</w:t>
      </w:r>
      <w:r w:rsidRPr="001A7784">
        <w:rPr>
          <w:lang w:val="pt-BR"/>
        </w:rPr>
        <w:t>)</w:t>
      </w:r>
      <w:r w:rsidRPr="001A7784">
        <w:t xml:space="preserve"> * DALSL</w:t>
      </w:r>
      <w:r w:rsidRPr="001A7784">
        <w:rPr>
          <w:vertAlign w:val="subscript"/>
        </w:rPr>
        <w:t xml:space="preserve"> </w:t>
      </w:r>
      <w:r w:rsidRPr="001A7784">
        <w:rPr>
          <w:i/>
          <w:vertAlign w:val="subscript"/>
        </w:rPr>
        <w:t>q, p, r, h</w:t>
      </w:r>
      <w:r w:rsidRPr="001A7784">
        <w:t>)</w:t>
      </w:r>
      <w:r w:rsidRPr="001A7784">
        <w:rPr>
          <w:lang w:val="en-US"/>
        </w:rPr>
        <w:t xml:space="preserve"> </w:t>
      </w:r>
      <w:r w:rsidRPr="001A7784">
        <w:t xml:space="preserve">+ (Max(0, </w:t>
      </w:r>
      <w:r w:rsidRPr="001A7784">
        <w:rPr>
          <w:lang w:val="en-US"/>
        </w:rPr>
        <w:t>Min(</w:t>
      </w:r>
      <w:r w:rsidRPr="001A7784">
        <w:t xml:space="preserve">DASUO </w:t>
      </w:r>
      <w:r w:rsidRPr="001A7784">
        <w:rPr>
          <w:i/>
          <w:vertAlign w:val="subscript"/>
        </w:rPr>
        <w:t>afterCCGR</w:t>
      </w:r>
      <w:r w:rsidRPr="001A7784">
        <w:t xml:space="preserve"> </w:t>
      </w:r>
      <w:r w:rsidRPr="001A7784">
        <w:rPr>
          <w:lang w:val="pt-BR"/>
        </w:rPr>
        <w:t>, DASUCAP</w:t>
      </w:r>
      <w:r w:rsidRPr="001A7784">
        <w:rPr>
          <w:i/>
          <w:vertAlign w:val="subscript"/>
          <w:lang w:val="pt-BR"/>
        </w:rPr>
        <w:t>afterCCGR</w:t>
      </w:r>
      <w:r w:rsidRPr="001A7784">
        <w:rPr>
          <w:lang w:val="pt-BR"/>
        </w:rPr>
        <w:t xml:space="preserve">) </w:t>
      </w:r>
      <w:r w:rsidRPr="001A7784">
        <w:t xml:space="preserve">– </w:t>
      </w:r>
      <w:r w:rsidRPr="001A7784">
        <w:rPr>
          <w:lang w:val="en-US"/>
        </w:rPr>
        <w:t>Min(</w:t>
      </w:r>
      <w:r w:rsidRPr="001A7784">
        <w:t xml:space="preserve">DASUO </w:t>
      </w:r>
      <w:r w:rsidRPr="001A7784">
        <w:rPr>
          <w:i/>
          <w:vertAlign w:val="subscript"/>
        </w:rPr>
        <w:t>beforeCCGR</w:t>
      </w:r>
      <w:r w:rsidRPr="001A7784">
        <w:rPr>
          <w:i/>
          <w:vertAlign w:val="subscript"/>
          <w:lang w:val="en-US"/>
        </w:rPr>
        <w:t xml:space="preserve"> </w:t>
      </w:r>
      <w:r w:rsidRPr="001A7784">
        <w:rPr>
          <w:lang w:val="pt-BR"/>
        </w:rPr>
        <w:t>, DASUCAP</w:t>
      </w:r>
      <w:r w:rsidRPr="001A7784">
        <w:rPr>
          <w:i/>
          <w:vertAlign w:val="subscript"/>
          <w:lang w:val="pt-BR"/>
        </w:rPr>
        <w:t>beforeCCGR</w:t>
      </w:r>
      <w:r w:rsidRPr="001A7784">
        <w:t>))</w:t>
      </w:r>
      <w:r w:rsidRPr="001A7784">
        <w:rPr>
          <w:lang w:val="en-US"/>
        </w:rPr>
        <w:t xml:space="preserve"> </w:t>
      </w:r>
      <w:r w:rsidRPr="001A7784">
        <w:t xml:space="preserve">+ </w:t>
      </w:r>
      <w:r w:rsidR="00DF6616">
        <w:rPr>
          <w:noProof/>
          <w:position w:val="-20"/>
          <w:lang w:val="en-US" w:eastAsia="en-US"/>
        </w:rPr>
        <w:drawing>
          <wp:inline distT="0" distB="0" distL="0" distR="0" wp14:anchorId="7A516252" wp14:editId="1F35DB57">
            <wp:extent cx="114300" cy="276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1A7784">
        <w:rPr>
          <w:noProof/>
          <w:position w:val="-20"/>
        </w:rPr>
        <w:t xml:space="preserve"> </w:t>
      </w:r>
      <w:r w:rsidRPr="001A7784">
        <w:t xml:space="preserve">(DAAIEC </w:t>
      </w:r>
      <w:r w:rsidRPr="001A7784">
        <w:rPr>
          <w:i/>
          <w:vertAlign w:val="subscript"/>
        </w:rPr>
        <w:t>q, p, r, h</w:t>
      </w:r>
      <w:r w:rsidRPr="001A7784">
        <w:t xml:space="preserve"> * (DAESR </w:t>
      </w:r>
      <w:r w:rsidRPr="001A7784">
        <w:rPr>
          <w:i/>
          <w:vertAlign w:val="subscript"/>
        </w:rPr>
        <w:t>q, p, r, h</w:t>
      </w:r>
      <w:r w:rsidRPr="001A7784">
        <w:t xml:space="preserve"> – DALSL </w:t>
      </w:r>
      <w:r w:rsidRPr="001A7784">
        <w:rPr>
          <w:i/>
          <w:vertAlign w:val="subscript"/>
        </w:rPr>
        <w:t>q, p, r, h</w:t>
      </w:r>
      <w:r w:rsidRPr="001A7784">
        <w:t>))</w:t>
      </w:r>
    </w:p>
    <w:p w14:paraId="23C7039B" w14:textId="77777777" w:rsidR="00A47857" w:rsidRPr="005F477F" w:rsidRDefault="00E10094" w:rsidP="006141F6">
      <w:pPr>
        <w:pStyle w:val="BodyTextNumbered"/>
      </w:pPr>
      <w:r w:rsidDel="000608E3">
        <w:lastRenderedPageBreak/>
        <w:t xml:space="preserve"> </w:t>
      </w:r>
      <w:r w:rsidR="004F6893" w:rsidRPr="005F477F">
        <w:t>(</w:t>
      </w:r>
      <w:r w:rsidR="002E0760">
        <w:t>7</w:t>
      </w:r>
      <w:r w:rsidR="004F6893" w:rsidRPr="005F477F">
        <w:t>)</w:t>
      </w:r>
      <w:r w:rsidR="004F6893" w:rsidRPr="005F477F">
        <w:tab/>
        <w:t>The Day-Ahead Make-Whole Revenue is calculated for each DAM-Committed Generation Resource as follows:</w:t>
      </w:r>
    </w:p>
    <w:p w14:paraId="24E21E90" w14:textId="77777777" w:rsidR="00F11BE2" w:rsidRDefault="00482EF3" w:rsidP="00D46800">
      <w:pPr>
        <w:pStyle w:val="Formula"/>
        <w:rPr>
          <w:i/>
          <w:vertAlign w:val="subscript"/>
        </w:rPr>
      </w:pPr>
      <w:r>
        <w:t xml:space="preserve">DAEREV </w:t>
      </w:r>
      <w:r>
        <w:rPr>
          <w:i/>
          <w:vertAlign w:val="subscript"/>
        </w:rPr>
        <w:t>q, p, r, h</w:t>
      </w:r>
      <w:r w:rsidR="002A59AC">
        <w:rPr>
          <w:i/>
          <w:vertAlign w:val="subscript"/>
        </w:rPr>
        <w:tab/>
      </w:r>
      <w:r>
        <w:tab/>
        <w:t>=</w:t>
      </w:r>
      <w:r>
        <w:tab/>
        <w:t xml:space="preserve">(-1) * DASPP </w:t>
      </w:r>
      <w:r>
        <w:rPr>
          <w:i/>
          <w:vertAlign w:val="subscript"/>
        </w:rPr>
        <w:t>p, h</w:t>
      </w:r>
      <w:r>
        <w:t xml:space="preserve"> * DAESR </w:t>
      </w:r>
      <w:r>
        <w:rPr>
          <w:i/>
          <w:vertAlign w:val="subscript"/>
        </w:rPr>
        <w:t>q, p, r, h</w:t>
      </w:r>
    </w:p>
    <w:p w14:paraId="3948F7E0" w14:textId="77777777" w:rsidR="00D46800" w:rsidRPr="0003648D" w:rsidRDefault="00D46800" w:rsidP="00D46800">
      <w:pPr>
        <w:tabs>
          <w:tab w:val="left" w:pos="2340"/>
          <w:tab w:val="left" w:pos="2700"/>
        </w:tabs>
        <w:spacing w:after="240"/>
        <w:ind w:left="3060" w:hanging="2340"/>
        <w:rPr>
          <w:bCs/>
          <w:lang w:val="x-none" w:eastAsia="x-none"/>
        </w:rPr>
      </w:pPr>
      <w:r w:rsidRPr="0003648D">
        <w:rPr>
          <w:bCs/>
          <w:lang w:val="x-none" w:eastAsia="x-none"/>
        </w:rPr>
        <w:t>DAASREV</w:t>
      </w:r>
      <w:r w:rsidRPr="0003648D">
        <w:rPr>
          <w:bCs/>
          <w:i/>
          <w:vertAlign w:val="subscript"/>
          <w:lang w:val="x-none" w:eastAsia="x-none"/>
        </w:rPr>
        <w:t xml:space="preserve"> q, r, h</w:t>
      </w:r>
      <w:r w:rsidRPr="0003648D">
        <w:rPr>
          <w:bCs/>
          <w:lang w:val="x-none" w:eastAsia="x-none"/>
        </w:rPr>
        <w:t xml:space="preserve"> </w:t>
      </w:r>
      <w:r w:rsidRPr="0003648D">
        <w:rPr>
          <w:bCs/>
          <w:lang w:val="x-none" w:eastAsia="x-none"/>
        </w:rPr>
        <w:tab/>
      </w:r>
      <w:r w:rsidRPr="0003648D">
        <w:rPr>
          <w:bCs/>
          <w:lang w:val="x-none" w:eastAsia="x-none"/>
        </w:rPr>
        <w:tab/>
        <w:t>=</w:t>
      </w:r>
      <w:r w:rsidRPr="0003648D">
        <w:rPr>
          <w:bCs/>
          <w:lang w:val="x-none" w:eastAsia="x-none"/>
        </w:rPr>
        <w:tab/>
        <w:t xml:space="preserve">((-1) * MCPCRU </w:t>
      </w:r>
      <w:r w:rsidRPr="0003648D">
        <w:rPr>
          <w:bCs/>
          <w:i/>
          <w:vertAlign w:val="subscript"/>
          <w:lang w:val="x-none" w:eastAsia="x-none"/>
        </w:rPr>
        <w:t>DAM, h</w:t>
      </w:r>
      <w:r w:rsidRPr="0003648D">
        <w:rPr>
          <w:bCs/>
          <w:lang w:val="x-none" w:eastAsia="x-none"/>
        </w:rPr>
        <w:t xml:space="preserve"> * PCRUR</w:t>
      </w:r>
      <w:r w:rsidRPr="0003648D">
        <w:rPr>
          <w:bCs/>
          <w:i/>
          <w:lang w:val="x-none" w:eastAsia="x-none"/>
        </w:rPr>
        <w:t xml:space="preserve"> </w:t>
      </w:r>
      <w:r w:rsidRPr="0003648D">
        <w:rPr>
          <w:bCs/>
          <w:i/>
          <w:vertAlign w:val="subscript"/>
          <w:lang w:val="x-none" w:eastAsia="x-none"/>
        </w:rPr>
        <w:t>r, q, DAM, h</w:t>
      </w:r>
      <w:r w:rsidRPr="0003648D">
        <w:rPr>
          <w:bCs/>
          <w:lang w:val="x-none" w:eastAsia="x-none"/>
        </w:rPr>
        <w:t xml:space="preserve">) </w:t>
      </w:r>
    </w:p>
    <w:p w14:paraId="3F5A2A43" w14:textId="77777777" w:rsidR="00D46800" w:rsidRPr="0003648D" w:rsidRDefault="00D46800" w:rsidP="00D46800">
      <w:pPr>
        <w:tabs>
          <w:tab w:val="left" w:pos="2340"/>
          <w:tab w:val="left" w:pos="2700"/>
        </w:tabs>
        <w:spacing w:after="240"/>
        <w:ind w:left="3060" w:hanging="2340"/>
        <w:rPr>
          <w:bCs/>
          <w:lang w:val="x-none" w:eastAsia="x-none"/>
        </w:rPr>
      </w:pPr>
      <w:r w:rsidRPr="0003648D">
        <w:rPr>
          <w:bCs/>
          <w:lang w:val="x-none" w:eastAsia="x-none"/>
        </w:rPr>
        <w:tab/>
      </w:r>
      <w:r w:rsidRPr="0003648D">
        <w:rPr>
          <w:bCs/>
          <w:lang w:val="x-none" w:eastAsia="x-none"/>
        </w:rPr>
        <w:tab/>
        <w:t xml:space="preserve">+ ((-1) * MCPCRD </w:t>
      </w:r>
      <w:r w:rsidRPr="0003648D">
        <w:rPr>
          <w:bCs/>
          <w:i/>
          <w:vertAlign w:val="subscript"/>
          <w:lang w:val="x-none" w:eastAsia="x-none"/>
        </w:rPr>
        <w:t xml:space="preserve">DAM, h </w:t>
      </w:r>
      <w:r w:rsidRPr="0003648D">
        <w:rPr>
          <w:bCs/>
          <w:lang w:val="x-none" w:eastAsia="x-none"/>
        </w:rPr>
        <w:t xml:space="preserve"> * PCRDR</w:t>
      </w:r>
      <w:r w:rsidRPr="0003648D">
        <w:rPr>
          <w:bCs/>
          <w:i/>
          <w:lang w:val="x-none" w:eastAsia="x-none"/>
        </w:rPr>
        <w:t xml:space="preserve"> </w:t>
      </w:r>
      <w:r w:rsidRPr="0003648D">
        <w:rPr>
          <w:bCs/>
          <w:i/>
          <w:vertAlign w:val="subscript"/>
          <w:lang w:val="x-none" w:eastAsia="x-none"/>
        </w:rPr>
        <w:t>r, q,</w:t>
      </w:r>
      <w:r>
        <w:rPr>
          <w:bCs/>
          <w:i/>
          <w:vertAlign w:val="subscript"/>
          <w:lang w:eastAsia="x-none"/>
        </w:rPr>
        <w:t xml:space="preserve"> </w:t>
      </w:r>
      <w:r w:rsidRPr="0003648D">
        <w:rPr>
          <w:bCs/>
          <w:i/>
          <w:vertAlign w:val="subscript"/>
          <w:lang w:val="x-none" w:eastAsia="x-none"/>
        </w:rPr>
        <w:t>DAM, h</w:t>
      </w:r>
      <w:r w:rsidRPr="0003648D">
        <w:rPr>
          <w:bCs/>
          <w:lang w:val="x-none" w:eastAsia="x-none"/>
        </w:rPr>
        <w:t xml:space="preserve">) </w:t>
      </w:r>
    </w:p>
    <w:p w14:paraId="011416AC" w14:textId="77777777" w:rsidR="00D46800" w:rsidRPr="0003648D" w:rsidRDefault="00D46800" w:rsidP="00D46800">
      <w:pPr>
        <w:tabs>
          <w:tab w:val="left" w:pos="2340"/>
          <w:tab w:val="left" w:pos="2700"/>
        </w:tabs>
        <w:spacing w:after="240"/>
        <w:ind w:left="3060" w:hanging="2340"/>
        <w:rPr>
          <w:bCs/>
          <w:lang w:val="x-none" w:eastAsia="x-none"/>
        </w:rPr>
      </w:pPr>
      <w:r w:rsidRPr="0003648D">
        <w:rPr>
          <w:bCs/>
          <w:lang w:val="x-none" w:eastAsia="x-none"/>
        </w:rPr>
        <w:tab/>
      </w:r>
      <w:r w:rsidRPr="0003648D">
        <w:rPr>
          <w:bCs/>
          <w:lang w:val="x-none" w:eastAsia="x-none"/>
        </w:rPr>
        <w:tab/>
        <w:t>+ ((-1) * MCPC</w:t>
      </w:r>
      <w:r>
        <w:rPr>
          <w:bCs/>
          <w:lang w:eastAsia="x-none"/>
        </w:rPr>
        <w:t>EC</w:t>
      </w:r>
      <w:r w:rsidRPr="0003648D">
        <w:rPr>
          <w:bCs/>
          <w:lang w:val="x-none" w:eastAsia="x-none"/>
        </w:rPr>
        <w:t xml:space="preserve">R </w:t>
      </w:r>
      <w:r w:rsidRPr="0003648D">
        <w:rPr>
          <w:bCs/>
          <w:i/>
          <w:vertAlign w:val="subscript"/>
          <w:lang w:val="x-none" w:eastAsia="x-none"/>
        </w:rPr>
        <w:t xml:space="preserve">DAM, h </w:t>
      </w:r>
      <w:r w:rsidRPr="0003648D">
        <w:rPr>
          <w:bCs/>
          <w:lang w:val="x-none" w:eastAsia="x-none"/>
        </w:rPr>
        <w:t xml:space="preserve"> * PC</w:t>
      </w:r>
      <w:r>
        <w:rPr>
          <w:bCs/>
          <w:lang w:eastAsia="x-none"/>
        </w:rPr>
        <w:t>EC</w:t>
      </w:r>
      <w:r w:rsidRPr="0003648D">
        <w:rPr>
          <w:bCs/>
          <w:lang w:val="x-none" w:eastAsia="x-none"/>
        </w:rPr>
        <w:t>R</w:t>
      </w:r>
      <w:r>
        <w:rPr>
          <w:bCs/>
          <w:lang w:eastAsia="x-none"/>
        </w:rPr>
        <w:t>R</w:t>
      </w:r>
      <w:r w:rsidRPr="0003648D">
        <w:rPr>
          <w:bCs/>
          <w:i/>
          <w:lang w:val="x-none" w:eastAsia="x-none"/>
        </w:rPr>
        <w:t xml:space="preserve"> </w:t>
      </w:r>
      <w:r w:rsidRPr="0003648D">
        <w:rPr>
          <w:bCs/>
          <w:i/>
          <w:vertAlign w:val="subscript"/>
          <w:lang w:val="x-none" w:eastAsia="x-none"/>
        </w:rPr>
        <w:t>r, q,</w:t>
      </w:r>
      <w:r>
        <w:rPr>
          <w:bCs/>
          <w:i/>
          <w:vertAlign w:val="subscript"/>
          <w:lang w:eastAsia="x-none"/>
        </w:rPr>
        <w:t xml:space="preserve"> </w:t>
      </w:r>
      <w:r w:rsidRPr="0003648D">
        <w:rPr>
          <w:bCs/>
          <w:i/>
          <w:vertAlign w:val="subscript"/>
          <w:lang w:val="x-none" w:eastAsia="x-none"/>
        </w:rPr>
        <w:t>DAM, h</w:t>
      </w:r>
      <w:r w:rsidRPr="0003648D">
        <w:rPr>
          <w:bCs/>
          <w:lang w:val="x-none" w:eastAsia="x-none"/>
        </w:rPr>
        <w:t xml:space="preserve">) </w:t>
      </w:r>
    </w:p>
    <w:p w14:paraId="7AB67F26" w14:textId="77777777" w:rsidR="00D46800" w:rsidRPr="0003648D" w:rsidRDefault="00D46800" w:rsidP="00D46800">
      <w:pPr>
        <w:tabs>
          <w:tab w:val="left" w:pos="2340"/>
          <w:tab w:val="left" w:pos="2700"/>
        </w:tabs>
        <w:spacing w:after="240"/>
        <w:ind w:left="3060" w:hanging="2340"/>
        <w:rPr>
          <w:bCs/>
          <w:lang w:eastAsia="x-none"/>
        </w:rPr>
      </w:pPr>
      <w:r w:rsidRPr="0003648D">
        <w:rPr>
          <w:bCs/>
          <w:lang w:val="x-none" w:eastAsia="x-none"/>
        </w:rPr>
        <w:tab/>
      </w:r>
      <w:r w:rsidRPr="0003648D">
        <w:rPr>
          <w:bCs/>
          <w:lang w:val="x-none" w:eastAsia="x-none"/>
        </w:rPr>
        <w:tab/>
        <w:t>+</w:t>
      </w:r>
      <w:r w:rsidRPr="0003648D">
        <w:rPr>
          <w:bCs/>
          <w:lang w:eastAsia="x-none"/>
        </w:rPr>
        <w:t xml:space="preserve"> </w:t>
      </w:r>
      <w:r w:rsidRPr="0003648D">
        <w:rPr>
          <w:bCs/>
          <w:lang w:val="x-none" w:eastAsia="x-none"/>
        </w:rPr>
        <w:t xml:space="preserve">((-1) * MCPCNS </w:t>
      </w:r>
      <w:r w:rsidRPr="0003648D">
        <w:rPr>
          <w:bCs/>
          <w:i/>
          <w:vertAlign w:val="subscript"/>
          <w:lang w:val="x-none" w:eastAsia="x-none"/>
        </w:rPr>
        <w:t xml:space="preserve">DAM, h </w:t>
      </w:r>
      <w:r w:rsidRPr="0003648D">
        <w:rPr>
          <w:bCs/>
          <w:lang w:val="x-none" w:eastAsia="x-none"/>
        </w:rPr>
        <w:t xml:space="preserve"> * PCNSR</w:t>
      </w:r>
      <w:r w:rsidRPr="0003648D">
        <w:rPr>
          <w:bCs/>
          <w:i/>
          <w:lang w:val="x-none" w:eastAsia="x-none"/>
        </w:rPr>
        <w:t xml:space="preserve"> </w:t>
      </w:r>
      <w:r w:rsidRPr="0003648D">
        <w:rPr>
          <w:bCs/>
          <w:i/>
          <w:vertAlign w:val="subscript"/>
          <w:lang w:val="x-none" w:eastAsia="x-none"/>
        </w:rPr>
        <w:t>r, q,</w:t>
      </w:r>
      <w:r>
        <w:rPr>
          <w:bCs/>
          <w:i/>
          <w:vertAlign w:val="subscript"/>
          <w:lang w:eastAsia="x-none"/>
        </w:rPr>
        <w:t xml:space="preserve"> </w:t>
      </w:r>
      <w:r w:rsidRPr="0003648D">
        <w:rPr>
          <w:bCs/>
          <w:i/>
          <w:vertAlign w:val="subscript"/>
          <w:lang w:val="x-none" w:eastAsia="x-none"/>
        </w:rPr>
        <w:t>DAM, h</w:t>
      </w:r>
      <w:r w:rsidRPr="0003648D">
        <w:rPr>
          <w:bCs/>
          <w:lang w:val="x-none" w:eastAsia="x-none"/>
        </w:rPr>
        <w:t xml:space="preserve">)  </w:t>
      </w:r>
    </w:p>
    <w:p w14:paraId="6A887CBA" w14:textId="53984E56" w:rsidR="00F11BE2" w:rsidRDefault="00D46800" w:rsidP="00D46800">
      <w:pPr>
        <w:pStyle w:val="Formula"/>
      </w:pPr>
      <w:r w:rsidRPr="0003648D">
        <w:tab/>
      </w:r>
      <w:r w:rsidRPr="0003648D">
        <w:tab/>
        <w:t>+ ((-1) * MCPC</w:t>
      </w:r>
      <w:r>
        <w:t>R</w:t>
      </w:r>
      <w:r w:rsidRPr="0003648D">
        <w:t xml:space="preserve">R </w:t>
      </w:r>
      <w:r w:rsidRPr="0003648D">
        <w:rPr>
          <w:i/>
          <w:vertAlign w:val="subscript"/>
        </w:rPr>
        <w:t xml:space="preserve">DAM, h </w:t>
      </w:r>
      <w:r w:rsidRPr="0003648D">
        <w:t xml:space="preserve"> * PC</w:t>
      </w:r>
      <w:r>
        <w:t>R</w:t>
      </w:r>
      <w:r w:rsidRPr="0003648D">
        <w:t>R</w:t>
      </w:r>
      <w:r>
        <w:t>R</w:t>
      </w:r>
      <w:r w:rsidRPr="0003648D">
        <w:rPr>
          <w:i/>
        </w:rPr>
        <w:t xml:space="preserve"> </w:t>
      </w:r>
      <w:r w:rsidRPr="0003648D">
        <w:rPr>
          <w:i/>
          <w:vertAlign w:val="subscript"/>
        </w:rPr>
        <w:t>r, q,</w:t>
      </w:r>
      <w:r>
        <w:rPr>
          <w:i/>
          <w:vertAlign w:val="subscript"/>
        </w:rPr>
        <w:t xml:space="preserve"> </w:t>
      </w:r>
      <w:r w:rsidRPr="0003648D">
        <w:rPr>
          <w:i/>
          <w:vertAlign w:val="subscript"/>
        </w:rPr>
        <w:t>DAM, h</w:t>
      </w:r>
      <w:r w:rsidRPr="0003648D">
        <w:t>)</w:t>
      </w:r>
    </w:p>
    <w:p w14:paraId="70BCB931" w14:textId="77777777" w:rsidR="00FF2129" w:rsidRDefault="00482EF3" w:rsidP="00A56EA7">
      <w:r>
        <w:t>The above variables are defined as follows:</w:t>
      </w:r>
    </w:p>
    <w:tbl>
      <w:tblPr>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900"/>
        <w:gridCol w:w="6790"/>
      </w:tblGrid>
      <w:tr w:rsidR="00FF2129" w14:paraId="4D2C41A3" w14:textId="77777777" w:rsidTr="004825DD">
        <w:trPr>
          <w:cantSplit/>
          <w:tblHeader/>
        </w:trPr>
        <w:tc>
          <w:tcPr>
            <w:tcW w:w="1818" w:type="dxa"/>
          </w:tcPr>
          <w:p w14:paraId="131972DB" w14:textId="77777777" w:rsidR="00FF2129" w:rsidRDefault="00482EF3">
            <w:pPr>
              <w:pStyle w:val="TableHead"/>
            </w:pPr>
            <w:r>
              <w:t>Variable</w:t>
            </w:r>
          </w:p>
        </w:tc>
        <w:tc>
          <w:tcPr>
            <w:tcW w:w="900" w:type="dxa"/>
          </w:tcPr>
          <w:p w14:paraId="5257FE52" w14:textId="77777777" w:rsidR="00FF2129" w:rsidRDefault="00482EF3">
            <w:pPr>
              <w:pStyle w:val="TableHead"/>
            </w:pPr>
            <w:r>
              <w:t>Unit</w:t>
            </w:r>
          </w:p>
        </w:tc>
        <w:tc>
          <w:tcPr>
            <w:tcW w:w="6790" w:type="dxa"/>
          </w:tcPr>
          <w:p w14:paraId="14C46390" w14:textId="77777777" w:rsidR="00FF2129" w:rsidRDefault="00482EF3">
            <w:pPr>
              <w:pStyle w:val="TableHead"/>
            </w:pPr>
            <w:r>
              <w:t>Definition</w:t>
            </w:r>
          </w:p>
        </w:tc>
      </w:tr>
      <w:tr w:rsidR="00FF2129" w14:paraId="18D6CFA3" w14:textId="77777777" w:rsidTr="004825DD">
        <w:trPr>
          <w:cantSplit/>
        </w:trPr>
        <w:tc>
          <w:tcPr>
            <w:tcW w:w="1818" w:type="dxa"/>
          </w:tcPr>
          <w:p w14:paraId="35DED824" w14:textId="77777777" w:rsidR="00FF2129" w:rsidRDefault="00482EF3">
            <w:pPr>
              <w:pStyle w:val="TableBody"/>
              <w:rPr>
                <w:lang w:val="pt-BR"/>
              </w:rPr>
            </w:pPr>
            <w:r>
              <w:rPr>
                <w:lang w:val="pt-BR"/>
              </w:rPr>
              <w:t xml:space="preserve">DAMWAMT </w:t>
            </w:r>
            <w:r w:rsidR="00EF43E9" w:rsidRPr="001142A3">
              <w:rPr>
                <w:i/>
                <w:vertAlign w:val="subscript"/>
                <w:lang w:val="pt-BR"/>
              </w:rPr>
              <w:t>q, p, r, h</w:t>
            </w:r>
          </w:p>
        </w:tc>
        <w:tc>
          <w:tcPr>
            <w:tcW w:w="900" w:type="dxa"/>
          </w:tcPr>
          <w:p w14:paraId="4116B352" w14:textId="77777777" w:rsidR="00FF2129" w:rsidRDefault="00482EF3">
            <w:pPr>
              <w:pStyle w:val="TableBody"/>
            </w:pPr>
            <w:r>
              <w:t>$</w:t>
            </w:r>
          </w:p>
        </w:tc>
        <w:tc>
          <w:tcPr>
            <w:tcW w:w="6790" w:type="dxa"/>
          </w:tcPr>
          <w:p w14:paraId="1EEA2D41" w14:textId="77777777" w:rsidR="00FF2129" w:rsidRDefault="00482EF3">
            <w:pPr>
              <w:pStyle w:val="TableBody"/>
            </w:pPr>
            <w:r>
              <w:rPr>
                <w:i/>
              </w:rPr>
              <w:t>Day-Ahead Make-Whole Payment per QSE per Settlement Point per Resource per hour</w:t>
            </w:r>
            <w:r>
              <w:sym w:font="Symbol" w:char="F0BE"/>
            </w:r>
            <w:r>
              <w:t xml:space="preserve">The payment to QSE </w:t>
            </w:r>
            <w:r>
              <w:rPr>
                <w:i/>
              </w:rPr>
              <w:t>q</w:t>
            </w:r>
            <w:r>
              <w:t xml:space="preserve"> to make-whole the Startup Cost and </w:t>
            </w:r>
            <w:r w:rsidR="00313E9D">
              <w:t>e</w:t>
            </w:r>
            <w:r>
              <w:t xml:space="preserve">nergy </w:t>
            </w:r>
            <w:r w:rsidR="00313E9D">
              <w:t>c</w:t>
            </w:r>
            <w:r>
              <w:t xml:space="preserve">ost of Resource </w:t>
            </w:r>
            <w:r>
              <w:rPr>
                <w:i/>
              </w:rPr>
              <w:t>r</w:t>
            </w:r>
            <w:r>
              <w:t xml:space="preserve"> committed in the DAM at Resource Node </w:t>
            </w:r>
            <w:r>
              <w:rPr>
                <w:i/>
              </w:rPr>
              <w:t>p</w:t>
            </w:r>
            <w:r>
              <w:t xml:space="preserve"> for the hour </w:t>
            </w:r>
            <w:r>
              <w:rPr>
                <w:i/>
              </w:rPr>
              <w:t>h</w:t>
            </w:r>
            <w:r>
              <w:t>.</w:t>
            </w:r>
            <w:r w:rsidR="00313E9D">
              <w:t xml:space="preserve">  When a Combined Cycle Generation Resource is committed in the DAM, payment is made to the Combined Cycle Train for the DAM-committed Combined Cycle Generation Resource.</w:t>
            </w:r>
          </w:p>
        </w:tc>
      </w:tr>
      <w:tr w:rsidR="00FF2129" w14:paraId="33DCCDC8" w14:textId="77777777" w:rsidTr="004825DD">
        <w:trPr>
          <w:cantSplit/>
        </w:trPr>
        <w:tc>
          <w:tcPr>
            <w:tcW w:w="1818" w:type="dxa"/>
          </w:tcPr>
          <w:p w14:paraId="03E85C76" w14:textId="77777777" w:rsidR="00FF2129" w:rsidRDefault="00482EF3">
            <w:pPr>
              <w:pStyle w:val="TableBody"/>
            </w:pPr>
            <w:r>
              <w:t xml:space="preserve">DAMGCOST </w:t>
            </w:r>
            <w:r w:rsidR="00EF43E9" w:rsidRPr="001142A3">
              <w:rPr>
                <w:i/>
                <w:vertAlign w:val="subscript"/>
              </w:rPr>
              <w:t>q, p, r</w:t>
            </w:r>
          </w:p>
        </w:tc>
        <w:tc>
          <w:tcPr>
            <w:tcW w:w="900" w:type="dxa"/>
          </w:tcPr>
          <w:p w14:paraId="042FCFD8" w14:textId="77777777" w:rsidR="00FF2129" w:rsidRDefault="00482EF3">
            <w:pPr>
              <w:pStyle w:val="TableBody"/>
            </w:pPr>
            <w:r>
              <w:t>$</w:t>
            </w:r>
          </w:p>
        </w:tc>
        <w:tc>
          <w:tcPr>
            <w:tcW w:w="6790" w:type="dxa"/>
          </w:tcPr>
          <w:p w14:paraId="3945550E" w14:textId="77777777" w:rsidR="00FF2129" w:rsidRDefault="00482EF3">
            <w:pPr>
              <w:pStyle w:val="TableBody"/>
              <w:rPr>
                <w:i/>
              </w:rPr>
            </w:pPr>
            <w:r>
              <w:rPr>
                <w:i/>
              </w:rPr>
              <w:t>Day-Ahead Market Guaranteed Amount per QSE per Settlement Point per Resource</w:t>
            </w:r>
            <w:r>
              <w:sym w:font="Symbol" w:char="F0BE"/>
            </w:r>
            <w:r>
              <w:t xml:space="preserve">The sum of the </w:t>
            </w:r>
            <w:r w:rsidR="00313E9D">
              <w:t>S</w:t>
            </w:r>
            <w:r>
              <w:t xml:space="preserve">tartup </w:t>
            </w:r>
            <w:r w:rsidR="00313E9D">
              <w:t>C</w:t>
            </w:r>
            <w:r>
              <w:t xml:space="preserve">ost and the operating energy costs of the DAM-committed Resource </w:t>
            </w:r>
            <w:r>
              <w:rPr>
                <w:i/>
              </w:rPr>
              <w:t>r</w:t>
            </w:r>
            <w:r>
              <w:t xml:space="preserve"> at Resource Node </w:t>
            </w:r>
            <w:r>
              <w:rPr>
                <w:i/>
              </w:rPr>
              <w:t>p</w:t>
            </w:r>
            <w:r>
              <w:t xml:space="preserve"> represented by QSE </w:t>
            </w:r>
            <w:r>
              <w:rPr>
                <w:i/>
              </w:rPr>
              <w:t>q</w:t>
            </w:r>
            <w:r>
              <w:t>, for the DAM-commitment period.</w:t>
            </w:r>
            <w:r w:rsidR="00313E9D">
              <w:t xml:space="preserve">  Where for a Combined Cycle Train, the Resource </w:t>
            </w:r>
            <w:r w:rsidR="00313E9D" w:rsidRPr="00B34C5D">
              <w:rPr>
                <w:i/>
              </w:rPr>
              <w:t>r</w:t>
            </w:r>
            <w:r w:rsidR="00313E9D">
              <w:rPr>
                <w:i/>
              </w:rPr>
              <w:t xml:space="preserve"> </w:t>
            </w:r>
            <w:r w:rsidR="00313E9D" w:rsidRPr="001C65E0">
              <w:t xml:space="preserve">is a </w:t>
            </w:r>
            <w:r w:rsidR="00313E9D">
              <w:t>Combined Cycle Generation Resource within the Combined Cycle Train.</w:t>
            </w:r>
            <w:r>
              <w:t xml:space="preserve"> </w:t>
            </w:r>
          </w:p>
        </w:tc>
      </w:tr>
      <w:tr w:rsidR="00FF2129" w14:paraId="5D7CB1EE" w14:textId="77777777" w:rsidTr="004825DD">
        <w:trPr>
          <w:cantSplit/>
        </w:trPr>
        <w:tc>
          <w:tcPr>
            <w:tcW w:w="1818" w:type="dxa"/>
          </w:tcPr>
          <w:p w14:paraId="38CF4760" w14:textId="77777777" w:rsidR="00FF2129" w:rsidRDefault="00482EF3">
            <w:pPr>
              <w:pStyle w:val="TableBody"/>
              <w:rPr>
                <w:lang w:val="pt-BR"/>
              </w:rPr>
            </w:pPr>
            <w:r>
              <w:rPr>
                <w:lang w:val="pt-BR"/>
              </w:rPr>
              <w:t xml:space="preserve">DAEREV </w:t>
            </w:r>
            <w:r w:rsidR="00EF43E9" w:rsidRPr="001142A3">
              <w:rPr>
                <w:i/>
                <w:vertAlign w:val="subscript"/>
                <w:lang w:val="pt-BR"/>
              </w:rPr>
              <w:t>q, p, r, h</w:t>
            </w:r>
          </w:p>
        </w:tc>
        <w:tc>
          <w:tcPr>
            <w:tcW w:w="900" w:type="dxa"/>
          </w:tcPr>
          <w:p w14:paraId="02F1FFED" w14:textId="77777777" w:rsidR="00FF2129" w:rsidRDefault="00482EF3">
            <w:pPr>
              <w:pStyle w:val="TableBody"/>
            </w:pPr>
            <w:r>
              <w:t>$</w:t>
            </w:r>
          </w:p>
        </w:tc>
        <w:tc>
          <w:tcPr>
            <w:tcW w:w="6790" w:type="dxa"/>
          </w:tcPr>
          <w:p w14:paraId="18F3D69B" w14:textId="77777777" w:rsidR="00FF2129" w:rsidRDefault="00482EF3">
            <w:pPr>
              <w:pStyle w:val="TableBody"/>
              <w:rPr>
                <w:i/>
              </w:rPr>
            </w:pPr>
            <w:r>
              <w:rPr>
                <w:i/>
              </w:rPr>
              <w:t>Day-Ahead Energy Revenue per QSE per Settlement Point per Resource by hour</w:t>
            </w:r>
            <w:r>
              <w:sym w:font="Symbol" w:char="F0BE"/>
            </w:r>
            <w:r>
              <w:t xml:space="preserve">The revenue received in the DAM for Resource </w:t>
            </w:r>
            <w:r>
              <w:rPr>
                <w:i/>
              </w:rPr>
              <w:t>r</w:t>
            </w:r>
            <w:r>
              <w:t xml:space="preserve"> at Resource Node </w:t>
            </w:r>
            <w:r>
              <w:rPr>
                <w:i/>
              </w:rPr>
              <w:t>p</w:t>
            </w:r>
            <w:r>
              <w:t xml:space="preserve"> represented by QSE </w:t>
            </w:r>
            <w:r>
              <w:rPr>
                <w:i/>
              </w:rPr>
              <w:t>q</w:t>
            </w:r>
            <w:r>
              <w:t xml:space="preserve">, based on the DAM Settlement Point Price, for the hour </w:t>
            </w:r>
            <w:r>
              <w:rPr>
                <w:i/>
              </w:rPr>
              <w:t>h</w:t>
            </w:r>
            <w:r>
              <w:t>.</w:t>
            </w:r>
            <w:r w:rsidR="00BA5133">
              <w:t xml:space="preserve">  Where for a Combined Cycle Train, the Resource </w:t>
            </w:r>
            <w:r w:rsidR="00BA5133" w:rsidRPr="00B34C5D">
              <w:rPr>
                <w:i/>
              </w:rPr>
              <w:t>r</w:t>
            </w:r>
            <w:r w:rsidR="00BA5133">
              <w:rPr>
                <w:i/>
              </w:rPr>
              <w:t xml:space="preserve"> </w:t>
            </w:r>
            <w:r w:rsidR="00BA5133" w:rsidRPr="001C65E0">
              <w:t xml:space="preserve">is a </w:t>
            </w:r>
            <w:r w:rsidR="00BA5133">
              <w:t>Combined Cycle Generation Resource within the Combined Cycle Train.</w:t>
            </w:r>
          </w:p>
        </w:tc>
      </w:tr>
      <w:tr w:rsidR="00FF2129" w14:paraId="65E3974D" w14:textId="77777777" w:rsidTr="004825DD">
        <w:trPr>
          <w:cantSplit/>
        </w:trPr>
        <w:tc>
          <w:tcPr>
            <w:tcW w:w="1818" w:type="dxa"/>
          </w:tcPr>
          <w:p w14:paraId="13C2DC18" w14:textId="77777777" w:rsidR="00FF2129" w:rsidRDefault="00482EF3">
            <w:pPr>
              <w:pStyle w:val="TableBody"/>
            </w:pPr>
            <w:r>
              <w:rPr>
                <w:lang w:val="pt-BR"/>
              </w:rPr>
              <w:t xml:space="preserve">DAASREV </w:t>
            </w:r>
            <w:r w:rsidRPr="001142A3">
              <w:rPr>
                <w:i/>
                <w:vertAlign w:val="subscript"/>
                <w:lang w:val="pt-BR"/>
              </w:rPr>
              <w:t>q, r, h</w:t>
            </w:r>
          </w:p>
        </w:tc>
        <w:tc>
          <w:tcPr>
            <w:tcW w:w="900" w:type="dxa"/>
          </w:tcPr>
          <w:p w14:paraId="35823606" w14:textId="77777777" w:rsidR="00FF2129" w:rsidRDefault="00482EF3">
            <w:pPr>
              <w:pStyle w:val="TableBody"/>
            </w:pPr>
            <w:r>
              <w:t>$</w:t>
            </w:r>
          </w:p>
        </w:tc>
        <w:tc>
          <w:tcPr>
            <w:tcW w:w="6790" w:type="dxa"/>
          </w:tcPr>
          <w:p w14:paraId="5F5F4B96" w14:textId="77777777" w:rsidR="00FF2129" w:rsidRDefault="00482EF3">
            <w:pPr>
              <w:pStyle w:val="TableBody"/>
              <w:rPr>
                <w:i/>
              </w:rPr>
            </w:pPr>
            <w:r>
              <w:rPr>
                <w:i/>
              </w:rPr>
              <w:t>Day-Ahead Ancillary Service Revenue per QSE per Resource by hour</w:t>
            </w:r>
            <w:r>
              <w:sym w:font="Symbol" w:char="F0BE"/>
            </w:r>
            <w:r>
              <w:t xml:space="preserve">The revenue received in the DAM for Resource </w:t>
            </w:r>
            <w:r>
              <w:rPr>
                <w:i/>
              </w:rPr>
              <w:t>r</w:t>
            </w:r>
            <w:r>
              <w:t xml:space="preserve"> represented by QSE </w:t>
            </w:r>
            <w:r>
              <w:rPr>
                <w:i/>
              </w:rPr>
              <w:t>q</w:t>
            </w:r>
            <w:r>
              <w:t xml:space="preserve">, based on the Market Clearing Price for Capacity (MCPC) for each Ancillary Service in the DAM, for the hour </w:t>
            </w:r>
            <w:r>
              <w:rPr>
                <w:i/>
              </w:rPr>
              <w:t>h</w:t>
            </w:r>
            <w:r>
              <w:t>.</w:t>
            </w:r>
            <w:r w:rsidR="00313E9D">
              <w:t xml:space="preserve">  Where for a Combined Cycle Train, the Resource </w:t>
            </w:r>
            <w:r w:rsidR="00313E9D" w:rsidRPr="00B34C5D">
              <w:rPr>
                <w:i/>
              </w:rPr>
              <w:t>r</w:t>
            </w:r>
            <w:r w:rsidR="00313E9D">
              <w:rPr>
                <w:i/>
              </w:rPr>
              <w:t xml:space="preserve"> </w:t>
            </w:r>
            <w:r w:rsidR="00313E9D" w:rsidRPr="001C65E0">
              <w:t xml:space="preserve">is a </w:t>
            </w:r>
            <w:r w:rsidR="00313E9D">
              <w:t>Combined Cycle Generation Resource within the Combined Cycle Train.</w:t>
            </w:r>
          </w:p>
        </w:tc>
      </w:tr>
      <w:tr w:rsidR="00FF2129" w14:paraId="4BD360A6" w14:textId="77777777" w:rsidTr="004825DD">
        <w:trPr>
          <w:cantSplit/>
        </w:trPr>
        <w:tc>
          <w:tcPr>
            <w:tcW w:w="1818" w:type="dxa"/>
          </w:tcPr>
          <w:p w14:paraId="67304EB2" w14:textId="77777777" w:rsidR="00FF2129" w:rsidRDefault="00482EF3">
            <w:pPr>
              <w:pStyle w:val="TableBody"/>
            </w:pPr>
            <w:r>
              <w:t>DASPP</w:t>
            </w:r>
            <w:r w:rsidRPr="001142A3">
              <w:rPr>
                <w:i/>
              </w:rPr>
              <w:t xml:space="preserve"> </w:t>
            </w:r>
            <w:r w:rsidRPr="001142A3">
              <w:rPr>
                <w:i/>
                <w:vertAlign w:val="subscript"/>
              </w:rPr>
              <w:t>p, h</w:t>
            </w:r>
          </w:p>
        </w:tc>
        <w:tc>
          <w:tcPr>
            <w:tcW w:w="900" w:type="dxa"/>
          </w:tcPr>
          <w:p w14:paraId="4347E7D1" w14:textId="77777777" w:rsidR="00FF2129" w:rsidRDefault="00482EF3">
            <w:pPr>
              <w:pStyle w:val="TableBody"/>
            </w:pPr>
            <w:r>
              <w:t>$/MWh</w:t>
            </w:r>
          </w:p>
        </w:tc>
        <w:tc>
          <w:tcPr>
            <w:tcW w:w="6790" w:type="dxa"/>
          </w:tcPr>
          <w:p w14:paraId="38951F02" w14:textId="77777777" w:rsidR="00FF2129" w:rsidRDefault="00482EF3">
            <w:pPr>
              <w:pStyle w:val="TableBody"/>
              <w:rPr>
                <w:i/>
              </w:rPr>
            </w:pPr>
            <w:r>
              <w:rPr>
                <w:i/>
              </w:rPr>
              <w:t>Day-Ahead Settlement Point Price by Settlement Point by hour</w:t>
            </w:r>
            <w:r>
              <w:sym w:font="Symbol" w:char="F0BE"/>
            </w:r>
            <w:r>
              <w:t xml:space="preserve">The DAM Settlement Point Price at Resource Node </w:t>
            </w:r>
            <w:r>
              <w:rPr>
                <w:i/>
              </w:rPr>
              <w:t>p</w:t>
            </w:r>
            <w:r>
              <w:t xml:space="preserve"> for the hour </w:t>
            </w:r>
            <w:r>
              <w:rPr>
                <w:i/>
              </w:rPr>
              <w:t>h</w:t>
            </w:r>
            <w:r>
              <w:t>.</w:t>
            </w:r>
          </w:p>
        </w:tc>
      </w:tr>
      <w:tr w:rsidR="00FF2129" w14:paraId="1542B82B" w14:textId="77777777" w:rsidTr="004825DD">
        <w:trPr>
          <w:cantSplit/>
        </w:trPr>
        <w:tc>
          <w:tcPr>
            <w:tcW w:w="1818" w:type="dxa"/>
          </w:tcPr>
          <w:p w14:paraId="072FA0BE" w14:textId="77777777" w:rsidR="00FF2129" w:rsidRDefault="00482EF3">
            <w:pPr>
              <w:pStyle w:val="TableBody"/>
            </w:pPr>
            <w:r>
              <w:t xml:space="preserve">DAESR </w:t>
            </w:r>
            <w:r w:rsidRPr="001142A3">
              <w:rPr>
                <w:i/>
                <w:vertAlign w:val="subscript"/>
              </w:rPr>
              <w:t>q, p, r, h</w:t>
            </w:r>
          </w:p>
        </w:tc>
        <w:tc>
          <w:tcPr>
            <w:tcW w:w="900" w:type="dxa"/>
          </w:tcPr>
          <w:p w14:paraId="493643BB" w14:textId="77777777" w:rsidR="00FF2129" w:rsidRDefault="00482EF3">
            <w:pPr>
              <w:pStyle w:val="TableBody"/>
            </w:pPr>
            <w:r>
              <w:t>MW</w:t>
            </w:r>
          </w:p>
        </w:tc>
        <w:tc>
          <w:tcPr>
            <w:tcW w:w="6790" w:type="dxa"/>
          </w:tcPr>
          <w:p w14:paraId="41D14B4E" w14:textId="77777777" w:rsidR="00FF2129" w:rsidRDefault="00482EF3">
            <w:pPr>
              <w:pStyle w:val="TableBody"/>
              <w:rPr>
                <w:i/>
              </w:rPr>
            </w:pPr>
            <w:r>
              <w:rPr>
                <w:i/>
              </w:rPr>
              <w:t>Day-Ahead Energy Sale from Resource per QSE by Settlement Point per Resource by hour</w:t>
            </w:r>
            <w:r>
              <w:sym w:font="Symbol" w:char="F0BE"/>
            </w:r>
            <w:r>
              <w:t xml:space="preserve">The amount of energy cleared through Three-Part Supply Offers in the DAM for Resource </w:t>
            </w:r>
            <w:r>
              <w:rPr>
                <w:i/>
              </w:rPr>
              <w:t>r</w:t>
            </w:r>
            <w:r>
              <w:t xml:space="preserve"> at Resource Node </w:t>
            </w:r>
            <w:r>
              <w:rPr>
                <w:i/>
              </w:rPr>
              <w:t>p</w:t>
            </w:r>
            <w:r>
              <w:t xml:space="preserve"> represented by QSE </w:t>
            </w:r>
            <w:r>
              <w:rPr>
                <w:i/>
              </w:rPr>
              <w:t>q</w:t>
            </w:r>
            <w:r>
              <w:t xml:space="preserve"> for the hour </w:t>
            </w:r>
            <w:r>
              <w:rPr>
                <w:i/>
              </w:rPr>
              <w:t>h</w:t>
            </w:r>
            <w:r>
              <w:t>.</w:t>
            </w:r>
            <w:r w:rsidR="00313E9D">
              <w:t xml:space="preserve">  Where for a Combined Cycle Train, the Resource </w:t>
            </w:r>
            <w:r w:rsidR="00313E9D" w:rsidRPr="00B34C5D">
              <w:rPr>
                <w:i/>
              </w:rPr>
              <w:t>r</w:t>
            </w:r>
            <w:r w:rsidR="00313E9D">
              <w:rPr>
                <w:i/>
              </w:rPr>
              <w:t xml:space="preserve"> </w:t>
            </w:r>
            <w:r w:rsidR="00313E9D" w:rsidRPr="001C65E0">
              <w:t xml:space="preserve">is a </w:t>
            </w:r>
            <w:r w:rsidR="00313E9D">
              <w:t>Combined Cycle Generation Resource within the Combined Cycle Train.</w:t>
            </w:r>
          </w:p>
        </w:tc>
      </w:tr>
      <w:tr w:rsidR="00C86EA9" w:rsidRPr="009E5389" w14:paraId="6E4CAEAC" w14:textId="77777777" w:rsidTr="004825DD">
        <w:trPr>
          <w:cantSplit/>
        </w:trPr>
        <w:tc>
          <w:tcPr>
            <w:tcW w:w="1818" w:type="dxa"/>
          </w:tcPr>
          <w:p w14:paraId="3BA01261" w14:textId="77777777" w:rsidR="00C86EA9" w:rsidRPr="009E5389" w:rsidRDefault="00C86EA9" w:rsidP="00C86EA9">
            <w:pPr>
              <w:spacing w:after="60"/>
              <w:rPr>
                <w:iCs/>
                <w:sz w:val="20"/>
                <w:szCs w:val="20"/>
              </w:rPr>
            </w:pPr>
            <w:r w:rsidRPr="009E5389">
              <w:rPr>
                <w:iCs/>
                <w:sz w:val="20"/>
                <w:lang w:val="pt-BR"/>
              </w:rPr>
              <w:t>DASUPR</w:t>
            </w:r>
            <w:r w:rsidRPr="009E5389">
              <w:rPr>
                <w:iCs/>
                <w:sz w:val="20"/>
                <w:szCs w:val="20"/>
                <w:vertAlign w:val="subscript"/>
              </w:rPr>
              <w:t xml:space="preserve"> </w:t>
            </w:r>
            <w:r w:rsidRPr="001142A3">
              <w:rPr>
                <w:i/>
                <w:iCs/>
                <w:sz w:val="20"/>
                <w:szCs w:val="20"/>
                <w:vertAlign w:val="subscript"/>
              </w:rPr>
              <w:t>q, p, r</w:t>
            </w:r>
          </w:p>
        </w:tc>
        <w:tc>
          <w:tcPr>
            <w:tcW w:w="900" w:type="dxa"/>
          </w:tcPr>
          <w:p w14:paraId="06EDD507" w14:textId="77777777" w:rsidR="00C86EA9" w:rsidRPr="009E5389" w:rsidRDefault="00C86EA9" w:rsidP="00C86EA9">
            <w:pPr>
              <w:spacing w:after="60"/>
              <w:rPr>
                <w:iCs/>
                <w:sz w:val="20"/>
                <w:szCs w:val="20"/>
              </w:rPr>
            </w:pPr>
            <w:r w:rsidRPr="009E5389">
              <w:rPr>
                <w:iCs/>
                <w:sz w:val="20"/>
                <w:szCs w:val="20"/>
              </w:rPr>
              <w:t>$/MWh</w:t>
            </w:r>
          </w:p>
        </w:tc>
        <w:tc>
          <w:tcPr>
            <w:tcW w:w="6790" w:type="dxa"/>
          </w:tcPr>
          <w:p w14:paraId="6D123373" w14:textId="77777777" w:rsidR="00C86EA9" w:rsidRPr="009E5389" w:rsidRDefault="00C86EA9" w:rsidP="00C86EA9">
            <w:pPr>
              <w:spacing w:after="60"/>
              <w:rPr>
                <w:i/>
                <w:iCs/>
                <w:sz w:val="20"/>
                <w:szCs w:val="20"/>
              </w:rPr>
            </w:pPr>
            <w:r w:rsidRPr="009E5389">
              <w:rPr>
                <w:i/>
                <w:iCs/>
                <w:sz w:val="20"/>
                <w:szCs w:val="20"/>
              </w:rPr>
              <w:t>Day-Ahead Startup Price per QSE per Settlement Point per Resource</w:t>
            </w:r>
            <w:r w:rsidRPr="009E5389">
              <w:t>—</w:t>
            </w:r>
            <w:r w:rsidRPr="009E5389">
              <w:rPr>
                <w:iCs/>
                <w:sz w:val="20"/>
                <w:szCs w:val="20"/>
              </w:rPr>
              <w:t xml:space="preserve">The derived Startup Price for an AGR </w:t>
            </w:r>
            <w:r w:rsidRPr="009E5389">
              <w:rPr>
                <w:i/>
                <w:iCs/>
                <w:sz w:val="20"/>
                <w:szCs w:val="20"/>
              </w:rPr>
              <w:t>r</w:t>
            </w:r>
            <w:r w:rsidRPr="009E5389">
              <w:rPr>
                <w:iCs/>
                <w:sz w:val="20"/>
                <w:szCs w:val="20"/>
              </w:rPr>
              <w:t xml:space="preserve"> at Resource Node </w:t>
            </w:r>
            <w:r w:rsidRPr="009E5389">
              <w:rPr>
                <w:i/>
                <w:iCs/>
                <w:sz w:val="20"/>
                <w:szCs w:val="20"/>
              </w:rPr>
              <w:t>p</w:t>
            </w:r>
            <w:r w:rsidRPr="009E5389">
              <w:rPr>
                <w:iCs/>
                <w:sz w:val="20"/>
                <w:szCs w:val="20"/>
              </w:rPr>
              <w:t xml:space="preserve"> represented by QSE </w:t>
            </w:r>
            <w:r w:rsidRPr="009E5389">
              <w:rPr>
                <w:i/>
                <w:iCs/>
                <w:sz w:val="20"/>
                <w:szCs w:val="20"/>
              </w:rPr>
              <w:t>q</w:t>
            </w:r>
            <w:r w:rsidRPr="009E5389">
              <w:rPr>
                <w:iCs/>
                <w:sz w:val="20"/>
                <w:szCs w:val="20"/>
              </w:rPr>
              <w:t>, for the first hour of the DAM-commitment period.</w:t>
            </w:r>
          </w:p>
        </w:tc>
      </w:tr>
      <w:tr w:rsidR="00C86EA9" w:rsidRPr="009E5389" w14:paraId="5E54E782" w14:textId="77777777" w:rsidTr="004825DD">
        <w:trPr>
          <w:cantSplit/>
        </w:trPr>
        <w:tc>
          <w:tcPr>
            <w:tcW w:w="1818" w:type="dxa"/>
          </w:tcPr>
          <w:p w14:paraId="0ED5EBE8" w14:textId="77777777" w:rsidR="00C86EA9" w:rsidRPr="009E5389" w:rsidRDefault="00C86EA9" w:rsidP="00C86EA9">
            <w:pPr>
              <w:spacing w:after="60"/>
              <w:rPr>
                <w:iCs/>
                <w:sz w:val="20"/>
                <w:lang w:val="pt-BR"/>
              </w:rPr>
            </w:pPr>
            <w:r w:rsidRPr="009E5389">
              <w:rPr>
                <w:rStyle w:val="BodyTextChar"/>
                <w:sz w:val="20"/>
              </w:rPr>
              <w:lastRenderedPageBreak/>
              <w:t>DASUCAP</w:t>
            </w:r>
            <w:r w:rsidRPr="009E5389">
              <w:rPr>
                <w:rStyle w:val="BodyTextChar"/>
              </w:rPr>
              <w:t xml:space="preserve"> </w:t>
            </w:r>
            <w:r w:rsidRPr="001142A3">
              <w:rPr>
                <w:i/>
                <w:iCs/>
                <w:sz w:val="20"/>
                <w:szCs w:val="20"/>
                <w:vertAlign w:val="subscript"/>
              </w:rPr>
              <w:t>q, p, r,</w:t>
            </w:r>
          </w:p>
        </w:tc>
        <w:tc>
          <w:tcPr>
            <w:tcW w:w="900" w:type="dxa"/>
          </w:tcPr>
          <w:p w14:paraId="3FC7DAA7" w14:textId="77777777" w:rsidR="00C86EA9" w:rsidRPr="009E5389" w:rsidRDefault="00C86EA9" w:rsidP="00E16EDF">
            <w:pPr>
              <w:spacing w:after="60"/>
              <w:rPr>
                <w:iCs/>
                <w:sz w:val="20"/>
                <w:szCs w:val="20"/>
              </w:rPr>
            </w:pPr>
            <w:r w:rsidRPr="009E5389">
              <w:rPr>
                <w:iCs/>
                <w:sz w:val="20"/>
                <w:szCs w:val="20"/>
              </w:rPr>
              <w:t>$/</w:t>
            </w:r>
            <w:r w:rsidR="00E16EDF">
              <w:rPr>
                <w:iCs/>
                <w:sz w:val="20"/>
                <w:szCs w:val="20"/>
              </w:rPr>
              <w:t>start</w:t>
            </w:r>
          </w:p>
        </w:tc>
        <w:tc>
          <w:tcPr>
            <w:tcW w:w="6790" w:type="dxa"/>
          </w:tcPr>
          <w:p w14:paraId="711C1B6C" w14:textId="77777777" w:rsidR="00C86EA9" w:rsidRPr="009E5389" w:rsidRDefault="00E16EDF" w:rsidP="00C86EA9">
            <w:pPr>
              <w:spacing w:after="60"/>
              <w:rPr>
                <w:i/>
                <w:iCs/>
                <w:sz w:val="20"/>
                <w:szCs w:val="20"/>
              </w:rPr>
            </w:pPr>
            <w:r w:rsidRPr="006A7952">
              <w:rPr>
                <w:i/>
                <w:iCs/>
                <w:sz w:val="20"/>
                <w:szCs w:val="20"/>
              </w:rPr>
              <w:t>Day-Ahead Startup Cap per QSE per Settlement Point per Resource</w:t>
            </w:r>
            <w:r w:rsidRPr="006A7952">
              <w:t>—</w:t>
            </w:r>
            <w:r w:rsidRPr="006A7952">
              <w:rPr>
                <w:iCs/>
                <w:sz w:val="20"/>
                <w:szCs w:val="20"/>
              </w:rPr>
              <w:t xml:space="preserve">The amount used for AGR </w:t>
            </w:r>
            <w:r w:rsidRPr="006A7952">
              <w:rPr>
                <w:i/>
                <w:iCs/>
                <w:sz w:val="20"/>
                <w:szCs w:val="20"/>
              </w:rPr>
              <w:t xml:space="preserve">r </w:t>
            </w:r>
            <w:r w:rsidRPr="00B70700">
              <w:rPr>
                <w:iCs/>
                <w:sz w:val="20"/>
                <w:szCs w:val="20"/>
              </w:rPr>
              <w:t>or Resource</w:t>
            </w:r>
            <w:r w:rsidRPr="006A7952">
              <w:rPr>
                <w:i/>
                <w:iCs/>
                <w:sz w:val="20"/>
                <w:szCs w:val="20"/>
              </w:rPr>
              <w:t xml:space="preserve"> r</w:t>
            </w:r>
            <w:r w:rsidRPr="006A7952">
              <w:rPr>
                <w:iCs/>
                <w:sz w:val="20"/>
                <w:szCs w:val="20"/>
              </w:rPr>
              <w:t xml:space="preserve"> as Startup Costs.  The cap is the </w:t>
            </w:r>
            <w:r w:rsidRPr="006A7952">
              <w:rPr>
                <w:sz w:val="20"/>
                <w:szCs w:val="20"/>
              </w:rPr>
              <w:t>Resource Category Startup Offer Generic Cap</w:t>
            </w:r>
            <w:r w:rsidRPr="006A7952">
              <w:rPr>
                <w:iCs/>
                <w:sz w:val="20"/>
                <w:szCs w:val="20"/>
              </w:rPr>
              <w:t xml:space="preserve"> (RCGSC) unless ERCOT has approved verifiable unit-specific Startup Costs for that Resource, in which case the startup cap is the scaled verifiable unit-specific Startup Cost for the AGR or the verifiable unit-specific Startup Cost for non</w:t>
            </w:r>
            <w:r>
              <w:rPr>
                <w:iCs/>
                <w:sz w:val="20"/>
                <w:szCs w:val="20"/>
              </w:rPr>
              <w:t>-</w:t>
            </w:r>
            <w:r w:rsidRPr="006A7952">
              <w:rPr>
                <w:iCs/>
                <w:sz w:val="20"/>
                <w:szCs w:val="20"/>
              </w:rPr>
              <w:t>AGR Resources.  See Section 5.6.1, Verifiable Costs, for more information on verifiable costs.</w:t>
            </w:r>
          </w:p>
        </w:tc>
      </w:tr>
      <w:tr w:rsidR="00E16EDF" w:rsidRPr="009E5389" w14:paraId="7321F96C" w14:textId="77777777" w:rsidTr="004825DD">
        <w:trPr>
          <w:cantSplit/>
        </w:trPr>
        <w:tc>
          <w:tcPr>
            <w:tcW w:w="1818" w:type="dxa"/>
          </w:tcPr>
          <w:p w14:paraId="7A424801" w14:textId="77777777" w:rsidR="00E16EDF" w:rsidRPr="009E5389" w:rsidRDefault="00E16EDF" w:rsidP="00E16EDF">
            <w:pPr>
              <w:spacing w:after="60"/>
              <w:rPr>
                <w:iCs/>
                <w:sz w:val="20"/>
                <w:szCs w:val="20"/>
              </w:rPr>
            </w:pPr>
            <w:r w:rsidRPr="006A7952">
              <w:rPr>
                <w:sz w:val="20"/>
                <w:szCs w:val="20"/>
              </w:rPr>
              <w:t>DAMECAP</w:t>
            </w:r>
            <w:r w:rsidRPr="006A7952">
              <w:rPr>
                <w:i/>
                <w:sz w:val="20"/>
                <w:szCs w:val="20"/>
                <w:vertAlign w:val="subscript"/>
              </w:rPr>
              <w:t xml:space="preserve"> p,q,r,h</w:t>
            </w:r>
          </w:p>
        </w:tc>
        <w:tc>
          <w:tcPr>
            <w:tcW w:w="900" w:type="dxa"/>
          </w:tcPr>
          <w:p w14:paraId="5BD15023" w14:textId="77777777" w:rsidR="00E16EDF" w:rsidRPr="009E5389" w:rsidRDefault="00E16EDF" w:rsidP="00E16EDF">
            <w:pPr>
              <w:spacing w:after="60"/>
              <w:rPr>
                <w:iCs/>
                <w:sz w:val="20"/>
                <w:szCs w:val="20"/>
              </w:rPr>
            </w:pPr>
            <w:r w:rsidRPr="006A7952">
              <w:rPr>
                <w:sz w:val="20"/>
                <w:szCs w:val="20"/>
              </w:rPr>
              <w:t>$/MWh</w:t>
            </w:r>
          </w:p>
        </w:tc>
        <w:tc>
          <w:tcPr>
            <w:tcW w:w="6790" w:type="dxa"/>
          </w:tcPr>
          <w:p w14:paraId="07FC3FA3" w14:textId="77777777" w:rsidR="00E16EDF" w:rsidRPr="009E5389" w:rsidRDefault="00E16EDF" w:rsidP="00E16EDF">
            <w:pPr>
              <w:spacing w:after="60"/>
              <w:rPr>
                <w:i/>
                <w:iCs/>
                <w:sz w:val="20"/>
                <w:szCs w:val="20"/>
              </w:rPr>
            </w:pPr>
            <w:r w:rsidRPr="006A7952">
              <w:rPr>
                <w:i/>
                <w:sz w:val="20"/>
                <w:szCs w:val="20"/>
              </w:rPr>
              <w:t xml:space="preserve">Day-Ahead Minimum-Energy Cap </w:t>
            </w:r>
            <w:r w:rsidRPr="006A7952">
              <w:rPr>
                <w:sz w:val="20"/>
                <w:szCs w:val="20"/>
              </w:rPr>
              <w:t xml:space="preserve">—The amount used for Resource </w:t>
            </w:r>
            <w:r w:rsidRPr="006A7952">
              <w:rPr>
                <w:i/>
                <w:sz w:val="20"/>
                <w:szCs w:val="20"/>
              </w:rPr>
              <w:t xml:space="preserve">r </w:t>
            </w:r>
            <w:r w:rsidRPr="006A7952">
              <w:rPr>
                <w:sz w:val="20"/>
                <w:szCs w:val="20"/>
              </w:rPr>
              <w:t xml:space="preserve">for minimum-energy costs.  The minimum cost is the Resource Category Minimum-Energy Generic Cap (RCGMEC) unless ERCOT has approved verifiable unit-specific minimum energy costs for that Resource, in which case the minimum energy cap is the verifiable unit-specific minimum energy cost.  See Section 5.6.1 for more information on verifiable costs.  Where for a Combined Cycle Train, the Resource </w:t>
            </w:r>
            <w:r w:rsidRPr="006A7952">
              <w:rPr>
                <w:i/>
                <w:sz w:val="20"/>
                <w:szCs w:val="20"/>
              </w:rPr>
              <w:t xml:space="preserve">r </w:t>
            </w:r>
            <w:r w:rsidRPr="006A7952">
              <w:rPr>
                <w:sz w:val="20"/>
                <w:szCs w:val="20"/>
              </w:rPr>
              <w:t>is a Combined Cycle Generation Resource within the Combined Cycle Train.</w:t>
            </w:r>
          </w:p>
        </w:tc>
      </w:tr>
      <w:tr w:rsidR="00C86EA9" w:rsidRPr="009E5389" w14:paraId="176B916A" w14:textId="77777777" w:rsidTr="004825DD">
        <w:trPr>
          <w:cantSplit/>
        </w:trPr>
        <w:tc>
          <w:tcPr>
            <w:tcW w:w="1818" w:type="dxa"/>
          </w:tcPr>
          <w:p w14:paraId="796AA0B0" w14:textId="77777777" w:rsidR="00C86EA9" w:rsidRPr="009E5389" w:rsidRDefault="00C86EA9" w:rsidP="00C86EA9">
            <w:pPr>
              <w:spacing w:after="60"/>
              <w:rPr>
                <w:iCs/>
                <w:sz w:val="20"/>
                <w:szCs w:val="20"/>
              </w:rPr>
            </w:pPr>
            <w:r w:rsidRPr="009E5389">
              <w:rPr>
                <w:iCs/>
                <w:sz w:val="20"/>
                <w:szCs w:val="20"/>
              </w:rPr>
              <w:t>RCGSC</w:t>
            </w:r>
          </w:p>
        </w:tc>
        <w:tc>
          <w:tcPr>
            <w:tcW w:w="900" w:type="dxa"/>
          </w:tcPr>
          <w:p w14:paraId="0AA374E7" w14:textId="77777777" w:rsidR="00C86EA9" w:rsidRPr="009E5389" w:rsidRDefault="00C86EA9" w:rsidP="00C86EA9">
            <w:pPr>
              <w:spacing w:after="60"/>
              <w:rPr>
                <w:iCs/>
                <w:sz w:val="20"/>
                <w:szCs w:val="20"/>
              </w:rPr>
            </w:pPr>
            <w:r w:rsidRPr="009E5389">
              <w:rPr>
                <w:iCs/>
                <w:sz w:val="20"/>
                <w:szCs w:val="20"/>
              </w:rPr>
              <w:t>$/Start</w:t>
            </w:r>
          </w:p>
        </w:tc>
        <w:tc>
          <w:tcPr>
            <w:tcW w:w="6790" w:type="dxa"/>
          </w:tcPr>
          <w:p w14:paraId="3BC88A39" w14:textId="77777777" w:rsidR="00C86EA9" w:rsidRPr="009E5389" w:rsidRDefault="00C86EA9" w:rsidP="00C86EA9">
            <w:pPr>
              <w:spacing w:after="60"/>
              <w:rPr>
                <w:i/>
                <w:iCs/>
                <w:sz w:val="20"/>
                <w:szCs w:val="20"/>
              </w:rPr>
            </w:pPr>
            <w:r w:rsidRPr="009E5389">
              <w:rPr>
                <w:i/>
                <w:iCs/>
                <w:sz w:val="20"/>
                <w:szCs w:val="20"/>
              </w:rPr>
              <w:t>Resource Category Generic Startup Cost</w:t>
            </w:r>
            <w:r w:rsidRPr="009E5389">
              <w:rPr>
                <w:iCs/>
                <w:sz w:val="20"/>
                <w:szCs w:val="20"/>
              </w:rPr>
              <w:t>—The Resource Category Generic Startup Cost cap for the category of the Resource, according to Section 4.4.9.2.3, Startup Offer and Minimum-Energy Offer Generic Caps, for the Operating Day.</w:t>
            </w:r>
          </w:p>
        </w:tc>
      </w:tr>
      <w:tr w:rsidR="00FF2129" w14:paraId="7AD9777F" w14:textId="77777777" w:rsidTr="004825DD">
        <w:trPr>
          <w:cantSplit/>
        </w:trPr>
        <w:tc>
          <w:tcPr>
            <w:tcW w:w="1818" w:type="dxa"/>
          </w:tcPr>
          <w:p w14:paraId="14B647C8" w14:textId="77777777" w:rsidR="00FF2129" w:rsidRDefault="00482EF3">
            <w:pPr>
              <w:pStyle w:val="TableBody"/>
            </w:pPr>
            <w:r>
              <w:t xml:space="preserve">PCRUR </w:t>
            </w:r>
            <w:r w:rsidRPr="001142A3">
              <w:rPr>
                <w:i/>
                <w:vertAlign w:val="subscript"/>
              </w:rPr>
              <w:t>r</w:t>
            </w:r>
            <w:r w:rsidRPr="001142A3">
              <w:rPr>
                <w:i/>
              </w:rPr>
              <w:t xml:space="preserve">, </w:t>
            </w:r>
            <w:r w:rsidRPr="001142A3">
              <w:rPr>
                <w:i/>
                <w:vertAlign w:val="subscript"/>
              </w:rPr>
              <w:t>q, DAM</w:t>
            </w:r>
            <w:r w:rsidR="00313E9D" w:rsidRPr="001142A3">
              <w:rPr>
                <w:i/>
                <w:vertAlign w:val="subscript"/>
              </w:rPr>
              <w:t>, h</w:t>
            </w:r>
          </w:p>
        </w:tc>
        <w:tc>
          <w:tcPr>
            <w:tcW w:w="900" w:type="dxa"/>
          </w:tcPr>
          <w:p w14:paraId="2FEC86F1" w14:textId="77777777" w:rsidR="00FF2129" w:rsidRDefault="00482EF3">
            <w:pPr>
              <w:pStyle w:val="TableBody"/>
            </w:pPr>
            <w:r>
              <w:t>MW</w:t>
            </w:r>
          </w:p>
        </w:tc>
        <w:tc>
          <w:tcPr>
            <w:tcW w:w="6790" w:type="dxa"/>
          </w:tcPr>
          <w:p w14:paraId="2001A9BD" w14:textId="77777777" w:rsidR="00FF2129" w:rsidRDefault="00482EF3">
            <w:pPr>
              <w:pStyle w:val="TableBody"/>
              <w:rPr>
                <w:i/>
              </w:rPr>
            </w:pPr>
            <w:r>
              <w:rPr>
                <w:i/>
              </w:rPr>
              <w:t>Procured Capacity for Reg-Up from Resource per Resource per QSE</w:t>
            </w:r>
            <w:r w:rsidR="00313E9D">
              <w:rPr>
                <w:i/>
              </w:rPr>
              <w:t xml:space="preserve"> per hour</w:t>
            </w:r>
            <w:r>
              <w:rPr>
                <w:i/>
              </w:rPr>
              <w:t xml:space="preserve"> in DAM</w:t>
            </w:r>
            <w:r>
              <w:t xml:space="preserve">—The Regulation Up (Reg-Up) capacity quantity awarded to QSE </w:t>
            </w:r>
            <w:r>
              <w:rPr>
                <w:i/>
              </w:rPr>
              <w:t>q</w:t>
            </w:r>
            <w:r>
              <w:t xml:space="preserve"> in the DAM for Resource </w:t>
            </w:r>
            <w:r>
              <w:rPr>
                <w:i/>
              </w:rPr>
              <w:t>r</w:t>
            </w:r>
            <w:r>
              <w:t xml:space="preserve"> for the hour</w:t>
            </w:r>
            <w:r w:rsidR="00313E9D">
              <w:t xml:space="preserve"> </w:t>
            </w:r>
            <w:r w:rsidR="00313E9D">
              <w:rPr>
                <w:i/>
              </w:rPr>
              <w:t>h</w:t>
            </w:r>
            <w:r>
              <w:t>.</w:t>
            </w:r>
            <w:r w:rsidR="00313E9D">
              <w:t xml:space="preserve">  Where for a Combined Cycle Train, the Resource </w:t>
            </w:r>
            <w:r w:rsidR="00313E9D" w:rsidRPr="00B34C5D">
              <w:rPr>
                <w:i/>
              </w:rPr>
              <w:t>r</w:t>
            </w:r>
            <w:r w:rsidR="00313E9D">
              <w:rPr>
                <w:i/>
              </w:rPr>
              <w:t xml:space="preserve"> </w:t>
            </w:r>
            <w:r w:rsidR="00313E9D" w:rsidRPr="001C65E0">
              <w:t xml:space="preserve">is a </w:t>
            </w:r>
            <w:r w:rsidR="00313E9D">
              <w:t>Combined Cycle Generation Resource within the Combined Cycle Train.</w:t>
            </w:r>
          </w:p>
        </w:tc>
      </w:tr>
      <w:tr w:rsidR="00FF2129" w14:paraId="57C1150C" w14:textId="77777777" w:rsidTr="004825DD">
        <w:trPr>
          <w:cantSplit/>
        </w:trPr>
        <w:tc>
          <w:tcPr>
            <w:tcW w:w="1818" w:type="dxa"/>
          </w:tcPr>
          <w:p w14:paraId="03CA3A0D" w14:textId="77777777" w:rsidR="00FF2129" w:rsidRDefault="00482EF3">
            <w:pPr>
              <w:pStyle w:val="TableBody"/>
            </w:pPr>
            <w:r>
              <w:t xml:space="preserve">MCPCRU </w:t>
            </w:r>
            <w:r w:rsidRPr="001142A3">
              <w:rPr>
                <w:i/>
                <w:vertAlign w:val="subscript"/>
              </w:rPr>
              <w:t>DAM</w:t>
            </w:r>
            <w:r w:rsidR="00313E9D" w:rsidRPr="001142A3">
              <w:rPr>
                <w:i/>
                <w:vertAlign w:val="subscript"/>
              </w:rPr>
              <w:t>, h</w:t>
            </w:r>
          </w:p>
        </w:tc>
        <w:tc>
          <w:tcPr>
            <w:tcW w:w="900" w:type="dxa"/>
          </w:tcPr>
          <w:p w14:paraId="0021C265" w14:textId="77777777" w:rsidR="00FF2129" w:rsidRDefault="00482EF3">
            <w:pPr>
              <w:pStyle w:val="TableBody"/>
            </w:pPr>
            <w:r>
              <w:t>$/MW per hour</w:t>
            </w:r>
          </w:p>
        </w:tc>
        <w:tc>
          <w:tcPr>
            <w:tcW w:w="6790" w:type="dxa"/>
          </w:tcPr>
          <w:p w14:paraId="2A2B3C9D" w14:textId="77777777" w:rsidR="00FF2129" w:rsidRDefault="00482EF3">
            <w:pPr>
              <w:pStyle w:val="TableBody"/>
              <w:rPr>
                <w:i/>
              </w:rPr>
            </w:pPr>
            <w:r>
              <w:rPr>
                <w:i/>
              </w:rPr>
              <w:t xml:space="preserve">Market Clearing Price for Capacity for Reg-Up </w:t>
            </w:r>
            <w:r w:rsidR="00313E9D">
              <w:rPr>
                <w:i/>
              </w:rPr>
              <w:t xml:space="preserve">per hour </w:t>
            </w:r>
            <w:r>
              <w:rPr>
                <w:i/>
              </w:rPr>
              <w:t>in DAM</w:t>
            </w:r>
            <w:r>
              <w:t>—The DAM MCPC for Reg-Up for the hour</w:t>
            </w:r>
            <w:r w:rsidR="00313E9D">
              <w:t xml:space="preserve"> </w:t>
            </w:r>
            <w:r w:rsidR="00313E9D">
              <w:rPr>
                <w:i/>
              </w:rPr>
              <w:t>h</w:t>
            </w:r>
            <w:r>
              <w:t>.</w:t>
            </w:r>
          </w:p>
        </w:tc>
      </w:tr>
      <w:tr w:rsidR="00FF2129" w14:paraId="4788B12A" w14:textId="77777777" w:rsidTr="004825DD">
        <w:trPr>
          <w:cantSplit/>
        </w:trPr>
        <w:tc>
          <w:tcPr>
            <w:tcW w:w="1818" w:type="dxa"/>
          </w:tcPr>
          <w:p w14:paraId="25515690" w14:textId="77777777" w:rsidR="00FF2129" w:rsidRDefault="00482EF3">
            <w:pPr>
              <w:pStyle w:val="TableBody"/>
            </w:pPr>
            <w:r>
              <w:t xml:space="preserve">PCRDR </w:t>
            </w:r>
            <w:r w:rsidRPr="001142A3">
              <w:rPr>
                <w:i/>
                <w:vertAlign w:val="subscript"/>
              </w:rPr>
              <w:t>r</w:t>
            </w:r>
            <w:r w:rsidRPr="001142A3">
              <w:rPr>
                <w:i/>
              </w:rPr>
              <w:t xml:space="preserve">, </w:t>
            </w:r>
            <w:r w:rsidRPr="001142A3">
              <w:rPr>
                <w:i/>
                <w:vertAlign w:val="subscript"/>
              </w:rPr>
              <w:t>q, DAM</w:t>
            </w:r>
            <w:r w:rsidR="00313E9D" w:rsidRPr="001142A3">
              <w:rPr>
                <w:i/>
                <w:vertAlign w:val="subscript"/>
              </w:rPr>
              <w:t>, h</w:t>
            </w:r>
          </w:p>
        </w:tc>
        <w:tc>
          <w:tcPr>
            <w:tcW w:w="900" w:type="dxa"/>
          </w:tcPr>
          <w:p w14:paraId="3C7286B0" w14:textId="77777777" w:rsidR="00FF2129" w:rsidRDefault="00482EF3">
            <w:pPr>
              <w:pStyle w:val="TableBody"/>
            </w:pPr>
            <w:r>
              <w:t>MW</w:t>
            </w:r>
          </w:p>
        </w:tc>
        <w:tc>
          <w:tcPr>
            <w:tcW w:w="6790" w:type="dxa"/>
          </w:tcPr>
          <w:p w14:paraId="10A5E682" w14:textId="77777777" w:rsidR="00FF2129" w:rsidRDefault="00482EF3">
            <w:pPr>
              <w:pStyle w:val="TableBody"/>
              <w:rPr>
                <w:i/>
              </w:rPr>
            </w:pPr>
            <w:r>
              <w:rPr>
                <w:i/>
              </w:rPr>
              <w:t>Procured Capacity for Reg-Down from Resource per Resource per QSE</w:t>
            </w:r>
            <w:r w:rsidR="00313E9D">
              <w:rPr>
                <w:i/>
              </w:rPr>
              <w:t xml:space="preserve"> per hour</w:t>
            </w:r>
            <w:r>
              <w:rPr>
                <w:i/>
              </w:rPr>
              <w:t xml:space="preserve"> in DAM</w:t>
            </w:r>
            <w:r>
              <w:t xml:space="preserve">—The Regulation Down (Reg-Down) capacity quantity awarded to QSE </w:t>
            </w:r>
            <w:r>
              <w:rPr>
                <w:i/>
              </w:rPr>
              <w:t>q</w:t>
            </w:r>
            <w:r>
              <w:t xml:space="preserve"> in the DAM for Resource </w:t>
            </w:r>
            <w:r>
              <w:rPr>
                <w:i/>
              </w:rPr>
              <w:t>r</w:t>
            </w:r>
            <w:r>
              <w:t xml:space="preserve"> for the hour</w:t>
            </w:r>
            <w:r w:rsidR="00155738">
              <w:t xml:space="preserve"> </w:t>
            </w:r>
            <w:r w:rsidR="00155738">
              <w:rPr>
                <w:i/>
              </w:rPr>
              <w:t>h</w:t>
            </w:r>
            <w:r>
              <w:t>.</w:t>
            </w:r>
            <w:r w:rsidR="00155738">
              <w:t xml:space="preserve">  Where for a Combined Cycle Train, the Resource </w:t>
            </w:r>
            <w:r w:rsidR="00155738" w:rsidRPr="00B34C5D">
              <w:rPr>
                <w:i/>
              </w:rPr>
              <w:t>r</w:t>
            </w:r>
            <w:r w:rsidR="00155738">
              <w:rPr>
                <w:i/>
              </w:rPr>
              <w:t xml:space="preserve"> </w:t>
            </w:r>
            <w:r w:rsidR="00155738" w:rsidRPr="001C65E0">
              <w:t xml:space="preserve">is a </w:t>
            </w:r>
            <w:r w:rsidR="00155738">
              <w:t>Combined Cycle Generation Resource within the Combined Cycle Train.</w:t>
            </w:r>
          </w:p>
        </w:tc>
      </w:tr>
      <w:tr w:rsidR="00FF2129" w14:paraId="5EA13AF9" w14:textId="77777777" w:rsidTr="004825DD">
        <w:trPr>
          <w:cantSplit/>
        </w:trPr>
        <w:tc>
          <w:tcPr>
            <w:tcW w:w="1818" w:type="dxa"/>
          </w:tcPr>
          <w:p w14:paraId="62016AFA" w14:textId="77777777" w:rsidR="00FF2129" w:rsidRDefault="00482EF3">
            <w:pPr>
              <w:pStyle w:val="TableBody"/>
            </w:pPr>
            <w:r>
              <w:t xml:space="preserve">MCPCRD </w:t>
            </w:r>
            <w:r w:rsidRPr="001142A3">
              <w:rPr>
                <w:i/>
                <w:vertAlign w:val="subscript"/>
              </w:rPr>
              <w:t>DAM</w:t>
            </w:r>
            <w:r w:rsidR="00155738" w:rsidRPr="001142A3">
              <w:rPr>
                <w:i/>
                <w:vertAlign w:val="subscript"/>
              </w:rPr>
              <w:t>, h</w:t>
            </w:r>
          </w:p>
        </w:tc>
        <w:tc>
          <w:tcPr>
            <w:tcW w:w="900" w:type="dxa"/>
          </w:tcPr>
          <w:p w14:paraId="6B71E70A" w14:textId="77777777" w:rsidR="00FF2129" w:rsidRDefault="00482EF3">
            <w:pPr>
              <w:pStyle w:val="TableBody"/>
            </w:pPr>
            <w:r>
              <w:t>$/MW per hour</w:t>
            </w:r>
          </w:p>
        </w:tc>
        <w:tc>
          <w:tcPr>
            <w:tcW w:w="6790" w:type="dxa"/>
          </w:tcPr>
          <w:p w14:paraId="0BB94BE5" w14:textId="77777777" w:rsidR="00FF2129" w:rsidRDefault="00482EF3">
            <w:pPr>
              <w:pStyle w:val="TableBody"/>
              <w:rPr>
                <w:i/>
              </w:rPr>
            </w:pPr>
            <w:r>
              <w:rPr>
                <w:i/>
              </w:rPr>
              <w:t xml:space="preserve">Market Clearing Price for Capacity for Reg-Down </w:t>
            </w:r>
            <w:r w:rsidR="00155738">
              <w:rPr>
                <w:i/>
              </w:rPr>
              <w:t xml:space="preserve">per hour </w:t>
            </w:r>
            <w:r>
              <w:rPr>
                <w:i/>
              </w:rPr>
              <w:t>in DAM</w:t>
            </w:r>
            <w:r>
              <w:t>—The DAM MCPC for Reg-Down for the hour</w:t>
            </w:r>
            <w:r w:rsidR="00155738">
              <w:t xml:space="preserve"> </w:t>
            </w:r>
            <w:r w:rsidR="00155738">
              <w:rPr>
                <w:i/>
              </w:rPr>
              <w:t>h</w:t>
            </w:r>
            <w:r>
              <w:t>.</w:t>
            </w:r>
          </w:p>
        </w:tc>
      </w:tr>
      <w:tr w:rsidR="00FF2129" w14:paraId="1634C381" w14:textId="77777777" w:rsidTr="004825DD">
        <w:trPr>
          <w:cantSplit/>
        </w:trPr>
        <w:tc>
          <w:tcPr>
            <w:tcW w:w="1818" w:type="dxa"/>
          </w:tcPr>
          <w:p w14:paraId="6A6057CB" w14:textId="77777777" w:rsidR="00FF2129" w:rsidRDefault="00482EF3">
            <w:pPr>
              <w:pStyle w:val="TableBody"/>
            </w:pPr>
            <w:r>
              <w:t xml:space="preserve">PCRRR </w:t>
            </w:r>
            <w:r w:rsidRPr="001142A3">
              <w:rPr>
                <w:i/>
                <w:vertAlign w:val="subscript"/>
              </w:rPr>
              <w:t>r</w:t>
            </w:r>
            <w:r w:rsidRPr="001142A3">
              <w:rPr>
                <w:i/>
              </w:rPr>
              <w:t xml:space="preserve">, </w:t>
            </w:r>
            <w:r w:rsidRPr="001142A3">
              <w:rPr>
                <w:i/>
                <w:vertAlign w:val="subscript"/>
              </w:rPr>
              <w:t>q, DAM</w:t>
            </w:r>
            <w:r w:rsidR="00155738" w:rsidRPr="001142A3">
              <w:rPr>
                <w:i/>
                <w:vertAlign w:val="subscript"/>
              </w:rPr>
              <w:t>, h</w:t>
            </w:r>
          </w:p>
        </w:tc>
        <w:tc>
          <w:tcPr>
            <w:tcW w:w="900" w:type="dxa"/>
          </w:tcPr>
          <w:p w14:paraId="0D14F1D2" w14:textId="77777777" w:rsidR="00FF2129" w:rsidRDefault="00482EF3">
            <w:pPr>
              <w:pStyle w:val="TableBody"/>
            </w:pPr>
            <w:r>
              <w:t>MW</w:t>
            </w:r>
          </w:p>
        </w:tc>
        <w:tc>
          <w:tcPr>
            <w:tcW w:w="6790" w:type="dxa"/>
          </w:tcPr>
          <w:p w14:paraId="778DCE6A" w14:textId="77777777" w:rsidR="00FF2129" w:rsidRDefault="00482EF3">
            <w:pPr>
              <w:pStyle w:val="TableBody"/>
              <w:rPr>
                <w:i/>
              </w:rPr>
            </w:pPr>
            <w:r>
              <w:rPr>
                <w:i/>
              </w:rPr>
              <w:t xml:space="preserve">Procured Capacity for Responsive Reserve from Resource per Resource per QSE </w:t>
            </w:r>
            <w:r w:rsidR="00155738">
              <w:rPr>
                <w:i/>
              </w:rPr>
              <w:t xml:space="preserve">per hour </w:t>
            </w:r>
            <w:r>
              <w:rPr>
                <w:i/>
              </w:rPr>
              <w:t>in DAM</w:t>
            </w:r>
            <w:r>
              <w:t xml:space="preserve">—The Responsive Reserve </w:t>
            </w:r>
            <w:r w:rsidR="009C39E0">
              <w:t xml:space="preserve">(RRS) </w:t>
            </w:r>
            <w:r>
              <w:t xml:space="preserve">capacity quantity awarded to QSE </w:t>
            </w:r>
            <w:r>
              <w:rPr>
                <w:i/>
              </w:rPr>
              <w:t>q</w:t>
            </w:r>
            <w:r>
              <w:t xml:space="preserve"> in the DAM for Resource </w:t>
            </w:r>
            <w:r>
              <w:rPr>
                <w:i/>
              </w:rPr>
              <w:t>r</w:t>
            </w:r>
            <w:r>
              <w:t xml:space="preserve"> for the hour</w:t>
            </w:r>
            <w:r w:rsidR="00155738">
              <w:t xml:space="preserve"> </w:t>
            </w:r>
            <w:r w:rsidR="00155738">
              <w:rPr>
                <w:i/>
              </w:rPr>
              <w:t>h</w:t>
            </w:r>
            <w:r>
              <w:t>.</w:t>
            </w:r>
            <w:r w:rsidR="00155738">
              <w:t xml:space="preserve">  Where for a Combined Cycle Train, the Resource </w:t>
            </w:r>
            <w:r w:rsidR="00155738" w:rsidRPr="00B34C5D">
              <w:rPr>
                <w:i/>
              </w:rPr>
              <w:t>r</w:t>
            </w:r>
            <w:r w:rsidR="00155738">
              <w:rPr>
                <w:i/>
              </w:rPr>
              <w:t xml:space="preserve"> </w:t>
            </w:r>
            <w:r w:rsidR="00155738" w:rsidRPr="001C65E0">
              <w:t xml:space="preserve">is a </w:t>
            </w:r>
            <w:r w:rsidR="00155738">
              <w:t>Combined Cycle Generation Resource within the Combined Cycle Train.</w:t>
            </w:r>
          </w:p>
        </w:tc>
      </w:tr>
      <w:tr w:rsidR="00FF2129" w14:paraId="3735D620" w14:textId="77777777" w:rsidTr="00A56EA7">
        <w:trPr>
          <w:cantSplit/>
        </w:trPr>
        <w:tc>
          <w:tcPr>
            <w:tcW w:w="1818" w:type="dxa"/>
            <w:tcBorders>
              <w:bottom w:val="single" w:sz="4" w:space="0" w:color="auto"/>
            </w:tcBorders>
          </w:tcPr>
          <w:p w14:paraId="013CDD3F" w14:textId="77777777" w:rsidR="00FF2129" w:rsidRDefault="00482EF3">
            <w:pPr>
              <w:pStyle w:val="TableBody"/>
            </w:pPr>
            <w:r>
              <w:t xml:space="preserve">MCPCRR </w:t>
            </w:r>
            <w:r w:rsidRPr="001142A3">
              <w:rPr>
                <w:i/>
                <w:vertAlign w:val="subscript"/>
              </w:rPr>
              <w:t>DAM</w:t>
            </w:r>
            <w:r w:rsidR="00155738" w:rsidRPr="001142A3">
              <w:rPr>
                <w:i/>
                <w:vertAlign w:val="subscript"/>
              </w:rPr>
              <w:t>, h</w:t>
            </w:r>
          </w:p>
        </w:tc>
        <w:tc>
          <w:tcPr>
            <w:tcW w:w="900" w:type="dxa"/>
            <w:tcBorders>
              <w:bottom w:val="single" w:sz="4" w:space="0" w:color="auto"/>
            </w:tcBorders>
          </w:tcPr>
          <w:p w14:paraId="170061E7" w14:textId="77777777" w:rsidR="00FF2129" w:rsidRDefault="00482EF3">
            <w:pPr>
              <w:pStyle w:val="TableBody"/>
            </w:pPr>
            <w:r>
              <w:t>$/MW per hour</w:t>
            </w:r>
          </w:p>
        </w:tc>
        <w:tc>
          <w:tcPr>
            <w:tcW w:w="6790" w:type="dxa"/>
            <w:tcBorders>
              <w:bottom w:val="single" w:sz="4" w:space="0" w:color="auto"/>
            </w:tcBorders>
          </w:tcPr>
          <w:p w14:paraId="04B88E40" w14:textId="77777777" w:rsidR="00FF2129" w:rsidRDefault="00482EF3" w:rsidP="009C39E0">
            <w:pPr>
              <w:pStyle w:val="TableBody"/>
              <w:rPr>
                <w:i/>
              </w:rPr>
            </w:pPr>
            <w:r>
              <w:rPr>
                <w:i/>
              </w:rPr>
              <w:t xml:space="preserve">Market Clearing Price for Capacity for Responsive Reserve </w:t>
            </w:r>
            <w:r w:rsidR="00155738">
              <w:rPr>
                <w:i/>
              </w:rPr>
              <w:t xml:space="preserve">per hour </w:t>
            </w:r>
            <w:r>
              <w:rPr>
                <w:i/>
              </w:rPr>
              <w:t>in DAM</w:t>
            </w:r>
            <w:r>
              <w:t xml:space="preserve">—The DAM MCPC for </w:t>
            </w:r>
            <w:r w:rsidR="009C39E0">
              <w:t>RRS</w:t>
            </w:r>
            <w:r>
              <w:t xml:space="preserve"> for the hour</w:t>
            </w:r>
            <w:r w:rsidR="00155738">
              <w:t xml:space="preserve"> </w:t>
            </w:r>
            <w:r w:rsidR="00155738">
              <w:rPr>
                <w:i/>
              </w:rPr>
              <w:t>h</w:t>
            </w:r>
            <w:r>
              <w:t>.</w:t>
            </w:r>
          </w:p>
        </w:tc>
      </w:tr>
      <w:tr w:rsidR="00D46800" w14:paraId="571972B3" w14:textId="77777777" w:rsidTr="00A56EA7">
        <w:trPr>
          <w:cantSplit/>
        </w:trPr>
        <w:tc>
          <w:tcPr>
            <w:tcW w:w="1818" w:type="dxa"/>
            <w:tcBorders>
              <w:top w:val="single" w:sz="4" w:space="0" w:color="auto"/>
              <w:left w:val="single" w:sz="4" w:space="0" w:color="auto"/>
              <w:bottom w:val="single" w:sz="4" w:space="0" w:color="auto"/>
              <w:right w:val="single" w:sz="4" w:space="0" w:color="auto"/>
            </w:tcBorders>
          </w:tcPr>
          <w:p w14:paraId="44B413DB" w14:textId="46E98B94" w:rsidR="00D46800" w:rsidRDefault="00D46800" w:rsidP="00D46800">
            <w:pPr>
              <w:pStyle w:val="TableBody"/>
            </w:pPr>
            <w:r w:rsidRPr="0003648D">
              <w:t>PC</w:t>
            </w:r>
            <w:r>
              <w:t>EC</w:t>
            </w:r>
            <w:r w:rsidRPr="0003648D">
              <w:t>R</w:t>
            </w:r>
            <w:r>
              <w:t>R</w:t>
            </w:r>
            <w:r w:rsidRPr="0003648D">
              <w:t xml:space="preserve"> </w:t>
            </w:r>
            <w:r w:rsidRPr="0003648D">
              <w:rPr>
                <w:i/>
                <w:vertAlign w:val="subscript"/>
              </w:rPr>
              <w:t>r</w:t>
            </w:r>
            <w:r w:rsidRPr="0003648D">
              <w:rPr>
                <w:i/>
              </w:rPr>
              <w:t xml:space="preserve">, </w:t>
            </w:r>
            <w:r w:rsidRPr="0003648D">
              <w:rPr>
                <w:i/>
                <w:vertAlign w:val="subscript"/>
              </w:rPr>
              <w:t>q, DAM, h</w:t>
            </w:r>
          </w:p>
        </w:tc>
        <w:tc>
          <w:tcPr>
            <w:tcW w:w="900" w:type="dxa"/>
            <w:tcBorders>
              <w:top w:val="single" w:sz="4" w:space="0" w:color="auto"/>
              <w:left w:val="single" w:sz="4" w:space="0" w:color="auto"/>
              <w:bottom w:val="single" w:sz="4" w:space="0" w:color="auto"/>
              <w:right w:val="single" w:sz="4" w:space="0" w:color="auto"/>
            </w:tcBorders>
          </w:tcPr>
          <w:p w14:paraId="4B6A7F98" w14:textId="089C9226" w:rsidR="00D46800" w:rsidRDefault="00D46800" w:rsidP="00D46800">
            <w:pPr>
              <w:pStyle w:val="TableBody"/>
            </w:pPr>
            <w:r w:rsidRPr="0003648D">
              <w:t>MW</w:t>
            </w:r>
          </w:p>
        </w:tc>
        <w:tc>
          <w:tcPr>
            <w:tcW w:w="6790" w:type="dxa"/>
            <w:tcBorders>
              <w:top w:val="single" w:sz="4" w:space="0" w:color="auto"/>
              <w:left w:val="single" w:sz="4" w:space="0" w:color="auto"/>
              <w:bottom w:val="single" w:sz="4" w:space="0" w:color="auto"/>
              <w:right w:val="single" w:sz="4" w:space="0" w:color="auto"/>
            </w:tcBorders>
          </w:tcPr>
          <w:p w14:paraId="4FADBC31" w14:textId="799F6610" w:rsidR="00D46800" w:rsidRDefault="00D46800" w:rsidP="00D46800">
            <w:pPr>
              <w:pStyle w:val="TableBody"/>
              <w:rPr>
                <w:i/>
              </w:rPr>
            </w:pPr>
            <w:r w:rsidRPr="0003648D">
              <w:rPr>
                <w:i/>
              </w:rPr>
              <w:t xml:space="preserve">Procured Capacity for </w:t>
            </w:r>
            <w:r w:rsidRPr="007279C0">
              <w:rPr>
                <w:i/>
              </w:rPr>
              <w:t>ERCOT Contingency Reserve Service</w:t>
            </w:r>
            <w:r w:rsidRPr="0003648D">
              <w:rPr>
                <w:i/>
              </w:rPr>
              <w:t xml:space="preserve"> from Resource per Resource per QSE per hour in DAM</w:t>
            </w:r>
            <w:r w:rsidRPr="0003648D">
              <w:t xml:space="preserve">—The </w:t>
            </w:r>
            <w:r w:rsidRPr="007279C0">
              <w:t>ERCOT Contingency Reserve Service (ECRS)</w:t>
            </w:r>
            <w:r w:rsidRPr="0003648D">
              <w:t xml:space="preserve"> capacity quantity awarded to QSE </w:t>
            </w:r>
            <w:r w:rsidRPr="0003648D">
              <w:rPr>
                <w:i/>
              </w:rPr>
              <w:t>q</w:t>
            </w:r>
            <w:r w:rsidRPr="0003648D">
              <w:t xml:space="preserve"> in the DAM for Resource </w:t>
            </w:r>
            <w:r w:rsidRPr="0003648D">
              <w:rPr>
                <w:i/>
              </w:rPr>
              <w:t>r</w:t>
            </w:r>
            <w:r w:rsidRPr="0003648D">
              <w:t xml:space="preserve"> for the hour </w:t>
            </w:r>
            <w:r w:rsidRPr="0003648D">
              <w:rPr>
                <w:i/>
              </w:rPr>
              <w:t>h</w:t>
            </w:r>
            <w:r w:rsidRPr="0003648D">
              <w:t xml:space="preserve">.  Where for a Combined Cycle Train, the Resource </w:t>
            </w:r>
            <w:r w:rsidRPr="0003648D">
              <w:rPr>
                <w:i/>
              </w:rPr>
              <w:t xml:space="preserve">r </w:t>
            </w:r>
            <w:r w:rsidRPr="0003648D">
              <w:t>is a Combined Cycle Generation Resource within the Combined Cycle Train.</w:t>
            </w:r>
          </w:p>
        </w:tc>
      </w:tr>
      <w:tr w:rsidR="00D46800" w14:paraId="03A84083" w14:textId="77777777" w:rsidTr="00A56EA7">
        <w:trPr>
          <w:cantSplit/>
        </w:trPr>
        <w:tc>
          <w:tcPr>
            <w:tcW w:w="1818" w:type="dxa"/>
            <w:tcBorders>
              <w:top w:val="single" w:sz="4" w:space="0" w:color="auto"/>
              <w:left w:val="single" w:sz="4" w:space="0" w:color="auto"/>
              <w:bottom w:val="nil"/>
              <w:right w:val="single" w:sz="4" w:space="0" w:color="auto"/>
            </w:tcBorders>
          </w:tcPr>
          <w:p w14:paraId="7AC443A2" w14:textId="731B5EBB" w:rsidR="00D46800" w:rsidRDefault="00D46800" w:rsidP="00D46800">
            <w:pPr>
              <w:pStyle w:val="TableBody"/>
            </w:pPr>
            <w:r w:rsidRPr="0003648D">
              <w:t>MCPC</w:t>
            </w:r>
            <w:r>
              <w:t>EC</w:t>
            </w:r>
            <w:r w:rsidRPr="0003648D">
              <w:t xml:space="preserve">R </w:t>
            </w:r>
            <w:r w:rsidRPr="0003648D">
              <w:rPr>
                <w:i/>
                <w:vertAlign w:val="subscript"/>
              </w:rPr>
              <w:t>DAM, h</w:t>
            </w:r>
          </w:p>
        </w:tc>
        <w:tc>
          <w:tcPr>
            <w:tcW w:w="900" w:type="dxa"/>
            <w:tcBorders>
              <w:top w:val="single" w:sz="4" w:space="0" w:color="auto"/>
              <w:left w:val="single" w:sz="4" w:space="0" w:color="auto"/>
              <w:bottom w:val="nil"/>
              <w:right w:val="single" w:sz="4" w:space="0" w:color="auto"/>
            </w:tcBorders>
          </w:tcPr>
          <w:p w14:paraId="5663A1B9" w14:textId="7C0E33ED" w:rsidR="00D46800" w:rsidRDefault="00D46800" w:rsidP="00D46800">
            <w:pPr>
              <w:pStyle w:val="TableBody"/>
            </w:pPr>
            <w:r w:rsidRPr="0003648D">
              <w:t>$/MW per hour</w:t>
            </w:r>
          </w:p>
        </w:tc>
        <w:tc>
          <w:tcPr>
            <w:tcW w:w="6790" w:type="dxa"/>
            <w:tcBorders>
              <w:top w:val="single" w:sz="4" w:space="0" w:color="auto"/>
              <w:left w:val="single" w:sz="4" w:space="0" w:color="auto"/>
              <w:bottom w:val="nil"/>
              <w:right w:val="single" w:sz="4" w:space="0" w:color="auto"/>
            </w:tcBorders>
          </w:tcPr>
          <w:p w14:paraId="47402A6C" w14:textId="47EAFF03" w:rsidR="00D46800" w:rsidRDefault="00D46800" w:rsidP="00D46800">
            <w:pPr>
              <w:pStyle w:val="TableBody"/>
              <w:rPr>
                <w:i/>
              </w:rPr>
            </w:pPr>
            <w:r w:rsidRPr="0003648D">
              <w:rPr>
                <w:i/>
              </w:rPr>
              <w:t xml:space="preserve">Market Clearing Price for Capacity for </w:t>
            </w:r>
            <w:r w:rsidRPr="007279C0">
              <w:rPr>
                <w:i/>
              </w:rPr>
              <w:t>ERCOT Contingency Reserve Service</w:t>
            </w:r>
            <w:r w:rsidRPr="0003648D">
              <w:rPr>
                <w:i/>
              </w:rPr>
              <w:t xml:space="preserve"> per hour in DAM</w:t>
            </w:r>
            <w:r w:rsidRPr="0003648D">
              <w:t xml:space="preserve">—The DAM MCPC for </w:t>
            </w:r>
            <w:r>
              <w:t>ECRS</w:t>
            </w:r>
            <w:r w:rsidRPr="0003648D">
              <w:t xml:space="preserve"> for the hour </w:t>
            </w:r>
            <w:r w:rsidRPr="0003648D">
              <w:rPr>
                <w:i/>
              </w:rPr>
              <w:t>h</w:t>
            </w:r>
            <w:r w:rsidRPr="0003648D">
              <w:t>.</w:t>
            </w:r>
          </w:p>
        </w:tc>
      </w:tr>
      <w:tr w:rsidR="0016791F" w14:paraId="04644936" w14:textId="77777777" w:rsidTr="00A56EA7">
        <w:trPr>
          <w:cantSplit/>
        </w:trPr>
        <w:tc>
          <w:tcPr>
            <w:tcW w:w="9508" w:type="dxa"/>
            <w:gridSpan w:val="3"/>
            <w:tcBorders>
              <w:top w:val="nil"/>
            </w:tcBorders>
          </w:tcPr>
          <w:p w14:paraId="2E942536" w14:textId="77777777" w:rsidR="0016791F" w:rsidRDefault="0016791F" w:rsidP="009C39E0">
            <w:pPr>
              <w:pStyle w:val="TableBody"/>
              <w:rPr>
                <w:i/>
              </w:rPr>
            </w:pPr>
          </w:p>
        </w:tc>
      </w:tr>
      <w:tr w:rsidR="00FF2129" w14:paraId="614A3FF0" w14:textId="77777777" w:rsidTr="004825DD">
        <w:trPr>
          <w:cantSplit/>
        </w:trPr>
        <w:tc>
          <w:tcPr>
            <w:tcW w:w="1818" w:type="dxa"/>
          </w:tcPr>
          <w:p w14:paraId="16593FC3" w14:textId="77777777" w:rsidR="00FF2129" w:rsidRDefault="00482EF3">
            <w:pPr>
              <w:pStyle w:val="TableBody"/>
            </w:pPr>
            <w:r>
              <w:lastRenderedPageBreak/>
              <w:t xml:space="preserve">PCNSR </w:t>
            </w:r>
            <w:r w:rsidRPr="001142A3">
              <w:rPr>
                <w:i/>
                <w:vertAlign w:val="subscript"/>
              </w:rPr>
              <w:t>r</w:t>
            </w:r>
            <w:r w:rsidRPr="001142A3">
              <w:rPr>
                <w:i/>
              </w:rPr>
              <w:t xml:space="preserve">, </w:t>
            </w:r>
            <w:r w:rsidRPr="001142A3">
              <w:rPr>
                <w:i/>
                <w:vertAlign w:val="subscript"/>
              </w:rPr>
              <w:t>q, DAM</w:t>
            </w:r>
            <w:r w:rsidR="00155738" w:rsidRPr="001142A3">
              <w:rPr>
                <w:i/>
                <w:vertAlign w:val="subscript"/>
              </w:rPr>
              <w:t>, h</w:t>
            </w:r>
          </w:p>
        </w:tc>
        <w:tc>
          <w:tcPr>
            <w:tcW w:w="900" w:type="dxa"/>
          </w:tcPr>
          <w:p w14:paraId="78EFD695" w14:textId="77777777" w:rsidR="00FF2129" w:rsidRDefault="00482EF3">
            <w:pPr>
              <w:pStyle w:val="TableBody"/>
            </w:pPr>
            <w:r>
              <w:t>MW</w:t>
            </w:r>
          </w:p>
        </w:tc>
        <w:tc>
          <w:tcPr>
            <w:tcW w:w="6790" w:type="dxa"/>
          </w:tcPr>
          <w:p w14:paraId="2407FB8E" w14:textId="77777777" w:rsidR="00FF2129" w:rsidRDefault="00482EF3">
            <w:pPr>
              <w:pStyle w:val="TableBody"/>
              <w:rPr>
                <w:i/>
              </w:rPr>
            </w:pPr>
            <w:r>
              <w:rPr>
                <w:i/>
              </w:rPr>
              <w:t xml:space="preserve">Procured Capacity for Non-Spin from Resource per Resource per QSE </w:t>
            </w:r>
            <w:r w:rsidR="00155738">
              <w:rPr>
                <w:i/>
              </w:rPr>
              <w:t xml:space="preserve">per hour </w:t>
            </w:r>
            <w:r>
              <w:rPr>
                <w:i/>
              </w:rPr>
              <w:t>in DAM</w:t>
            </w:r>
            <w:r>
              <w:t xml:space="preserve">—The </w:t>
            </w:r>
            <w:r w:rsidR="009C39E0">
              <w:t>Non-Spinning Reserve (</w:t>
            </w:r>
            <w:r>
              <w:t>Non-Spin</w:t>
            </w:r>
            <w:r w:rsidR="009C39E0">
              <w:t>)</w:t>
            </w:r>
            <w:r>
              <w:t xml:space="preserve"> capacity quantity awarded to QSE </w:t>
            </w:r>
            <w:r>
              <w:rPr>
                <w:i/>
              </w:rPr>
              <w:t>q</w:t>
            </w:r>
            <w:r>
              <w:t xml:space="preserve"> in the DAM for Resource </w:t>
            </w:r>
            <w:r>
              <w:rPr>
                <w:i/>
              </w:rPr>
              <w:t>r</w:t>
            </w:r>
            <w:r>
              <w:t xml:space="preserve"> for the hour</w:t>
            </w:r>
            <w:r w:rsidR="00155738">
              <w:t xml:space="preserve"> </w:t>
            </w:r>
            <w:r w:rsidR="00155738">
              <w:rPr>
                <w:i/>
              </w:rPr>
              <w:t>h</w:t>
            </w:r>
            <w:r>
              <w:t>.</w:t>
            </w:r>
            <w:r w:rsidR="00155738">
              <w:t xml:space="preserve">  Where for a Combined Cycle Train, the Resource </w:t>
            </w:r>
            <w:r w:rsidR="00155738" w:rsidRPr="00B34C5D">
              <w:rPr>
                <w:i/>
              </w:rPr>
              <w:t>r</w:t>
            </w:r>
            <w:r w:rsidR="00155738">
              <w:rPr>
                <w:i/>
              </w:rPr>
              <w:t xml:space="preserve"> </w:t>
            </w:r>
            <w:r w:rsidR="00155738" w:rsidRPr="001C65E0">
              <w:t xml:space="preserve">is a </w:t>
            </w:r>
            <w:r w:rsidR="00155738">
              <w:t>Combined Cycle Generation Resource within the Combined Cycle Train.</w:t>
            </w:r>
          </w:p>
        </w:tc>
      </w:tr>
      <w:tr w:rsidR="00FF2129" w14:paraId="3E459D74" w14:textId="77777777" w:rsidTr="004825DD">
        <w:trPr>
          <w:cantSplit/>
        </w:trPr>
        <w:tc>
          <w:tcPr>
            <w:tcW w:w="1818" w:type="dxa"/>
          </w:tcPr>
          <w:p w14:paraId="7883D3B8" w14:textId="77777777" w:rsidR="00FF2129" w:rsidRDefault="00482EF3">
            <w:pPr>
              <w:pStyle w:val="TableBody"/>
            </w:pPr>
            <w:r>
              <w:t xml:space="preserve">MCPCNS </w:t>
            </w:r>
            <w:r w:rsidRPr="001142A3">
              <w:rPr>
                <w:i/>
                <w:vertAlign w:val="subscript"/>
              </w:rPr>
              <w:t>DAM</w:t>
            </w:r>
            <w:r w:rsidR="00155738" w:rsidRPr="001142A3">
              <w:rPr>
                <w:i/>
                <w:vertAlign w:val="subscript"/>
              </w:rPr>
              <w:t>, h</w:t>
            </w:r>
          </w:p>
        </w:tc>
        <w:tc>
          <w:tcPr>
            <w:tcW w:w="900" w:type="dxa"/>
          </w:tcPr>
          <w:p w14:paraId="745E2B82" w14:textId="77777777" w:rsidR="00FF2129" w:rsidRDefault="00482EF3">
            <w:pPr>
              <w:pStyle w:val="TableBody"/>
            </w:pPr>
            <w:r>
              <w:t>$/MW per hour</w:t>
            </w:r>
          </w:p>
        </w:tc>
        <w:tc>
          <w:tcPr>
            <w:tcW w:w="6790" w:type="dxa"/>
          </w:tcPr>
          <w:p w14:paraId="18CC39D0" w14:textId="77777777" w:rsidR="000A2386" w:rsidRDefault="00482EF3">
            <w:pPr>
              <w:pStyle w:val="TableBody"/>
              <w:rPr>
                <w:i/>
              </w:rPr>
            </w:pPr>
            <w:r>
              <w:rPr>
                <w:i/>
              </w:rPr>
              <w:t xml:space="preserve">Market Clearing Price for Capacity for Non-Spin </w:t>
            </w:r>
            <w:r w:rsidR="00155738">
              <w:rPr>
                <w:i/>
              </w:rPr>
              <w:t xml:space="preserve">per hour </w:t>
            </w:r>
            <w:r>
              <w:rPr>
                <w:i/>
              </w:rPr>
              <w:t>in DAM</w:t>
            </w:r>
            <w:r>
              <w:t>—The DAM MCPC for Non-Spin for the hour</w:t>
            </w:r>
            <w:r w:rsidR="00155738">
              <w:t xml:space="preserve"> </w:t>
            </w:r>
            <w:r w:rsidR="00155738">
              <w:rPr>
                <w:i/>
              </w:rPr>
              <w:t>h</w:t>
            </w:r>
            <w:r>
              <w:t>.</w:t>
            </w:r>
          </w:p>
          <w:tbl>
            <w:tblPr>
              <w:tblW w:w="6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top w:w="144" w:type="dxa"/>
                <w:left w:w="115" w:type="dxa"/>
                <w:right w:w="115" w:type="dxa"/>
              </w:tblCellMar>
              <w:tblLook w:val="01E0" w:firstRow="1" w:lastRow="1" w:firstColumn="1" w:lastColumn="1" w:noHBand="0" w:noVBand="0"/>
            </w:tblPr>
            <w:tblGrid>
              <w:gridCol w:w="6614"/>
            </w:tblGrid>
            <w:tr w:rsidR="000A2386" w:rsidRPr="000A2386" w14:paraId="67AE7C23" w14:textId="77777777" w:rsidTr="000A2386">
              <w:trPr>
                <w:trHeight w:val="206"/>
              </w:trPr>
              <w:tc>
                <w:tcPr>
                  <w:tcW w:w="6614" w:type="dxa"/>
                  <w:shd w:val="pct12" w:color="auto" w:fill="auto"/>
                </w:tcPr>
                <w:p w14:paraId="6DD2A0C6" w14:textId="38CF41D9" w:rsidR="000A2386" w:rsidRPr="000A2386" w:rsidRDefault="000A2386" w:rsidP="000A2386">
                  <w:pPr>
                    <w:pStyle w:val="TableBody"/>
                    <w:rPr>
                      <w:b/>
                      <w:i/>
                      <w:sz w:val="24"/>
                    </w:rPr>
                  </w:pPr>
                  <w:r w:rsidRPr="000A2386">
                    <w:rPr>
                      <w:b/>
                      <w:i/>
                      <w:sz w:val="24"/>
                    </w:rPr>
                    <w:t>[NPRR1008:  Replace the description above with the following upon system implementation</w:t>
                  </w:r>
                  <w:r>
                    <w:rPr>
                      <w:b/>
                      <w:i/>
                      <w:sz w:val="24"/>
                    </w:rPr>
                    <w:t xml:space="preserve"> of the Real-Time Co-Optimization (RTC) project</w:t>
                  </w:r>
                  <w:r w:rsidRPr="000A2386">
                    <w:rPr>
                      <w:b/>
                      <w:i/>
                      <w:sz w:val="24"/>
                    </w:rPr>
                    <w:t>:]</w:t>
                  </w:r>
                </w:p>
                <w:p w14:paraId="446EBF52" w14:textId="1C3825FE" w:rsidR="000A2386" w:rsidRPr="000A2386" w:rsidRDefault="000A2386" w:rsidP="000A2386">
                  <w:pPr>
                    <w:pStyle w:val="TableBody"/>
                    <w:rPr>
                      <w:b/>
                      <w:i/>
                    </w:rPr>
                  </w:pPr>
                  <w:r>
                    <w:rPr>
                      <w:i/>
                    </w:rPr>
                    <w:t>Market Clearing Price for Capacity for Non-Spin per hour</w:t>
                  </w:r>
                  <w:r>
                    <w:t xml:space="preserve">—The DAM MCPC for Non-Spin for the hour </w:t>
                  </w:r>
                  <w:r>
                    <w:rPr>
                      <w:i/>
                    </w:rPr>
                    <w:t>h</w:t>
                  </w:r>
                  <w:r>
                    <w:t>.</w:t>
                  </w:r>
                </w:p>
              </w:tc>
            </w:tr>
          </w:tbl>
          <w:p w14:paraId="5BB80932" w14:textId="21AD84CC" w:rsidR="00FF2129" w:rsidRDefault="00FF2129">
            <w:pPr>
              <w:pStyle w:val="TableBody"/>
              <w:rPr>
                <w:i/>
              </w:rPr>
            </w:pPr>
          </w:p>
        </w:tc>
      </w:tr>
      <w:tr w:rsidR="00FF2129" w14:paraId="59B9EFBA" w14:textId="77777777" w:rsidTr="004825DD">
        <w:trPr>
          <w:cantSplit/>
        </w:trPr>
        <w:tc>
          <w:tcPr>
            <w:tcW w:w="1818" w:type="dxa"/>
          </w:tcPr>
          <w:p w14:paraId="0FB64043" w14:textId="77777777" w:rsidR="00FF2129" w:rsidRDefault="00155738">
            <w:pPr>
              <w:pStyle w:val="TableBody"/>
            </w:pPr>
            <w:r>
              <w:t>DA</w:t>
            </w:r>
            <w:r w:rsidR="00482EF3">
              <w:t xml:space="preserve">SUO </w:t>
            </w:r>
            <w:r w:rsidR="00482EF3" w:rsidRPr="001142A3">
              <w:rPr>
                <w:i/>
                <w:vertAlign w:val="subscript"/>
              </w:rPr>
              <w:t>q, p, r</w:t>
            </w:r>
          </w:p>
        </w:tc>
        <w:tc>
          <w:tcPr>
            <w:tcW w:w="900" w:type="dxa"/>
          </w:tcPr>
          <w:p w14:paraId="5DCC0B00" w14:textId="77777777" w:rsidR="00FF2129" w:rsidRDefault="00482EF3">
            <w:pPr>
              <w:pStyle w:val="TableBody"/>
            </w:pPr>
            <w:r>
              <w:t>$/start</w:t>
            </w:r>
          </w:p>
        </w:tc>
        <w:tc>
          <w:tcPr>
            <w:tcW w:w="6790" w:type="dxa"/>
          </w:tcPr>
          <w:p w14:paraId="77CEF5D5" w14:textId="77777777" w:rsidR="00FF2129" w:rsidRDefault="00155738">
            <w:pPr>
              <w:pStyle w:val="TableBody"/>
            </w:pPr>
            <w:r>
              <w:rPr>
                <w:i/>
              </w:rPr>
              <w:t xml:space="preserve">Day-Ahead </w:t>
            </w:r>
            <w:r w:rsidR="00482EF3">
              <w:rPr>
                <w:i/>
              </w:rPr>
              <w:t>Startup Offer per QSE per Settlement Point per Resource</w:t>
            </w:r>
            <w:r w:rsidR="00482EF3">
              <w:t xml:space="preserve">—The Startup Offer included in the Three-Part Supply Offer </w:t>
            </w:r>
            <w:r>
              <w:t xml:space="preserve">submitted in the DAM </w:t>
            </w:r>
            <w:r w:rsidR="00482EF3">
              <w:t xml:space="preserve">associated with Resource </w:t>
            </w:r>
            <w:r w:rsidR="00482EF3">
              <w:rPr>
                <w:i/>
              </w:rPr>
              <w:t>r</w:t>
            </w:r>
            <w:r w:rsidR="00482EF3">
              <w:t xml:space="preserve"> at Resource Node </w:t>
            </w:r>
            <w:r w:rsidR="00482EF3">
              <w:rPr>
                <w:i/>
              </w:rPr>
              <w:t>p</w:t>
            </w:r>
            <w:r w:rsidR="00482EF3">
              <w:t xml:space="preserve"> represented by QSE </w:t>
            </w:r>
            <w:r w:rsidR="00482EF3">
              <w:rPr>
                <w:i/>
              </w:rPr>
              <w:t>q</w:t>
            </w:r>
            <w:r w:rsidR="00482EF3">
              <w:t>, for the first hour of the DAM-commitment period.</w:t>
            </w:r>
            <w:r>
              <w:t xml:space="preserve">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5C251B" w14:paraId="1E1E0D0C" w14:textId="77777777" w:rsidTr="004825DD">
        <w:trPr>
          <w:cantSplit/>
        </w:trPr>
        <w:tc>
          <w:tcPr>
            <w:tcW w:w="1818" w:type="dxa"/>
          </w:tcPr>
          <w:p w14:paraId="4D2E9C72" w14:textId="77777777" w:rsidR="005C251B" w:rsidRDefault="005C251B" w:rsidP="005C251B">
            <w:pPr>
              <w:pStyle w:val="TableBody"/>
            </w:pPr>
            <w:r w:rsidRPr="009E5389">
              <w:t>AGRRATIO</w:t>
            </w:r>
            <w:r w:rsidRPr="009E5389">
              <w:rPr>
                <w:i/>
                <w:vertAlign w:val="subscript"/>
                <w:lang w:val="pt-BR"/>
              </w:rPr>
              <w:t xml:space="preserve"> </w:t>
            </w:r>
            <w:r w:rsidRPr="001142A3">
              <w:rPr>
                <w:i/>
                <w:vertAlign w:val="subscript"/>
              </w:rPr>
              <w:t>q, p, r</w:t>
            </w:r>
          </w:p>
        </w:tc>
        <w:tc>
          <w:tcPr>
            <w:tcW w:w="900" w:type="dxa"/>
          </w:tcPr>
          <w:p w14:paraId="10348E25" w14:textId="77777777" w:rsidR="005C251B" w:rsidRDefault="005C251B" w:rsidP="005C251B">
            <w:pPr>
              <w:pStyle w:val="TableBody"/>
            </w:pPr>
            <w:r w:rsidRPr="009E5389">
              <w:t>none</w:t>
            </w:r>
          </w:p>
        </w:tc>
        <w:tc>
          <w:tcPr>
            <w:tcW w:w="6790" w:type="dxa"/>
          </w:tcPr>
          <w:p w14:paraId="4B3DD4EB" w14:textId="77777777" w:rsidR="005C251B" w:rsidRDefault="005C251B" w:rsidP="005C251B">
            <w:pPr>
              <w:pStyle w:val="TableBody"/>
              <w:rPr>
                <w:i/>
              </w:rPr>
            </w:pPr>
            <w:r w:rsidRPr="009E5389">
              <w:rPr>
                <w:i/>
              </w:rPr>
              <w:t>Aggregate Generation Resource Ratio per QSE per Settlement Point per Aggregate Generation Resource</w:t>
            </w:r>
            <w:r>
              <w:t>—</w:t>
            </w:r>
            <w:r w:rsidRPr="009E5389">
              <w:t>A value which represents the ratio of the maximum number of generators online in an hour, as indicated by telemetry, compared to the total number of generators registered to th</w:t>
            </w:r>
            <w:r w:rsidRPr="009E5389">
              <w:rPr>
                <w:iCs w:val="0"/>
              </w:rPr>
              <w:t>e AGR</w:t>
            </w:r>
            <w:r>
              <w:rPr>
                <w:iCs w:val="0"/>
              </w:rPr>
              <w:t xml:space="preserve"> </w:t>
            </w:r>
            <w:r w:rsidRPr="009E5389">
              <w:rPr>
                <w:iCs w:val="0"/>
              </w:rPr>
              <w:t>and used in the approved v</w:t>
            </w:r>
            <w:r w:rsidRPr="009E5389">
              <w:t xml:space="preserve">erifiable </w:t>
            </w:r>
            <w:r w:rsidRPr="009E5389">
              <w:rPr>
                <w:iCs w:val="0"/>
              </w:rPr>
              <w:t>c</w:t>
            </w:r>
            <w:r w:rsidRPr="009E5389">
              <w:t xml:space="preserve">ost for the </w:t>
            </w:r>
            <w:r w:rsidRPr="009E5389">
              <w:rPr>
                <w:iCs w:val="0"/>
              </w:rPr>
              <w:t>AGR</w:t>
            </w:r>
            <w:r w:rsidRPr="009E5389">
              <w:t xml:space="preserve">. </w:t>
            </w:r>
            <w:r>
              <w:t xml:space="preserve"> </w:t>
            </w:r>
            <w:r w:rsidRPr="009E5389">
              <w:t>The value is only applicable if the Resource is an AGR.</w:t>
            </w:r>
          </w:p>
        </w:tc>
      </w:tr>
      <w:tr w:rsidR="005C251B" w14:paraId="50B0BD91" w14:textId="77777777" w:rsidTr="004825DD">
        <w:trPr>
          <w:cantSplit/>
        </w:trPr>
        <w:tc>
          <w:tcPr>
            <w:tcW w:w="1818" w:type="dxa"/>
          </w:tcPr>
          <w:p w14:paraId="01E73864" w14:textId="77777777" w:rsidR="005C251B" w:rsidRDefault="005C251B" w:rsidP="005C251B">
            <w:pPr>
              <w:pStyle w:val="TableBody"/>
            </w:pPr>
            <w:r w:rsidRPr="009E5389">
              <w:t>AGRMAXON</w:t>
            </w:r>
            <w:r w:rsidRPr="009E5389">
              <w:rPr>
                <w:i/>
                <w:vertAlign w:val="subscript"/>
                <w:lang w:val="pt-BR"/>
              </w:rPr>
              <w:t xml:space="preserve"> </w:t>
            </w:r>
            <w:r w:rsidRPr="001142A3">
              <w:rPr>
                <w:i/>
                <w:vertAlign w:val="subscript"/>
              </w:rPr>
              <w:t>q, p, r</w:t>
            </w:r>
          </w:p>
        </w:tc>
        <w:tc>
          <w:tcPr>
            <w:tcW w:w="900" w:type="dxa"/>
          </w:tcPr>
          <w:p w14:paraId="1E6AFC31" w14:textId="77777777" w:rsidR="005C251B" w:rsidRDefault="005C251B" w:rsidP="005C251B">
            <w:pPr>
              <w:pStyle w:val="TableBody"/>
            </w:pPr>
            <w:r w:rsidRPr="009E5389">
              <w:t>none</w:t>
            </w:r>
          </w:p>
        </w:tc>
        <w:tc>
          <w:tcPr>
            <w:tcW w:w="6790" w:type="dxa"/>
          </w:tcPr>
          <w:p w14:paraId="0959AF8F" w14:textId="77777777" w:rsidR="005C251B" w:rsidRDefault="005C251B" w:rsidP="005C251B">
            <w:pPr>
              <w:pStyle w:val="TableBody"/>
            </w:pPr>
            <w:r w:rsidRPr="009E5389">
              <w:rPr>
                <w:i/>
              </w:rPr>
              <w:t>Aggregate Generation Resource Maximum Online per QSE per Settlement Point per Aggregate Generation Resource</w:t>
            </w:r>
            <w:r>
              <w:t>—</w:t>
            </w:r>
            <w:r w:rsidRPr="009E5389">
              <w:rPr>
                <w:iCs w:val="0"/>
              </w:rPr>
              <w:t>T</w:t>
            </w:r>
            <w:r w:rsidRPr="009E5389">
              <w:t>he maximum number of generators online during an hour, as indicated by telemetry. The value is only applicable if the Resource is an AGR.</w:t>
            </w:r>
          </w:p>
        </w:tc>
      </w:tr>
      <w:tr w:rsidR="005C251B" w14:paraId="3DF619DB" w14:textId="77777777" w:rsidTr="004825DD">
        <w:tc>
          <w:tcPr>
            <w:tcW w:w="1818" w:type="dxa"/>
          </w:tcPr>
          <w:p w14:paraId="27653B7E" w14:textId="77777777" w:rsidR="005C251B" w:rsidRDefault="005C251B" w:rsidP="005C251B">
            <w:pPr>
              <w:pStyle w:val="TableBody"/>
              <w:rPr>
                <w:lang w:val="pt-BR"/>
              </w:rPr>
            </w:pPr>
            <w:r w:rsidRPr="009E5389">
              <w:t>AGRTOT</w:t>
            </w:r>
            <w:r w:rsidRPr="00E16EDF">
              <w:rPr>
                <w:i/>
                <w:vertAlign w:val="subscript"/>
                <w:lang w:val="pt-BR"/>
              </w:rPr>
              <w:t xml:space="preserve"> </w:t>
            </w:r>
            <w:r w:rsidRPr="001142A3">
              <w:rPr>
                <w:i/>
                <w:vertAlign w:val="subscript"/>
              </w:rPr>
              <w:t>q, p, r</w:t>
            </w:r>
          </w:p>
        </w:tc>
        <w:tc>
          <w:tcPr>
            <w:tcW w:w="900" w:type="dxa"/>
          </w:tcPr>
          <w:p w14:paraId="71A8261D" w14:textId="77777777" w:rsidR="005C251B" w:rsidRDefault="005C251B" w:rsidP="005C251B">
            <w:pPr>
              <w:pStyle w:val="TableBody"/>
            </w:pPr>
            <w:r w:rsidRPr="009E5389">
              <w:t>none</w:t>
            </w:r>
          </w:p>
        </w:tc>
        <w:tc>
          <w:tcPr>
            <w:tcW w:w="6790" w:type="dxa"/>
          </w:tcPr>
          <w:p w14:paraId="5ACB2277" w14:textId="77777777" w:rsidR="005C251B" w:rsidRDefault="005C251B" w:rsidP="005C251B">
            <w:pPr>
              <w:pStyle w:val="TableBody"/>
            </w:pPr>
            <w:r w:rsidRPr="009E5389">
              <w:rPr>
                <w:i/>
              </w:rPr>
              <w:t>Aggregate Generation Resource Total per QSE per Settlement Point per Aggregate Generation Resource</w:t>
            </w:r>
            <w:r>
              <w:t>—</w:t>
            </w:r>
            <w:r w:rsidRPr="009E5389">
              <w:t>The total number of generators registered to th</w:t>
            </w:r>
            <w:r>
              <w:t>e AGR and used in the approved verifiable c</w:t>
            </w:r>
            <w:r w:rsidRPr="009E5389">
              <w:t xml:space="preserve">ost for the </w:t>
            </w:r>
            <w:r>
              <w:t>AGR</w:t>
            </w:r>
            <w:r w:rsidRPr="009E5389">
              <w:t xml:space="preserve">. </w:t>
            </w:r>
            <w:r>
              <w:t xml:space="preserve"> </w:t>
            </w:r>
            <w:r w:rsidRPr="009E5389">
              <w:t>The value is only applicable if the Resource is an AGR.</w:t>
            </w:r>
          </w:p>
        </w:tc>
      </w:tr>
      <w:tr w:rsidR="00C86EA9" w14:paraId="5BD4670C" w14:textId="77777777" w:rsidTr="004825DD">
        <w:trPr>
          <w:cantSplit/>
        </w:trPr>
        <w:tc>
          <w:tcPr>
            <w:tcW w:w="1818" w:type="dxa"/>
          </w:tcPr>
          <w:p w14:paraId="254AAC3E" w14:textId="77777777" w:rsidR="00C86EA9" w:rsidRDefault="00C86EA9">
            <w:pPr>
              <w:pStyle w:val="TableBody"/>
            </w:pPr>
            <w:r>
              <w:t xml:space="preserve">DAMEO </w:t>
            </w:r>
            <w:r w:rsidRPr="001142A3">
              <w:rPr>
                <w:i/>
                <w:vertAlign w:val="subscript"/>
              </w:rPr>
              <w:t>q, p, r, h</w:t>
            </w:r>
          </w:p>
        </w:tc>
        <w:tc>
          <w:tcPr>
            <w:tcW w:w="900" w:type="dxa"/>
          </w:tcPr>
          <w:p w14:paraId="3CBE9D84" w14:textId="77777777" w:rsidR="00C86EA9" w:rsidRDefault="00C86EA9">
            <w:pPr>
              <w:pStyle w:val="TableBody"/>
            </w:pPr>
            <w:r>
              <w:t>$/MWh</w:t>
            </w:r>
          </w:p>
        </w:tc>
        <w:tc>
          <w:tcPr>
            <w:tcW w:w="6790" w:type="dxa"/>
          </w:tcPr>
          <w:p w14:paraId="77ADA65E" w14:textId="77777777" w:rsidR="00C86EA9" w:rsidRDefault="00C86EA9">
            <w:pPr>
              <w:pStyle w:val="TableBody"/>
              <w:rPr>
                <w:i/>
              </w:rPr>
            </w:pPr>
            <w:r>
              <w:rPr>
                <w:i/>
              </w:rPr>
              <w:t>Day-Ahead Minimum-Energy Offer per QSE per Settlement Point per Resource per hour</w:t>
            </w:r>
            <w:r>
              <w:t xml:space="preserve">—The Minimum-Energy Offer included in the Three-Part Supply Offer submitted in the DAM associated with Resource </w:t>
            </w:r>
            <w:r>
              <w:rPr>
                <w:i/>
              </w:rPr>
              <w:t>r</w:t>
            </w:r>
            <w:r>
              <w:t xml:space="preserve"> at Resource Node </w:t>
            </w:r>
            <w:r>
              <w:rPr>
                <w:i/>
              </w:rPr>
              <w:t>p</w:t>
            </w:r>
            <w:r>
              <w:t xml:space="preserve"> represented by QSE </w:t>
            </w:r>
            <w:r>
              <w:rPr>
                <w:i/>
              </w:rPr>
              <w:t>q</w:t>
            </w:r>
            <w:r>
              <w:t xml:space="preserve">, for the hour </w:t>
            </w:r>
            <w:r>
              <w:rPr>
                <w:i/>
              </w:rPr>
              <w:t>h</w:t>
            </w:r>
            <w:r>
              <w:t xml:space="preserve">.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C86EA9" w14:paraId="274ACB67" w14:textId="77777777" w:rsidTr="004825DD">
        <w:trPr>
          <w:cantSplit/>
        </w:trPr>
        <w:tc>
          <w:tcPr>
            <w:tcW w:w="1818" w:type="dxa"/>
          </w:tcPr>
          <w:p w14:paraId="7E821DC8" w14:textId="77777777" w:rsidR="00C86EA9" w:rsidRDefault="00C86EA9">
            <w:pPr>
              <w:pStyle w:val="TableBody"/>
            </w:pPr>
            <w:r>
              <w:t xml:space="preserve">DALSL </w:t>
            </w:r>
            <w:r w:rsidRPr="001142A3">
              <w:rPr>
                <w:i/>
                <w:vertAlign w:val="subscript"/>
              </w:rPr>
              <w:t>q, p, r, h</w:t>
            </w:r>
          </w:p>
        </w:tc>
        <w:tc>
          <w:tcPr>
            <w:tcW w:w="900" w:type="dxa"/>
          </w:tcPr>
          <w:p w14:paraId="60BD8D79" w14:textId="77777777" w:rsidR="00C86EA9" w:rsidRDefault="00C86EA9">
            <w:pPr>
              <w:pStyle w:val="TableBody"/>
            </w:pPr>
            <w:r>
              <w:t>MW</w:t>
            </w:r>
          </w:p>
        </w:tc>
        <w:tc>
          <w:tcPr>
            <w:tcW w:w="6790" w:type="dxa"/>
          </w:tcPr>
          <w:p w14:paraId="62E932B2" w14:textId="77777777" w:rsidR="00C86EA9" w:rsidRDefault="00C86EA9">
            <w:pPr>
              <w:pStyle w:val="TableBody"/>
            </w:pPr>
            <w:r>
              <w:rPr>
                <w:i/>
              </w:rPr>
              <w:t>Day-Ahead Low Sustained Limit per QSE per Settlement Point per Resource per hour</w:t>
            </w:r>
            <w:r>
              <w:sym w:font="Symbol" w:char="F0BE"/>
            </w:r>
            <w:r>
              <w:t xml:space="preserve">The Low Sustained Limit (LSL) of Resource </w:t>
            </w:r>
            <w:r>
              <w:rPr>
                <w:i/>
              </w:rPr>
              <w:t>r</w:t>
            </w:r>
            <w:r>
              <w:t xml:space="preserve"> at Resource Node </w:t>
            </w:r>
            <w:r>
              <w:rPr>
                <w:i/>
              </w:rPr>
              <w:t>p</w:t>
            </w:r>
            <w:r>
              <w:t xml:space="preserve"> represented by QSE </w:t>
            </w:r>
            <w:r>
              <w:rPr>
                <w:i/>
              </w:rPr>
              <w:t>q</w:t>
            </w:r>
            <w:r>
              <w:t xml:space="preserve">, for the hour </w:t>
            </w:r>
            <w:r>
              <w:rPr>
                <w:i/>
              </w:rPr>
              <w:t xml:space="preserve">h </w:t>
            </w:r>
            <w:r>
              <w:t xml:space="preserve">as seen in the 1000 Day-Ahead snapshot.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C86EA9" w14:paraId="7580547B" w14:textId="77777777" w:rsidTr="004825DD">
        <w:tc>
          <w:tcPr>
            <w:tcW w:w="1818" w:type="dxa"/>
          </w:tcPr>
          <w:p w14:paraId="7B6A081B" w14:textId="77777777" w:rsidR="00C86EA9" w:rsidRDefault="00C86EA9">
            <w:pPr>
              <w:pStyle w:val="TableBody"/>
              <w:rPr>
                <w:lang w:val="pt-BR"/>
              </w:rPr>
            </w:pPr>
            <w:r>
              <w:rPr>
                <w:lang w:val="pt-BR"/>
              </w:rPr>
              <w:t xml:space="preserve">DAAIEC </w:t>
            </w:r>
            <w:r w:rsidRPr="001142A3">
              <w:rPr>
                <w:i/>
                <w:vertAlign w:val="subscript"/>
                <w:lang w:val="pt-BR"/>
              </w:rPr>
              <w:t>q, p, r h</w:t>
            </w:r>
          </w:p>
        </w:tc>
        <w:tc>
          <w:tcPr>
            <w:tcW w:w="900" w:type="dxa"/>
          </w:tcPr>
          <w:p w14:paraId="2DC5DDE9" w14:textId="77777777" w:rsidR="00C86EA9" w:rsidRDefault="00C86EA9">
            <w:pPr>
              <w:pStyle w:val="TableBody"/>
            </w:pPr>
            <w:r>
              <w:t>$/MWh</w:t>
            </w:r>
          </w:p>
        </w:tc>
        <w:tc>
          <w:tcPr>
            <w:tcW w:w="6790" w:type="dxa"/>
          </w:tcPr>
          <w:p w14:paraId="1ADEEEEA" w14:textId="77777777" w:rsidR="00C86EA9" w:rsidRDefault="00C86EA9" w:rsidP="00C86EA9">
            <w:pPr>
              <w:pStyle w:val="TableBody"/>
            </w:pPr>
            <w:r>
              <w:rPr>
                <w:i/>
              </w:rPr>
              <w:t>Day-Ahead Average Incremental Energy Cost per QSE per Settlement Point per Resource per hour</w:t>
            </w:r>
            <w:r>
              <w:sym w:font="Symbol" w:char="F0BE"/>
            </w:r>
            <w:r>
              <w:t xml:space="preserve">The average incremental energy cost, calculated according to the Energy Offer Curve capped by the generic energy price, for the output levels between the DAESR and the LSL of Resource </w:t>
            </w:r>
            <w:r>
              <w:rPr>
                <w:i/>
              </w:rPr>
              <w:t>r</w:t>
            </w:r>
            <w:r>
              <w:t xml:space="preserve"> at Resource Node </w:t>
            </w:r>
            <w:r>
              <w:rPr>
                <w:i/>
              </w:rPr>
              <w:t>p</w:t>
            </w:r>
            <w:r>
              <w:t xml:space="preserve"> represented by QSE </w:t>
            </w:r>
            <w:r>
              <w:rPr>
                <w:i/>
              </w:rPr>
              <w:t>q</w:t>
            </w:r>
            <w:r>
              <w:t xml:space="preserve">, for the hour </w:t>
            </w:r>
            <w:r>
              <w:rPr>
                <w:i/>
              </w:rPr>
              <w:t>h</w:t>
            </w:r>
            <w:r>
              <w:t xml:space="preserve">.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C86EA9" w14:paraId="3D5648DD" w14:textId="77777777" w:rsidTr="004825DD">
        <w:trPr>
          <w:cantSplit/>
        </w:trPr>
        <w:tc>
          <w:tcPr>
            <w:tcW w:w="1818" w:type="dxa"/>
          </w:tcPr>
          <w:p w14:paraId="5735EBD7" w14:textId="77777777" w:rsidR="00C86EA9" w:rsidRPr="001142A3" w:rsidRDefault="00C86EA9">
            <w:pPr>
              <w:pStyle w:val="TableBody"/>
              <w:rPr>
                <w:i/>
              </w:rPr>
            </w:pPr>
            <w:r w:rsidRPr="001142A3">
              <w:rPr>
                <w:i/>
              </w:rPr>
              <w:lastRenderedPageBreak/>
              <w:t>q</w:t>
            </w:r>
          </w:p>
        </w:tc>
        <w:tc>
          <w:tcPr>
            <w:tcW w:w="900" w:type="dxa"/>
          </w:tcPr>
          <w:p w14:paraId="4AA58C5E" w14:textId="77777777" w:rsidR="00C86EA9" w:rsidRDefault="00C86EA9">
            <w:pPr>
              <w:pStyle w:val="TableBody"/>
            </w:pPr>
            <w:r>
              <w:t>none</w:t>
            </w:r>
          </w:p>
        </w:tc>
        <w:tc>
          <w:tcPr>
            <w:tcW w:w="6790" w:type="dxa"/>
          </w:tcPr>
          <w:p w14:paraId="4C06D641" w14:textId="77777777" w:rsidR="00C86EA9" w:rsidRDefault="00C86EA9">
            <w:pPr>
              <w:pStyle w:val="TableBody"/>
            </w:pPr>
            <w:r>
              <w:t>A QSE.</w:t>
            </w:r>
          </w:p>
        </w:tc>
      </w:tr>
      <w:tr w:rsidR="00C86EA9" w14:paraId="5F246868" w14:textId="77777777" w:rsidTr="004825DD">
        <w:trPr>
          <w:cantSplit/>
        </w:trPr>
        <w:tc>
          <w:tcPr>
            <w:tcW w:w="1818" w:type="dxa"/>
          </w:tcPr>
          <w:p w14:paraId="32362A8A" w14:textId="77777777" w:rsidR="00C86EA9" w:rsidRPr="001142A3" w:rsidRDefault="00C86EA9">
            <w:pPr>
              <w:pStyle w:val="TableBody"/>
              <w:rPr>
                <w:i/>
              </w:rPr>
            </w:pPr>
            <w:r w:rsidRPr="001142A3">
              <w:rPr>
                <w:i/>
              </w:rPr>
              <w:t>p</w:t>
            </w:r>
          </w:p>
        </w:tc>
        <w:tc>
          <w:tcPr>
            <w:tcW w:w="900" w:type="dxa"/>
          </w:tcPr>
          <w:p w14:paraId="630ACB52" w14:textId="77777777" w:rsidR="00C86EA9" w:rsidRDefault="00C86EA9">
            <w:pPr>
              <w:pStyle w:val="TableBody"/>
            </w:pPr>
            <w:r>
              <w:t>none</w:t>
            </w:r>
          </w:p>
        </w:tc>
        <w:tc>
          <w:tcPr>
            <w:tcW w:w="6790" w:type="dxa"/>
          </w:tcPr>
          <w:p w14:paraId="3026E4CD" w14:textId="77777777" w:rsidR="00C86EA9" w:rsidRDefault="00C86EA9">
            <w:pPr>
              <w:pStyle w:val="TableBody"/>
            </w:pPr>
            <w:r>
              <w:t>A Resource Node Settlement Point.</w:t>
            </w:r>
          </w:p>
        </w:tc>
      </w:tr>
      <w:tr w:rsidR="00C86EA9" w14:paraId="1DCD9458" w14:textId="77777777" w:rsidTr="004825DD">
        <w:trPr>
          <w:cantSplit/>
        </w:trPr>
        <w:tc>
          <w:tcPr>
            <w:tcW w:w="1818" w:type="dxa"/>
          </w:tcPr>
          <w:p w14:paraId="12C6591E" w14:textId="77777777" w:rsidR="00C86EA9" w:rsidRPr="001142A3" w:rsidRDefault="00C86EA9">
            <w:pPr>
              <w:pStyle w:val="TableBody"/>
              <w:rPr>
                <w:i/>
              </w:rPr>
            </w:pPr>
            <w:r w:rsidRPr="001142A3">
              <w:rPr>
                <w:i/>
              </w:rPr>
              <w:t>r</w:t>
            </w:r>
          </w:p>
        </w:tc>
        <w:tc>
          <w:tcPr>
            <w:tcW w:w="900" w:type="dxa"/>
          </w:tcPr>
          <w:p w14:paraId="5E5586A0" w14:textId="77777777" w:rsidR="00C86EA9" w:rsidRDefault="00C86EA9">
            <w:pPr>
              <w:pStyle w:val="TableBody"/>
            </w:pPr>
            <w:r>
              <w:t>none</w:t>
            </w:r>
          </w:p>
        </w:tc>
        <w:tc>
          <w:tcPr>
            <w:tcW w:w="6790" w:type="dxa"/>
          </w:tcPr>
          <w:p w14:paraId="121A80D8" w14:textId="77777777" w:rsidR="00C86EA9" w:rsidRDefault="00C86EA9">
            <w:pPr>
              <w:pStyle w:val="TableBody"/>
            </w:pPr>
            <w:r>
              <w:t>A DAM-committed Generation Resource.</w:t>
            </w:r>
          </w:p>
        </w:tc>
      </w:tr>
      <w:tr w:rsidR="00C86EA9" w14:paraId="663E9EF2" w14:textId="77777777" w:rsidTr="004825DD">
        <w:trPr>
          <w:cantSplit/>
        </w:trPr>
        <w:tc>
          <w:tcPr>
            <w:tcW w:w="1818" w:type="dxa"/>
          </w:tcPr>
          <w:p w14:paraId="72C0BE72" w14:textId="77777777" w:rsidR="00C86EA9" w:rsidRPr="001142A3" w:rsidRDefault="00C86EA9">
            <w:pPr>
              <w:pStyle w:val="TableBody"/>
              <w:rPr>
                <w:i/>
              </w:rPr>
            </w:pPr>
            <w:r w:rsidRPr="001142A3">
              <w:rPr>
                <w:i/>
              </w:rPr>
              <w:t>h</w:t>
            </w:r>
          </w:p>
        </w:tc>
        <w:tc>
          <w:tcPr>
            <w:tcW w:w="900" w:type="dxa"/>
          </w:tcPr>
          <w:p w14:paraId="67570A61" w14:textId="77777777" w:rsidR="00C86EA9" w:rsidRDefault="00C86EA9">
            <w:pPr>
              <w:pStyle w:val="TableBody"/>
            </w:pPr>
            <w:r>
              <w:t>none</w:t>
            </w:r>
          </w:p>
        </w:tc>
        <w:tc>
          <w:tcPr>
            <w:tcW w:w="6790" w:type="dxa"/>
          </w:tcPr>
          <w:p w14:paraId="11362BE5" w14:textId="77777777" w:rsidR="00C86EA9" w:rsidRDefault="00C86EA9">
            <w:pPr>
              <w:pStyle w:val="TableBody"/>
            </w:pPr>
            <w:r>
              <w:t>An hour in the DAM-commitment period.</w:t>
            </w:r>
          </w:p>
        </w:tc>
      </w:tr>
      <w:tr w:rsidR="001C28F7" w:rsidRPr="009E5389" w14:paraId="7E9CBA0E" w14:textId="77777777" w:rsidTr="004825DD">
        <w:trPr>
          <w:cantSplit/>
        </w:trPr>
        <w:tc>
          <w:tcPr>
            <w:tcW w:w="1818" w:type="dxa"/>
          </w:tcPr>
          <w:p w14:paraId="0B6490F2" w14:textId="77777777" w:rsidR="001C28F7" w:rsidRPr="001142A3" w:rsidRDefault="001C28F7" w:rsidP="005C251B">
            <w:pPr>
              <w:spacing w:after="60"/>
              <w:rPr>
                <w:i/>
                <w:iCs/>
                <w:sz w:val="20"/>
                <w:szCs w:val="20"/>
              </w:rPr>
            </w:pPr>
            <w:r w:rsidRPr="001142A3">
              <w:rPr>
                <w:i/>
                <w:iCs/>
                <w:sz w:val="20"/>
                <w:szCs w:val="20"/>
              </w:rPr>
              <w:t>c</w:t>
            </w:r>
          </w:p>
        </w:tc>
        <w:tc>
          <w:tcPr>
            <w:tcW w:w="900" w:type="dxa"/>
          </w:tcPr>
          <w:p w14:paraId="2C193E06" w14:textId="77777777" w:rsidR="001C28F7" w:rsidRPr="009E5389" w:rsidRDefault="001C28F7" w:rsidP="005C251B">
            <w:pPr>
              <w:spacing w:after="60"/>
              <w:rPr>
                <w:iCs/>
                <w:sz w:val="20"/>
                <w:szCs w:val="20"/>
              </w:rPr>
            </w:pPr>
            <w:r w:rsidRPr="009E5389">
              <w:rPr>
                <w:iCs/>
                <w:sz w:val="20"/>
                <w:szCs w:val="20"/>
              </w:rPr>
              <w:t>none</w:t>
            </w:r>
          </w:p>
        </w:tc>
        <w:tc>
          <w:tcPr>
            <w:tcW w:w="6790" w:type="dxa"/>
          </w:tcPr>
          <w:p w14:paraId="5F6D492A" w14:textId="77777777" w:rsidR="001C28F7" w:rsidRPr="009E5389" w:rsidRDefault="001C28F7" w:rsidP="005C251B">
            <w:pPr>
              <w:spacing w:after="60"/>
              <w:rPr>
                <w:iCs/>
                <w:sz w:val="20"/>
                <w:szCs w:val="20"/>
              </w:rPr>
            </w:pPr>
            <w:r>
              <w:rPr>
                <w:iCs/>
                <w:sz w:val="20"/>
                <w:szCs w:val="20"/>
              </w:rPr>
              <w:t>A contiguous block of DAM-</w:t>
            </w:r>
            <w:r w:rsidRPr="009E5389">
              <w:rPr>
                <w:iCs/>
                <w:sz w:val="20"/>
                <w:szCs w:val="20"/>
              </w:rPr>
              <w:t>committed hours.</w:t>
            </w:r>
          </w:p>
        </w:tc>
      </w:tr>
      <w:tr w:rsidR="00C86EA9" w14:paraId="2064D799" w14:textId="77777777" w:rsidTr="004825DD">
        <w:trPr>
          <w:cantSplit/>
        </w:trPr>
        <w:tc>
          <w:tcPr>
            <w:tcW w:w="1818" w:type="dxa"/>
          </w:tcPr>
          <w:p w14:paraId="5D9A9735" w14:textId="77777777" w:rsidR="00C86EA9" w:rsidRPr="001142A3" w:rsidRDefault="00C86EA9">
            <w:pPr>
              <w:pStyle w:val="TableBody"/>
              <w:rPr>
                <w:i/>
              </w:rPr>
            </w:pPr>
            <w:r w:rsidRPr="001142A3">
              <w:rPr>
                <w:i/>
              </w:rPr>
              <w:t>afterCCGR</w:t>
            </w:r>
          </w:p>
        </w:tc>
        <w:tc>
          <w:tcPr>
            <w:tcW w:w="900" w:type="dxa"/>
          </w:tcPr>
          <w:p w14:paraId="0EA7AA4B" w14:textId="77777777" w:rsidR="00C86EA9" w:rsidRDefault="00C86EA9">
            <w:pPr>
              <w:pStyle w:val="TableBody"/>
            </w:pPr>
            <w:r>
              <w:t>none</w:t>
            </w:r>
          </w:p>
        </w:tc>
        <w:tc>
          <w:tcPr>
            <w:tcW w:w="6790" w:type="dxa"/>
          </w:tcPr>
          <w:p w14:paraId="513CB126" w14:textId="77777777" w:rsidR="00C86EA9" w:rsidRDefault="00C86EA9">
            <w:pPr>
              <w:pStyle w:val="TableBody"/>
            </w:pPr>
            <w:r>
              <w:t>The Combined Cycle Generation Resource to which a Combined Cycle Train transitions.</w:t>
            </w:r>
          </w:p>
        </w:tc>
      </w:tr>
      <w:tr w:rsidR="00C86EA9" w14:paraId="2827C93E" w14:textId="77777777" w:rsidTr="004825DD">
        <w:trPr>
          <w:cantSplit/>
        </w:trPr>
        <w:tc>
          <w:tcPr>
            <w:tcW w:w="1818" w:type="dxa"/>
          </w:tcPr>
          <w:p w14:paraId="57AFC56C" w14:textId="77777777" w:rsidR="00C86EA9" w:rsidRPr="001142A3" w:rsidRDefault="00C86EA9">
            <w:pPr>
              <w:pStyle w:val="TableBody"/>
              <w:rPr>
                <w:i/>
              </w:rPr>
            </w:pPr>
            <w:r w:rsidRPr="001142A3">
              <w:rPr>
                <w:i/>
              </w:rPr>
              <w:t>beforeCCGR</w:t>
            </w:r>
          </w:p>
        </w:tc>
        <w:tc>
          <w:tcPr>
            <w:tcW w:w="900" w:type="dxa"/>
          </w:tcPr>
          <w:p w14:paraId="0D35ACF5" w14:textId="77777777" w:rsidR="00C86EA9" w:rsidRDefault="00C86EA9">
            <w:pPr>
              <w:pStyle w:val="TableBody"/>
            </w:pPr>
            <w:r>
              <w:t>none</w:t>
            </w:r>
          </w:p>
        </w:tc>
        <w:tc>
          <w:tcPr>
            <w:tcW w:w="6790" w:type="dxa"/>
          </w:tcPr>
          <w:p w14:paraId="5F38FBFC" w14:textId="77777777" w:rsidR="00C86EA9" w:rsidRDefault="00C86EA9">
            <w:pPr>
              <w:pStyle w:val="TableBody"/>
            </w:pPr>
            <w:r>
              <w:t>The Combined Cycle Generation Resource from which a Combined Cycle Train transitions.</w:t>
            </w:r>
          </w:p>
        </w:tc>
      </w:tr>
    </w:tbl>
    <w:p w14:paraId="19600912" w14:textId="77777777" w:rsidR="00FF2129" w:rsidRDefault="00482EF3" w:rsidP="002E0760">
      <w:pPr>
        <w:pStyle w:val="BodyTextNumbered"/>
        <w:spacing w:before="240"/>
      </w:pPr>
      <w:bookmarkStart w:id="718" w:name="_Toc75852537"/>
      <w:bookmarkStart w:id="719" w:name="_Toc90197142"/>
      <w:r>
        <w:t>(</w:t>
      </w:r>
      <w:r w:rsidR="002E0760">
        <w:t>8</w:t>
      </w:r>
      <w:r>
        <w:t>)</w:t>
      </w:r>
      <w:r>
        <w:tab/>
        <w:t>The calculation of the Day-Ahead Average Incremental Energy Cost for each Resource for each hour is illustrated with the picture below, where P</w:t>
      </w:r>
      <w:r>
        <w:rPr>
          <w:vertAlign w:val="subscript"/>
        </w:rPr>
        <w:t>cap</w:t>
      </w:r>
      <w:r>
        <w:t xml:space="preserve"> is the Energy Offer Curve Cap.  The method to calculate such cost is described in Section 4.6.5, Calculation of “Average Incremental Energy Cost” </w:t>
      </w:r>
      <w:bookmarkStart w:id="720" w:name="OLE_LINK3"/>
      <w:r>
        <w:t>(AIEC).</w:t>
      </w:r>
      <w:bookmarkEnd w:id="720"/>
    </w:p>
    <w:p w14:paraId="1448BE33" w14:textId="77777777" w:rsidR="00FF2129" w:rsidRDefault="00DF6616">
      <w:r>
        <w:rPr>
          <w:noProof/>
        </w:rPr>
        <mc:AlternateContent>
          <mc:Choice Requires="wps">
            <w:drawing>
              <wp:anchor distT="0" distB="0" distL="114300" distR="114300" simplePos="0" relativeHeight="251659264" behindDoc="0" locked="0" layoutInCell="1" allowOverlap="1" wp14:anchorId="702C57EB" wp14:editId="7035BEDD">
                <wp:simplePos x="0" y="0"/>
                <wp:positionH relativeFrom="column">
                  <wp:posOffset>-10160</wp:posOffset>
                </wp:positionH>
                <wp:positionV relativeFrom="paragraph">
                  <wp:posOffset>1270</wp:posOffset>
                </wp:positionV>
                <wp:extent cx="431800" cy="2400300"/>
                <wp:effectExtent l="0" t="1270" r="0" b="0"/>
                <wp:wrapNone/>
                <wp:docPr id="46"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4AC44" w14:textId="77777777" w:rsidR="00FB5E49" w:rsidRDefault="00FB5E49">
                            <w:pPr>
                              <w:jc w:val="center"/>
                              <w:rPr>
                                <w:sz w:val="20"/>
                                <w:szCs w:val="20"/>
                              </w:rPr>
                            </w:pPr>
                            <w:r>
                              <w:rPr>
                                <w:sz w:val="20"/>
                                <w:szCs w:val="20"/>
                              </w:rPr>
                              <w:t>$/</w:t>
                            </w:r>
                          </w:p>
                          <w:p w14:paraId="6571826B" w14:textId="77777777" w:rsidR="00FB5E49" w:rsidRDefault="00FB5E49">
                            <w:pPr>
                              <w:jc w:val="center"/>
                              <w:rPr>
                                <w:sz w:val="20"/>
                                <w:szCs w:val="20"/>
                              </w:rPr>
                            </w:pPr>
                            <w:r>
                              <w:rPr>
                                <w:sz w:val="20"/>
                                <w:szCs w:val="20"/>
                              </w:rPr>
                              <w:t>MWh</w:t>
                            </w:r>
                          </w:p>
                          <w:p w14:paraId="4EA53B48" w14:textId="77777777" w:rsidR="00FB5E49" w:rsidRDefault="00FB5E49">
                            <w:pPr>
                              <w:jc w:val="center"/>
                              <w:rPr>
                                <w:sz w:val="20"/>
                                <w:szCs w:val="20"/>
                              </w:rPr>
                            </w:pPr>
                          </w:p>
                          <w:p w14:paraId="33E00F06" w14:textId="77777777" w:rsidR="00FB5E49" w:rsidRDefault="00FB5E49">
                            <w:pPr>
                              <w:jc w:val="center"/>
                              <w:rPr>
                                <w:sz w:val="20"/>
                                <w:szCs w:val="20"/>
                              </w:rPr>
                            </w:pPr>
                          </w:p>
                          <w:p w14:paraId="35AD392A" w14:textId="77777777" w:rsidR="00FB5E49" w:rsidRDefault="00FB5E49">
                            <w:pPr>
                              <w:jc w:val="center"/>
                              <w:rPr>
                                <w:sz w:val="20"/>
                                <w:szCs w:val="20"/>
                              </w:rPr>
                            </w:pPr>
                            <w:r>
                              <w:rPr>
                                <w:sz w:val="20"/>
                                <w:szCs w:val="20"/>
                              </w:rPr>
                              <w:t>DASPP</w:t>
                            </w:r>
                          </w:p>
                          <w:p w14:paraId="5176CDE2" w14:textId="77777777" w:rsidR="00FB5E49" w:rsidRDefault="00FB5E49">
                            <w:pPr>
                              <w:jc w:val="center"/>
                              <w:rPr>
                                <w:sz w:val="20"/>
                                <w:szCs w:val="20"/>
                              </w:rPr>
                            </w:pPr>
                          </w:p>
                          <w:p w14:paraId="55C537D5" w14:textId="77777777" w:rsidR="00FB5E49" w:rsidRDefault="00FB5E49">
                            <w:pPr>
                              <w:jc w:val="center"/>
                              <w:rPr>
                                <w:sz w:val="20"/>
                                <w:szCs w:val="20"/>
                              </w:rPr>
                            </w:pPr>
                          </w:p>
                          <w:p w14:paraId="09FBD354" w14:textId="77777777" w:rsidR="00FB5E49" w:rsidRDefault="00FB5E49">
                            <w:pPr>
                              <w:jc w:val="center"/>
                              <w:rPr>
                                <w:sz w:val="20"/>
                                <w:szCs w:val="20"/>
                              </w:rPr>
                            </w:pPr>
                          </w:p>
                          <w:p w14:paraId="1CE6F50A" w14:textId="77777777" w:rsidR="00FB5E49" w:rsidRDefault="00FB5E49">
                            <w:pPr>
                              <w:jc w:val="center"/>
                              <w:rPr>
                                <w:sz w:val="20"/>
                                <w:szCs w:val="20"/>
                              </w:rPr>
                            </w:pPr>
                            <w:r>
                              <w:rPr>
                                <w:sz w:val="20"/>
                                <w:szCs w:val="20"/>
                              </w:rPr>
                              <w:t xml:space="preserve">P </w:t>
                            </w:r>
                            <w:r>
                              <w:rPr>
                                <w:sz w:val="20"/>
                                <w:szCs w:val="20"/>
                                <w:vertAlign w:val="subscript"/>
                              </w:rPr>
                              <w:t>cap</w:t>
                            </w:r>
                          </w:p>
                          <w:p w14:paraId="63534AF6" w14:textId="77777777" w:rsidR="00FB5E49" w:rsidRDefault="00FB5E49">
                            <w:pPr>
                              <w:jc w:val="center"/>
                              <w:rPr>
                                <w:sz w:val="20"/>
                                <w:szCs w:val="20"/>
                              </w:rPr>
                            </w:pPr>
                            <w:r>
                              <w:rPr>
                                <w:sz w:val="20"/>
                                <w:szCs w:val="20"/>
                              </w:rPr>
                              <w:t>P</w:t>
                            </w:r>
                            <w:r>
                              <w:rPr>
                                <w:sz w:val="20"/>
                                <w:szCs w:val="20"/>
                                <w:vertAlign w:val="subscript"/>
                              </w:rPr>
                              <w:t>3</w:t>
                            </w:r>
                          </w:p>
                          <w:p w14:paraId="0D6FA067" w14:textId="77777777" w:rsidR="00FB5E49" w:rsidRDefault="00FB5E49">
                            <w:pPr>
                              <w:jc w:val="center"/>
                              <w:rPr>
                                <w:sz w:val="20"/>
                                <w:szCs w:val="20"/>
                              </w:rPr>
                            </w:pPr>
                          </w:p>
                          <w:p w14:paraId="0E694B84" w14:textId="77777777" w:rsidR="00FB5E49" w:rsidRDefault="00FB5E49">
                            <w:pPr>
                              <w:jc w:val="center"/>
                              <w:rPr>
                                <w:sz w:val="20"/>
                                <w:szCs w:val="20"/>
                              </w:rPr>
                            </w:pPr>
                            <w:r>
                              <w:rPr>
                                <w:sz w:val="20"/>
                                <w:szCs w:val="20"/>
                              </w:rPr>
                              <w:t>P</w:t>
                            </w:r>
                            <w:r>
                              <w:rPr>
                                <w:sz w:val="20"/>
                                <w:szCs w:val="20"/>
                                <w:vertAlign w:val="subscript"/>
                              </w:rPr>
                              <w:t>2</w:t>
                            </w:r>
                          </w:p>
                          <w:p w14:paraId="7882ADFD" w14:textId="77777777" w:rsidR="00FB5E49" w:rsidRDefault="00FB5E49">
                            <w:pPr>
                              <w:jc w:val="center"/>
                              <w:rPr>
                                <w:sz w:val="20"/>
                                <w:szCs w:val="20"/>
                              </w:rPr>
                            </w:pPr>
                            <w:r>
                              <w:rPr>
                                <w:sz w:val="20"/>
                                <w:szCs w:val="20"/>
                              </w:rPr>
                              <w:t>P</w:t>
                            </w:r>
                            <w:r>
                              <w:rPr>
                                <w:sz w:val="20"/>
                                <w:szCs w:val="20"/>
                                <w:vertAlign w:val="subscript"/>
                              </w:rPr>
                              <w:t>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C57EB" id="_x0000_t202" coordsize="21600,21600" o:spt="202" path="m,l,21600r21600,l21600,xe">
                <v:stroke joinstyle="miter"/>
                <v:path gradientshapeok="t" o:connecttype="rect"/>
              </v:shapetype>
              <v:shape id="Text Box 495" o:spid="_x0000_s1026" type="#_x0000_t202" style="position:absolute;margin-left:-.8pt;margin-top:.1pt;width:34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" filled="f" stroked="f">
                <v:textbox inset="0,,0">
                  <w:txbxContent>
                    <w:p w14:paraId="41A4AC44" w14:textId="77777777" w:rsidR="00FB5E49" w:rsidRDefault="00FB5E49">
                      <w:pPr>
                        <w:jc w:val="center"/>
                        <w:rPr>
                          <w:sz w:val="20"/>
                          <w:szCs w:val="20"/>
                        </w:rPr>
                      </w:pPr>
                      <w:r>
                        <w:rPr>
                          <w:sz w:val="20"/>
                          <w:szCs w:val="20"/>
                        </w:rPr>
                        <w:t>$/</w:t>
                      </w:r>
                    </w:p>
                    <w:p w14:paraId="6571826B" w14:textId="77777777" w:rsidR="00FB5E49" w:rsidRDefault="00FB5E49">
                      <w:pPr>
                        <w:jc w:val="center"/>
                        <w:rPr>
                          <w:sz w:val="20"/>
                          <w:szCs w:val="20"/>
                        </w:rPr>
                      </w:pPr>
                      <w:r>
                        <w:rPr>
                          <w:sz w:val="20"/>
                          <w:szCs w:val="20"/>
                        </w:rPr>
                        <w:t>MWh</w:t>
                      </w:r>
                    </w:p>
                    <w:p w14:paraId="4EA53B48" w14:textId="77777777" w:rsidR="00FB5E49" w:rsidRDefault="00FB5E49">
                      <w:pPr>
                        <w:jc w:val="center"/>
                        <w:rPr>
                          <w:sz w:val="20"/>
                          <w:szCs w:val="20"/>
                        </w:rPr>
                      </w:pPr>
                    </w:p>
                    <w:p w14:paraId="33E00F06" w14:textId="77777777" w:rsidR="00FB5E49" w:rsidRDefault="00FB5E49">
                      <w:pPr>
                        <w:jc w:val="center"/>
                        <w:rPr>
                          <w:sz w:val="20"/>
                          <w:szCs w:val="20"/>
                        </w:rPr>
                      </w:pPr>
                    </w:p>
                    <w:p w14:paraId="35AD392A" w14:textId="77777777" w:rsidR="00FB5E49" w:rsidRDefault="00FB5E49">
                      <w:pPr>
                        <w:jc w:val="center"/>
                        <w:rPr>
                          <w:sz w:val="20"/>
                          <w:szCs w:val="20"/>
                        </w:rPr>
                      </w:pPr>
                      <w:r>
                        <w:rPr>
                          <w:sz w:val="20"/>
                          <w:szCs w:val="20"/>
                        </w:rPr>
                        <w:t>DASPP</w:t>
                      </w:r>
                    </w:p>
                    <w:p w14:paraId="5176CDE2" w14:textId="77777777" w:rsidR="00FB5E49" w:rsidRDefault="00FB5E49">
                      <w:pPr>
                        <w:jc w:val="center"/>
                        <w:rPr>
                          <w:sz w:val="20"/>
                          <w:szCs w:val="20"/>
                        </w:rPr>
                      </w:pPr>
                    </w:p>
                    <w:p w14:paraId="55C537D5" w14:textId="77777777" w:rsidR="00FB5E49" w:rsidRDefault="00FB5E49">
                      <w:pPr>
                        <w:jc w:val="center"/>
                        <w:rPr>
                          <w:sz w:val="20"/>
                          <w:szCs w:val="20"/>
                        </w:rPr>
                      </w:pPr>
                    </w:p>
                    <w:p w14:paraId="09FBD354" w14:textId="77777777" w:rsidR="00FB5E49" w:rsidRDefault="00FB5E49">
                      <w:pPr>
                        <w:jc w:val="center"/>
                        <w:rPr>
                          <w:sz w:val="20"/>
                          <w:szCs w:val="20"/>
                        </w:rPr>
                      </w:pPr>
                    </w:p>
                    <w:p w14:paraId="1CE6F50A" w14:textId="77777777" w:rsidR="00FB5E49" w:rsidRDefault="00FB5E49">
                      <w:pPr>
                        <w:jc w:val="center"/>
                        <w:rPr>
                          <w:sz w:val="20"/>
                          <w:szCs w:val="20"/>
                        </w:rPr>
                      </w:pPr>
                      <w:r>
                        <w:rPr>
                          <w:sz w:val="20"/>
                          <w:szCs w:val="20"/>
                        </w:rPr>
                        <w:t xml:space="preserve">P </w:t>
                      </w:r>
                      <w:r>
                        <w:rPr>
                          <w:sz w:val="20"/>
                          <w:szCs w:val="20"/>
                          <w:vertAlign w:val="subscript"/>
                        </w:rPr>
                        <w:t>cap</w:t>
                      </w:r>
                    </w:p>
                    <w:p w14:paraId="63534AF6" w14:textId="77777777" w:rsidR="00FB5E49" w:rsidRDefault="00FB5E49">
                      <w:pPr>
                        <w:jc w:val="center"/>
                        <w:rPr>
                          <w:sz w:val="20"/>
                          <w:szCs w:val="20"/>
                        </w:rPr>
                      </w:pPr>
                      <w:r>
                        <w:rPr>
                          <w:sz w:val="20"/>
                          <w:szCs w:val="20"/>
                        </w:rPr>
                        <w:t>P</w:t>
                      </w:r>
                      <w:r>
                        <w:rPr>
                          <w:sz w:val="20"/>
                          <w:szCs w:val="20"/>
                          <w:vertAlign w:val="subscript"/>
                        </w:rPr>
                        <w:t>3</w:t>
                      </w:r>
                    </w:p>
                    <w:p w14:paraId="0D6FA067" w14:textId="77777777" w:rsidR="00FB5E49" w:rsidRDefault="00FB5E49">
                      <w:pPr>
                        <w:jc w:val="center"/>
                        <w:rPr>
                          <w:sz w:val="20"/>
                          <w:szCs w:val="20"/>
                        </w:rPr>
                      </w:pPr>
                    </w:p>
                    <w:p w14:paraId="0E694B84" w14:textId="77777777" w:rsidR="00FB5E49" w:rsidRDefault="00FB5E49">
                      <w:pPr>
                        <w:jc w:val="center"/>
                        <w:rPr>
                          <w:sz w:val="20"/>
                          <w:szCs w:val="20"/>
                        </w:rPr>
                      </w:pPr>
                      <w:r>
                        <w:rPr>
                          <w:sz w:val="20"/>
                          <w:szCs w:val="20"/>
                        </w:rPr>
                        <w:t>P</w:t>
                      </w:r>
                      <w:r>
                        <w:rPr>
                          <w:sz w:val="20"/>
                          <w:szCs w:val="20"/>
                          <w:vertAlign w:val="subscript"/>
                        </w:rPr>
                        <w:t>2</w:t>
                      </w:r>
                    </w:p>
                    <w:p w14:paraId="7882ADFD" w14:textId="77777777" w:rsidR="00FB5E49" w:rsidRDefault="00FB5E49">
                      <w:pPr>
                        <w:jc w:val="center"/>
                        <w:rPr>
                          <w:sz w:val="20"/>
                          <w:szCs w:val="20"/>
                        </w:rPr>
                      </w:pPr>
                      <w:r>
                        <w:rPr>
                          <w:sz w:val="20"/>
                          <w:szCs w:val="20"/>
                        </w:rPr>
                        <w:t>P</w:t>
                      </w:r>
                      <w:r>
                        <w:rPr>
                          <w:sz w:val="20"/>
                          <w:szCs w:val="20"/>
                          <w:vertAlign w:val="subscript"/>
                        </w:rPr>
                        <w:t>1</w:t>
                      </w:r>
                    </w:p>
                  </w:txbxContent>
                </v:textbox>
              </v:shape>
            </w:pict>
          </mc:Fallback>
        </mc:AlternateContent>
      </w:r>
      <w:r>
        <w:rPr>
          <w:noProof/>
        </w:rPr>
        <mc:AlternateContent>
          <mc:Choice Requires="wpc">
            <w:drawing>
              <wp:inline distT="0" distB="0" distL="0" distR="0" wp14:anchorId="58E82516" wp14:editId="5CE3A01F">
                <wp:extent cx="5486400" cy="2987040"/>
                <wp:effectExtent l="0" t="0" r="0" b="3810"/>
                <wp:docPr id="510" name="Canvas 5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 name="Line 511"/>
                        <wps:cNvCnPr>
                          <a:cxnSpLocks noChangeShapeType="1"/>
                        </wps:cNvCnPr>
                        <wps:spPr bwMode="auto">
                          <a:xfrm flipH="1">
                            <a:off x="415290" y="763270"/>
                            <a:ext cx="32004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 name="Line 512"/>
                        <wps:cNvCnPr>
                          <a:cxnSpLocks noChangeShapeType="1"/>
                        </wps:cNvCnPr>
                        <wps:spPr bwMode="auto">
                          <a:xfrm flipV="1">
                            <a:off x="3615690" y="764540"/>
                            <a:ext cx="635" cy="49276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1638BE2" id="Canvas 510" o:spid="_x0000_s1026" editas="canvas" style="width:6in;height:235.2pt;mso-position-horizontal-relative:char;mso-position-vertical-relative:line" coordsize="54864,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">
                <v:shape id="_x0000_s1027" type="#_x0000_t75" style="position:absolute;width:54864;height:29870;visibility:visible;mso-wrap-style:square">
                  <v:fill o:detectmouseclick="t"/>
                  <v:path o:connecttype="none"/>
                </v:shape>
                <v:line id="Line 511" o:spid="_x0000_s1028" style="position:absolute;flip:x;visibility:visible;mso-wrap-style:square" from="4152,7632" to="36156,7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">
                  <v:stroke dashstyle="longDash"/>
                </v:line>
                <v:line id="Line 512" o:spid="_x0000_s1029" style="position:absolute;flip:y;visibility:visible;mso-wrap-style:square" from="36156,7645" to="3616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">
                  <v:stroke dashstyle="longDash"/>
                </v:line>
                <w10:anchorlock/>
              </v:group>
            </w:pict>
          </mc:Fallback>
        </mc:AlternateContent>
      </w:r>
      <w:r>
        <w:rPr>
          <w:noProof/>
        </w:rPr>
        <mc:AlternateContent>
          <mc:Choice Requires="wps">
            <w:drawing>
              <wp:anchor distT="0" distB="0" distL="114300" distR="114300" simplePos="0" relativeHeight="251662336" behindDoc="0" locked="0" layoutInCell="1" allowOverlap="1" wp14:anchorId="2382AB04" wp14:editId="66E7858D">
                <wp:simplePos x="0" y="0"/>
                <wp:positionH relativeFrom="column">
                  <wp:posOffset>0</wp:posOffset>
                </wp:positionH>
                <wp:positionV relativeFrom="paragraph">
                  <wp:posOffset>0</wp:posOffset>
                </wp:positionV>
                <wp:extent cx="5210175" cy="2743200"/>
                <wp:effectExtent l="0" t="0" r="0" b="0"/>
                <wp:wrapNone/>
                <wp:docPr id="41" name="AutoShape 5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0175" cy="27432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646B7" id="AutoShape 506" o:spid="_x0000_s1026" style="position:absolute;margin-left:0;margin-top:0;width:410.25pt;height:3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" filled="f" stroked="f">
                <o:lock v:ext="edit" aspectratio="t"/>
              </v:rect>
            </w:pict>
          </mc:Fallback>
        </mc:AlternateContent>
      </w:r>
      <w:r>
        <w:rPr>
          <w:noProof/>
        </w:rPr>
        <mc:AlternateContent>
          <mc:Choice Requires="wps">
            <w:drawing>
              <wp:anchor distT="0" distB="0" distL="114300" distR="114300" simplePos="0" relativeHeight="251650048" behindDoc="0" locked="0" layoutInCell="1" allowOverlap="1" wp14:anchorId="5AFB6EE7" wp14:editId="7ADA7758">
                <wp:simplePos x="0" y="0"/>
                <wp:positionH relativeFrom="column">
                  <wp:posOffset>421640</wp:posOffset>
                </wp:positionH>
                <wp:positionV relativeFrom="paragraph">
                  <wp:posOffset>114300</wp:posOffset>
                </wp:positionV>
                <wp:extent cx="635" cy="2286000"/>
                <wp:effectExtent l="12065" t="9525" r="6350" b="9525"/>
                <wp:wrapNone/>
                <wp:docPr id="40" name="Lin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1C8D6" id="Line 47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9pt" to="33.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"/>
            </w:pict>
          </mc:Fallback>
        </mc:AlternateContent>
      </w:r>
      <w:r>
        <w:rPr>
          <w:noProof/>
        </w:rPr>
        <mc:AlternateContent>
          <mc:Choice Requires="wps">
            <w:drawing>
              <wp:anchor distT="0" distB="0" distL="114300" distR="114300" simplePos="0" relativeHeight="251651072" behindDoc="0" locked="0" layoutInCell="1" allowOverlap="1" wp14:anchorId="2A216C99" wp14:editId="5F4FE659">
                <wp:simplePos x="0" y="0"/>
                <wp:positionH relativeFrom="column">
                  <wp:posOffset>421640</wp:posOffset>
                </wp:positionH>
                <wp:positionV relativeFrom="paragraph">
                  <wp:posOffset>2400300</wp:posOffset>
                </wp:positionV>
                <wp:extent cx="3813810" cy="635"/>
                <wp:effectExtent l="12065" t="9525" r="12700" b="8890"/>
                <wp:wrapNone/>
                <wp:docPr id="39" name="Lin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38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A6BB8" id="Line 48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189pt" to="333.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"/>
            </w:pict>
          </mc:Fallback>
        </mc:AlternateContent>
      </w:r>
      <w:r>
        <w:rPr>
          <w:noProof/>
        </w:rPr>
        <mc:AlternateContent>
          <mc:Choice Requires="wps">
            <w:drawing>
              <wp:anchor distT="0" distB="0" distL="114300" distR="114300" simplePos="0" relativeHeight="251652096" behindDoc="0" locked="0" layoutInCell="1" allowOverlap="1" wp14:anchorId="1744CA16" wp14:editId="45097B18">
                <wp:simplePos x="0" y="0"/>
                <wp:positionH relativeFrom="column">
                  <wp:posOffset>3348355</wp:posOffset>
                </wp:positionH>
                <wp:positionV relativeFrom="paragraph">
                  <wp:posOffset>342900</wp:posOffset>
                </wp:positionV>
                <wp:extent cx="685800" cy="685800"/>
                <wp:effectExtent l="5080" t="9525" r="13970" b="9525"/>
                <wp:wrapNone/>
                <wp:docPr id="38" name="Lin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A9938" id="Line 481"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65pt,27pt" to="317.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"/>
            </w:pict>
          </mc:Fallback>
        </mc:AlternateContent>
      </w:r>
      <w:r>
        <w:rPr>
          <w:noProof/>
        </w:rPr>
        <mc:AlternateContent>
          <mc:Choice Requires="wps">
            <w:drawing>
              <wp:anchor distT="0" distB="0" distL="114300" distR="114300" simplePos="0" relativeHeight="251653120" behindDoc="0" locked="0" layoutInCell="1" allowOverlap="1" wp14:anchorId="17C41E0A" wp14:editId="59C122B3">
                <wp:simplePos x="0" y="0"/>
                <wp:positionH relativeFrom="column">
                  <wp:posOffset>2974975</wp:posOffset>
                </wp:positionH>
                <wp:positionV relativeFrom="paragraph">
                  <wp:posOffset>1256030</wp:posOffset>
                </wp:positionV>
                <wp:extent cx="1059180" cy="1270"/>
                <wp:effectExtent l="12700" t="8255" r="13970" b="9525"/>
                <wp:wrapNone/>
                <wp:docPr id="37" name="Lin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918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E1EB2" id="Line 48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25pt,98.9pt" to="317.6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"/>
            </w:pict>
          </mc:Fallback>
        </mc:AlternateContent>
      </w:r>
      <w:r>
        <w:rPr>
          <w:noProof/>
        </w:rPr>
        <mc:AlternateContent>
          <mc:Choice Requires="wps">
            <w:drawing>
              <wp:anchor distT="0" distB="0" distL="114300" distR="114300" simplePos="0" relativeHeight="251654144" behindDoc="0" locked="0" layoutInCell="1" allowOverlap="1" wp14:anchorId="615D084A" wp14:editId="4913E1DD">
                <wp:simplePos x="0" y="0"/>
                <wp:positionH relativeFrom="column">
                  <wp:posOffset>2966720</wp:posOffset>
                </wp:positionH>
                <wp:positionV relativeFrom="paragraph">
                  <wp:posOffset>1028700</wp:posOffset>
                </wp:positionV>
                <wp:extent cx="381635" cy="229870"/>
                <wp:effectExtent l="13970" t="9525" r="13970" b="8255"/>
                <wp:wrapNone/>
                <wp:docPr id="36" name="Lin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635" cy="229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63290" id="Line 483"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6pt,81pt" to="263.65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"/>
            </w:pict>
          </mc:Fallback>
        </mc:AlternateContent>
      </w:r>
      <w:r>
        <w:rPr>
          <w:noProof/>
        </w:rPr>
        <mc:AlternateContent>
          <mc:Choice Requires="wps">
            <w:drawing>
              <wp:anchor distT="0" distB="0" distL="114300" distR="114300" simplePos="0" relativeHeight="251655168" behindDoc="0" locked="0" layoutInCell="1" allowOverlap="1" wp14:anchorId="1ACCB31B" wp14:editId="39FFC1CA">
                <wp:simplePos x="0" y="0"/>
                <wp:positionH relativeFrom="column">
                  <wp:posOffset>887730</wp:posOffset>
                </wp:positionH>
                <wp:positionV relativeFrom="paragraph">
                  <wp:posOffset>2400300</wp:posOffset>
                </wp:positionV>
                <wp:extent cx="3667760" cy="342900"/>
                <wp:effectExtent l="1905" t="0" r="0" b="0"/>
                <wp:wrapNone/>
                <wp:docPr id="35"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57964" w14:textId="77777777" w:rsidR="00FB5E49" w:rsidRDefault="00FB5E49">
                            <w:pPr>
                              <w:rPr>
                                <w:sz w:val="20"/>
                                <w:szCs w:val="20"/>
                              </w:rPr>
                            </w:pPr>
                            <w:r>
                              <w:rPr>
                                <w:sz w:val="20"/>
                                <w:szCs w:val="20"/>
                              </w:rPr>
                              <w:t xml:space="preserve">      Q (P</w:t>
                            </w:r>
                            <w:r>
                              <w:rPr>
                                <w:sz w:val="20"/>
                                <w:szCs w:val="20"/>
                                <w:vertAlign w:val="subscript"/>
                              </w:rPr>
                              <w:t>1</w:t>
                            </w:r>
                            <w:r>
                              <w:rPr>
                                <w:sz w:val="20"/>
                                <w:szCs w:val="20"/>
                              </w:rPr>
                              <w:t xml:space="preserve">) </w:t>
                            </w:r>
                            <w:r>
                              <w:rPr>
                                <w:sz w:val="20"/>
                                <w:szCs w:val="20"/>
                              </w:rPr>
                              <w:tab/>
                              <w:t>Q (P</w:t>
                            </w:r>
                            <w:r>
                              <w:rPr>
                                <w:sz w:val="20"/>
                                <w:szCs w:val="20"/>
                                <w:vertAlign w:val="subscript"/>
                              </w:rPr>
                              <w:t>2</w:t>
                            </w:r>
                            <w:r>
                              <w:rPr>
                                <w:sz w:val="20"/>
                                <w:szCs w:val="20"/>
                              </w:rPr>
                              <w:t>)</w:t>
                            </w:r>
                            <w:r>
                              <w:rPr>
                                <w:sz w:val="20"/>
                                <w:szCs w:val="20"/>
                              </w:rPr>
                              <w:tab/>
                              <w:t xml:space="preserve">   Q (P</w:t>
                            </w:r>
                            <w:r>
                              <w:rPr>
                                <w:sz w:val="20"/>
                                <w:szCs w:val="20"/>
                                <w:vertAlign w:val="subscript"/>
                              </w:rPr>
                              <w:t>3</w:t>
                            </w:r>
                            <w:r>
                              <w:rPr>
                                <w:sz w:val="20"/>
                                <w:szCs w:val="20"/>
                              </w:rPr>
                              <w:t>)</w:t>
                            </w:r>
                            <w:r>
                              <w:rPr>
                                <w:sz w:val="20"/>
                                <w:szCs w:val="20"/>
                              </w:rPr>
                              <w:tab/>
                              <w:t xml:space="preserve">Q (P </w:t>
                            </w:r>
                            <w:r>
                              <w:rPr>
                                <w:sz w:val="20"/>
                                <w:szCs w:val="20"/>
                                <w:vertAlign w:val="subscript"/>
                              </w:rPr>
                              <w:t>cap</w:t>
                            </w:r>
                            <w:r>
                              <w:rPr>
                                <w:sz w:val="20"/>
                                <w:szCs w:val="20"/>
                              </w:rPr>
                              <w:t>)</w:t>
                            </w:r>
                            <w:r>
                              <w:rPr>
                                <w:sz w:val="20"/>
                                <w:szCs w:val="20"/>
                              </w:rPr>
                              <w:tab/>
                              <w:t xml:space="preserve">        Q </w:t>
                            </w:r>
                            <w:r>
                              <w:rPr>
                                <w:sz w:val="20"/>
                                <w:szCs w:val="20"/>
                                <w:vertAlign w:val="subscript"/>
                              </w:rPr>
                              <w:t>cleared</w:t>
                            </w:r>
                            <w:r>
                              <w:rPr>
                                <w:sz w:val="20"/>
                                <w:szCs w:val="20"/>
                              </w:rPr>
                              <w:tab/>
                              <w:t>MW</w:t>
                            </w:r>
                          </w:p>
                          <w:p w14:paraId="7F8ECE16" w14:textId="77777777" w:rsidR="00FB5E49" w:rsidRDefault="00FB5E49">
                            <w:pPr>
                              <w:rPr>
                                <w:sz w:val="20"/>
                                <w:szCs w:val="20"/>
                              </w:rPr>
                            </w:pPr>
                            <w:r>
                              <w:rPr>
                                <w:sz w:val="20"/>
                                <w:szCs w:val="20"/>
                              </w:rPr>
                              <w:t xml:space="preserve">      [LSL]</w:t>
                            </w:r>
                            <w:r>
                              <w:rPr>
                                <w:sz w:val="20"/>
                                <w:szCs w:val="20"/>
                              </w:rPr>
                              <w:tab/>
                            </w:r>
                            <w:r>
                              <w:rPr>
                                <w:sz w:val="20"/>
                                <w:szCs w:val="20"/>
                              </w:rPr>
                              <w:tab/>
                            </w:r>
                            <w:r>
                              <w:rPr>
                                <w:sz w:val="20"/>
                                <w:szCs w:val="20"/>
                              </w:rPr>
                              <w:tab/>
                            </w:r>
                            <w:r>
                              <w:rPr>
                                <w:sz w:val="20"/>
                                <w:szCs w:val="20"/>
                              </w:rPr>
                              <w:tab/>
                              <w:t xml:space="preserve">     [DAESR]</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CB31B" id="Text Box 484" o:spid="_x0000_s1027" type="#_x0000_t202" style="position:absolute;margin-left:69.9pt;margin-top:189pt;width:288.8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" filled="f" stroked="f">
                <v:textbox inset=",,,0">
                  <w:txbxContent>
                    <w:p w14:paraId="34857964" w14:textId="77777777" w:rsidR="00FB5E49" w:rsidRDefault="00FB5E49">
                      <w:pPr>
                        <w:rPr>
                          <w:sz w:val="20"/>
                          <w:szCs w:val="20"/>
                        </w:rPr>
                      </w:pPr>
                      <w:r>
                        <w:rPr>
                          <w:sz w:val="20"/>
                          <w:szCs w:val="20"/>
                        </w:rPr>
                        <w:t xml:space="preserve">      Q (P</w:t>
                      </w:r>
                      <w:r>
                        <w:rPr>
                          <w:sz w:val="20"/>
                          <w:szCs w:val="20"/>
                          <w:vertAlign w:val="subscript"/>
                        </w:rPr>
                        <w:t>1</w:t>
                      </w:r>
                      <w:r>
                        <w:rPr>
                          <w:sz w:val="20"/>
                          <w:szCs w:val="20"/>
                        </w:rPr>
                        <w:t xml:space="preserve">) </w:t>
                      </w:r>
                      <w:r>
                        <w:rPr>
                          <w:sz w:val="20"/>
                          <w:szCs w:val="20"/>
                        </w:rPr>
                        <w:tab/>
                        <w:t>Q (P</w:t>
                      </w:r>
                      <w:r>
                        <w:rPr>
                          <w:sz w:val="20"/>
                          <w:szCs w:val="20"/>
                          <w:vertAlign w:val="subscript"/>
                        </w:rPr>
                        <w:t>2</w:t>
                      </w:r>
                      <w:r>
                        <w:rPr>
                          <w:sz w:val="20"/>
                          <w:szCs w:val="20"/>
                        </w:rPr>
                        <w:t>)</w:t>
                      </w:r>
                      <w:r>
                        <w:rPr>
                          <w:sz w:val="20"/>
                          <w:szCs w:val="20"/>
                        </w:rPr>
                        <w:tab/>
                        <w:t xml:space="preserve">   Q (P</w:t>
                      </w:r>
                      <w:r>
                        <w:rPr>
                          <w:sz w:val="20"/>
                          <w:szCs w:val="20"/>
                          <w:vertAlign w:val="subscript"/>
                        </w:rPr>
                        <w:t>3</w:t>
                      </w:r>
                      <w:r>
                        <w:rPr>
                          <w:sz w:val="20"/>
                          <w:szCs w:val="20"/>
                        </w:rPr>
                        <w:t>)</w:t>
                      </w:r>
                      <w:r>
                        <w:rPr>
                          <w:sz w:val="20"/>
                          <w:szCs w:val="20"/>
                        </w:rPr>
                        <w:tab/>
                        <w:t xml:space="preserve">Q (P </w:t>
                      </w:r>
                      <w:r>
                        <w:rPr>
                          <w:sz w:val="20"/>
                          <w:szCs w:val="20"/>
                          <w:vertAlign w:val="subscript"/>
                        </w:rPr>
                        <w:t>cap</w:t>
                      </w:r>
                      <w:r>
                        <w:rPr>
                          <w:sz w:val="20"/>
                          <w:szCs w:val="20"/>
                        </w:rPr>
                        <w:t>)</w:t>
                      </w:r>
                      <w:r>
                        <w:rPr>
                          <w:sz w:val="20"/>
                          <w:szCs w:val="20"/>
                        </w:rPr>
                        <w:tab/>
                        <w:t xml:space="preserve">        Q </w:t>
                      </w:r>
                      <w:r>
                        <w:rPr>
                          <w:sz w:val="20"/>
                          <w:szCs w:val="20"/>
                          <w:vertAlign w:val="subscript"/>
                        </w:rPr>
                        <w:t>cleared</w:t>
                      </w:r>
                      <w:r>
                        <w:rPr>
                          <w:sz w:val="20"/>
                          <w:szCs w:val="20"/>
                        </w:rPr>
                        <w:tab/>
                        <w:t>MW</w:t>
                      </w:r>
                    </w:p>
                    <w:p w14:paraId="7F8ECE16" w14:textId="77777777" w:rsidR="00FB5E49" w:rsidRDefault="00FB5E49">
                      <w:pPr>
                        <w:rPr>
                          <w:sz w:val="20"/>
                          <w:szCs w:val="20"/>
                        </w:rPr>
                      </w:pPr>
                      <w:r>
                        <w:rPr>
                          <w:sz w:val="20"/>
                          <w:szCs w:val="20"/>
                        </w:rPr>
                        <w:t xml:space="preserve">      [LSL]</w:t>
                      </w:r>
                      <w:r>
                        <w:rPr>
                          <w:sz w:val="20"/>
                          <w:szCs w:val="20"/>
                        </w:rPr>
                        <w:tab/>
                      </w:r>
                      <w:r>
                        <w:rPr>
                          <w:sz w:val="20"/>
                          <w:szCs w:val="20"/>
                        </w:rPr>
                        <w:tab/>
                      </w:r>
                      <w:r>
                        <w:rPr>
                          <w:sz w:val="20"/>
                          <w:szCs w:val="20"/>
                        </w:rPr>
                        <w:tab/>
                      </w:r>
                      <w:r>
                        <w:rPr>
                          <w:sz w:val="20"/>
                          <w:szCs w:val="20"/>
                        </w:rPr>
                        <w:tab/>
                        <w:t xml:space="preserve">     [DAESR]</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3BA37F4" wp14:editId="3A014FC0">
                <wp:simplePos x="0" y="0"/>
                <wp:positionH relativeFrom="column">
                  <wp:posOffset>4110990</wp:posOffset>
                </wp:positionH>
                <wp:positionV relativeFrom="paragraph">
                  <wp:posOffset>114300</wp:posOffset>
                </wp:positionV>
                <wp:extent cx="1094740" cy="228600"/>
                <wp:effectExtent l="0" t="0" r="4445" b="0"/>
                <wp:wrapNone/>
                <wp:docPr id="33"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FF273" w14:textId="77777777" w:rsidR="00FB5E49" w:rsidRDefault="00FB5E49">
                            <w:pPr>
                              <w:jc w:val="center"/>
                              <w:rPr>
                                <w:sz w:val="20"/>
                                <w:szCs w:val="20"/>
                              </w:rPr>
                            </w:pPr>
                            <w:r>
                              <w:rPr>
                                <w:sz w:val="20"/>
                                <w:szCs w:val="20"/>
                              </w:rPr>
                              <w:t>Energy Offer Curve</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A37F4" id="Text Box 485" o:spid="_x0000_s1028" type="#_x0000_t202" style="position:absolute;margin-left:323.7pt;margin-top:9pt;width:86.2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" filled="f" stroked="f">
                <v:textbox inset="0,1.44pt,0,1.44pt">
                  <w:txbxContent>
                    <w:p w14:paraId="21BFF273" w14:textId="77777777" w:rsidR="00FB5E49" w:rsidRDefault="00FB5E49">
                      <w:pPr>
                        <w:jc w:val="center"/>
                        <w:rPr>
                          <w:sz w:val="20"/>
                          <w:szCs w:val="20"/>
                        </w:rPr>
                      </w:pPr>
                      <w:r>
                        <w:rPr>
                          <w:sz w:val="20"/>
                          <w:szCs w:val="20"/>
                        </w:rPr>
                        <w:t>Energy Offer Curve</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F5D56DC" wp14:editId="1ADA1529">
                <wp:simplePos x="0" y="0"/>
                <wp:positionH relativeFrom="column">
                  <wp:posOffset>3783330</wp:posOffset>
                </wp:positionH>
                <wp:positionV relativeFrom="paragraph">
                  <wp:posOffset>342900</wp:posOffset>
                </wp:positionV>
                <wp:extent cx="848360" cy="228600"/>
                <wp:effectExtent l="30480" t="9525" r="6985" b="47625"/>
                <wp:wrapNone/>
                <wp:docPr id="32" name="Line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836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DE4A4" id="Line 486"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9pt,27pt" to="364.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">
                <v:stroke endarrow="block" endarrowwidth="narrow"/>
              </v:line>
            </w:pict>
          </mc:Fallback>
        </mc:AlternateContent>
      </w:r>
      <w:r>
        <w:rPr>
          <w:noProof/>
        </w:rPr>
        <mc:AlternateContent>
          <mc:Choice Requires="wpg">
            <w:drawing>
              <wp:anchor distT="0" distB="0" distL="114300" distR="114300" simplePos="0" relativeHeight="251658240" behindDoc="0" locked="0" layoutInCell="1" allowOverlap="1" wp14:anchorId="3B6A7433" wp14:editId="7DF8AC1B">
                <wp:simplePos x="0" y="0"/>
                <wp:positionH relativeFrom="column">
                  <wp:posOffset>421640</wp:posOffset>
                </wp:positionH>
                <wp:positionV relativeFrom="paragraph">
                  <wp:posOffset>1256030</wp:posOffset>
                </wp:positionV>
                <wp:extent cx="2545715" cy="1144270"/>
                <wp:effectExtent l="12065" t="8255" r="13970" b="9525"/>
                <wp:wrapNone/>
                <wp:docPr id="20"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5715" cy="1144270"/>
                          <a:chOff x="2682" y="3958"/>
                          <a:chExt cx="4009" cy="1802"/>
                        </a:xfrm>
                      </wpg:grpSpPr>
                      <wps:wsp>
                        <wps:cNvPr id="21" name="Line 488"/>
                        <wps:cNvCnPr>
                          <a:cxnSpLocks noChangeShapeType="1"/>
                        </wps:cNvCnPr>
                        <wps:spPr bwMode="auto">
                          <a:xfrm>
                            <a:off x="5202" y="4680"/>
                            <a:ext cx="1" cy="1080"/>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6" name="Line 489"/>
                        <wps:cNvCnPr>
                          <a:cxnSpLocks noChangeShapeType="1"/>
                        </wps:cNvCnPr>
                        <wps:spPr bwMode="auto">
                          <a:xfrm>
                            <a:off x="6102" y="4321"/>
                            <a:ext cx="1" cy="1439"/>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7" name="Line 490"/>
                        <wps:cNvCnPr>
                          <a:cxnSpLocks noChangeShapeType="1"/>
                        </wps:cNvCnPr>
                        <wps:spPr bwMode="auto">
                          <a:xfrm>
                            <a:off x="6690" y="3959"/>
                            <a:ext cx="1" cy="1800"/>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8" name="Line 491"/>
                        <wps:cNvCnPr>
                          <a:cxnSpLocks noChangeShapeType="1"/>
                        </wps:cNvCnPr>
                        <wps:spPr bwMode="auto">
                          <a:xfrm flipH="1" flipV="1">
                            <a:off x="2682" y="4860"/>
                            <a:ext cx="1456" cy="2"/>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9" name="Line 492"/>
                        <wps:cNvCnPr>
                          <a:cxnSpLocks noChangeShapeType="1"/>
                        </wps:cNvCnPr>
                        <wps:spPr bwMode="auto">
                          <a:xfrm flipH="1">
                            <a:off x="2682" y="4679"/>
                            <a:ext cx="2520" cy="1"/>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0" name="Line 493"/>
                        <wps:cNvCnPr>
                          <a:cxnSpLocks noChangeShapeType="1"/>
                        </wps:cNvCnPr>
                        <wps:spPr bwMode="auto">
                          <a:xfrm flipH="1">
                            <a:off x="2682" y="4320"/>
                            <a:ext cx="3420" cy="1"/>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1" name="Line 494"/>
                        <wps:cNvCnPr>
                          <a:cxnSpLocks noChangeShapeType="1"/>
                        </wps:cNvCnPr>
                        <wps:spPr bwMode="auto">
                          <a:xfrm flipH="1" flipV="1">
                            <a:off x="2682" y="3958"/>
                            <a:ext cx="4008" cy="2"/>
                          </a:xfrm>
                          <a:prstGeom prst="line">
                            <a:avLst/>
                          </a:prstGeom>
                          <a:noFill/>
                          <a:ln w="635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6BE3EF" id="Group 487" o:spid="_x0000_s1026" style="position:absolute;margin-left:33.2pt;margin-top:98.9pt;width:200.45pt;height:90.1pt;z-index:251658240" coordorigin="2682,3958" coordsize="400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">
                <v:line id="Line 488" o:spid="_x0000_s1027" style="position:absolute;visibility:visible;mso-wrap-style:square" from="5202,4680" to="5203,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" strokeweight=".5pt">
                  <v:stroke dashstyle="longDash"/>
                </v:line>
                <v:line id="Line 489" o:spid="_x0000_s1028" style="position:absolute;visibility:visible;mso-wrap-style:square" from="6102,4321" to="6103,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" strokeweight=".5pt">
                  <v:stroke dashstyle="longDash"/>
                </v:line>
                <v:line id="Line 490" o:spid="_x0000_s1029" style="position:absolute;visibility:visible;mso-wrap-style:square" from="6690,3959" to="6691,5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" strokeweight=".5pt">
                  <v:stroke dashstyle="longDash"/>
                </v:line>
                <v:line id="Line 491" o:spid="_x0000_s1030" style="position:absolute;flip:x y;visibility:visible;mso-wrap-style:square" from="2682,4860" to="4138,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" strokeweight=".5pt">
                  <v:stroke dashstyle="longDash"/>
                </v:line>
                <v:line id="Line 492" o:spid="_x0000_s1031" style="position:absolute;flip:x;visibility:visible;mso-wrap-style:square" from="2682,4679" to="5202,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" strokeweight=".5pt">
                  <v:stroke dashstyle="longDash"/>
                </v:line>
                <v:line id="Line 493" o:spid="_x0000_s1032" style="position:absolute;flip:x;visibility:visible;mso-wrap-style:square" from="2682,4320" to="6102,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" strokeweight=".5pt">
                  <v:stroke dashstyle="longDash"/>
                </v:line>
                <v:line id="Line 494" o:spid="_x0000_s1033" style="position:absolute;flip:x y;visibility:visible;mso-wrap-style:square" from="2682,3958" to="669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" strokeweight=".5pt">
                  <v:stroke dashstyle="longDash"/>
                </v:line>
              </v:group>
            </w:pict>
          </mc:Fallback>
        </mc:AlternateContent>
      </w:r>
      <w:r>
        <w:rPr>
          <w:noProof/>
        </w:rPr>
        <mc:AlternateContent>
          <mc:Choice Requires="wpg">
            <w:drawing>
              <wp:anchor distT="0" distB="0" distL="114300" distR="114300" simplePos="0" relativeHeight="251660288" behindDoc="0" locked="0" layoutInCell="1" allowOverlap="1" wp14:anchorId="47EF7102" wp14:editId="47CF3477">
                <wp:simplePos x="0" y="0"/>
                <wp:positionH relativeFrom="column">
                  <wp:posOffset>1346200</wp:posOffset>
                </wp:positionH>
                <wp:positionV relativeFrom="paragraph">
                  <wp:posOffset>1257300</wp:posOffset>
                </wp:positionV>
                <wp:extent cx="2276475" cy="1144270"/>
                <wp:effectExtent l="12700" t="19050" r="15875" b="17780"/>
                <wp:wrapNone/>
                <wp:docPr id="3"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6475" cy="1144270"/>
                          <a:chOff x="4138" y="3960"/>
                          <a:chExt cx="3585" cy="1802"/>
                        </a:xfrm>
                      </wpg:grpSpPr>
                      <wps:wsp>
                        <wps:cNvPr id="4" name="Line 497"/>
                        <wps:cNvCnPr>
                          <a:cxnSpLocks noChangeShapeType="1"/>
                        </wps:cNvCnPr>
                        <wps:spPr bwMode="auto">
                          <a:xfrm>
                            <a:off x="4138" y="4862"/>
                            <a:ext cx="1" cy="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498"/>
                        <wps:cNvCnPr>
                          <a:cxnSpLocks noChangeShapeType="1"/>
                        </wps:cNvCnPr>
                        <wps:spPr bwMode="auto">
                          <a:xfrm flipV="1">
                            <a:off x="4138" y="4681"/>
                            <a:ext cx="1064" cy="18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499"/>
                        <wps:cNvCnPr>
                          <a:cxnSpLocks noChangeShapeType="1"/>
                        </wps:cNvCnPr>
                        <wps:spPr bwMode="auto">
                          <a:xfrm flipV="1">
                            <a:off x="5202" y="4322"/>
                            <a:ext cx="900" cy="35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00"/>
                        <wps:cNvCnPr>
                          <a:cxnSpLocks noChangeShapeType="1"/>
                        </wps:cNvCnPr>
                        <wps:spPr bwMode="auto">
                          <a:xfrm flipV="1">
                            <a:off x="6102" y="3960"/>
                            <a:ext cx="601" cy="3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01"/>
                        <wps:cNvCnPr>
                          <a:cxnSpLocks noChangeShapeType="1"/>
                        </wps:cNvCnPr>
                        <wps:spPr bwMode="auto">
                          <a:xfrm>
                            <a:off x="6690" y="3960"/>
                            <a:ext cx="103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502"/>
                        <wps:cNvCnPr>
                          <a:cxnSpLocks noChangeShapeType="1"/>
                        </wps:cNvCnPr>
                        <wps:spPr bwMode="auto">
                          <a:xfrm>
                            <a:off x="7722" y="3961"/>
                            <a:ext cx="1" cy="18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03"/>
                        <wps:cNvCnPr>
                          <a:cxnSpLocks noChangeShapeType="1"/>
                        </wps:cNvCnPr>
                        <wps:spPr bwMode="auto">
                          <a:xfrm>
                            <a:off x="4139" y="5759"/>
                            <a:ext cx="358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B4676D" id="Group 496" o:spid="_x0000_s1026" style="position:absolute;margin-left:106pt;margin-top:99pt;width:179.25pt;height:90.1pt;z-index:251660288" coordorigin="4138,3960" coordsize="3585,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">
                <v:line id="Line 497" o:spid="_x0000_s1027" style="position:absolute;visibility:visible;mso-wrap-style:square" from="4138,4862" to="4139,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98" o:spid="_x0000_s1028" style="position:absolute;flip:y;visibility:visible;mso-wrap-style:square" from="4138,4681" to="5202,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" strokeweight="2pt"/>
                <v:line id="Line 499" o:spid="_x0000_s1029" style="position:absolute;flip:y;visibility:visible;mso-wrap-style:square" from="5202,4322" to="6102,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" strokeweight="2pt"/>
                <v:line id="Line 500" o:spid="_x0000_s1030" style="position:absolute;flip:y;visibility:visible;mso-wrap-style:square" from="6102,3960" to="6703,4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" strokeweight="2pt"/>
                <v:line id="Line 501" o:spid="_x0000_s1031" style="position:absolute;visibility:visible;mso-wrap-style:square" from="6690,3960" to="7722,3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02" o:spid="_x0000_s1032" style="position:absolute;visibility:visible;mso-wrap-style:square" from="7722,3961" to="7723,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03" o:spid="_x0000_s1033" style="position:absolute;visibility:visible;mso-wrap-style:square" from="4139,5759" to="7722,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group>
            </w:pict>
          </mc:Fallback>
        </mc:AlternateContent>
      </w:r>
      <w:r>
        <w:rPr>
          <w:noProof/>
        </w:rPr>
        <mc:AlternateContent>
          <mc:Choice Requires="wps">
            <w:drawing>
              <wp:anchor distT="0" distB="0" distL="114300" distR="114300" simplePos="0" relativeHeight="251661312" behindDoc="0" locked="0" layoutInCell="1" allowOverlap="1" wp14:anchorId="731C91CB" wp14:editId="2A120D69">
                <wp:simplePos x="0" y="0"/>
                <wp:positionH relativeFrom="column">
                  <wp:posOffset>1836420</wp:posOffset>
                </wp:positionH>
                <wp:positionV relativeFrom="paragraph">
                  <wp:posOffset>1828800</wp:posOffset>
                </wp:positionV>
                <wp:extent cx="1574800" cy="457200"/>
                <wp:effectExtent l="0" t="0" r="0" b="0"/>
                <wp:wrapNone/>
                <wp:docPr id="2"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DB316" w14:textId="77777777" w:rsidR="00FB5E49" w:rsidRDefault="00FB5E49">
                            <w:pPr>
                              <w:rPr>
                                <w:sz w:val="20"/>
                                <w:szCs w:val="20"/>
                              </w:rPr>
                            </w:pPr>
                            <w:r>
                              <w:rPr>
                                <w:sz w:val="20"/>
                                <w:szCs w:val="20"/>
                              </w:rPr>
                              <w:t>The area under the capped Energy Offer Curve equals (DAAIEC * (DAESR – LSL))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C91CB" id="Text Box 504" o:spid="_x0000_s1029" type="#_x0000_t202" style="position:absolute;margin-left:144.6pt;margin-top:2in;width:12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" stroked="f">
                <v:textbox inset="0,0,0,0">
                  <w:txbxContent>
                    <w:p w14:paraId="2B4DB316" w14:textId="77777777" w:rsidR="00FB5E49" w:rsidRDefault="00FB5E49">
                      <w:pPr>
                        <w:rPr>
                          <w:sz w:val="20"/>
                          <w:szCs w:val="20"/>
                        </w:rPr>
                      </w:pPr>
                      <w:r>
                        <w:rPr>
                          <w:sz w:val="20"/>
                          <w:szCs w:val="20"/>
                        </w:rPr>
                        <w:t>The area under the capped Energy Offer Curve equals (DAAIEC * (DAESR – LSL))</w:t>
                      </w:r>
                    </w:p>
                  </w:txbxContent>
                </v:textbox>
              </v:shape>
            </w:pict>
          </mc:Fallback>
        </mc:AlternateContent>
      </w:r>
    </w:p>
    <w:p w14:paraId="45B56904" w14:textId="77777777" w:rsidR="00FF2129" w:rsidRDefault="00482EF3" w:rsidP="006141F6">
      <w:pPr>
        <w:pStyle w:val="BodyTextNumbered"/>
      </w:pPr>
      <w:r>
        <w:t>(</w:t>
      </w:r>
      <w:r w:rsidR="002E0760">
        <w:t>9</w:t>
      </w:r>
      <w:r>
        <w:t>)</w:t>
      </w:r>
      <w:r>
        <w:tab/>
        <w:t>The total of the Day-Ahead Make-Whole Payments to each QSE for Generation Resources for a given hour is calculated as follows:</w:t>
      </w:r>
    </w:p>
    <w:p w14:paraId="5B8AAB06" w14:textId="77777777" w:rsidR="00FF2129" w:rsidRDefault="00482EF3" w:rsidP="00E30EAB">
      <w:pPr>
        <w:pStyle w:val="FormulaBold"/>
        <w:rPr>
          <w:lang w:val="pt-BR"/>
        </w:rPr>
      </w:pPr>
      <w:r>
        <w:rPr>
          <w:lang w:val="pt-BR"/>
        </w:rPr>
        <w:t xml:space="preserve">DAMWAMTQSETOT </w:t>
      </w:r>
      <w:r>
        <w:rPr>
          <w:i/>
          <w:vertAlign w:val="subscript"/>
          <w:lang w:val="pt-BR"/>
        </w:rPr>
        <w:t>q</w:t>
      </w:r>
      <w:r>
        <w:rPr>
          <w:lang w:val="pt-BR"/>
        </w:rPr>
        <w:tab/>
        <w:t>=</w:t>
      </w:r>
      <w:r>
        <w:rPr>
          <w:lang w:val="pt-BR"/>
        </w:rPr>
        <w:tab/>
      </w:r>
      <w:r w:rsidR="00FF2129" w:rsidRPr="00FF2129">
        <w:rPr>
          <w:position w:val="-22"/>
        </w:rPr>
        <w:object w:dxaOrig="220" w:dyaOrig="460" w14:anchorId="119947F2">
          <v:shape id="_x0000_i1028" type="#_x0000_t75" style="width:13.2pt;height:21pt" o:ole="">
            <v:imagedata r:id="rId15" o:title=""/>
          </v:shape>
          <o:OLEObject Type="Embed" ProgID="Equation.3" ShapeID="_x0000_i1028" DrawAspect="Content" ObjectID="_1775281321" r:id="rId22"/>
        </w:object>
      </w:r>
      <w:r w:rsidR="00FF2129" w:rsidRPr="00FF2129">
        <w:rPr>
          <w:position w:val="-18"/>
        </w:rPr>
        <w:object w:dxaOrig="220" w:dyaOrig="420" w14:anchorId="4069B760">
          <v:shape id="_x0000_i1029" type="#_x0000_t75" style="width:13.2pt;height:21pt" o:ole="">
            <v:imagedata r:id="rId23" o:title=""/>
          </v:shape>
          <o:OLEObject Type="Embed" ProgID="Equation.3" ShapeID="_x0000_i1029" DrawAspect="Content" ObjectID="_1775281322" r:id="rId24"/>
        </w:object>
      </w:r>
      <w:r>
        <w:rPr>
          <w:lang w:val="pt-BR"/>
        </w:rPr>
        <w:t xml:space="preserve">DAMWAMT </w:t>
      </w:r>
      <w:r>
        <w:rPr>
          <w:i/>
          <w:vertAlign w:val="subscript"/>
          <w:lang w:val="pt-BR"/>
        </w:rPr>
        <w:t>q, p, r</w:t>
      </w:r>
    </w:p>
    <w:p w14:paraId="71CFE695" w14:textId="77777777" w:rsidR="00FF2129" w:rsidRDefault="00482EF3">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845"/>
        <w:gridCol w:w="6171"/>
      </w:tblGrid>
      <w:tr w:rsidR="00FF2129" w14:paraId="149FC6F1" w14:textId="77777777">
        <w:trPr>
          <w:tblHeader/>
        </w:trPr>
        <w:tc>
          <w:tcPr>
            <w:tcW w:w="1248" w:type="pct"/>
          </w:tcPr>
          <w:p w14:paraId="4FCDE76D" w14:textId="77777777" w:rsidR="00FF2129" w:rsidRDefault="00482EF3">
            <w:pPr>
              <w:pStyle w:val="TableHead"/>
            </w:pPr>
            <w:r>
              <w:t>Variable</w:t>
            </w:r>
          </w:p>
        </w:tc>
        <w:tc>
          <w:tcPr>
            <w:tcW w:w="452" w:type="pct"/>
          </w:tcPr>
          <w:p w14:paraId="29341FD5" w14:textId="77777777" w:rsidR="00FF2129" w:rsidRDefault="00482EF3">
            <w:pPr>
              <w:pStyle w:val="TableHead"/>
            </w:pPr>
            <w:r>
              <w:t>Unit</w:t>
            </w:r>
          </w:p>
        </w:tc>
        <w:tc>
          <w:tcPr>
            <w:tcW w:w="3300" w:type="pct"/>
          </w:tcPr>
          <w:p w14:paraId="4FB6030C" w14:textId="77777777" w:rsidR="00FF2129" w:rsidRDefault="00482EF3">
            <w:pPr>
              <w:pStyle w:val="TableHead"/>
            </w:pPr>
            <w:r>
              <w:t>Definition</w:t>
            </w:r>
          </w:p>
        </w:tc>
      </w:tr>
      <w:tr w:rsidR="00FF2129" w14:paraId="216AA84E" w14:textId="77777777">
        <w:tc>
          <w:tcPr>
            <w:tcW w:w="1248" w:type="pct"/>
          </w:tcPr>
          <w:p w14:paraId="509FCE63" w14:textId="77777777" w:rsidR="00FF2129" w:rsidRDefault="00482EF3">
            <w:pPr>
              <w:pStyle w:val="TableBody"/>
            </w:pPr>
            <w:r>
              <w:t xml:space="preserve">DAMWAMTQSETOT </w:t>
            </w:r>
            <w:r w:rsidRPr="002E0760">
              <w:rPr>
                <w:i/>
                <w:vertAlign w:val="subscript"/>
              </w:rPr>
              <w:t>q</w:t>
            </w:r>
          </w:p>
        </w:tc>
        <w:tc>
          <w:tcPr>
            <w:tcW w:w="452" w:type="pct"/>
          </w:tcPr>
          <w:p w14:paraId="1DBD86B5" w14:textId="77777777" w:rsidR="00FF2129" w:rsidRDefault="00482EF3">
            <w:pPr>
              <w:pStyle w:val="TableBody"/>
            </w:pPr>
            <w:r>
              <w:t>$</w:t>
            </w:r>
          </w:p>
        </w:tc>
        <w:tc>
          <w:tcPr>
            <w:tcW w:w="3300" w:type="pct"/>
          </w:tcPr>
          <w:p w14:paraId="0AE57FF6" w14:textId="77777777" w:rsidR="00FF2129" w:rsidRDefault="00482EF3" w:rsidP="002E0760">
            <w:pPr>
              <w:pStyle w:val="TableBody"/>
            </w:pPr>
            <w:r>
              <w:rPr>
                <w:i/>
              </w:rPr>
              <w:t>Day-Ahead Make-Whole Payment QSE Total per QSE</w:t>
            </w:r>
            <w:r>
              <w:sym w:font="Symbol" w:char="F0BE"/>
            </w:r>
            <w:r>
              <w:t xml:space="preserve">The total of the Day-Ahead Make-Whole Payments to QSE </w:t>
            </w:r>
            <w:r>
              <w:rPr>
                <w:i/>
              </w:rPr>
              <w:t>q</w:t>
            </w:r>
            <w:r>
              <w:t xml:space="preserve"> for the DAM-committed Generation Resources represented by this QSE for the hour.</w:t>
            </w:r>
          </w:p>
        </w:tc>
      </w:tr>
      <w:tr w:rsidR="00FF2129" w14:paraId="010B7B38" w14:textId="77777777">
        <w:tc>
          <w:tcPr>
            <w:tcW w:w="1248" w:type="pct"/>
          </w:tcPr>
          <w:p w14:paraId="13C78B0F" w14:textId="77777777" w:rsidR="00FF2129" w:rsidRDefault="00482EF3">
            <w:pPr>
              <w:pStyle w:val="TableBody"/>
              <w:rPr>
                <w:lang w:val="pt-BR"/>
              </w:rPr>
            </w:pPr>
            <w:r>
              <w:rPr>
                <w:lang w:val="pt-BR"/>
              </w:rPr>
              <w:t xml:space="preserve">DAMWAMT </w:t>
            </w:r>
            <w:r w:rsidRPr="002E0760">
              <w:rPr>
                <w:i/>
                <w:vertAlign w:val="subscript"/>
                <w:lang w:val="pt-BR"/>
              </w:rPr>
              <w:t>q, p, r</w:t>
            </w:r>
          </w:p>
        </w:tc>
        <w:tc>
          <w:tcPr>
            <w:tcW w:w="452" w:type="pct"/>
          </w:tcPr>
          <w:p w14:paraId="692E864E" w14:textId="77777777" w:rsidR="00FF2129" w:rsidRDefault="00482EF3">
            <w:pPr>
              <w:pStyle w:val="TableBody"/>
            </w:pPr>
            <w:r>
              <w:t>$</w:t>
            </w:r>
          </w:p>
        </w:tc>
        <w:tc>
          <w:tcPr>
            <w:tcW w:w="3300" w:type="pct"/>
          </w:tcPr>
          <w:p w14:paraId="38E33F98" w14:textId="77777777" w:rsidR="00FF2129" w:rsidRDefault="00482EF3">
            <w:pPr>
              <w:pStyle w:val="TableBody"/>
            </w:pPr>
            <w:r>
              <w:rPr>
                <w:i/>
              </w:rPr>
              <w:t>Day-Ahead Make-Whole Payment per QSE per Settlement Point per Resource</w:t>
            </w:r>
            <w:r>
              <w:sym w:font="Symbol" w:char="F0BE"/>
            </w:r>
            <w:r>
              <w:t xml:space="preserve">The payment to QSE </w:t>
            </w:r>
            <w:r>
              <w:rPr>
                <w:i/>
              </w:rPr>
              <w:t>q</w:t>
            </w:r>
            <w:r>
              <w:t xml:space="preserve"> to make-whole the Startup Cost and </w:t>
            </w:r>
            <w:r w:rsidR="002C167D">
              <w:t>e</w:t>
            </w:r>
            <w:r>
              <w:t xml:space="preserve">nergy </w:t>
            </w:r>
            <w:r w:rsidR="002C167D">
              <w:t>c</w:t>
            </w:r>
            <w:r>
              <w:t xml:space="preserve">ost of Resource </w:t>
            </w:r>
            <w:r>
              <w:rPr>
                <w:i/>
              </w:rPr>
              <w:t>r</w:t>
            </w:r>
            <w:r>
              <w:t xml:space="preserve"> committed in the DAM at Resource Node </w:t>
            </w:r>
            <w:r>
              <w:rPr>
                <w:i/>
              </w:rPr>
              <w:t>p</w:t>
            </w:r>
            <w:r>
              <w:t xml:space="preserve"> for </w:t>
            </w:r>
            <w:r>
              <w:lastRenderedPageBreak/>
              <w:t>the hour.</w:t>
            </w:r>
            <w:r w:rsidR="002C167D">
              <w:t xml:space="preserve">  When a Combined Cycle Generation Resource is committed in the DAM, payment is made to the Combined Cycle Train for the DAM-committed Combined Cycle Generation Resource.</w:t>
            </w:r>
          </w:p>
        </w:tc>
      </w:tr>
      <w:tr w:rsidR="00FF2129" w14:paraId="01D31E8E" w14:textId="77777777">
        <w:tc>
          <w:tcPr>
            <w:tcW w:w="1248" w:type="pct"/>
            <w:tcBorders>
              <w:top w:val="single" w:sz="4" w:space="0" w:color="auto"/>
              <w:left w:val="single" w:sz="4" w:space="0" w:color="auto"/>
              <w:bottom w:val="single" w:sz="4" w:space="0" w:color="auto"/>
              <w:right w:val="single" w:sz="4" w:space="0" w:color="auto"/>
            </w:tcBorders>
          </w:tcPr>
          <w:p w14:paraId="3082D462" w14:textId="77777777" w:rsidR="00FF2129" w:rsidRPr="002E0760" w:rsidRDefault="00482EF3">
            <w:pPr>
              <w:pStyle w:val="TableBody"/>
              <w:rPr>
                <w:i/>
              </w:rPr>
            </w:pPr>
            <w:r w:rsidRPr="002E0760">
              <w:rPr>
                <w:i/>
              </w:rPr>
              <w:lastRenderedPageBreak/>
              <w:t>q</w:t>
            </w:r>
          </w:p>
        </w:tc>
        <w:tc>
          <w:tcPr>
            <w:tcW w:w="452" w:type="pct"/>
            <w:tcBorders>
              <w:top w:val="single" w:sz="4" w:space="0" w:color="auto"/>
              <w:left w:val="single" w:sz="4" w:space="0" w:color="auto"/>
              <w:bottom w:val="single" w:sz="4" w:space="0" w:color="auto"/>
              <w:right w:val="single" w:sz="4" w:space="0" w:color="auto"/>
            </w:tcBorders>
          </w:tcPr>
          <w:p w14:paraId="261A808E" w14:textId="77777777" w:rsidR="00FF2129" w:rsidRDefault="00482EF3">
            <w:pPr>
              <w:pStyle w:val="TableBody"/>
            </w:pPr>
            <w:r>
              <w:t>none</w:t>
            </w:r>
          </w:p>
        </w:tc>
        <w:tc>
          <w:tcPr>
            <w:tcW w:w="3300" w:type="pct"/>
            <w:tcBorders>
              <w:top w:val="single" w:sz="4" w:space="0" w:color="auto"/>
              <w:left w:val="single" w:sz="4" w:space="0" w:color="auto"/>
              <w:bottom w:val="single" w:sz="4" w:space="0" w:color="auto"/>
              <w:right w:val="single" w:sz="4" w:space="0" w:color="auto"/>
            </w:tcBorders>
          </w:tcPr>
          <w:p w14:paraId="61C29B77" w14:textId="77777777" w:rsidR="00FF2129" w:rsidRDefault="00482EF3">
            <w:pPr>
              <w:pStyle w:val="TableBody"/>
            </w:pPr>
            <w:r>
              <w:t>A QSE.</w:t>
            </w:r>
          </w:p>
        </w:tc>
      </w:tr>
      <w:tr w:rsidR="00FF2129" w14:paraId="7B844C3F" w14:textId="77777777">
        <w:tc>
          <w:tcPr>
            <w:tcW w:w="1248" w:type="pct"/>
            <w:tcBorders>
              <w:top w:val="single" w:sz="4" w:space="0" w:color="auto"/>
              <w:left w:val="single" w:sz="4" w:space="0" w:color="auto"/>
              <w:bottom w:val="single" w:sz="4" w:space="0" w:color="auto"/>
              <w:right w:val="single" w:sz="4" w:space="0" w:color="auto"/>
            </w:tcBorders>
          </w:tcPr>
          <w:p w14:paraId="1B47E230" w14:textId="77777777" w:rsidR="00FF2129" w:rsidRPr="002E0760" w:rsidRDefault="00482EF3">
            <w:pPr>
              <w:pStyle w:val="TableBody"/>
              <w:rPr>
                <w:i/>
              </w:rPr>
            </w:pPr>
            <w:r w:rsidRPr="002E0760">
              <w:rPr>
                <w:i/>
              </w:rPr>
              <w:t>p</w:t>
            </w:r>
          </w:p>
        </w:tc>
        <w:tc>
          <w:tcPr>
            <w:tcW w:w="452" w:type="pct"/>
            <w:tcBorders>
              <w:top w:val="single" w:sz="4" w:space="0" w:color="auto"/>
              <w:left w:val="single" w:sz="4" w:space="0" w:color="auto"/>
              <w:bottom w:val="single" w:sz="4" w:space="0" w:color="auto"/>
              <w:right w:val="single" w:sz="4" w:space="0" w:color="auto"/>
            </w:tcBorders>
          </w:tcPr>
          <w:p w14:paraId="2FBD128C" w14:textId="77777777" w:rsidR="00FF2129" w:rsidRDefault="00482EF3">
            <w:pPr>
              <w:pStyle w:val="TableBody"/>
            </w:pPr>
            <w:r>
              <w:t>none</w:t>
            </w:r>
          </w:p>
        </w:tc>
        <w:tc>
          <w:tcPr>
            <w:tcW w:w="3300" w:type="pct"/>
            <w:tcBorders>
              <w:top w:val="single" w:sz="4" w:space="0" w:color="auto"/>
              <w:left w:val="single" w:sz="4" w:space="0" w:color="auto"/>
              <w:bottom w:val="single" w:sz="4" w:space="0" w:color="auto"/>
              <w:right w:val="single" w:sz="4" w:space="0" w:color="auto"/>
            </w:tcBorders>
          </w:tcPr>
          <w:p w14:paraId="037D5DCE" w14:textId="77777777" w:rsidR="00FF2129" w:rsidRDefault="00482EF3">
            <w:pPr>
              <w:pStyle w:val="TableBody"/>
            </w:pPr>
            <w:r>
              <w:t>A Settlement Point.</w:t>
            </w:r>
          </w:p>
        </w:tc>
      </w:tr>
      <w:tr w:rsidR="00FF2129" w14:paraId="041D5BBD" w14:textId="77777777">
        <w:tc>
          <w:tcPr>
            <w:tcW w:w="1248" w:type="pct"/>
            <w:tcBorders>
              <w:top w:val="single" w:sz="4" w:space="0" w:color="auto"/>
              <w:left w:val="single" w:sz="4" w:space="0" w:color="auto"/>
              <w:bottom w:val="single" w:sz="4" w:space="0" w:color="auto"/>
              <w:right w:val="single" w:sz="4" w:space="0" w:color="auto"/>
            </w:tcBorders>
          </w:tcPr>
          <w:p w14:paraId="1D6E17BB" w14:textId="77777777" w:rsidR="00FF2129" w:rsidRPr="002E0760" w:rsidRDefault="00482EF3">
            <w:pPr>
              <w:pStyle w:val="TableBody"/>
              <w:rPr>
                <w:i/>
              </w:rPr>
            </w:pPr>
            <w:r w:rsidRPr="002E0760">
              <w:rPr>
                <w:i/>
              </w:rPr>
              <w:t>r</w:t>
            </w:r>
          </w:p>
        </w:tc>
        <w:tc>
          <w:tcPr>
            <w:tcW w:w="452" w:type="pct"/>
            <w:tcBorders>
              <w:top w:val="single" w:sz="4" w:space="0" w:color="auto"/>
              <w:left w:val="single" w:sz="4" w:space="0" w:color="auto"/>
              <w:bottom w:val="single" w:sz="4" w:space="0" w:color="auto"/>
              <w:right w:val="single" w:sz="4" w:space="0" w:color="auto"/>
            </w:tcBorders>
          </w:tcPr>
          <w:p w14:paraId="23912ABD" w14:textId="77777777" w:rsidR="00FF2129" w:rsidRDefault="00482EF3">
            <w:pPr>
              <w:pStyle w:val="TableBody"/>
            </w:pPr>
            <w:r>
              <w:t>none</w:t>
            </w:r>
          </w:p>
        </w:tc>
        <w:tc>
          <w:tcPr>
            <w:tcW w:w="3300" w:type="pct"/>
            <w:tcBorders>
              <w:top w:val="single" w:sz="4" w:space="0" w:color="auto"/>
              <w:left w:val="single" w:sz="4" w:space="0" w:color="auto"/>
              <w:bottom w:val="single" w:sz="4" w:space="0" w:color="auto"/>
              <w:right w:val="single" w:sz="4" w:space="0" w:color="auto"/>
            </w:tcBorders>
          </w:tcPr>
          <w:p w14:paraId="13216B48" w14:textId="77777777" w:rsidR="00FF2129" w:rsidRDefault="00482EF3" w:rsidP="002E0760">
            <w:pPr>
              <w:pStyle w:val="TableBody"/>
            </w:pPr>
            <w:r>
              <w:t>A DAM-committed Generation Resource.</w:t>
            </w:r>
          </w:p>
        </w:tc>
      </w:tr>
    </w:tbl>
    <w:bookmarkStart w:id="721" w:name="_Toc109185133"/>
    <w:bookmarkStart w:id="722" w:name="_Toc142108963"/>
    <w:bookmarkStart w:id="723" w:name="_Toc142113808"/>
    <w:p w14:paraId="75550613" w14:textId="77777777" w:rsidR="00FF2129" w:rsidRDefault="00DF6616">
      <w:r>
        <w:rPr>
          <w:noProof/>
        </w:rPr>
        <mc:AlternateContent>
          <mc:Choice Requires="wps">
            <w:drawing>
              <wp:anchor distT="0" distB="0" distL="114300" distR="114300" simplePos="0" relativeHeight="251664384" behindDoc="0" locked="0" layoutInCell="1" allowOverlap="1" wp14:anchorId="32ACBB03" wp14:editId="278F3377">
                <wp:simplePos x="0" y="0"/>
                <wp:positionH relativeFrom="column">
                  <wp:posOffset>0</wp:posOffset>
                </wp:positionH>
                <wp:positionV relativeFrom="paragraph">
                  <wp:posOffset>-185420</wp:posOffset>
                </wp:positionV>
                <wp:extent cx="5210175" cy="2743200"/>
                <wp:effectExtent l="0" t="0" r="0" b="4445"/>
                <wp:wrapNone/>
                <wp:docPr id="1" name="AutoShape 6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0175" cy="27432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36F22" id="AutoShape 601" o:spid="_x0000_s1026" style="position:absolute;margin-left:0;margin-top:-14.6pt;width:410.25pt;height:3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" filled="f" stroked="f">
                <o:lock v:ext="edit" aspectratio="t"/>
              </v:rect>
            </w:pict>
          </mc:Fallback>
        </mc:AlternateContent>
      </w:r>
    </w:p>
    <w:p w14:paraId="59D6EB61" w14:textId="10B951D9" w:rsidR="00FF2129" w:rsidRDefault="00482EF3" w:rsidP="006141F6">
      <w:pPr>
        <w:pStyle w:val="H5"/>
        <w:spacing w:before="120"/>
        <w:ind w:left="1627" w:hanging="1627"/>
      </w:pPr>
      <w:bookmarkStart w:id="724" w:name="_Toc402345636"/>
      <w:bookmarkStart w:id="725" w:name="_Toc405383919"/>
      <w:bookmarkStart w:id="726" w:name="_Toc405537022"/>
      <w:bookmarkStart w:id="727" w:name="_Toc440871808"/>
      <w:bookmarkStart w:id="728" w:name="_Toc135990689"/>
      <w:r>
        <w:t>4.6.2.3.2</w:t>
      </w:r>
      <w:r>
        <w:tab/>
        <w:t>Day-Ahead Make-Whole Charge</w:t>
      </w:r>
      <w:bookmarkEnd w:id="721"/>
      <w:bookmarkEnd w:id="722"/>
      <w:bookmarkEnd w:id="723"/>
      <w:bookmarkEnd w:id="724"/>
      <w:bookmarkEnd w:id="725"/>
      <w:bookmarkEnd w:id="726"/>
      <w:bookmarkEnd w:id="727"/>
      <w:bookmarkEnd w:id="728"/>
      <w:r>
        <w:t xml:space="preserve"> </w:t>
      </w:r>
      <w:bookmarkEnd w:id="718"/>
      <w:bookmarkEnd w:id="719"/>
    </w:p>
    <w:p w14:paraId="2510D868" w14:textId="77777777" w:rsidR="00FF2129" w:rsidRDefault="002E0760" w:rsidP="00C73E78">
      <w:pPr>
        <w:pStyle w:val="BodyTextNumbered"/>
        <w:spacing w:before="240"/>
      </w:pPr>
      <w:r>
        <w:t>(1)</w:t>
      </w:r>
      <w:r>
        <w:tab/>
      </w:r>
      <w:r w:rsidR="00482EF3">
        <w:t xml:space="preserve">ERCOT shall charge a Day-Ahead Make-Whole Charge to each QSE that has one or more cleared DAM Energy Bids and/or Point-to-Point (PTP) Obligation Bids.  The Day-Ahead Make-Whole Charge for an hour is that QSE’s prorata share of the total amount of Day-Ahead Make-Whole Payments for that hour. </w:t>
      </w:r>
      <w:r w:rsidR="009D293E">
        <w:t xml:space="preserve"> </w:t>
      </w:r>
      <w:r w:rsidR="00482EF3">
        <w:t>The proration must be based on the ratio of the energy amount of the QSE’s cleared DAM Energy Bids and PTP Obligation Bids to the total energy amount of all QSEs’ cleared DAM Energy Bids and PTP Obligation Bids.  The Day-Ahead Make-Whole Charge to each QSE for a given hour is calculated as follows:</w:t>
      </w:r>
    </w:p>
    <w:p w14:paraId="124AE467" w14:textId="77777777" w:rsidR="00FF2129" w:rsidRDefault="00D07638" w:rsidP="00E30EAB">
      <w:pPr>
        <w:pStyle w:val="FormulaBold"/>
      </w:pPr>
      <w:r>
        <w:tab/>
      </w:r>
      <w:r w:rsidR="00482EF3">
        <w:t xml:space="preserve">LADAMWAMT </w:t>
      </w:r>
      <w:r w:rsidR="00482EF3">
        <w:rPr>
          <w:i/>
          <w:vertAlign w:val="subscript"/>
        </w:rPr>
        <w:t>q</w:t>
      </w:r>
      <w:r w:rsidR="00482EF3">
        <w:t xml:space="preserve"> =</w:t>
      </w:r>
      <w:r w:rsidR="00482EF3">
        <w:tab/>
        <w:t xml:space="preserve">(-1) * DAMWAMTTOT * DAERS </w:t>
      </w:r>
      <w:r w:rsidR="00482EF3">
        <w:rPr>
          <w:i/>
          <w:vertAlign w:val="subscript"/>
        </w:rPr>
        <w:t>q</w:t>
      </w:r>
    </w:p>
    <w:p w14:paraId="5E28F5FE" w14:textId="77777777" w:rsidR="00FF2129" w:rsidRDefault="00482EF3" w:rsidP="0040663F">
      <w:pPr>
        <w:pStyle w:val="BodyText"/>
        <w:ind w:firstLine="720"/>
      </w:pPr>
      <w:r>
        <w:t>Where:</w:t>
      </w:r>
    </w:p>
    <w:p w14:paraId="6472026A" w14:textId="77777777" w:rsidR="00FF2129" w:rsidRDefault="00D07638">
      <w:r>
        <w:tab/>
      </w:r>
      <w:r w:rsidR="00482EF3">
        <w:t>Day-Ahead Make-Whole Payment Total</w:t>
      </w:r>
    </w:p>
    <w:p w14:paraId="04D380FE" w14:textId="77777777" w:rsidR="00FF2129" w:rsidRDefault="00482EF3" w:rsidP="00D46800">
      <w:pPr>
        <w:pStyle w:val="Formula"/>
        <w:rPr>
          <w:i/>
          <w:iCs/>
          <w:vertAlign w:val="subscript"/>
        </w:rPr>
      </w:pPr>
      <w:r>
        <w:t>DAMWAMTTOT</w:t>
      </w:r>
      <w:r>
        <w:tab/>
        <w:t>=</w:t>
      </w:r>
      <w:r>
        <w:tab/>
      </w:r>
      <w:r w:rsidR="00FF2129" w:rsidRPr="00FF2129">
        <w:rPr>
          <w:position w:val="-22"/>
        </w:rPr>
        <w:object w:dxaOrig="220" w:dyaOrig="460" w14:anchorId="3BB619BF">
          <v:shape id="_x0000_i1030" type="#_x0000_t75" style="width:13.2pt;height:21pt" o:ole="">
            <v:imagedata r:id="rId25" o:title=""/>
          </v:shape>
          <o:OLEObject Type="Embed" ProgID="Equation.3" ShapeID="_x0000_i1030" DrawAspect="Content" ObjectID="_1775281323" r:id="rId26"/>
        </w:object>
      </w:r>
      <w:r>
        <w:t xml:space="preserve">DAMWAMTQSETOT </w:t>
      </w:r>
      <w:r>
        <w:rPr>
          <w:i/>
          <w:iCs/>
          <w:vertAlign w:val="subscript"/>
        </w:rPr>
        <w:t>q</w:t>
      </w:r>
    </w:p>
    <w:p w14:paraId="410833A4" w14:textId="77777777" w:rsidR="00FF2129" w:rsidRDefault="00D07638">
      <w:r>
        <w:tab/>
      </w:r>
      <w:r w:rsidR="00482EF3">
        <w:t>Day-Ahead Energy Purchase Ratio Share per QSE</w:t>
      </w:r>
    </w:p>
    <w:p w14:paraId="72B1EA39" w14:textId="77777777" w:rsidR="00D07638" w:rsidRDefault="00D07638"/>
    <w:p w14:paraId="2E739022" w14:textId="77777777" w:rsidR="00FF2129" w:rsidRDefault="00482EF3" w:rsidP="00D46800">
      <w:pPr>
        <w:pStyle w:val="Formula"/>
      </w:pPr>
      <w:r>
        <w:t xml:space="preserve">DAERS </w:t>
      </w:r>
      <w:r>
        <w:rPr>
          <w:i/>
          <w:vertAlign w:val="subscript"/>
        </w:rPr>
        <w:t>q</w:t>
      </w:r>
      <w:r>
        <w:tab/>
        <w:t>=</w:t>
      </w:r>
      <w:r>
        <w:tab/>
        <w:t xml:space="preserve">DAE </w:t>
      </w:r>
      <w:r>
        <w:rPr>
          <w:i/>
          <w:vertAlign w:val="subscript"/>
        </w:rPr>
        <w:t>q</w:t>
      </w:r>
      <w:r>
        <w:t xml:space="preserve"> / DAETOT</w:t>
      </w:r>
    </w:p>
    <w:p w14:paraId="226D32E8" w14:textId="77777777" w:rsidR="00F11BE2" w:rsidRDefault="00482EF3" w:rsidP="00D46800">
      <w:pPr>
        <w:pStyle w:val="Formula"/>
        <w:rPr>
          <w:i/>
          <w:vertAlign w:val="subscript"/>
        </w:rPr>
      </w:pPr>
      <w:r>
        <w:t>DAETOT</w:t>
      </w:r>
      <w:r>
        <w:tab/>
        <w:t>=</w:t>
      </w:r>
      <w:r>
        <w:tab/>
      </w:r>
      <w:r w:rsidR="00DF6616">
        <w:rPr>
          <w:noProof/>
          <w:position w:val="-22"/>
          <w:lang w:val="en-US" w:eastAsia="en-US"/>
        </w:rPr>
        <w:drawing>
          <wp:inline distT="0" distB="0" distL="0" distR="0" wp14:anchorId="54069318" wp14:editId="1B45F057">
            <wp:extent cx="142875" cy="295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295275"/>
                    </a:xfrm>
                    <a:prstGeom prst="rect">
                      <a:avLst/>
                    </a:prstGeom>
                    <a:noFill/>
                    <a:ln>
                      <a:noFill/>
                    </a:ln>
                  </pic:spPr>
                </pic:pic>
              </a:graphicData>
            </a:graphic>
          </wp:inline>
        </w:drawing>
      </w:r>
      <w:r w:rsidR="005B44AE" w:rsidRPr="00D87412">
        <w:t xml:space="preserve">DAE </w:t>
      </w:r>
      <w:r w:rsidR="005B44AE" w:rsidRPr="00D87412">
        <w:rPr>
          <w:i/>
          <w:vertAlign w:val="subscript"/>
        </w:rPr>
        <w:t>q</w:t>
      </w:r>
    </w:p>
    <w:p w14:paraId="5246BDDB" w14:textId="77777777" w:rsidR="00F11BE2" w:rsidRDefault="00482EF3" w:rsidP="00D46800">
      <w:pPr>
        <w:pStyle w:val="Formula"/>
        <w:rPr>
          <w:i/>
          <w:vertAlign w:val="subscript"/>
        </w:rPr>
      </w:pPr>
      <w:r>
        <w:t xml:space="preserve">DAE </w:t>
      </w:r>
      <w:r>
        <w:rPr>
          <w:i/>
          <w:vertAlign w:val="subscript"/>
        </w:rPr>
        <w:t>q</w:t>
      </w:r>
      <w:r>
        <w:tab/>
      </w:r>
      <w:r w:rsidR="005B44AE">
        <w:tab/>
      </w:r>
      <w:r>
        <w:t>=</w:t>
      </w:r>
      <w:r>
        <w:tab/>
      </w:r>
      <w:r w:rsidR="00DF6616">
        <w:rPr>
          <w:noProof/>
          <w:position w:val="-22"/>
          <w:lang w:val="en-US" w:eastAsia="en-US"/>
        </w:rPr>
        <w:drawing>
          <wp:inline distT="0" distB="0" distL="0" distR="0" wp14:anchorId="6521ED4E" wp14:editId="6199AFE9">
            <wp:extent cx="1428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295275"/>
                    </a:xfrm>
                    <a:prstGeom prst="rect">
                      <a:avLst/>
                    </a:prstGeom>
                    <a:noFill/>
                    <a:ln>
                      <a:noFill/>
                    </a:ln>
                  </pic:spPr>
                </pic:pic>
              </a:graphicData>
            </a:graphic>
          </wp:inline>
        </w:drawing>
      </w:r>
      <w:r w:rsidR="00D53D40" w:rsidRPr="00D87412">
        <w:t xml:space="preserve">DAEP </w:t>
      </w:r>
      <w:r w:rsidR="00D53D40" w:rsidRPr="00D87412">
        <w:rPr>
          <w:i/>
          <w:vertAlign w:val="subscript"/>
        </w:rPr>
        <w:t>q, p</w:t>
      </w:r>
      <w:r w:rsidR="00D53D40" w:rsidRPr="00D87412">
        <w:t xml:space="preserve"> </w:t>
      </w:r>
      <w:r>
        <w:t xml:space="preserve">+ </w:t>
      </w:r>
      <w:r w:rsidR="00DF6616">
        <w:rPr>
          <w:noProof/>
          <w:position w:val="-22"/>
          <w:lang w:val="en-US" w:eastAsia="en-US"/>
        </w:rPr>
        <w:drawing>
          <wp:inline distT="0" distB="0" distL="0" distR="0" wp14:anchorId="5FFE7108" wp14:editId="3F43359E">
            <wp:extent cx="142875" cy="295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295275"/>
                    </a:xfrm>
                    <a:prstGeom prst="rect">
                      <a:avLst/>
                    </a:prstGeom>
                    <a:noFill/>
                    <a:ln>
                      <a:noFill/>
                    </a:ln>
                  </pic:spPr>
                </pic:pic>
              </a:graphicData>
            </a:graphic>
          </wp:inline>
        </w:drawing>
      </w:r>
      <w:r w:rsidR="00DF6616">
        <w:rPr>
          <w:noProof/>
          <w:position w:val="-20"/>
          <w:lang w:val="en-US" w:eastAsia="en-US"/>
        </w:rPr>
        <w:drawing>
          <wp:inline distT="0" distB="0" distL="0" distR="0" wp14:anchorId="106CD5F4" wp14:editId="3A58A62B">
            <wp:extent cx="142875" cy="276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rsidR="00D53D40" w:rsidRPr="00D87412">
        <w:t xml:space="preserve">RTOBL </w:t>
      </w:r>
      <w:r w:rsidR="00D53D40" w:rsidRPr="00D87412">
        <w:rPr>
          <w:i/>
          <w:vertAlign w:val="subscript"/>
        </w:rPr>
        <w:t>q, (j, k)</w:t>
      </w:r>
    </w:p>
    <w:p w14:paraId="7EEE50A6" w14:textId="77777777" w:rsidR="00FF2129" w:rsidRDefault="00482EF3">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8"/>
        <w:gridCol w:w="640"/>
        <w:gridCol w:w="6042"/>
      </w:tblGrid>
      <w:tr w:rsidR="00FF2129" w14:paraId="29322F86" w14:textId="77777777">
        <w:trPr>
          <w:cantSplit/>
          <w:tblHeader/>
        </w:trPr>
        <w:tc>
          <w:tcPr>
            <w:tcW w:w="1427" w:type="pct"/>
          </w:tcPr>
          <w:p w14:paraId="1798E532" w14:textId="77777777" w:rsidR="00FF2129" w:rsidRDefault="00482EF3">
            <w:pPr>
              <w:pStyle w:val="TableHead"/>
            </w:pPr>
            <w:r>
              <w:t>Variable</w:t>
            </w:r>
          </w:p>
        </w:tc>
        <w:tc>
          <w:tcPr>
            <w:tcW w:w="342" w:type="pct"/>
          </w:tcPr>
          <w:p w14:paraId="5F9D706D" w14:textId="77777777" w:rsidR="00FF2129" w:rsidRDefault="00482EF3">
            <w:pPr>
              <w:pStyle w:val="TableHead"/>
            </w:pPr>
            <w:r>
              <w:t>Unit</w:t>
            </w:r>
          </w:p>
        </w:tc>
        <w:tc>
          <w:tcPr>
            <w:tcW w:w="3231" w:type="pct"/>
          </w:tcPr>
          <w:p w14:paraId="35EEE774" w14:textId="77777777" w:rsidR="00FF2129" w:rsidRDefault="00482EF3">
            <w:pPr>
              <w:pStyle w:val="TableHead"/>
            </w:pPr>
            <w:r>
              <w:t>Definition</w:t>
            </w:r>
          </w:p>
        </w:tc>
      </w:tr>
      <w:tr w:rsidR="00FF2129" w14:paraId="487506AE" w14:textId="77777777">
        <w:trPr>
          <w:cantSplit/>
        </w:trPr>
        <w:tc>
          <w:tcPr>
            <w:tcW w:w="1427" w:type="pct"/>
          </w:tcPr>
          <w:p w14:paraId="0555EE1E" w14:textId="77777777" w:rsidR="00FF2129" w:rsidRDefault="00482EF3">
            <w:pPr>
              <w:pStyle w:val="TableBody"/>
            </w:pPr>
            <w:r>
              <w:t xml:space="preserve">LADAMWAMT </w:t>
            </w:r>
            <w:r w:rsidRPr="00103E66">
              <w:rPr>
                <w:i/>
                <w:vertAlign w:val="subscript"/>
              </w:rPr>
              <w:t>q</w:t>
            </w:r>
          </w:p>
        </w:tc>
        <w:tc>
          <w:tcPr>
            <w:tcW w:w="342" w:type="pct"/>
          </w:tcPr>
          <w:p w14:paraId="4C9C9E7C" w14:textId="77777777" w:rsidR="00FF2129" w:rsidRDefault="00482EF3">
            <w:pPr>
              <w:pStyle w:val="TableBody"/>
            </w:pPr>
            <w:r>
              <w:t>$</w:t>
            </w:r>
          </w:p>
        </w:tc>
        <w:tc>
          <w:tcPr>
            <w:tcW w:w="3231" w:type="pct"/>
          </w:tcPr>
          <w:p w14:paraId="2F78CD9F" w14:textId="77777777" w:rsidR="00FF2129" w:rsidRDefault="00482EF3">
            <w:pPr>
              <w:pStyle w:val="TableBody"/>
            </w:pPr>
            <w:r>
              <w:rPr>
                <w:i/>
              </w:rPr>
              <w:t>Day-Ahead Make-Whole Charge</w:t>
            </w:r>
            <w:r>
              <w:sym w:font="Symbol" w:char="F0BE"/>
            </w:r>
            <w:r>
              <w:t xml:space="preserve">The allocated charge to QSE </w:t>
            </w:r>
            <w:r>
              <w:rPr>
                <w:i/>
              </w:rPr>
              <w:t>q</w:t>
            </w:r>
            <w:r>
              <w:t xml:space="preserve"> to make whole all the eligible DAM-committed Resources for the hour.</w:t>
            </w:r>
          </w:p>
        </w:tc>
      </w:tr>
      <w:tr w:rsidR="00FF2129" w14:paraId="731A653B" w14:textId="77777777">
        <w:trPr>
          <w:cantSplit/>
        </w:trPr>
        <w:tc>
          <w:tcPr>
            <w:tcW w:w="1427" w:type="pct"/>
          </w:tcPr>
          <w:p w14:paraId="4C8E2AB6" w14:textId="77777777" w:rsidR="00FF2129" w:rsidRDefault="00482EF3">
            <w:pPr>
              <w:pStyle w:val="TableBody"/>
            </w:pPr>
            <w:r>
              <w:t>DAMWAMTTOT</w:t>
            </w:r>
          </w:p>
        </w:tc>
        <w:tc>
          <w:tcPr>
            <w:tcW w:w="342" w:type="pct"/>
          </w:tcPr>
          <w:p w14:paraId="0509585F" w14:textId="77777777" w:rsidR="00FF2129" w:rsidRDefault="00482EF3">
            <w:pPr>
              <w:pStyle w:val="TableBody"/>
            </w:pPr>
            <w:r>
              <w:t>$</w:t>
            </w:r>
          </w:p>
        </w:tc>
        <w:tc>
          <w:tcPr>
            <w:tcW w:w="3231" w:type="pct"/>
          </w:tcPr>
          <w:p w14:paraId="528FD63B" w14:textId="77777777" w:rsidR="00FF2129" w:rsidRDefault="00482EF3" w:rsidP="005421AC">
            <w:pPr>
              <w:pStyle w:val="TableBody"/>
            </w:pPr>
            <w:r>
              <w:rPr>
                <w:i/>
              </w:rPr>
              <w:t>Day-Ahead Make-Whole Payment Total</w:t>
            </w:r>
            <w:r>
              <w:sym w:font="Symbol" w:char="F0BE"/>
            </w:r>
            <w:r>
              <w:t>The total of the Day-Ahead Make-Whole Payments to all QSEs for all DAM-committed Resources for the hour.</w:t>
            </w:r>
          </w:p>
        </w:tc>
      </w:tr>
      <w:tr w:rsidR="00FF2129" w14:paraId="5F3D9566" w14:textId="77777777">
        <w:trPr>
          <w:cantSplit/>
        </w:trPr>
        <w:tc>
          <w:tcPr>
            <w:tcW w:w="1427" w:type="pct"/>
          </w:tcPr>
          <w:p w14:paraId="56AA736E" w14:textId="77777777" w:rsidR="00FF2129" w:rsidRDefault="00482EF3">
            <w:pPr>
              <w:pStyle w:val="TableBody"/>
            </w:pPr>
            <w:r>
              <w:t xml:space="preserve">DAMWAMTQSETOT </w:t>
            </w:r>
            <w:r w:rsidRPr="00103E66">
              <w:rPr>
                <w:i/>
                <w:vertAlign w:val="subscript"/>
              </w:rPr>
              <w:t>q</w:t>
            </w:r>
          </w:p>
        </w:tc>
        <w:tc>
          <w:tcPr>
            <w:tcW w:w="342" w:type="pct"/>
          </w:tcPr>
          <w:p w14:paraId="641B2B7C" w14:textId="77777777" w:rsidR="00FF2129" w:rsidRDefault="00482EF3">
            <w:pPr>
              <w:pStyle w:val="TableBody"/>
            </w:pPr>
            <w:r>
              <w:t>$</w:t>
            </w:r>
          </w:p>
        </w:tc>
        <w:tc>
          <w:tcPr>
            <w:tcW w:w="3231" w:type="pct"/>
          </w:tcPr>
          <w:p w14:paraId="01601CCD" w14:textId="77777777" w:rsidR="00FF2129" w:rsidRDefault="00482EF3" w:rsidP="005421AC">
            <w:pPr>
              <w:pStyle w:val="TableBody"/>
            </w:pPr>
            <w:r>
              <w:rPr>
                <w:i/>
              </w:rPr>
              <w:t>Day-Ahead Make-Whole Payment QSE Total per QSE</w:t>
            </w:r>
            <w:r>
              <w:sym w:font="Symbol" w:char="F0BE"/>
            </w:r>
            <w:r>
              <w:t xml:space="preserve">The total of the Day-Ahead Make-Whole Payments to QSE </w:t>
            </w:r>
            <w:r>
              <w:rPr>
                <w:i/>
              </w:rPr>
              <w:t>q</w:t>
            </w:r>
            <w:r>
              <w:t xml:space="preserve"> for the DAM-committed Generation Resources represented by this QSE for the hour.</w:t>
            </w:r>
          </w:p>
        </w:tc>
      </w:tr>
      <w:tr w:rsidR="00FF2129" w14:paraId="7058CFCF" w14:textId="77777777">
        <w:trPr>
          <w:cantSplit/>
        </w:trPr>
        <w:tc>
          <w:tcPr>
            <w:tcW w:w="1427" w:type="pct"/>
          </w:tcPr>
          <w:p w14:paraId="58995B59" w14:textId="77777777" w:rsidR="00FF2129" w:rsidRDefault="00482EF3">
            <w:pPr>
              <w:pStyle w:val="TableBody"/>
            </w:pPr>
            <w:r>
              <w:lastRenderedPageBreak/>
              <w:t xml:space="preserve">DAERS </w:t>
            </w:r>
            <w:r w:rsidRPr="00103E66">
              <w:rPr>
                <w:i/>
                <w:vertAlign w:val="subscript"/>
              </w:rPr>
              <w:t>q</w:t>
            </w:r>
          </w:p>
        </w:tc>
        <w:tc>
          <w:tcPr>
            <w:tcW w:w="342" w:type="pct"/>
          </w:tcPr>
          <w:p w14:paraId="0E523CDA" w14:textId="77777777" w:rsidR="00FF2129" w:rsidRDefault="00482EF3">
            <w:pPr>
              <w:pStyle w:val="TableBody"/>
            </w:pPr>
            <w:r>
              <w:t>none</w:t>
            </w:r>
          </w:p>
        </w:tc>
        <w:tc>
          <w:tcPr>
            <w:tcW w:w="3231" w:type="pct"/>
          </w:tcPr>
          <w:p w14:paraId="03F530AB" w14:textId="77777777" w:rsidR="00FF2129" w:rsidRDefault="00482EF3">
            <w:pPr>
              <w:pStyle w:val="TableBody"/>
            </w:pPr>
            <w:r>
              <w:rPr>
                <w:i/>
              </w:rPr>
              <w:t>Day-Ahead Energy Purchase Ratio Share per QSE</w:t>
            </w:r>
            <w:r>
              <w:sym w:font="Symbol" w:char="F0BE"/>
            </w:r>
            <w:r>
              <w:t xml:space="preserve"> The ratio of QSE </w:t>
            </w:r>
            <w:r>
              <w:rPr>
                <w:i/>
              </w:rPr>
              <w:t>q</w:t>
            </w:r>
            <w:r>
              <w:t>’s total amount of energy represented by its cleared DAM Energy Bids and PTP Obligation Bids, to the total amount of energy represented by all QSEs’ cleared DAM Energy Bids and PTP Obligation Bids, for the hour.</w:t>
            </w:r>
          </w:p>
        </w:tc>
      </w:tr>
      <w:tr w:rsidR="00FF2129" w14:paraId="4DCE18A5" w14:textId="77777777">
        <w:trPr>
          <w:cantSplit/>
        </w:trPr>
        <w:tc>
          <w:tcPr>
            <w:tcW w:w="1427" w:type="pct"/>
          </w:tcPr>
          <w:p w14:paraId="1A29212D" w14:textId="77777777" w:rsidR="00FF2129" w:rsidRDefault="00482EF3">
            <w:pPr>
              <w:pStyle w:val="TableBody"/>
            </w:pPr>
            <w:r>
              <w:t>DAETOT</w:t>
            </w:r>
          </w:p>
        </w:tc>
        <w:tc>
          <w:tcPr>
            <w:tcW w:w="342" w:type="pct"/>
          </w:tcPr>
          <w:p w14:paraId="36EA8142" w14:textId="77777777" w:rsidR="00FF2129" w:rsidRDefault="00482EF3">
            <w:pPr>
              <w:pStyle w:val="TableBody"/>
            </w:pPr>
            <w:r>
              <w:t>MW</w:t>
            </w:r>
          </w:p>
        </w:tc>
        <w:tc>
          <w:tcPr>
            <w:tcW w:w="3231" w:type="pct"/>
          </w:tcPr>
          <w:p w14:paraId="5D6D8682" w14:textId="77777777" w:rsidR="00FF2129" w:rsidRDefault="00482EF3">
            <w:pPr>
              <w:pStyle w:val="TableBody"/>
              <w:rPr>
                <w:i/>
              </w:rPr>
            </w:pPr>
            <w:r>
              <w:rPr>
                <w:i/>
              </w:rPr>
              <w:t>Day-Ahead Energy Total</w:t>
            </w:r>
            <w:r>
              <w:t>—The total amount of energy represented by all cleared DAM Energy Bids and all cleared PTP Obligation Bids for the hour.</w:t>
            </w:r>
          </w:p>
        </w:tc>
      </w:tr>
      <w:tr w:rsidR="00FF2129" w14:paraId="0055D0B9" w14:textId="77777777">
        <w:trPr>
          <w:cantSplit/>
        </w:trPr>
        <w:tc>
          <w:tcPr>
            <w:tcW w:w="1427" w:type="pct"/>
          </w:tcPr>
          <w:p w14:paraId="76944F99" w14:textId="77777777" w:rsidR="00FF2129" w:rsidRDefault="00482EF3">
            <w:pPr>
              <w:pStyle w:val="TableBody"/>
            </w:pPr>
            <w:r>
              <w:t xml:space="preserve">DAE </w:t>
            </w:r>
            <w:r w:rsidRPr="00103E66">
              <w:rPr>
                <w:i/>
                <w:vertAlign w:val="subscript"/>
              </w:rPr>
              <w:t>q</w:t>
            </w:r>
          </w:p>
        </w:tc>
        <w:tc>
          <w:tcPr>
            <w:tcW w:w="342" w:type="pct"/>
          </w:tcPr>
          <w:p w14:paraId="32BEA2BC" w14:textId="77777777" w:rsidR="00FF2129" w:rsidRDefault="00482EF3">
            <w:pPr>
              <w:pStyle w:val="TableBody"/>
            </w:pPr>
            <w:r>
              <w:t>MW</w:t>
            </w:r>
          </w:p>
        </w:tc>
        <w:tc>
          <w:tcPr>
            <w:tcW w:w="3231" w:type="pct"/>
          </w:tcPr>
          <w:p w14:paraId="5675CD67" w14:textId="77777777" w:rsidR="00FF2129" w:rsidRDefault="00482EF3">
            <w:pPr>
              <w:pStyle w:val="TableBody"/>
              <w:rPr>
                <w:i/>
              </w:rPr>
            </w:pPr>
            <w:r>
              <w:rPr>
                <w:i/>
              </w:rPr>
              <w:t>Day-Ahead Energy per QSE</w:t>
            </w:r>
            <w:r>
              <w:t xml:space="preserve">—QSE </w:t>
            </w:r>
            <w:r>
              <w:rPr>
                <w:i/>
              </w:rPr>
              <w:t>q</w:t>
            </w:r>
            <w:r>
              <w:t>’s total amount of energy, represented by its cleared DAM Energy Bids and PTP Obligation Bids, for the hour.</w:t>
            </w:r>
          </w:p>
        </w:tc>
      </w:tr>
      <w:tr w:rsidR="00FF2129" w14:paraId="022AB9F8" w14:textId="77777777">
        <w:trPr>
          <w:cantSplit/>
        </w:trPr>
        <w:tc>
          <w:tcPr>
            <w:tcW w:w="1427" w:type="pct"/>
          </w:tcPr>
          <w:p w14:paraId="7734F6AF" w14:textId="77777777" w:rsidR="00FF2129" w:rsidRDefault="00482EF3">
            <w:pPr>
              <w:pStyle w:val="TableBody"/>
            </w:pPr>
            <w:r>
              <w:t xml:space="preserve">DAEP </w:t>
            </w:r>
            <w:r w:rsidRPr="00103E66">
              <w:rPr>
                <w:i/>
                <w:vertAlign w:val="subscript"/>
              </w:rPr>
              <w:t>q, p</w:t>
            </w:r>
          </w:p>
        </w:tc>
        <w:tc>
          <w:tcPr>
            <w:tcW w:w="342" w:type="pct"/>
          </w:tcPr>
          <w:p w14:paraId="45E8A198" w14:textId="77777777" w:rsidR="00FF2129" w:rsidRDefault="00482EF3">
            <w:pPr>
              <w:pStyle w:val="TableBody"/>
            </w:pPr>
            <w:r>
              <w:t>MW</w:t>
            </w:r>
          </w:p>
        </w:tc>
        <w:tc>
          <w:tcPr>
            <w:tcW w:w="3231" w:type="pct"/>
          </w:tcPr>
          <w:p w14:paraId="088C1C6A" w14:textId="77777777" w:rsidR="00FF2129" w:rsidRDefault="00482EF3">
            <w:pPr>
              <w:pStyle w:val="TableBody"/>
              <w:rPr>
                <w:i/>
              </w:rPr>
            </w:pPr>
            <w:r>
              <w:rPr>
                <w:i/>
              </w:rPr>
              <w:t>Day-Ahead Energy Purchase per QSE per Settlement Point</w:t>
            </w:r>
            <w:r>
              <w:t xml:space="preserve">—The total amount of energy represented by QSE </w:t>
            </w:r>
            <w:r>
              <w:rPr>
                <w:i/>
              </w:rPr>
              <w:t>q</w:t>
            </w:r>
            <w:r>
              <w:t xml:space="preserve">’s cleared DAM Energy Bids at the Settlement Point </w:t>
            </w:r>
            <w:r>
              <w:rPr>
                <w:i/>
              </w:rPr>
              <w:t>p</w:t>
            </w:r>
            <w:r>
              <w:t xml:space="preserve"> for the hour.</w:t>
            </w:r>
          </w:p>
        </w:tc>
      </w:tr>
      <w:tr w:rsidR="00FF2129" w14:paraId="3501853F" w14:textId="77777777">
        <w:trPr>
          <w:cantSplit/>
        </w:trPr>
        <w:tc>
          <w:tcPr>
            <w:tcW w:w="1427" w:type="pct"/>
          </w:tcPr>
          <w:p w14:paraId="3C2D200F" w14:textId="77777777" w:rsidR="00FF2129" w:rsidRDefault="00482EF3">
            <w:pPr>
              <w:pStyle w:val="TableBody"/>
            </w:pPr>
            <w:r>
              <w:t xml:space="preserve">RTOBL </w:t>
            </w:r>
            <w:r w:rsidRPr="00103E66">
              <w:rPr>
                <w:i/>
                <w:vertAlign w:val="subscript"/>
              </w:rPr>
              <w:t>q, (j, k)</w:t>
            </w:r>
          </w:p>
        </w:tc>
        <w:tc>
          <w:tcPr>
            <w:tcW w:w="342" w:type="pct"/>
          </w:tcPr>
          <w:p w14:paraId="2A33A570" w14:textId="77777777" w:rsidR="00FF2129" w:rsidRDefault="00482EF3">
            <w:pPr>
              <w:pStyle w:val="TableBody"/>
            </w:pPr>
            <w:r>
              <w:t>MW</w:t>
            </w:r>
          </w:p>
        </w:tc>
        <w:tc>
          <w:tcPr>
            <w:tcW w:w="3231" w:type="pct"/>
          </w:tcPr>
          <w:p w14:paraId="1A5E76D5" w14:textId="77777777" w:rsidR="00FF2129" w:rsidRDefault="00482EF3">
            <w:pPr>
              <w:pStyle w:val="TableBody"/>
              <w:rPr>
                <w:i/>
              </w:rPr>
            </w:pPr>
            <w:r>
              <w:rPr>
                <w:i/>
              </w:rPr>
              <w:t>Real-Time Obligation per QSE per pair of source and sink</w:t>
            </w:r>
            <w:r>
              <w:t xml:space="preserve">—The total amount of energy represented by QSE </w:t>
            </w:r>
            <w:r>
              <w:rPr>
                <w:i/>
              </w:rPr>
              <w:t>q</w:t>
            </w:r>
            <w:r>
              <w:t xml:space="preserve">’s cleared PTP Obligation Bids with the source </w:t>
            </w:r>
            <w:r>
              <w:rPr>
                <w:i/>
              </w:rPr>
              <w:t>j</w:t>
            </w:r>
            <w:r>
              <w:t xml:space="preserve"> and the sink </w:t>
            </w:r>
            <w:r>
              <w:rPr>
                <w:i/>
              </w:rPr>
              <w:t>k</w:t>
            </w:r>
            <w:r>
              <w:t>, for the hour.</w:t>
            </w:r>
          </w:p>
        </w:tc>
      </w:tr>
      <w:tr w:rsidR="00FF2129" w14:paraId="770593D1" w14:textId="77777777">
        <w:trPr>
          <w:cantSplit/>
        </w:trPr>
        <w:tc>
          <w:tcPr>
            <w:tcW w:w="1427" w:type="pct"/>
          </w:tcPr>
          <w:p w14:paraId="1661A0C0" w14:textId="77777777" w:rsidR="00FF2129" w:rsidRPr="00103E66" w:rsidRDefault="00482EF3">
            <w:pPr>
              <w:pStyle w:val="TableBody"/>
              <w:rPr>
                <w:i/>
              </w:rPr>
            </w:pPr>
            <w:r w:rsidRPr="00103E66">
              <w:rPr>
                <w:i/>
              </w:rPr>
              <w:t>q</w:t>
            </w:r>
          </w:p>
        </w:tc>
        <w:tc>
          <w:tcPr>
            <w:tcW w:w="342" w:type="pct"/>
          </w:tcPr>
          <w:p w14:paraId="3A609794" w14:textId="77777777" w:rsidR="00FF2129" w:rsidRDefault="00482EF3">
            <w:pPr>
              <w:pStyle w:val="TableBody"/>
            </w:pPr>
            <w:r>
              <w:t>none</w:t>
            </w:r>
          </w:p>
        </w:tc>
        <w:tc>
          <w:tcPr>
            <w:tcW w:w="3231" w:type="pct"/>
          </w:tcPr>
          <w:p w14:paraId="26A3DA97" w14:textId="77777777" w:rsidR="00FF2129" w:rsidRDefault="00482EF3">
            <w:pPr>
              <w:pStyle w:val="TableBody"/>
              <w:rPr>
                <w:b/>
                <w:i/>
              </w:rPr>
            </w:pPr>
            <w:r>
              <w:t>A QSE.</w:t>
            </w:r>
          </w:p>
        </w:tc>
      </w:tr>
      <w:tr w:rsidR="00FF2129" w14:paraId="77A76F4A" w14:textId="77777777">
        <w:trPr>
          <w:cantSplit/>
        </w:trPr>
        <w:tc>
          <w:tcPr>
            <w:tcW w:w="1427" w:type="pct"/>
            <w:tcBorders>
              <w:top w:val="single" w:sz="4" w:space="0" w:color="auto"/>
              <w:left w:val="single" w:sz="4" w:space="0" w:color="auto"/>
              <w:bottom w:val="single" w:sz="4" w:space="0" w:color="auto"/>
              <w:right w:val="single" w:sz="4" w:space="0" w:color="auto"/>
            </w:tcBorders>
          </w:tcPr>
          <w:p w14:paraId="2C04A546" w14:textId="77777777" w:rsidR="00FF2129" w:rsidRPr="00103E66" w:rsidRDefault="00482EF3">
            <w:pPr>
              <w:pStyle w:val="TableBody"/>
              <w:rPr>
                <w:i/>
              </w:rPr>
            </w:pPr>
            <w:r w:rsidRPr="00103E66">
              <w:rPr>
                <w:i/>
              </w:rPr>
              <w:t>p</w:t>
            </w:r>
          </w:p>
        </w:tc>
        <w:tc>
          <w:tcPr>
            <w:tcW w:w="342" w:type="pct"/>
            <w:tcBorders>
              <w:top w:val="single" w:sz="4" w:space="0" w:color="auto"/>
              <w:left w:val="single" w:sz="4" w:space="0" w:color="auto"/>
              <w:bottom w:val="single" w:sz="4" w:space="0" w:color="auto"/>
              <w:right w:val="single" w:sz="4" w:space="0" w:color="auto"/>
            </w:tcBorders>
          </w:tcPr>
          <w:p w14:paraId="49453B15" w14:textId="77777777" w:rsidR="00FF2129" w:rsidRDefault="00482EF3">
            <w:pPr>
              <w:pStyle w:val="TableBody"/>
            </w:pPr>
            <w:r>
              <w:t>none</w:t>
            </w:r>
          </w:p>
        </w:tc>
        <w:tc>
          <w:tcPr>
            <w:tcW w:w="3231" w:type="pct"/>
            <w:tcBorders>
              <w:top w:val="single" w:sz="4" w:space="0" w:color="auto"/>
              <w:left w:val="single" w:sz="4" w:space="0" w:color="auto"/>
              <w:bottom w:val="single" w:sz="4" w:space="0" w:color="auto"/>
              <w:right w:val="single" w:sz="4" w:space="0" w:color="auto"/>
            </w:tcBorders>
          </w:tcPr>
          <w:p w14:paraId="7FF8677F" w14:textId="77777777" w:rsidR="00FF2129" w:rsidRDefault="00482EF3">
            <w:pPr>
              <w:pStyle w:val="TableBody"/>
            </w:pPr>
            <w:r>
              <w:t>A Settlement Point.</w:t>
            </w:r>
          </w:p>
        </w:tc>
      </w:tr>
      <w:tr w:rsidR="00FF2129" w14:paraId="7979A5C3" w14:textId="77777777">
        <w:trPr>
          <w:cantSplit/>
        </w:trPr>
        <w:tc>
          <w:tcPr>
            <w:tcW w:w="1427" w:type="pct"/>
            <w:tcBorders>
              <w:top w:val="single" w:sz="4" w:space="0" w:color="auto"/>
              <w:left w:val="single" w:sz="4" w:space="0" w:color="auto"/>
              <w:bottom w:val="single" w:sz="4" w:space="0" w:color="auto"/>
              <w:right w:val="single" w:sz="4" w:space="0" w:color="auto"/>
            </w:tcBorders>
          </w:tcPr>
          <w:p w14:paraId="6D656955" w14:textId="77777777" w:rsidR="00FF2129" w:rsidRPr="00103E66" w:rsidRDefault="00482EF3">
            <w:pPr>
              <w:pStyle w:val="TableBody"/>
              <w:rPr>
                <w:i/>
              </w:rPr>
            </w:pPr>
            <w:r w:rsidRPr="00103E66">
              <w:rPr>
                <w:i/>
              </w:rPr>
              <w:t>j</w:t>
            </w:r>
          </w:p>
        </w:tc>
        <w:tc>
          <w:tcPr>
            <w:tcW w:w="342" w:type="pct"/>
            <w:tcBorders>
              <w:top w:val="single" w:sz="4" w:space="0" w:color="auto"/>
              <w:left w:val="single" w:sz="4" w:space="0" w:color="auto"/>
              <w:bottom w:val="single" w:sz="4" w:space="0" w:color="auto"/>
              <w:right w:val="single" w:sz="4" w:space="0" w:color="auto"/>
            </w:tcBorders>
          </w:tcPr>
          <w:p w14:paraId="6686E108" w14:textId="77777777" w:rsidR="00FF2129" w:rsidRDefault="00482EF3">
            <w:pPr>
              <w:pStyle w:val="TableBody"/>
            </w:pPr>
            <w:r>
              <w:t>none</w:t>
            </w:r>
          </w:p>
        </w:tc>
        <w:tc>
          <w:tcPr>
            <w:tcW w:w="3231" w:type="pct"/>
            <w:tcBorders>
              <w:top w:val="single" w:sz="4" w:space="0" w:color="auto"/>
              <w:left w:val="single" w:sz="4" w:space="0" w:color="auto"/>
              <w:bottom w:val="single" w:sz="4" w:space="0" w:color="auto"/>
              <w:right w:val="single" w:sz="4" w:space="0" w:color="auto"/>
            </w:tcBorders>
          </w:tcPr>
          <w:p w14:paraId="5F73D32F" w14:textId="77777777" w:rsidR="00FF2129" w:rsidRDefault="00482EF3">
            <w:pPr>
              <w:pStyle w:val="TableBody"/>
            </w:pPr>
            <w:r>
              <w:t>A source Settlement Point.</w:t>
            </w:r>
          </w:p>
        </w:tc>
      </w:tr>
      <w:tr w:rsidR="00FF2129" w14:paraId="732356EE" w14:textId="77777777">
        <w:trPr>
          <w:cantSplit/>
        </w:trPr>
        <w:tc>
          <w:tcPr>
            <w:tcW w:w="1427" w:type="pct"/>
            <w:tcBorders>
              <w:top w:val="single" w:sz="4" w:space="0" w:color="auto"/>
              <w:left w:val="single" w:sz="4" w:space="0" w:color="auto"/>
              <w:bottom w:val="single" w:sz="4" w:space="0" w:color="auto"/>
              <w:right w:val="single" w:sz="4" w:space="0" w:color="auto"/>
            </w:tcBorders>
          </w:tcPr>
          <w:p w14:paraId="4AD91510" w14:textId="77777777" w:rsidR="00FF2129" w:rsidRPr="00103E66" w:rsidRDefault="00482EF3">
            <w:pPr>
              <w:pStyle w:val="TableBody"/>
              <w:rPr>
                <w:i/>
              </w:rPr>
            </w:pPr>
            <w:r w:rsidRPr="00103E66">
              <w:rPr>
                <w:i/>
              </w:rPr>
              <w:t>k</w:t>
            </w:r>
          </w:p>
        </w:tc>
        <w:tc>
          <w:tcPr>
            <w:tcW w:w="342" w:type="pct"/>
            <w:tcBorders>
              <w:top w:val="single" w:sz="4" w:space="0" w:color="auto"/>
              <w:left w:val="single" w:sz="4" w:space="0" w:color="auto"/>
              <w:bottom w:val="single" w:sz="4" w:space="0" w:color="auto"/>
              <w:right w:val="single" w:sz="4" w:space="0" w:color="auto"/>
            </w:tcBorders>
          </w:tcPr>
          <w:p w14:paraId="0509DDF5" w14:textId="77777777" w:rsidR="00FF2129" w:rsidRDefault="00482EF3">
            <w:pPr>
              <w:pStyle w:val="TableBody"/>
            </w:pPr>
            <w:r>
              <w:t>none</w:t>
            </w:r>
          </w:p>
        </w:tc>
        <w:tc>
          <w:tcPr>
            <w:tcW w:w="3231" w:type="pct"/>
            <w:tcBorders>
              <w:top w:val="single" w:sz="4" w:space="0" w:color="auto"/>
              <w:left w:val="single" w:sz="4" w:space="0" w:color="auto"/>
              <w:bottom w:val="single" w:sz="4" w:space="0" w:color="auto"/>
              <w:right w:val="single" w:sz="4" w:space="0" w:color="auto"/>
            </w:tcBorders>
          </w:tcPr>
          <w:p w14:paraId="6694BCFE" w14:textId="77777777" w:rsidR="00FF2129" w:rsidRDefault="00482EF3">
            <w:pPr>
              <w:pStyle w:val="TableBody"/>
            </w:pPr>
            <w:r>
              <w:t>A sink Settlement Point.</w:t>
            </w:r>
          </w:p>
        </w:tc>
      </w:tr>
    </w:tbl>
    <w:p w14:paraId="64F3A044" w14:textId="77777777" w:rsidR="00463DAF" w:rsidRPr="00463DAF" w:rsidRDefault="00463DAF" w:rsidP="00463DAF">
      <w:pPr>
        <w:pStyle w:val="BodyText"/>
        <w:spacing w:after="0"/>
      </w:pPr>
      <w:bookmarkStart w:id="729" w:name="_Toc109185134"/>
      <w:bookmarkStart w:id="730" w:name="_Toc142108964"/>
      <w:bookmarkStart w:id="731" w:name="_Toc142113809"/>
      <w:bookmarkStart w:id="732" w:name="_Toc402345637"/>
      <w:bookmarkStart w:id="733" w:name="_Toc405383920"/>
      <w:bookmarkStart w:id="734" w:name="_Toc405537023"/>
      <w:bookmarkStart w:id="735" w:name="_Toc440871809"/>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63DAF" w:rsidRPr="004B32CF" w14:paraId="7E24CDAF" w14:textId="77777777" w:rsidTr="009540C4">
        <w:trPr>
          <w:trHeight w:val="386"/>
        </w:trPr>
        <w:tc>
          <w:tcPr>
            <w:tcW w:w="9350" w:type="dxa"/>
            <w:shd w:val="pct12" w:color="auto" w:fill="auto"/>
          </w:tcPr>
          <w:p w14:paraId="55B10117" w14:textId="63B1AB20" w:rsidR="00463DAF" w:rsidRDefault="00463DAF" w:rsidP="009540C4">
            <w:pPr>
              <w:spacing w:before="120" w:after="240"/>
              <w:rPr>
                <w:b/>
                <w:i/>
                <w:iCs/>
              </w:rPr>
            </w:pPr>
            <w:r>
              <w:rPr>
                <w:b/>
                <w:i/>
                <w:iCs/>
              </w:rPr>
              <w:t>[NPRR1014:  Replace paragraph (1</w:t>
            </w:r>
            <w:r w:rsidRPr="004B32CF">
              <w:rPr>
                <w:b/>
                <w:i/>
                <w:iCs/>
              </w:rPr>
              <w:t xml:space="preserve">) above </w:t>
            </w:r>
            <w:r>
              <w:rPr>
                <w:b/>
                <w:i/>
                <w:iCs/>
              </w:rPr>
              <w:t xml:space="preserve">with the following </w:t>
            </w:r>
            <w:r w:rsidRPr="004B32CF">
              <w:rPr>
                <w:b/>
                <w:i/>
                <w:iCs/>
              </w:rPr>
              <w:t>upon system implementation:]</w:t>
            </w:r>
          </w:p>
          <w:p w14:paraId="07151A61" w14:textId="77777777" w:rsidR="00482902" w:rsidRPr="00A552C3" w:rsidRDefault="00482902" w:rsidP="00482902">
            <w:pPr>
              <w:spacing w:before="240" w:after="240"/>
              <w:ind w:left="720" w:hanging="720"/>
              <w:rPr>
                <w:iCs/>
              </w:rPr>
            </w:pPr>
            <w:r w:rsidRPr="00A552C3">
              <w:rPr>
                <w:iCs/>
              </w:rPr>
              <w:t>(1)</w:t>
            </w:r>
            <w:r w:rsidRPr="00A552C3">
              <w:rPr>
                <w:iCs/>
              </w:rPr>
              <w:tab/>
              <w:t>ERCOT shall charge a Day-Ahead Make-Whole Charge to each QSE that has one or more cleared DAM Energy Bids</w:t>
            </w:r>
            <w:r w:rsidRPr="00A552C3">
              <w:t>, cleared purchases from the bid portion of Energy Bid/Offer Curves,</w:t>
            </w:r>
            <w:r w:rsidRPr="00A552C3">
              <w:rPr>
                <w:iCs/>
              </w:rPr>
              <w:t xml:space="preserve"> and/or Point-to-Point (PTP) Obligation Bids.  The Day-Ahead Make-Whole Charge for an hour is that QSE’s prorata share of the total amount of Day-Ahead Make-Whole Payments for that hour.  The proration must be based on the ratio of the energy amount of the QSE’s cleared DAM Energy Bids</w:t>
            </w:r>
            <w:r w:rsidRPr="00A552C3">
              <w:t>, cleared purchases from the bid portion of Energy Bid/Offer Curves,</w:t>
            </w:r>
            <w:r w:rsidRPr="00A552C3">
              <w:rPr>
                <w:iCs/>
              </w:rPr>
              <w:t xml:space="preserve"> and PTP Obligation Bids to the total energy amount of all QSEs’ cleared DAM Energy Bids</w:t>
            </w:r>
            <w:r w:rsidRPr="00A552C3">
              <w:t>, cleared purchases from the bid portion of Energy Bid/Offer Curves,</w:t>
            </w:r>
            <w:r w:rsidRPr="00A552C3">
              <w:rPr>
                <w:iCs/>
              </w:rPr>
              <w:t xml:space="preserve"> and PTP Obligation Bids.  The Day-Ahead Make-Whole Charge to each QSE for a given hour is calculated as follows:</w:t>
            </w:r>
          </w:p>
          <w:p w14:paraId="4FA1BA67" w14:textId="77777777" w:rsidR="00482902" w:rsidRPr="00A552C3" w:rsidRDefault="00482902" w:rsidP="00482902">
            <w:pPr>
              <w:tabs>
                <w:tab w:val="left" w:pos="2352"/>
                <w:tab w:val="left" w:pos="3420"/>
                <w:tab w:val="left" w:pos="3822"/>
              </w:tabs>
              <w:spacing w:after="240"/>
              <w:ind w:left="1440" w:hanging="1440"/>
              <w:rPr>
                <w:bCs/>
                <w:iCs/>
                <w:lang w:val="x-none" w:eastAsia="x-none"/>
              </w:rPr>
            </w:pPr>
            <w:r w:rsidRPr="00A552C3">
              <w:rPr>
                <w:bCs/>
                <w:iCs/>
                <w:lang w:val="x-none" w:eastAsia="x-none"/>
              </w:rPr>
              <w:tab/>
              <w:t xml:space="preserve">LADAMWAMT </w:t>
            </w:r>
            <w:r w:rsidRPr="00A552C3">
              <w:rPr>
                <w:bCs/>
                <w:i/>
                <w:iCs/>
                <w:vertAlign w:val="subscript"/>
                <w:lang w:val="x-none" w:eastAsia="x-none"/>
              </w:rPr>
              <w:t>q</w:t>
            </w:r>
            <w:r w:rsidRPr="00A552C3">
              <w:rPr>
                <w:bCs/>
                <w:iCs/>
                <w:lang w:val="x-none" w:eastAsia="x-none"/>
              </w:rPr>
              <w:t xml:space="preserve"> =</w:t>
            </w:r>
            <w:r w:rsidRPr="00A552C3">
              <w:rPr>
                <w:bCs/>
                <w:iCs/>
                <w:lang w:val="x-none" w:eastAsia="x-none"/>
              </w:rPr>
              <w:tab/>
              <w:t xml:space="preserve">(-1) * DAMWAMTTOT * DAERS </w:t>
            </w:r>
            <w:r w:rsidRPr="00A552C3">
              <w:rPr>
                <w:bCs/>
                <w:i/>
                <w:iCs/>
                <w:vertAlign w:val="subscript"/>
                <w:lang w:val="x-none" w:eastAsia="x-none"/>
              </w:rPr>
              <w:t>q</w:t>
            </w:r>
          </w:p>
          <w:p w14:paraId="0A78DFFB" w14:textId="77777777" w:rsidR="00482902" w:rsidRPr="00A552C3" w:rsidRDefault="00482902" w:rsidP="00482902">
            <w:pPr>
              <w:spacing w:after="240"/>
              <w:ind w:firstLine="720"/>
              <w:rPr>
                <w:iCs/>
              </w:rPr>
            </w:pPr>
            <w:r w:rsidRPr="00A552C3">
              <w:rPr>
                <w:iCs/>
              </w:rPr>
              <w:t>Where:</w:t>
            </w:r>
          </w:p>
          <w:p w14:paraId="5A355C80" w14:textId="77777777" w:rsidR="00482902" w:rsidRPr="00A552C3" w:rsidRDefault="00482902" w:rsidP="00482902">
            <w:r w:rsidRPr="00A552C3">
              <w:tab/>
              <w:t>Day-Ahead Make-Whole Payment Total</w:t>
            </w:r>
          </w:p>
          <w:p w14:paraId="4C2A7CCE" w14:textId="77777777" w:rsidR="00482902" w:rsidRPr="00A552C3" w:rsidRDefault="00482902" w:rsidP="00482902">
            <w:pPr>
              <w:tabs>
                <w:tab w:val="left" w:pos="2340"/>
                <w:tab w:val="left" w:pos="2700"/>
              </w:tabs>
              <w:spacing w:after="240"/>
              <w:ind w:left="3060" w:hanging="2340"/>
              <w:rPr>
                <w:bCs/>
                <w:i/>
                <w:iCs/>
                <w:vertAlign w:val="subscript"/>
                <w:lang w:val="x-none" w:eastAsia="x-none"/>
              </w:rPr>
            </w:pPr>
            <w:r w:rsidRPr="00A552C3">
              <w:rPr>
                <w:bCs/>
                <w:lang w:val="x-none" w:eastAsia="x-none"/>
              </w:rPr>
              <w:t>DAMWAMTTOT</w:t>
            </w:r>
            <w:r w:rsidRPr="00A552C3">
              <w:rPr>
                <w:bCs/>
                <w:lang w:val="x-none" w:eastAsia="x-none"/>
              </w:rPr>
              <w:tab/>
              <w:t>=</w:t>
            </w:r>
            <w:r w:rsidRPr="00A552C3">
              <w:rPr>
                <w:bCs/>
                <w:lang w:val="x-none" w:eastAsia="x-none"/>
              </w:rPr>
              <w:tab/>
            </w:r>
            <w:r w:rsidRPr="00A552C3">
              <w:rPr>
                <w:bCs/>
                <w:position w:val="-22"/>
                <w:lang w:val="x-none" w:eastAsia="x-none"/>
              </w:rPr>
              <w:object w:dxaOrig="220" w:dyaOrig="460" w14:anchorId="0D6F6F7F">
                <v:shape id="_x0000_i1031" type="#_x0000_t75" style="width:13.2pt;height:21pt" o:ole="">
                  <v:imagedata r:id="rId25" o:title=""/>
                </v:shape>
                <o:OLEObject Type="Embed" ProgID="Equation.3" ShapeID="_x0000_i1031" DrawAspect="Content" ObjectID="_1775281324" r:id="rId31"/>
              </w:object>
            </w:r>
            <w:r w:rsidRPr="00A552C3">
              <w:rPr>
                <w:bCs/>
                <w:lang w:val="x-none" w:eastAsia="x-none"/>
              </w:rPr>
              <w:t xml:space="preserve">DAMWAMTQSETOT </w:t>
            </w:r>
            <w:r w:rsidRPr="00A552C3">
              <w:rPr>
                <w:bCs/>
                <w:i/>
                <w:iCs/>
                <w:vertAlign w:val="subscript"/>
                <w:lang w:val="x-none" w:eastAsia="x-none"/>
              </w:rPr>
              <w:t>q</w:t>
            </w:r>
          </w:p>
          <w:p w14:paraId="1502D0AB" w14:textId="77777777" w:rsidR="00482902" w:rsidRPr="00A552C3" w:rsidRDefault="00482902" w:rsidP="00482902">
            <w:r w:rsidRPr="00A552C3">
              <w:tab/>
              <w:t>Day-Ahead Energy Purchase Ratio Share per QSE</w:t>
            </w:r>
          </w:p>
          <w:p w14:paraId="280BDDD4" w14:textId="77777777" w:rsidR="00482902" w:rsidRPr="00A552C3" w:rsidRDefault="00482902" w:rsidP="00482902"/>
          <w:p w14:paraId="6A49E036" w14:textId="77777777" w:rsidR="00482902" w:rsidRPr="00A552C3" w:rsidRDefault="00482902" w:rsidP="00482902">
            <w:pPr>
              <w:tabs>
                <w:tab w:val="left" w:pos="2340"/>
                <w:tab w:val="left" w:pos="2700"/>
              </w:tabs>
              <w:spacing w:after="240"/>
              <w:ind w:left="3060" w:hanging="2340"/>
              <w:rPr>
                <w:bCs/>
                <w:lang w:val="x-none" w:eastAsia="x-none"/>
              </w:rPr>
            </w:pPr>
            <w:r w:rsidRPr="00A552C3">
              <w:rPr>
                <w:bCs/>
                <w:lang w:val="x-none" w:eastAsia="x-none"/>
              </w:rPr>
              <w:lastRenderedPageBreak/>
              <w:t xml:space="preserve">DAERS </w:t>
            </w:r>
            <w:r w:rsidRPr="00A552C3">
              <w:rPr>
                <w:bCs/>
                <w:i/>
                <w:vertAlign w:val="subscript"/>
                <w:lang w:val="x-none" w:eastAsia="x-none"/>
              </w:rPr>
              <w:t>q</w:t>
            </w:r>
            <w:r w:rsidRPr="00A552C3">
              <w:rPr>
                <w:bCs/>
                <w:lang w:val="x-none" w:eastAsia="x-none"/>
              </w:rPr>
              <w:tab/>
              <w:t>=</w:t>
            </w:r>
            <w:r w:rsidRPr="00A552C3">
              <w:rPr>
                <w:bCs/>
                <w:lang w:val="x-none" w:eastAsia="x-none"/>
              </w:rPr>
              <w:tab/>
              <w:t xml:space="preserve">DAE </w:t>
            </w:r>
            <w:r w:rsidRPr="00A552C3">
              <w:rPr>
                <w:bCs/>
                <w:i/>
                <w:vertAlign w:val="subscript"/>
                <w:lang w:val="x-none" w:eastAsia="x-none"/>
              </w:rPr>
              <w:t>q</w:t>
            </w:r>
            <w:r w:rsidRPr="00A552C3">
              <w:rPr>
                <w:bCs/>
                <w:lang w:val="x-none" w:eastAsia="x-none"/>
              </w:rPr>
              <w:t xml:space="preserve"> / DAETOT</w:t>
            </w:r>
          </w:p>
          <w:p w14:paraId="2F2B5B6C" w14:textId="77777777" w:rsidR="00482902" w:rsidRPr="00A552C3" w:rsidRDefault="00482902" w:rsidP="00482902">
            <w:pPr>
              <w:tabs>
                <w:tab w:val="left" w:pos="2340"/>
                <w:tab w:val="left" w:pos="2700"/>
              </w:tabs>
              <w:spacing w:after="240"/>
              <w:ind w:left="3060" w:hanging="2340"/>
              <w:rPr>
                <w:bCs/>
                <w:i/>
                <w:vertAlign w:val="subscript"/>
                <w:lang w:val="x-none" w:eastAsia="x-none"/>
              </w:rPr>
            </w:pPr>
            <w:r w:rsidRPr="00A552C3">
              <w:rPr>
                <w:bCs/>
                <w:lang w:val="x-none" w:eastAsia="x-none"/>
              </w:rPr>
              <w:t>DAETOT</w:t>
            </w:r>
            <w:r w:rsidRPr="00A552C3">
              <w:rPr>
                <w:bCs/>
                <w:lang w:val="x-none" w:eastAsia="x-none"/>
              </w:rPr>
              <w:tab/>
              <w:t>=</w:t>
            </w:r>
            <w:r w:rsidRPr="00A552C3">
              <w:rPr>
                <w:bCs/>
                <w:lang w:val="x-none" w:eastAsia="x-none"/>
              </w:rPr>
              <w:tab/>
            </w:r>
            <w:r w:rsidRPr="00A552C3">
              <w:rPr>
                <w:bCs/>
                <w:noProof/>
                <w:position w:val="-22"/>
              </w:rPr>
              <w:drawing>
                <wp:inline distT="0" distB="0" distL="0" distR="0" wp14:anchorId="2E2719D1" wp14:editId="2D162A36">
                  <wp:extent cx="142875" cy="2952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295275"/>
                          </a:xfrm>
                          <a:prstGeom prst="rect">
                            <a:avLst/>
                          </a:prstGeom>
                          <a:noFill/>
                          <a:ln>
                            <a:noFill/>
                          </a:ln>
                        </pic:spPr>
                      </pic:pic>
                    </a:graphicData>
                  </a:graphic>
                </wp:inline>
              </w:drawing>
            </w:r>
            <w:r w:rsidRPr="00A552C3">
              <w:rPr>
                <w:bCs/>
                <w:lang w:val="x-none" w:eastAsia="x-none"/>
              </w:rPr>
              <w:t xml:space="preserve">DAE </w:t>
            </w:r>
            <w:r w:rsidRPr="00A552C3">
              <w:rPr>
                <w:bCs/>
                <w:i/>
                <w:vertAlign w:val="subscript"/>
                <w:lang w:val="x-none" w:eastAsia="x-none"/>
              </w:rPr>
              <w:t>q</w:t>
            </w:r>
          </w:p>
          <w:p w14:paraId="2D5F15FA" w14:textId="77777777" w:rsidR="00482902" w:rsidRPr="00A552C3" w:rsidRDefault="00482902" w:rsidP="00482902">
            <w:pPr>
              <w:tabs>
                <w:tab w:val="left" w:pos="2340"/>
                <w:tab w:val="left" w:pos="2700"/>
              </w:tabs>
              <w:spacing w:after="240"/>
              <w:ind w:left="3060" w:hanging="2340"/>
              <w:rPr>
                <w:bCs/>
                <w:i/>
                <w:vertAlign w:val="subscript"/>
                <w:lang w:val="x-none" w:eastAsia="x-none"/>
              </w:rPr>
            </w:pPr>
            <w:r w:rsidRPr="00A552C3">
              <w:rPr>
                <w:bCs/>
                <w:lang w:val="x-none" w:eastAsia="x-none"/>
              </w:rPr>
              <w:t xml:space="preserve">DAE </w:t>
            </w:r>
            <w:r w:rsidRPr="00A552C3">
              <w:rPr>
                <w:bCs/>
                <w:i/>
                <w:vertAlign w:val="subscript"/>
                <w:lang w:val="x-none" w:eastAsia="x-none"/>
              </w:rPr>
              <w:t>q</w:t>
            </w:r>
            <w:r w:rsidRPr="00A552C3">
              <w:rPr>
                <w:bCs/>
                <w:lang w:val="x-none" w:eastAsia="x-none"/>
              </w:rPr>
              <w:tab/>
            </w:r>
            <w:r w:rsidRPr="00A552C3">
              <w:rPr>
                <w:bCs/>
                <w:lang w:val="x-none" w:eastAsia="x-none"/>
              </w:rPr>
              <w:tab/>
              <w:t>=</w:t>
            </w:r>
            <w:r w:rsidRPr="00A552C3">
              <w:rPr>
                <w:bCs/>
                <w:lang w:val="x-none" w:eastAsia="x-none"/>
              </w:rPr>
              <w:tab/>
            </w:r>
            <w:r w:rsidRPr="00A552C3">
              <w:rPr>
                <w:bCs/>
                <w:noProof/>
                <w:position w:val="-22"/>
              </w:rPr>
              <w:drawing>
                <wp:inline distT="0" distB="0" distL="0" distR="0" wp14:anchorId="465E37CD" wp14:editId="278F99AD">
                  <wp:extent cx="142875" cy="295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295275"/>
                          </a:xfrm>
                          <a:prstGeom prst="rect">
                            <a:avLst/>
                          </a:prstGeom>
                          <a:noFill/>
                          <a:ln>
                            <a:noFill/>
                          </a:ln>
                        </pic:spPr>
                      </pic:pic>
                    </a:graphicData>
                  </a:graphic>
                </wp:inline>
              </w:drawing>
            </w:r>
            <w:r w:rsidRPr="00A552C3">
              <w:rPr>
                <w:bCs/>
                <w:lang w:val="x-none" w:eastAsia="x-none"/>
              </w:rPr>
              <w:t xml:space="preserve">DAEP </w:t>
            </w:r>
            <w:r w:rsidRPr="00A552C3">
              <w:rPr>
                <w:bCs/>
                <w:i/>
                <w:vertAlign w:val="subscript"/>
                <w:lang w:val="x-none" w:eastAsia="x-none"/>
              </w:rPr>
              <w:t>q, p</w:t>
            </w:r>
            <w:r w:rsidRPr="00A552C3">
              <w:rPr>
                <w:bCs/>
                <w:lang w:val="x-none" w:eastAsia="x-none"/>
              </w:rPr>
              <w:t xml:space="preserve"> + </w:t>
            </w:r>
            <w:r w:rsidRPr="00A552C3">
              <w:rPr>
                <w:bCs/>
                <w:noProof/>
                <w:position w:val="-22"/>
              </w:rPr>
              <w:drawing>
                <wp:inline distT="0" distB="0" distL="0" distR="0" wp14:anchorId="4B075265" wp14:editId="72F0D0A5">
                  <wp:extent cx="142875" cy="2952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295275"/>
                          </a:xfrm>
                          <a:prstGeom prst="rect">
                            <a:avLst/>
                          </a:prstGeom>
                          <a:noFill/>
                          <a:ln>
                            <a:noFill/>
                          </a:ln>
                        </pic:spPr>
                      </pic:pic>
                    </a:graphicData>
                  </a:graphic>
                </wp:inline>
              </w:drawing>
            </w:r>
            <w:r w:rsidRPr="00A552C3">
              <w:rPr>
                <w:bCs/>
                <w:noProof/>
                <w:position w:val="-20"/>
              </w:rPr>
              <w:drawing>
                <wp:inline distT="0" distB="0" distL="0" distR="0" wp14:anchorId="1B812F9F" wp14:editId="460CACF8">
                  <wp:extent cx="142875" cy="2762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rsidRPr="00A552C3">
              <w:rPr>
                <w:bCs/>
                <w:lang w:val="x-none" w:eastAsia="x-none"/>
              </w:rPr>
              <w:t xml:space="preserve">RTOBL </w:t>
            </w:r>
            <w:r w:rsidRPr="00A552C3">
              <w:rPr>
                <w:bCs/>
                <w:i/>
                <w:vertAlign w:val="subscript"/>
                <w:lang w:val="x-none" w:eastAsia="x-none"/>
              </w:rPr>
              <w:t>q, (j, k)</w:t>
            </w:r>
          </w:p>
          <w:p w14:paraId="33DAE632" w14:textId="77777777" w:rsidR="00482902" w:rsidRPr="00A552C3" w:rsidRDefault="00482902" w:rsidP="00482902">
            <w:r w:rsidRPr="00A552C3">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0"/>
              <w:gridCol w:w="623"/>
              <w:gridCol w:w="5887"/>
            </w:tblGrid>
            <w:tr w:rsidR="00482902" w:rsidRPr="00A552C3" w14:paraId="78CDE136" w14:textId="77777777" w:rsidTr="009540C4">
              <w:trPr>
                <w:cantSplit/>
                <w:tblHeader/>
              </w:trPr>
              <w:tc>
                <w:tcPr>
                  <w:tcW w:w="1427" w:type="pct"/>
                </w:tcPr>
                <w:p w14:paraId="6FBDE5DA" w14:textId="77777777" w:rsidR="00482902" w:rsidRPr="00A552C3" w:rsidRDefault="00482902" w:rsidP="00482902">
                  <w:pPr>
                    <w:spacing w:after="120"/>
                    <w:rPr>
                      <w:b/>
                      <w:iCs/>
                      <w:sz w:val="20"/>
                      <w:szCs w:val="20"/>
                    </w:rPr>
                  </w:pPr>
                  <w:r w:rsidRPr="00A552C3">
                    <w:rPr>
                      <w:b/>
                      <w:iCs/>
                      <w:sz w:val="20"/>
                      <w:szCs w:val="20"/>
                    </w:rPr>
                    <w:t>Variable</w:t>
                  </w:r>
                </w:p>
              </w:tc>
              <w:tc>
                <w:tcPr>
                  <w:tcW w:w="342" w:type="pct"/>
                </w:tcPr>
                <w:p w14:paraId="6327C64B" w14:textId="77777777" w:rsidR="00482902" w:rsidRPr="00A552C3" w:rsidRDefault="00482902" w:rsidP="00482902">
                  <w:pPr>
                    <w:spacing w:after="120"/>
                    <w:rPr>
                      <w:b/>
                      <w:iCs/>
                      <w:sz w:val="20"/>
                      <w:szCs w:val="20"/>
                    </w:rPr>
                  </w:pPr>
                  <w:r w:rsidRPr="00A552C3">
                    <w:rPr>
                      <w:b/>
                      <w:iCs/>
                      <w:sz w:val="20"/>
                      <w:szCs w:val="20"/>
                    </w:rPr>
                    <w:t>Unit</w:t>
                  </w:r>
                </w:p>
              </w:tc>
              <w:tc>
                <w:tcPr>
                  <w:tcW w:w="3231" w:type="pct"/>
                </w:tcPr>
                <w:p w14:paraId="07EF0CE2" w14:textId="77777777" w:rsidR="00482902" w:rsidRPr="00A552C3" w:rsidRDefault="00482902" w:rsidP="00482902">
                  <w:pPr>
                    <w:spacing w:after="120"/>
                    <w:rPr>
                      <w:b/>
                      <w:iCs/>
                      <w:sz w:val="20"/>
                      <w:szCs w:val="20"/>
                    </w:rPr>
                  </w:pPr>
                  <w:r w:rsidRPr="00A552C3">
                    <w:rPr>
                      <w:b/>
                      <w:iCs/>
                      <w:sz w:val="20"/>
                      <w:szCs w:val="20"/>
                    </w:rPr>
                    <w:t>Definition</w:t>
                  </w:r>
                </w:p>
              </w:tc>
            </w:tr>
            <w:tr w:rsidR="00482902" w:rsidRPr="00A552C3" w14:paraId="20256A89" w14:textId="77777777" w:rsidTr="009540C4">
              <w:trPr>
                <w:cantSplit/>
              </w:trPr>
              <w:tc>
                <w:tcPr>
                  <w:tcW w:w="1427" w:type="pct"/>
                </w:tcPr>
                <w:p w14:paraId="0D45CDC8" w14:textId="77777777" w:rsidR="00482902" w:rsidRPr="00A552C3" w:rsidRDefault="00482902" w:rsidP="00482902">
                  <w:pPr>
                    <w:spacing w:after="60"/>
                    <w:rPr>
                      <w:iCs/>
                      <w:sz w:val="20"/>
                      <w:szCs w:val="20"/>
                    </w:rPr>
                  </w:pPr>
                  <w:r w:rsidRPr="00A552C3">
                    <w:rPr>
                      <w:iCs/>
                      <w:sz w:val="20"/>
                      <w:szCs w:val="20"/>
                    </w:rPr>
                    <w:t xml:space="preserve">LADAMWAMT </w:t>
                  </w:r>
                  <w:r w:rsidRPr="00A552C3">
                    <w:rPr>
                      <w:i/>
                      <w:iCs/>
                      <w:sz w:val="20"/>
                      <w:szCs w:val="20"/>
                      <w:vertAlign w:val="subscript"/>
                    </w:rPr>
                    <w:t>q</w:t>
                  </w:r>
                </w:p>
              </w:tc>
              <w:tc>
                <w:tcPr>
                  <w:tcW w:w="342" w:type="pct"/>
                </w:tcPr>
                <w:p w14:paraId="49F41A31" w14:textId="77777777" w:rsidR="00482902" w:rsidRPr="00A552C3" w:rsidRDefault="00482902" w:rsidP="00482902">
                  <w:pPr>
                    <w:spacing w:after="60"/>
                    <w:rPr>
                      <w:iCs/>
                      <w:sz w:val="20"/>
                      <w:szCs w:val="20"/>
                    </w:rPr>
                  </w:pPr>
                  <w:r w:rsidRPr="00A552C3">
                    <w:rPr>
                      <w:iCs/>
                      <w:sz w:val="20"/>
                      <w:szCs w:val="20"/>
                    </w:rPr>
                    <w:t>$</w:t>
                  </w:r>
                </w:p>
              </w:tc>
              <w:tc>
                <w:tcPr>
                  <w:tcW w:w="3231" w:type="pct"/>
                </w:tcPr>
                <w:p w14:paraId="349DADE8" w14:textId="77777777" w:rsidR="00482902" w:rsidRPr="00A552C3" w:rsidRDefault="00482902" w:rsidP="00482902">
                  <w:pPr>
                    <w:spacing w:after="60"/>
                    <w:rPr>
                      <w:iCs/>
                      <w:sz w:val="20"/>
                      <w:szCs w:val="20"/>
                    </w:rPr>
                  </w:pPr>
                  <w:r w:rsidRPr="00A552C3">
                    <w:rPr>
                      <w:i/>
                      <w:iCs/>
                      <w:sz w:val="20"/>
                      <w:szCs w:val="20"/>
                    </w:rPr>
                    <w:t>Day-Ahead Make-Whole Charge</w:t>
                  </w:r>
                  <w:r w:rsidRPr="00A552C3">
                    <w:rPr>
                      <w:iCs/>
                      <w:sz w:val="20"/>
                      <w:szCs w:val="20"/>
                    </w:rPr>
                    <w:sym w:font="Symbol" w:char="F0BE"/>
                  </w:r>
                  <w:r w:rsidRPr="00A552C3">
                    <w:rPr>
                      <w:iCs/>
                      <w:sz w:val="20"/>
                      <w:szCs w:val="20"/>
                    </w:rPr>
                    <w:t xml:space="preserve">The allocated charge to QSE </w:t>
                  </w:r>
                  <w:r w:rsidRPr="00A552C3">
                    <w:rPr>
                      <w:i/>
                      <w:iCs/>
                      <w:sz w:val="20"/>
                      <w:szCs w:val="20"/>
                    </w:rPr>
                    <w:t>q</w:t>
                  </w:r>
                  <w:r w:rsidRPr="00A552C3">
                    <w:rPr>
                      <w:iCs/>
                      <w:sz w:val="20"/>
                      <w:szCs w:val="20"/>
                    </w:rPr>
                    <w:t xml:space="preserve"> to make whole all the eligible DAM-committed Resources for the hour.</w:t>
                  </w:r>
                </w:p>
              </w:tc>
            </w:tr>
            <w:tr w:rsidR="00482902" w:rsidRPr="00A552C3" w14:paraId="73AAB203" w14:textId="77777777" w:rsidTr="009540C4">
              <w:trPr>
                <w:cantSplit/>
              </w:trPr>
              <w:tc>
                <w:tcPr>
                  <w:tcW w:w="1427" w:type="pct"/>
                </w:tcPr>
                <w:p w14:paraId="5674C7A9" w14:textId="77777777" w:rsidR="00482902" w:rsidRPr="00A552C3" w:rsidRDefault="00482902" w:rsidP="00482902">
                  <w:pPr>
                    <w:spacing w:after="60"/>
                    <w:rPr>
                      <w:iCs/>
                      <w:sz w:val="20"/>
                      <w:szCs w:val="20"/>
                    </w:rPr>
                  </w:pPr>
                  <w:r w:rsidRPr="00A552C3">
                    <w:rPr>
                      <w:iCs/>
                      <w:sz w:val="20"/>
                      <w:szCs w:val="20"/>
                    </w:rPr>
                    <w:t>DAMWAMTTOT</w:t>
                  </w:r>
                </w:p>
              </w:tc>
              <w:tc>
                <w:tcPr>
                  <w:tcW w:w="342" w:type="pct"/>
                </w:tcPr>
                <w:p w14:paraId="591C7995" w14:textId="77777777" w:rsidR="00482902" w:rsidRPr="00A552C3" w:rsidRDefault="00482902" w:rsidP="00482902">
                  <w:pPr>
                    <w:spacing w:after="60"/>
                    <w:rPr>
                      <w:iCs/>
                      <w:sz w:val="20"/>
                      <w:szCs w:val="20"/>
                    </w:rPr>
                  </w:pPr>
                  <w:r w:rsidRPr="00A552C3">
                    <w:rPr>
                      <w:iCs/>
                      <w:sz w:val="20"/>
                      <w:szCs w:val="20"/>
                    </w:rPr>
                    <w:t>$</w:t>
                  </w:r>
                </w:p>
              </w:tc>
              <w:tc>
                <w:tcPr>
                  <w:tcW w:w="3231" w:type="pct"/>
                </w:tcPr>
                <w:p w14:paraId="34712524" w14:textId="77777777" w:rsidR="00482902" w:rsidRPr="00A552C3" w:rsidRDefault="00482902" w:rsidP="00482902">
                  <w:pPr>
                    <w:spacing w:after="60"/>
                    <w:rPr>
                      <w:iCs/>
                      <w:sz w:val="20"/>
                      <w:szCs w:val="20"/>
                    </w:rPr>
                  </w:pPr>
                  <w:r w:rsidRPr="00A552C3">
                    <w:rPr>
                      <w:i/>
                      <w:iCs/>
                      <w:sz w:val="20"/>
                      <w:szCs w:val="20"/>
                    </w:rPr>
                    <w:t>Day-Ahead Make-Whole Payment Total</w:t>
                  </w:r>
                  <w:r w:rsidRPr="00A552C3">
                    <w:rPr>
                      <w:iCs/>
                      <w:sz w:val="20"/>
                      <w:szCs w:val="20"/>
                    </w:rPr>
                    <w:sym w:font="Symbol" w:char="F0BE"/>
                  </w:r>
                  <w:r w:rsidRPr="00A552C3">
                    <w:rPr>
                      <w:iCs/>
                      <w:sz w:val="20"/>
                      <w:szCs w:val="20"/>
                    </w:rPr>
                    <w:t>The total of the Day-Ahead Make-Whole Payments to all QSEs for all DAM-committed Resources for the hour.</w:t>
                  </w:r>
                </w:p>
              </w:tc>
            </w:tr>
            <w:tr w:rsidR="00482902" w:rsidRPr="00A552C3" w14:paraId="4C7CBC89" w14:textId="77777777" w:rsidTr="009540C4">
              <w:trPr>
                <w:cantSplit/>
              </w:trPr>
              <w:tc>
                <w:tcPr>
                  <w:tcW w:w="1427" w:type="pct"/>
                </w:tcPr>
                <w:p w14:paraId="767C186B" w14:textId="77777777" w:rsidR="00482902" w:rsidRPr="00A552C3" w:rsidRDefault="00482902" w:rsidP="00482902">
                  <w:pPr>
                    <w:spacing w:after="60"/>
                    <w:rPr>
                      <w:iCs/>
                      <w:sz w:val="20"/>
                      <w:szCs w:val="20"/>
                    </w:rPr>
                  </w:pPr>
                  <w:r w:rsidRPr="00A552C3">
                    <w:rPr>
                      <w:iCs/>
                      <w:sz w:val="20"/>
                      <w:szCs w:val="20"/>
                    </w:rPr>
                    <w:t xml:space="preserve">DAMWAMTQSETOT </w:t>
                  </w:r>
                  <w:r w:rsidRPr="00A552C3">
                    <w:rPr>
                      <w:i/>
                      <w:iCs/>
                      <w:sz w:val="20"/>
                      <w:szCs w:val="20"/>
                      <w:vertAlign w:val="subscript"/>
                    </w:rPr>
                    <w:t>q</w:t>
                  </w:r>
                </w:p>
              </w:tc>
              <w:tc>
                <w:tcPr>
                  <w:tcW w:w="342" w:type="pct"/>
                </w:tcPr>
                <w:p w14:paraId="11C1C07A" w14:textId="77777777" w:rsidR="00482902" w:rsidRPr="00A552C3" w:rsidRDefault="00482902" w:rsidP="00482902">
                  <w:pPr>
                    <w:spacing w:after="60"/>
                    <w:rPr>
                      <w:iCs/>
                      <w:sz w:val="20"/>
                      <w:szCs w:val="20"/>
                    </w:rPr>
                  </w:pPr>
                  <w:r w:rsidRPr="00A552C3">
                    <w:rPr>
                      <w:iCs/>
                      <w:sz w:val="20"/>
                      <w:szCs w:val="20"/>
                    </w:rPr>
                    <w:t>$</w:t>
                  </w:r>
                </w:p>
              </w:tc>
              <w:tc>
                <w:tcPr>
                  <w:tcW w:w="3231" w:type="pct"/>
                </w:tcPr>
                <w:p w14:paraId="5101C8AF" w14:textId="77777777" w:rsidR="00482902" w:rsidRPr="00A552C3" w:rsidRDefault="00482902" w:rsidP="00482902">
                  <w:pPr>
                    <w:spacing w:after="60"/>
                    <w:rPr>
                      <w:iCs/>
                      <w:sz w:val="20"/>
                      <w:szCs w:val="20"/>
                    </w:rPr>
                  </w:pPr>
                  <w:r w:rsidRPr="00A552C3">
                    <w:rPr>
                      <w:i/>
                      <w:iCs/>
                      <w:sz w:val="20"/>
                      <w:szCs w:val="20"/>
                    </w:rPr>
                    <w:t>Day-Ahead Make-Whole Payment QSE Total per QSE</w:t>
                  </w:r>
                  <w:r w:rsidRPr="00A552C3">
                    <w:rPr>
                      <w:iCs/>
                      <w:sz w:val="20"/>
                      <w:szCs w:val="20"/>
                    </w:rPr>
                    <w:sym w:font="Symbol" w:char="F0BE"/>
                  </w:r>
                  <w:r w:rsidRPr="00A552C3">
                    <w:rPr>
                      <w:iCs/>
                      <w:sz w:val="20"/>
                      <w:szCs w:val="20"/>
                    </w:rPr>
                    <w:t xml:space="preserve">The total of the Day-Ahead Make-Whole Payments to QSE </w:t>
                  </w:r>
                  <w:r w:rsidRPr="00A552C3">
                    <w:rPr>
                      <w:i/>
                      <w:iCs/>
                      <w:sz w:val="20"/>
                      <w:szCs w:val="20"/>
                    </w:rPr>
                    <w:t>q</w:t>
                  </w:r>
                  <w:r w:rsidRPr="00A552C3">
                    <w:rPr>
                      <w:iCs/>
                      <w:sz w:val="20"/>
                      <w:szCs w:val="20"/>
                    </w:rPr>
                    <w:t xml:space="preserve"> for the DAM-committed Generation Resources represented by this QSE for the hour.</w:t>
                  </w:r>
                </w:p>
              </w:tc>
            </w:tr>
            <w:tr w:rsidR="00482902" w:rsidRPr="00A552C3" w14:paraId="373D94C6" w14:textId="77777777" w:rsidTr="009540C4">
              <w:trPr>
                <w:cantSplit/>
              </w:trPr>
              <w:tc>
                <w:tcPr>
                  <w:tcW w:w="1427" w:type="pct"/>
                </w:tcPr>
                <w:p w14:paraId="6859C13D" w14:textId="77777777" w:rsidR="00482902" w:rsidRPr="00A552C3" w:rsidRDefault="00482902" w:rsidP="00482902">
                  <w:pPr>
                    <w:spacing w:after="60"/>
                    <w:rPr>
                      <w:iCs/>
                      <w:sz w:val="20"/>
                      <w:szCs w:val="20"/>
                    </w:rPr>
                  </w:pPr>
                  <w:r w:rsidRPr="00A552C3">
                    <w:rPr>
                      <w:iCs/>
                      <w:sz w:val="20"/>
                      <w:szCs w:val="20"/>
                    </w:rPr>
                    <w:t xml:space="preserve">DAERS </w:t>
                  </w:r>
                  <w:r w:rsidRPr="00A552C3">
                    <w:rPr>
                      <w:i/>
                      <w:iCs/>
                      <w:sz w:val="20"/>
                      <w:szCs w:val="20"/>
                      <w:vertAlign w:val="subscript"/>
                    </w:rPr>
                    <w:t>q</w:t>
                  </w:r>
                </w:p>
              </w:tc>
              <w:tc>
                <w:tcPr>
                  <w:tcW w:w="342" w:type="pct"/>
                </w:tcPr>
                <w:p w14:paraId="56572976" w14:textId="77777777" w:rsidR="00482902" w:rsidRPr="00A552C3" w:rsidRDefault="00482902" w:rsidP="00482902">
                  <w:pPr>
                    <w:spacing w:after="60"/>
                    <w:rPr>
                      <w:iCs/>
                      <w:sz w:val="20"/>
                      <w:szCs w:val="20"/>
                    </w:rPr>
                  </w:pPr>
                  <w:r w:rsidRPr="00A552C3">
                    <w:rPr>
                      <w:iCs/>
                      <w:sz w:val="20"/>
                      <w:szCs w:val="20"/>
                    </w:rPr>
                    <w:t>none</w:t>
                  </w:r>
                </w:p>
              </w:tc>
              <w:tc>
                <w:tcPr>
                  <w:tcW w:w="3231" w:type="pct"/>
                </w:tcPr>
                <w:p w14:paraId="68DE67B6" w14:textId="77777777" w:rsidR="00482902" w:rsidRPr="00A552C3" w:rsidRDefault="00482902" w:rsidP="00482902">
                  <w:pPr>
                    <w:spacing w:after="60"/>
                    <w:rPr>
                      <w:iCs/>
                      <w:sz w:val="20"/>
                      <w:szCs w:val="20"/>
                    </w:rPr>
                  </w:pPr>
                  <w:r w:rsidRPr="00A552C3">
                    <w:rPr>
                      <w:i/>
                      <w:iCs/>
                      <w:sz w:val="20"/>
                      <w:szCs w:val="20"/>
                    </w:rPr>
                    <w:t>Day-Ahead Energy Purchase Ratio Share per QSE</w:t>
                  </w:r>
                  <w:r w:rsidRPr="00A552C3">
                    <w:rPr>
                      <w:iCs/>
                      <w:sz w:val="20"/>
                      <w:szCs w:val="20"/>
                    </w:rPr>
                    <w:sym w:font="Symbol" w:char="F0BE"/>
                  </w:r>
                  <w:r w:rsidRPr="00A552C3">
                    <w:rPr>
                      <w:iCs/>
                      <w:sz w:val="20"/>
                      <w:szCs w:val="20"/>
                    </w:rPr>
                    <w:t xml:space="preserve"> The ratio of QSE </w:t>
                  </w:r>
                  <w:r w:rsidRPr="00A552C3">
                    <w:rPr>
                      <w:i/>
                      <w:iCs/>
                      <w:sz w:val="20"/>
                      <w:szCs w:val="20"/>
                    </w:rPr>
                    <w:t>q</w:t>
                  </w:r>
                  <w:r w:rsidRPr="00A552C3">
                    <w:rPr>
                      <w:iCs/>
                      <w:sz w:val="20"/>
                      <w:szCs w:val="20"/>
                    </w:rPr>
                    <w:t>’s total amount of energy represented by its cleared DAM Energy Bids, cleared purchases from the bid portion of Energy Bid/Offer Curves, and PTP Obligation Bids, to the total amount of energy represented by all QSEs’ cleared DAM Energy Bids, cleared purchases from the bid portion of Energy Bid/Offer Curves, and PTP Obligation Bids, for the hour.</w:t>
                  </w:r>
                </w:p>
              </w:tc>
            </w:tr>
            <w:tr w:rsidR="00482902" w:rsidRPr="00A552C3" w14:paraId="31E9890F" w14:textId="77777777" w:rsidTr="009540C4">
              <w:trPr>
                <w:cantSplit/>
              </w:trPr>
              <w:tc>
                <w:tcPr>
                  <w:tcW w:w="1427" w:type="pct"/>
                </w:tcPr>
                <w:p w14:paraId="508139BC" w14:textId="77777777" w:rsidR="00482902" w:rsidRPr="00A552C3" w:rsidRDefault="00482902" w:rsidP="00482902">
                  <w:pPr>
                    <w:spacing w:after="60"/>
                    <w:rPr>
                      <w:iCs/>
                      <w:sz w:val="20"/>
                      <w:szCs w:val="20"/>
                    </w:rPr>
                  </w:pPr>
                  <w:r w:rsidRPr="00A552C3">
                    <w:rPr>
                      <w:iCs/>
                      <w:sz w:val="20"/>
                      <w:szCs w:val="20"/>
                    </w:rPr>
                    <w:t>DAETOT</w:t>
                  </w:r>
                </w:p>
              </w:tc>
              <w:tc>
                <w:tcPr>
                  <w:tcW w:w="342" w:type="pct"/>
                </w:tcPr>
                <w:p w14:paraId="0890B7EB" w14:textId="77777777" w:rsidR="00482902" w:rsidRPr="00A552C3" w:rsidRDefault="00482902" w:rsidP="00482902">
                  <w:pPr>
                    <w:spacing w:after="60"/>
                    <w:rPr>
                      <w:iCs/>
                      <w:sz w:val="20"/>
                      <w:szCs w:val="20"/>
                    </w:rPr>
                  </w:pPr>
                  <w:r w:rsidRPr="00A552C3">
                    <w:rPr>
                      <w:iCs/>
                      <w:sz w:val="20"/>
                      <w:szCs w:val="20"/>
                    </w:rPr>
                    <w:t>MW</w:t>
                  </w:r>
                </w:p>
              </w:tc>
              <w:tc>
                <w:tcPr>
                  <w:tcW w:w="3231" w:type="pct"/>
                </w:tcPr>
                <w:p w14:paraId="32EC64F3" w14:textId="77777777" w:rsidR="00482902" w:rsidRPr="00A552C3" w:rsidRDefault="00482902" w:rsidP="00482902">
                  <w:pPr>
                    <w:spacing w:after="60"/>
                    <w:rPr>
                      <w:i/>
                      <w:iCs/>
                      <w:sz w:val="20"/>
                      <w:szCs w:val="20"/>
                    </w:rPr>
                  </w:pPr>
                  <w:r w:rsidRPr="00A552C3">
                    <w:rPr>
                      <w:i/>
                      <w:iCs/>
                      <w:sz w:val="20"/>
                      <w:szCs w:val="20"/>
                    </w:rPr>
                    <w:t>Day-Ahead Energy Total</w:t>
                  </w:r>
                  <w:r w:rsidRPr="00A552C3">
                    <w:rPr>
                      <w:iCs/>
                      <w:sz w:val="20"/>
                      <w:szCs w:val="20"/>
                    </w:rPr>
                    <w:t>—The total amount of energy represented by all cleared DAM Energy Bids, all cleared purchases from the bid portion of Energy Bid/Offer Curves, and all cleared PTP Obligation Bids for the hour.</w:t>
                  </w:r>
                </w:p>
              </w:tc>
            </w:tr>
            <w:tr w:rsidR="00482902" w:rsidRPr="00A552C3" w14:paraId="0AB4781A" w14:textId="77777777" w:rsidTr="009540C4">
              <w:trPr>
                <w:cantSplit/>
              </w:trPr>
              <w:tc>
                <w:tcPr>
                  <w:tcW w:w="1427" w:type="pct"/>
                </w:tcPr>
                <w:p w14:paraId="673BC290" w14:textId="77777777" w:rsidR="00482902" w:rsidRPr="00A552C3" w:rsidRDefault="00482902" w:rsidP="00482902">
                  <w:pPr>
                    <w:spacing w:after="60"/>
                    <w:rPr>
                      <w:iCs/>
                      <w:sz w:val="20"/>
                      <w:szCs w:val="20"/>
                    </w:rPr>
                  </w:pPr>
                  <w:r w:rsidRPr="00A552C3">
                    <w:rPr>
                      <w:iCs/>
                      <w:sz w:val="20"/>
                      <w:szCs w:val="20"/>
                    </w:rPr>
                    <w:t xml:space="preserve">DAE </w:t>
                  </w:r>
                  <w:r w:rsidRPr="00A552C3">
                    <w:rPr>
                      <w:i/>
                      <w:iCs/>
                      <w:sz w:val="20"/>
                      <w:szCs w:val="20"/>
                      <w:vertAlign w:val="subscript"/>
                    </w:rPr>
                    <w:t>q</w:t>
                  </w:r>
                </w:p>
              </w:tc>
              <w:tc>
                <w:tcPr>
                  <w:tcW w:w="342" w:type="pct"/>
                </w:tcPr>
                <w:p w14:paraId="7AA3FE67" w14:textId="77777777" w:rsidR="00482902" w:rsidRPr="00A552C3" w:rsidRDefault="00482902" w:rsidP="00482902">
                  <w:pPr>
                    <w:spacing w:after="60"/>
                    <w:rPr>
                      <w:iCs/>
                      <w:sz w:val="20"/>
                      <w:szCs w:val="20"/>
                    </w:rPr>
                  </w:pPr>
                  <w:r w:rsidRPr="00A552C3">
                    <w:rPr>
                      <w:iCs/>
                      <w:sz w:val="20"/>
                      <w:szCs w:val="20"/>
                    </w:rPr>
                    <w:t>MW</w:t>
                  </w:r>
                </w:p>
              </w:tc>
              <w:tc>
                <w:tcPr>
                  <w:tcW w:w="3231" w:type="pct"/>
                </w:tcPr>
                <w:p w14:paraId="0063AB6F" w14:textId="77777777" w:rsidR="00482902" w:rsidRPr="00A552C3" w:rsidRDefault="00482902" w:rsidP="00482902">
                  <w:pPr>
                    <w:spacing w:after="60"/>
                    <w:rPr>
                      <w:i/>
                      <w:iCs/>
                      <w:sz w:val="20"/>
                      <w:szCs w:val="20"/>
                    </w:rPr>
                  </w:pPr>
                  <w:r w:rsidRPr="00A552C3">
                    <w:rPr>
                      <w:i/>
                      <w:iCs/>
                      <w:sz w:val="20"/>
                      <w:szCs w:val="20"/>
                    </w:rPr>
                    <w:t>Day-Ahead Energy per QSE</w:t>
                  </w:r>
                  <w:r w:rsidRPr="00A552C3">
                    <w:rPr>
                      <w:iCs/>
                      <w:sz w:val="20"/>
                      <w:szCs w:val="20"/>
                    </w:rPr>
                    <w:t xml:space="preserve">—QSE </w:t>
                  </w:r>
                  <w:r w:rsidRPr="00A552C3">
                    <w:rPr>
                      <w:i/>
                      <w:iCs/>
                      <w:sz w:val="20"/>
                      <w:szCs w:val="20"/>
                    </w:rPr>
                    <w:t>q</w:t>
                  </w:r>
                  <w:r w:rsidRPr="00A552C3">
                    <w:rPr>
                      <w:iCs/>
                      <w:sz w:val="20"/>
                      <w:szCs w:val="20"/>
                    </w:rPr>
                    <w:t>’s total amount of energy, represented by its cleared DAM Energy Bids, cleared purchases from the bid portion of Energy Bid/Offer Curves, and PTP Obligation Bids, for the hour.</w:t>
                  </w:r>
                </w:p>
              </w:tc>
            </w:tr>
            <w:tr w:rsidR="00482902" w:rsidRPr="00A552C3" w14:paraId="7B70B31D" w14:textId="77777777" w:rsidTr="009540C4">
              <w:trPr>
                <w:cantSplit/>
              </w:trPr>
              <w:tc>
                <w:tcPr>
                  <w:tcW w:w="1427" w:type="pct"/>
                </w:tcPr>
                <w:p w14:paraId="48702875" w14:textId="77777777" w:rsidR="00482902" w:rsidRPr="00A552C3" w:rsidRDefault="00482902" w:rsidP="00482902">
                  <w:pPr>
                    <w:spacing w:after="60"/>
                    <w:rPr>
                      <w:iCs/>
                      <w:sz w:val="20"/>
                      <w:szCs w:val="20"/>
                    </w:rPr>
                  </w:pPr>
                  <w:r w:rsidRPr="00A552C3">
                    <w:rPr>
                      <w:iCs/>
                      <w:sz w:val="20"/>
                      <w:szCs w:val="20"/>
                    </w:rPr>
                    <w:t xml:space="preserve">DAEP </w:t>
                  </w:r>
                  <w:r w:rsidRPr="00A552C3">
                    <w:rPr>
                      <w:i/>
                      <w:iCs/>
                      <w:sz w:val="20"/>
                      <w:szCs w:val="20"/>
                      <w:vertAlign w:val="subscript"/>
                    </w:rPr>
                    <w:t>q, p</w:t>
                  </w:r>
                </w:p>
              </w:tc>
              <w:tc>
                <w:tcPr>
                  <w:tcW w:w="342" w:type="pct"/>
                </w:tcPr>
                <w:p w14:paraId="11CCDC66" w14:textId="77777777" w:rsidR="00482902" w:rsidRPr="00A552C3" w:rsidRDefault="00482902" w:rsidP="00482902">
                  <w:pPr>
                    <w:spacing w:after="60"/>
                    <w:rPr>
                      <w:iCs/>
                      <w:sz w:val="20"/>
                      <w:szCs w:val="20"/>
                    </w:rPr>
                  </w:pPr>
                  <w:r w:rsidRPr="00A552C3">
                    <w:rPr>
                      <w:iCs/>
                      <w:sz w:val="20"/>
                      <w:szCs w:val="20"/>
                    </w:rPr>
                    <w:t>MW</w:t>
                  </w:r>
                </w:p>
              </w:tc>
              <w:tc>
                <w:tcPr>
                  <w:tcW w:w="3231" w:type="pct"/>
                </w:tcPr>
                <w:p w14:paraId="7B2FFFAE" w14:textId="77777777" w:rsidR="00482902" w:rsidRPr="00A552C3" w:rsidRDefault="00482902" w:rsidP="00482902">
                  <w:pPr>
                    <w:spacing w:after="60"/>
                    <w:rPr>
                      <w:i/>
                      <w:iCs/>
                      <w:sz w:val="20"/>
                      <w:szCs w:val="20"/>
                    </w:rPr>
                  </w:pPr>
                  <w:r w:rsidRPr="00A552C3">
                    <w:rPr>
                      <w:i/>
                      <w:iCs/>
                      <w:sz w:val="20"/>
                      <w:szCs w:val="20"/>
                    </w:rPr>
                    <w:t>Day-Ahead Energy Purchase per QSE per Settlement Point</w:t>
                  </w:r>
                  <w:r w:rsidRPr="00A552C3">
                    <w:rPr>
                      <w:iCs/>
                      <w:sz w:val="20"/>
                      <w:szCs w:val="20"/>
                    </w:rPr>
                    <w:t xml:space="preserve">—The total amount of energy represented by QSE </w:t>
                  </w:r>
                  <w:r w:rsidRPr="00A552C3">
                    <w:rPr>
                      <w:i/>
                      <w:iCs/>
                      <w:sz w:val="20"/>
                      <w:szCs w:val="20"/>
                    </w:rPr>
                    <w:t>q</w:t>
                  </w:r>
                  <w:r w:rsidRPr="00A552C3">
                    <w:rPr>
                      <w:iCs/>
                      <w:sz w:val="20"/>
                      <w:szCs w:val="20"/>
                    </w:rPr>
                    <w:t xml:space="preserve">’s cleared DAM Energy Bids and cleared purchases from the bid portion of Energy Bid/Offer Curves at the Settlement Point </w:t>
                  </w:r>
                  <w:r w:rsidRPr="00A552C3">
                    <w:rPr>
                      <w:i/>
                      <w:iCs/>
                      <w:sz w:val="20"/>
                      <w:szCs w:val="20"/>
                    </w:rPr>
                    <w:t>p</w:t>
                  </w:r>
                  <w:r w:rsidRPr="00A552C3">
                    <w:rPr>
                      <w:iCs/>
                      <w:sz w:val="20"/>
                      <w:szCs w:val="20"/>
                    </w:rPr>
                    <w:t xml:space="preserve"> for the hour.</w:t>
                  </w:r>
                </w:p>
              </w:tc>
            </w:tr>
            <w:tr w:rsidR="00482902" w:rsidRPr="00A552C3" w14:paraId="00EB9719" w14:textId="77777777" w:rsidTr="009540C4">
              <w:trPr>
                <w:cantSplit/>
              </w:trPr>
              <w:tc>
                <w:tcPr>
                  <w:tcW w:w="1427" w:type="pct"/>
                </w:tcPr>
                <w:p w14:paraId="2D9457F2" w14:textId="77777777" w:rsidR="00482902" w:rsidRPr="00A552C3" w:rsidRDefault="00482902" w:rsidP="00482902">
                  <w:pPr>
                    <w:spacing w:after="60"/>
                    <w:rPr>
                      <w:iCs/>
                      <w:sz w:val="20"/>
                      <w:szCs w:val="20"/>
                    </w:rPr>
                  </w:pPr>
                  <w:r w:rsidRPr="00A552C3">
                    <w:rPr>
                      <w:iCs/>
                      <w:sz w:val="20"/>
                      <w:szCs w:val="20"/>
                    </w:rPr>
                    <w:t xml:space="preserve">RTOBL </w:t>
                  </w:r>
                  <w:r w:rsidRPr="00A552C3">
                    <w:rPr>
                      <w:i/>
                      <w:iCs/>
                      <w:sz w:val="20"/>
                      <w:szCs w:val="20"/>
                      <w:vertAlign w:val="subscript"/>
                    </w:rPr>
                    <w:t>q, (j, k)</w:t>
                  </w:r>
                </w:p>
              </w:tc>
              <w:tc>
                <w:tcPr>
                  <w:tcW w:w="342" w:type="pct"/>
                </w:tcPr>
                <w:p w14:paraId="2EFEB4DC" w14:textId="77777777" w:rsidR="00482902" w:rsidRPr="00A552C3" w:rsidRDefault="00482902" w:rsidP="00482902">
                  <w:pPr>
                    <w:spacing w:after="60"/>
                    <w:rPr>
                      <w:iCs/>
                      <w:sz w:val="20"/>
                      <w:szCs w:val="20"/>
                    </w:rPr>
                  </w:pPr>
                  <w:r w:rsidRPr="00A552C3">
                    <w:rPr>
                      <w:iCs/>
                      <w:sz w:val="20"/>
                      <w:szCs w:val="20"/>
                    </w:rPr>
                    <w:t>MW</w:t>
                  </w:r>
                </w:p>
              </w:tc>
              <w:tc>
                <w:tcPr>
                  <w:tcW w:w="3231" w:type="pct"/>
                </w:tcPr>
                <w:p w14:paraId="7C6D1C82" w14:textId="77777777" w:rsidR="00482902" w:rsidRPr="00A552C3" w:rsidRDefault="00482902" w:rsidP="00482902">
                  <w:pPr>
                    <w:spacing w:after="60"/>
                    <w:rPr>
                      <w:i/>
                      <w:iCs/>
                      <w:sz w:val="20"/>
                      <w:szCs w:val="20"/>
                    </w:rPr>
                  </w:pPr>
                  <w:r w:rsidRPr="00A552C3">
                    <w:rPr>
                      <w:i/>
                      <w:iCs/>
                      <w:sz w:val="20"/>
                      <w:szCs w:val="20"/>
                    </w:rPr>
                    <w:t>Real-Time Obligation per QSE per pair of source and sink</w:t>
                  </w:r>
                  <w:r w:rsidRPr="00A552C3">
                    <w:rPr>
                      <w:iCs/>
                      <w:sz w:val="20"/>
                      <w:szCs w:val="20"/>
                    </w:rPr>
                    <w:t xml:space="preserve">—The total amount of energy represented by QSE </w:t>
                  </w:r>
                  <w:r w:rsidRPr="00A552C3">
                    <w:rPr>
                      <w:i/>
                      <w:iCs/>
                      <w:sz w:val="20"/>
                      <w:szCs w:val="20"/>
                    </w:rPr>
                    <w:t>q</w:t>
                  </w:r>
                  <w:r w:rsidRPr="00A552C3">
                    <w:rPr>
                      <w:iCs/>
                      <w:sz w:val="20"/>
                      <w:szCs w:val="20"/>
                    </w:rPr>
                    <w:t xml:space="preserve">’s cleared PTP Obligation Bids with the source </w:t>
                  </w:r>
                  <w:r w:rsidRPr="00A552C3">
                    <w:rPr>
                      <w:i/>
                      <w:iCs/>
                      <w:sz w:val="20"/>
                      <w:szCs w:val="20"/>
                    </w:rPr>
                    <w:t>j</w:t>
                  </w:r>
                  <w:r w:rsidRPr="00A552C3">
                    <w:rPr>
                      <w:iCs/>
                      <w:sz w:val="20"/>
                      <w:szCs w:val="20"/>
                    </w:rPr>
                    <w:t xml:space="preserve"> and the sink </w:t>
                  </w:r>
                  <w:r w:rsidRPr="00A552C3">
                    <w:rPr>
                      <w:i/>
                      <w:iCs/>
                      <w:sz w:val="20"/>
                      <w:szCs w:val="20"/>
                    </w:rPr>
                    <w:t>k</w:t>
                  </w:r>
                  <w:r w:rsidRPr="00A552C3">
                    <w:rPr>
                      <w:iCs/>
                      <w:sz w:val="20"/>
                      <w:szCs w:val="20"/>
                    </w:rPr>
                    <w:t>, for the hour.</w:t>
                  </w:r>
                </w:p>
              </w:tc>
            </w:tr>
            <w:tr w:rsidR="00482902" w:rsidRPr="00A552C3" w14:paraId="05E1F77B" w14:textId="77777777" w:rsidTr="009540C4">
              <w:trPr>
                <w:cantSplit/>
              </w:trPr>
              <w:tc>
                <w:tcPr>
                  <w:tcW w:w="1427" w:type="pct"/>
                </w:tcPr>
                <w:p w14:paraId="691054E6" w14:textId="77777777" w:rsidR="00482902" w:rsidRPr="00A552C3" w:rsidRDefault="00482902" w:rsidP="00482902">
                  <w:pPr>
                    <w:spacing w:after="60"/>
                    <w:rPr>
                      <w:i/>
                      <w:iCs/>
                      <w:sz w:val="20"/>
                      <w:szCs w:val="20"/>
                    </w:rPr>
                  </w:pPr>
                  <w:r w:rsidRPr="00A552C3">
                    <w:rPr>
                      <w:i/>
                      <w:iCs/>
                      <w:sz w:val="20"/>
                      <w:szCs w:val="20"/>
                    </w:rPr>
                    <w:t>q</w:t>
                  </w:r>
                </w:p>
              </w:tc>
              <w:tc>
                <w:tcPr>
                  <w:tcW w:w="342" w:type="pct"/>
                </w:tcPr>
                <w:p w14:paraId="3295EBF3" w14:textId="77777777" w:rsidR="00482902" w:rsidRPr="00A552C3" w:rsidRDefault="00482902" w:rsidP="00482902">
                  <w:pPr>
                    <w:spacing w:after="60"/>
                    <w:rPr>
                      <w:iCs/>
                      <w:sz w:val="20"/>
                      <w:szCs w:val="20"/>
                    </w:rPr>
                  </w:pPr>
                  <w:r w:rsidRPr="00A552C3">
                    <w:rPr>
                      <w:iCs/>
                      <w:sz w:val="20"/>
                      <w:szCs w:val="20"/>
                    </w:rPr>
                    <w:t>none</w:t>
                  </w:r>
                </w:p>
              </w:tc>
              <w:tc>
                <w:tcPr>
                  <w:tcW w:w="3231" w:type="pct"/>
                </w:tcPr>
                <w:p w14:paraId="3C8999E7" w14:textId="77777777" w:rsidR="00482902" w:rsidRPr="00A552C3" w:rsidRDefault="00482902" w:rsidP="00482902">
                  <w:pPr>
                    <w:spacing w:after="60"/>
                    <w:rPr>
                      <w:b/>
                      <w:i/>
                      <w:iCs/>
                      <w:sz w:val="20"/>
                      <w:szCs w:val="20"/>
                    </w:rPr>
                  </w:pPr>
                  <w:r w:rsidRPr="00A552C3">
                    <w:rPr>
                      <w:iCs/>
                      <w:sz w:val="20"/>
                      <w:szCs w:val="20"/>
                    </w:rPr>
                    <w:t>A QSE.</w:t>
                  </w:r>
                </w:p>
              </w:tc>
            </w:tr>
            <w:tr w:rsidR="00482902" w:rsidRPr="00A552C3" w14:paraId="2FD3DA4A" w14:textId="77777777" w:rsidTr="009540C4">
              <w:trPr>
                <w:cantSplit/>
              </w:trPr>
              <w:tc>
                <w:tcPr>
                  <w:tcW w:w="1427" w:type="pct"/>
                  <w:tcBorders>
                    <w:top w:val="single" w:sz="4" w:space="0" w:color="auto"/>
                    <w:left w:val="single" w:sz="4" w:space="0" w:color="auto"/>
                    <w:bottom w:val="single" w:sz="4" w:space="0" w:color="auto"/>
                    <w:right w:val="single" w:sz="4" w:space="0" w:color="auto"/>
                  </w:tcBorders>
                </w:tcPr>
                <w:p w14:paraId="48DFE4E0" w14:textId="77777777" w:rsidR="00482902" w:rsidRPr="00A552C3" w:rsidRDefault="00482902" w:rsidP="00482902">
                  <w:pPr>
                    <w:spacing w:after="60"/>
                    <w:rPr>
                      <w:i/>
                      <w:iCs/>
                      <w:sz w:val="20"/>
                      <w:szCs w:val="20"/>
                    </w:rPr>
                  </w:pPr>
                  <w:r w:rsidRPr="00A552C3">
                    <w:rPr>
                      <w:i/>
                      <w:iCs/>
                      <w:sz w:val="20"/>
                      <w:szCs w:val="20"/>
                    </w:rPr>
                    <w:t>p</w:t>
                  </w:r>
                </w:p>
              </w:tc>
              <w:tc>
                <w:tcPr>
                  <w:tcW w:w="342" w:type="pct"/>
                  <w:tcBorders>
                    <w:top w:val="single" w:sz="4" w:space="0" w:color="auto"/>
                    <w:left w:val="single" w:sz="4" w:space="0" w:color="auto"/>
                    <w:bottom w:val="single" w:sz="4" w:space="0" w:color="auto"/>
                    <w:right w:val="single" w:sz="4" w:space="0" w:color="auto"/>
                  </w:tcBorders>
                </w:tcPr>
                <w:p w14:paraId="505C523F" w14:textId="77777777" w:rsidR="00482902" w:rsidRPr="00A552C3" w:rsidRDefault="00482902" w:rsidP="00482902">
                  <w:pPr>
                    <w:spacing w:after="60"/>
                    <w:rPr>
                      <w:iCs/>
                      <w:sz w:val="20"/>
                      <w:szCs w:val="20"/>
                    </w:rPr>
                  </w:pPr>
                  <w:r w:rsidRPr="00A552C3">
                    <w:rPr>
                      <w:iCs/>
                      <w:sz w:val="20"/>
                      <w:szCs w:val="20"/>
                    </w:rPr>
                    <w:t>none</w:t>
                  </w:r>
                </w:p>
              </w:tc>
              <w:tc>
                <w:tcPr>
                  <w:tcW w:w="3231" w:type="pct"/>
                  <w:tcBorders>
                    <w:top w:val="single" w:sz="4" w:space="0" w:color="auto"/>
                    <w:left w:val="single" w:sz="4" w:space="0" w:color="auto"/>
                    <w:bottom w:val="single" w:sz="4" w:space="0" w:color="auto"/>
                    <w:right w:val="single" w:sz="4" w:space="0" w:color="auto"/>
                  </w:tcBorders>
                </w:tcPr>
                <w:p w14:paraId="00CC11CF" w14:textId="77777777" w:rsidR="00482902" w:rsidRPr="00A552C3" w:rsidRDefault="00482902" w:rsidP="00482902">
                  <w:pPr>
                    <w:spacing w:after="60"/>
                    <w:rPr>
                      <w:iCs/>
                      <w:sz w:val="20"/>
                      <w:szCs w:val="20"/>
                    </w:rPr>
                  </w:pPr>
                  <w:r w:rsidRPr="00A552C3">
                    <w:rPr>
                      <w:iCs/>
                      <w:sz w:val="20"/>
                      <w:szCs w:val="20"/>
                    </w:rPr>
                    <w:t>A Settlement Point.</w:t>
                  </w:r>
                </w:p>
              </w:tc>
            </w:tr>
            <w:tr w:rsidR="00482902" w:rsidRPr="00A552C3" w14:paraId="619859DF" w14:textId="77777777" w:rsidTr="009540C4">
              <w:trPr>
                <w:cantSplit/>
              </w:trPr>
              <w:tc>
                <w:tcPr>
                  <w:tcW w:w="1427" w:type="pct"/>
                  <w:tcBorders>
                    <w:top w:val="single" w:sz="4" w:space="0" w:color="auto"/>
                    <w:left w:val="single" w:sz="4" w:space="0" w:color="auto"/>
                    <w:bottom w:val="single" w:sz="4" w:space="0" w:color="auto"/>
                    <w:right w:val="single" w:sz="4" w:space="0" w:color="auto"/>
                  </w:tcBorders>
                </w:tcPr>
                <w:p w14:paraId="6D6A032D" w14:textId="77777777" w:rsidR="00482902" w:rsidRPr="00A552C3" w:rsidRDefault="00482902" w:rsidP="00482902">
                  <w:pPr>
                    <w:spacing w:after="60"/>
                    <w:rPr>
                      <w:i/>
                      <w:iCs/>
                      <w:sz w:val="20"/>
                      <w:szCs w:val="20"/>
                    </w:rPr>
                  </w:pPr>
                  <w:r w:rsidRPr="00A552C3">
                    <w:rPr>
                      <w:i/>
                      <w:iCs/>
                      <w:sz w:val="20"/>
                      <w:szCs w:val="20"/>
                    </w:rPr>
                    <w:t>j</w:t>
                  </w:r>
                </w:p>
              </w:tc>
              <w:tc>
                <w:tcPr>
                  <w:tcW w:w="342" w:type="pct"/>
                  <w:tcBorders>
                    <w:top w:val="single" w:sz="4" w:space="0" w:color="auto"/>
                    <w:left w:val="single" w:sz="4" w:space="0" w:color="auto"/>
                    <w:bottom w:val="single" w:sz="4" w:space="0" w:color="auto"/>
                    <w:right w:val="single" w:sz="4" w:space="0" w:color="auto"/>
                  </w:tcBorders>
                </w:tcPr>
                <w:p w14:paraId="1708C6D4" w14:textId="77777777" w:rsidR="00482902" w:rsidRPr="00A552C3" w:rsidRDefault="00482902" w:rsidP="00482902">
                  <w:pPr>
                    <w:spacing w:after="60"/>
                    <w:rPr>
                      <w:iCs/>
                      <w:sz w:val="20"/>
                      <w:szCs w:val="20"/>
                    </w:rPr>
                  </w:pPr>
                  <w:r w:rsidRPr="00A552C3">
                    <w:rPr>
                      <w:iCs/>
                      <w:sz w:val="20"/>
                      <w:szCs w:val="20"/>
                    </w:rPr>
                    <w:t>none</w:t>
                  </w:r>
                </w:p>
              </w:tc>
              <w:tc>
                <w:tcPr>
                  <w:tcW w:w="3231" w:type="pct"/>
                  <w:tcBorders>
                    <w:top w:val="single" w:sz="4" w:space="0" w:color="auto"/>
                    <w:left w:val="single" w:sz="4" w:space="0" w:color="auto"/>
                    <w:bottom w:val="single" w:sz="4" w:space="0" w:color="auto"/>
                    <w:right w:val="single" w:sz="4" w:space="0" w:color="auto"/>
                  </w:tcBorders>
                </w:tcPr>
                <w:p w14:paraId="46C07D6B" w14:textId="77777777" w:rsidR="00482902" w:rsidRPr="00A552C3" w:rsidRDefault="00482902" w:rsidP="00482902">
                  <w:pPr>
                    <w:spacing w:after="60"/>
                    <w:rPr>
                      <w:iCs/>
                      <w:sz w:val="20"/>
                      <w:szCs w:val="20"/>
                    </w:rPr>
                  </w:pPr>
                  <w:r w:rsidRPr="00A552C3">
                    <w:rPr>
                      <w:iCs/>
                      <w:sz w:val="20"/>
                      <w:szCs w:val="20"/>
                    </w:rPr>
                    <w:t>A source Settlement Point.</w:t>
                  </w:r>
                </w:p>
              </w:tc>
            </w:tr>
            <w:tr w:rsidR="00482902" w:rsidRPr="00A552C3" w14:paraId="5A9F5906" w14:textId="77777777" w:rsidTr="009540C4">
              <w:trPr>
                <w:cantSplit/>
              </w:trPr>
              <w:tc>
                <w:tcPr>
                  <w:tcW w:w="1427" w:type="pct"/>
                  <w:tcBorders>
                    <w:top w:val="single" w:sz="4" w:space="0" w:color="auto"/>
                    <w:left w:val="single" w:sz="4" w:space="0" w:color="auto"/>
                    <w:bottom w:val="single" w:sz="4" w:space="0" w:color="auto"/>
                    <w:right w:val="single" w:sz="4" w:space="0" w:color="auto"/>
                  </w:tcBorders>
                </w:tcPr>
                <w:p w14:paraId="2CBC9E59" w14:textId="77777777" w:rsidR="00482902" w:rsidRPr="00A552C3" w:rsidRDefault="00482902" w:rsidP="00482902">
                  <w:pPr>
                    <w:spacing w:after="60"/>
                    <w:rPr>
                      <w:i/>
                      <w:iCs/>
                      <w:sz w:val="20"/>
                      <w:szCs w:val="20"/>
                    </w:rPr>
                  </w:pPr>
                  <w:r w:rsidRPr="00A552C3">
                    <w:rPr>
                      <w:i/>
                      <w:iCs/>
                      <w:sz w:val="20"/>
                      <w:szCs w:val="20"/>
                    </w:rPr>
                    <w:t>k</w:t>
                  </w:r>
                </w:p>
              </w:tc>
              <w:tc>
                <w:tcPr>
                  <w:tcW w:w="342" w:type="pct"/>
                  <w:tcBorders>
                    <w:top w:val="single" w:sz="4" w:space="0" w:color="auto"/>
                    <w:left w:val="single" w:sz="4" w:space="0" w:color="auto"/>
                    <w:bottom w:val="single" w:sz="4" w:space="0" w:color="auto"/>
                    <w:right w:val="single" w:sz="4" w:space="0" w:color="auto"/>
                  </w:tcBorders>
                </w:tcPr>
                <w:p w14:paraId="5B138A1B" w14:textId="77777777" w:rsidR="00482902" w:rsidRPr="00A552C3" w:rsidRDefault="00482902" w:rsidP="00482902">
                  <w:pPr>
                    <w:spacing w:after="60"/>
                    <w:rPr>
                      <w:iCs/>
                      <w:sz w:val="20"/>
                      <w:szCs w:val="20"/>
                    </w:rPr>
                  </w:pPr>
                  <w:r w:rsidRPr="00A552C3">
                    <w:rPr>
                      <w:iCs/>
                      <w:sz w:val="20"/>
                      <w:szCs w:val="20"/>
                    </w:rPr>
                    <w:t>none</w:t>
                  </w:r>
                </w:p>
              </w:tc>
              <w:tc>
                <w:tcPr>
                  <w:tcW w:w="3231" w:type="pct"/>
                  <w:tcBorders>
                    <w:top w:val="single" w:sz="4" w:space="0" w:color="auto"/>
                    <w:left w:val="single" w:sz="4" w:space="0" w:color="auto"/>
                    <w:bottom w:val="single" w:sz="4" w:space="0" w:color="auto"/>
                    <w:right w:val="single" w:sz="4" w:space="0" w:color="auto"/>
                  </w:tcBorders>
                </w:tcPr>
                <w:p w14:paraId="17A61C7B" w14:textId="77777777" w:rsidR="00482902" w:rsidRPr="00A552C3" w:rsidRDefault="00482902" w:rsidP="00482902">
                  <w:pPr>
                    <w:spacing w:after="60"/>
                    <w:rPr>
                      <w:iCs/>
                      <w:sz w:val="20"/>
                      <w:szCs w:val="20"/>
                    </w:rPr>
                  </w:pPr>
                  <w:r w:rsidRPr="00A552C3">
                    <w:rPr>
                      <w:iCs/>
                      <w:sz w:val="20"/>
                      <w:szCs w:val="20"/>
                    </w:rPr>
                    <w:t>A sink Settlement Point.</w:t>
                  </w:r>
                </w:p>
              </w:tc>
            </w:tr>
          </w:tbl>
          <w:p w14:paraId="3B8BD2DA" w14:textId="77777777" w:rsidR="00463DAF" w:rsidRPr="00EF5F32" w:rsidRDefault="00463DAF" w:rsidP="009540C4">
            <w:pPr>
              <w:spacing w:after="240"/>
              <w:ind w:left="720" w:hanging="720"/>
              <w:rPr>
                <w:iCs/>
              </w:rPr>
            </w:pPr>
          </w:p>
        </w:tc>
      </w:tr>
    </w:tbl>
    <w:p w14:paraId="2DCACF90" w14:textId="77777777" w:rsidR="00FF2129" w:rsidRDefault="00482EF3" w:rsidP="00003B06">
      <w:pPr>
        <w:pStyle w:val="H3"/>
        <w:tabs>
          <w:tab w:val="left" w:pos="6285"/>
        </w:tabs>
        <w:spacing w:before="480"/>
      </w:pPr>
      <w:bookmarkStart w:id="736" w:name="_Toc135990690"/>
      <w:r>
        <w:lastRenderedPageBreak/>
        <w:t>4.6.3</w:t>
      </w:r>
      <w:r>
        <w:tab/>
        <w:t>Settlement for PTP Obligations Bought in DAM</w:t>
      </w:r>
      <w:bookmarkEnd w:id="729"/>
      <w:bookmarkEnd w:id="730"/>
      <w:bookmarkEnd w:id="731"/>
      <w:bookmarkEnd w:id="732"/>
      <w:bookmarkEnd w:id="733"/>
      <w:bookmarkEnd w:id="734"/>
      <w:bookmarkEnd w:id="735"/>
      <w:bookmarkEnd w:id="736"/>
      <w:r>
        <w:tab/>
      </w:r>
    </w:p>
    <w:p w14:paraId="58899EC1" w14:textId="77777777" w:rsidR="00FF2129" w:rsidRDefault="00482EF3">
      <w:pPr>
        <w:pStyle w:val="BodyTextNumbered"/>
      </w:pPr>
      <w:r>
        <w:t>(1)</w:t>
      </w:r>
      <w:r>
        <w:tab/>
        <w:t xml:space="preserve">ERCOT shall pay or charge a QSE for a cleared PTP Obligation </w:t>
      </w:r>
      <w:r w:rsidR="00E976E7">
        <w:t>b</w:t>
      </w:r>
      <w:r>
        <w:t xml:space="preserve">id the difference in the DAM Settlement Point Prices between the sink Settlement Point and the source Settlement Point.  The charge or payment to each QSE for a given Operating Hour of its cleared PTP Obligation </w:t>
      </w:r>
      <w:r w:rsidR="00E976E7">
        <w:t>b</w:t>
      </w:r>
      <w:r>
        <w:t>ids with each pair of source and sink Settlement Points is calculated as follows:</w:t>
      </w:r>
    </w:p>
    <w:p w14:paraId="329C2AFB" w14:textId="77777777" w:rsidR="00FF2129" w:rsidRDefault="00482EF3" w:rsidP="00E30EAB">
      <w:pPr>
        <w:pStyle w:val="FormulaBold"/>
      </w:pPr>
      <w:r>
        <w:t xml:space="preserve">DARTOBLAMT </w:t>
      </w:r>
      <w:r>
        <w:rPr>
          <w:i/>
          <w:vertAlign w:val="subscript"/>
        </w:rPr>
        <w:t>q, (j, k)</w:t>
      </w:r>
      <w:r>
        <w:tab/>
        <w:t>=</w:t>
      </w:r>
      <w:r>
        <w:tab/>
        <w:t xml:space="preserve">DAOBLPR </w:t>
      </w:r>
      <w:r>
        <w:rPr>
          <w:i/>
          <w:vertAlign w:val="subscript"/>
        </w:rPr>
        <w:t>(j, k)</w:t>
      </w:r>
      <w:r>
        <w:t xml:space="preserve"> </w:t>
      </w:r>
      <w:r>
        <w:rPr>
          <w:vertAlign w:val="superscript"/>
        </w:rPr>
        <w:t>*</w:t>
      </w:r>
      <w:r>
        <w:t xml:space="preserve"> RTOBL </w:t>
      </w:r>
      <w:r>
        <w:rPr>
          <w:i/>
          <w:vertAlign w:val="subscript"/>
        </w:rPr>
        <w:t>q, (j, k)</w:t>
      </w:r>
    </w:p>
    <w:p w14:paraId="2C29A2FF" w14:textId="77777777" w:rsidR="00FF2129" w:rsidRDefault="00482EF3">
      <w:pPr>
        <w:pStyle w:val="BodyText"/>
      </w:pPr>
      <w:r>
        <w:t>Where:</w:t>
      </w:r>
    </w:p>
    <w:p w14:paraId="545ED2DF" w14:textId="77777777" w:rsidR="00FF2129" w:rsidRDefault="00482EF3" w:rsidP="00D46800">
      <w:pPr>
        <w:pStyle w:val="Formula"/>
      </w:pPr>
      <w:r>
        <w:t xml:space="preserve">DAOBLPR </w:t>
      </w:r>
      <w:r>
        <w:rPr>
          <w:i/>
          <w:vertAlign w:val="subscript"/>
        </w:rPr>
        <w:t>(j, k)</w:t>
      </w:r>
      <w:r>
        <w:tab/>
        <w:t>=</w:t>
      </w:r>
      <w:r>
        <w:tab/>
        <w:t xml:space="preserve">DASPP </w:t>
      </w:r>
      <w:r>
        <w:rPr>
          <w:i/>
          <w:vertAlign w:val="subscript"/>
        </w:rPr>
        <w:t>k</w:t>
      </w:r>
      <w:r>
        <w:t xml:space="preserve"> – DASPP </w:t>
      </w:r>
      <w:r>
        <w:rPr>
          <w:i/>
          <w:vertAlign w:val="subscript"/>
        </w:rPr>
        <w:t>j</w:t>
      </w:r>
    </w:p>
    <w:p w14:paraId="54CCA4BB" w14:textId="77777777" w:rsidR="00FF2129" w:rsidRDefault="00482EF3">
      <w:r>
        <w:t>The above variables are defined as follows:</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900"/>
        <w:gridCol w:w="6104"/>
      </w:tblGrid>
      <w:tr w:rsidR="00FF2129" w14:paraId="70844C6B" w14:textId="77777777" w:rsidTr="005A0EB9">
        <w:trPr>
          <w:cantSplit/>
          <w:tblHeader/>
        </w:trPr>
        <w:tc>
          <w:tcPr>
            <w:tcW w:w="2088" w:type="dxa"/>
          </w:tcPr>
          <w:p w14:paraId="49D86D1B" w14:textId="77777777" w:rsidR="00FF2129" w:rsidRDefault="00482EF3">
            <w:pPr>
              <w:pStyle w:val="TableHead"/>
            </w:pPr>
            <w:r>
              <w:t>Variable</w:t>
            </w:r>
          </w:p>
        </w:tc>
        <w:tc>
          <w:tcPr>
            <w:tcW w:w="900" w:type="dxa"/>
          </w:tcPr>
          <w:p w14:paraId="0EDE701D" w14:textId="77777777" w:rsidR="00FF2129" w:rsidRDefault="00482EF3">
            <w:pPr>
              <w:pStyle w:val="TableHead"/>
            </w:pPr>
            <w:r>
              <w:t>Unit</w:t>
            </w:r>
          </w:p>
        </w:tc>
        <w:tc>
          <w:tcPr>
            <w:tcW w:w="6104" w:type="dxa"/>
          </w:tcPr>
          <w:p w14:paraId="067FD112" w14:textId="77777777" w:rsidR="00FF2129" w:rsidRDefault="00482EF3">
            <w:pPr>
              <w:pStyle w:val="TableHead"/>
            </w:pPr>
            <w:r>
              <w:t>Definition</w:t>
            </w:r>
          </w:p>
        </w:tc>
      </w:tr>
      <w:tr w:rsidR="00FF2129" w14:paraId="11857C6D" w14:textId="77777777" w:rsidTr="005A0EB9">
        <w:trPr>
          <w:cantSplit/>
        </w:trPr>
        <w:tc>
          <w:tcPr>
            <w:tcW w:w="2088" w:type="dxa"/>
          </w:tcPr>
          <w:p w14:paraId="1E749D82" w14:textId="77777777" w:rsidR="00FF2129" w:rsidRDefault="00482EF3">
            <w:pPr>
              <w:pStyle w:val="TableBody"/>
            </w:pPr>
            <w:r>
              <w:t xml:space="preserve">DARTOBLAMT </w:t>
            </w:r>
            <w:r w:rsidRPr="00103E66">
              <w:rPr>
                <w:i/>
                <w:vertAlign w:val="subscript"/>
              </w:rPr>
              <w:t>q, (j, k)</w:t>
            </w:r>
          </w:p>
        </w:tc>
        <w:tc>
          <w:tcPr>
            <w:tcW w:w="900" w:type="dxa"/>
          </w:tcPr>
          <w:p w14:paraId="7ACB48C8" w14:textId="77777777" w:rsidR="00FF2129" w:rsidRDefault="00482EF3">
            <w:pPr>
              <w:pStyle w:val="TableBody"/>
              <w:rPr>
                <w:bCs/>
              </w:rPr>
            </w:pPr>
            <w:r>
              <w:rPr>
                <w:bCs/>
              </w:rPr>
              <w:t>$</w:t>
            </w:r>
          </w:p>
        </w:tc>
        <w:tc>
          <w:tcPr>
            <w:tcW w:w="6104" w:type="dxa"/>
          </w:tcPr>
          <w:p w14:paraId="63B42893" w14:textId="77777777" w:rsidR="00FF2129" w:rsidRDefault="00482EF3">
            <w:pPr>
              <w:pStyle w:val="TableBody"/>
              <w:rPr>
                <w:bCs/>
              </w:rPr>
            </w:pPr>
            <w:r>
              <w:rPr>
                <w:bCs/>
                <w:i/>
              </w:rPr>
              <w:t>Day-Ahead Real-Time Obligation Amount per QSE per pair of source and sink</w:t>
            </w:r>
            <w:r>
              <w:rPr>
                <w:bCs/>
              </w:rPr>
              <w:sym w:font="Symbol" w:char="F0BE"/>
            </w:r>
            <w:r>
              <w:rPr>
                <w:bCs/>
              </w:rPr>
              <w:t xml:space="preserve">The charge or payment to QSE </w:t>
            </w:r>
            <w:r w:rsidRPr="005A0EB9">
              <w:rPr>
                <w:bCs/>
                <w:i/>
              </w:rPr>
              <w:t>q</w:t>
            </w:r>
            <w:r>
              <w:rPr>
                <w:bCs/>
              </w:rPr>
              <w:t xml:space="preserve"> for a PTP Obligation </w:t>
            </w:r>
            <w:r w:rsidR="00E976E7">
              <w:rPr>
                <w:bCs/>
              </w:rPr>
              <w:t>b</w:t>
            </w:r>
            <w:r>
              <w:rPr>
                <w:bCs/>
              </w:rPr>
              <w:t xml:space="preserve">id cleared in the DAM with the source </w:t>
            </w:r>
            <w:r>
              <w:rPr>
                <w:bCs/>
                <w:i/>
              </w:rPr>
              <w:t>j</w:t>
            </w:r>
            <w:r>
              <w:rPr>
                <w:bCs/>
              </w:rPr>
              <w:t xml:space="preserve"> and the sink </w:t>
            </w:r>
            <w:r>
              <w:rPr>
                <w:bCs/>
                <w:i/>
              </w:rPr>
              <w:t>k</w:t>
            </w:r>
            <w:r>
              <w:rPr>
                <w:bCs/>
              </w:rPr>
              <w:t xml:space="preserve">, for the </w:t>
            </w:r>
            <w:r>
              <w:t>hour</w:t>
            </w:r>
            <w:r>
              <w:rPr>
                <w:bCs/>
              </w:rPr>
              <w:t>.</w:t>
            </w:r>
          </w:p>
        </w:tc>
      </w:tr>
      <w:tr w:rsidR="00FF2129" w14:paraId="532E8AC7" w14:textId="77777777" w:rsidTr="005A0EB9">
        <w:trPr>
          <w:cantSplit/>
        </w:trPr>
        <w:tc>
          <w:tcPr>
            <w:tcW w:w="2088" w:type="dxa"/>
          </w:tcPr>
          <w:p w14:paraId="49032016" w14:textId="77777777" w:rsidR="00FF2129" w:rsidRDefault="00482EF3">
            <w:pPr>
              <w:pStyle w:val="TableBody"/>
              <w:rPr>
                <w:bCs/>
              </w:rPr>
            </w:pPr>
            <w:r>
              <w:rPr>
                <w:bCs/>
              </w:rPr>
              <w:t xml:space="preserve">DAOBLPR </w:t>
            </w:r>
            <w:r w:rsidRPr="00103E66">
              <w:rPr>
                <w:bCs/>
                <w:i/>
                <w:vertAlign w:val="subscript"/>
              </w:rPr>
              <w:t>(j, k)</w:t>
            </w:r>
          </w:p>
        </w:tc>
        <w:tc>
          <w:tcPr>
            <w:tcW w:w="900" w:type="dxa"/>
          </w:tcPr>
          <w:p w14:paraId="17F2D891" w14:textId="77777777" w:rsidR="00FF2129" w:rsidRDefault="00482EF3" w:rsidP="00327B25">
            <w:pPr>
              <w:pStyle w:val="TableBody"/>
              <w:rPr>
                <w:bCs/>
              </w:rPr>
            </w:pPr>
            <w:r>
              <w:rPr>
                <w:bCs/>
              </w:rPr>
              <w:t>$/MW</w:t>
            </w:r>
            <w:r w:rsidR="00327B25">
              <w:rPr>
                <w:bCs/>
              </w:rPr>
              <w:t>h</w:t>
            </w:r>
            <w:r>
              <w:rPr>
                <w:bCs/>
              </w:rPr>
              <w:t xml:space="preserve"> </w:t>
            </w:r>
          </w:p>
        </w:tc>
        <w:tc>
          <w:tcPr>
            <w:tcW w:w="6104" w:type="dxa"/>
          </w:tcPr>
          <w:p w14:paraId="5A6AEDB8" w14:textId="77777777" w:rsidR="00FF2129" w:rsidRDefault="00482EF3">
            <w:pPr>
              <w:pStyle w:val="TableBody"/>
              <w:rPr>
                <w:bCs/>
              </w:rPr>
            </w:pPr>
            <w:r>
              <w:rPr>
                <w:bCs/>
                <w:i/>
              </w:rPr>
              <w:t>Day-Ahead Obligation Price per pair of source and sink</w:t>
            </w:r>
            <w:r>
              <w:rPr>
                <w:bCs/>
              </w:rPr>
              <w:sym w:font="Symbol" w:char="F0BE"/>
            </w:r>
            <w:r>
              <w:rPr>
                <w:bCs/>
              </w:rPr>
              <w:t xml:space="preserve">The DAM clearing price of a PTP Obligation </w:t>
            </w:r>
            <w:r w:rsidR="00E976E7">
              <w:rPr>
                <w:bCs/>
              </w:rPr>
              <w:t>b</w:t>
            </w:r>
            <w:r>
              <w:rPr>
                <w:bCs/>
              </w:rPr>
              <w:t xml:space="preserve">id with the source </w:t>
            </w:r>
            <w:r>
              <w:rPr>
                <w:bCs/>
                <w:i/>
              </w:rPr>
              <w:t>j</w:t>
            </w:r>
            <w:r>
              <w:rPr>
                <w:bCs/>
              </w:rPr>
              <w:t xml:space="preserve"> and the sink </w:t>
            </w:r>
            <w:r>
              <w:rPr>
                <w:bCs/>
                <w:i/>
              </w:rPr>
              <w:t>k</w:t>
            </w:r>
            <w:r>
              <w:rPr>
                <w:bCs/>
              </w:rPr>
              <w:t xml:space="preserve">, for the </w:t>
            </w:r>
            <w:r>
              <w:t>hour</w:t>
            </w:r>
            <w:r>
              <w:rPr>
                <w:bCs/>
              </w:rPr>
              <w:t>.</w:t>
            </w:r>
          </w:p>
        </w:tc>
      </w:tr>
      <w:tr w:rsidR="00FF2129" w14:paraId="793210A8" w14:textId="77777777" w:rsidTr="005A0EB9">
        <w:trPr>
          <w:cantSplit/>
        </w:trPr>
        <w:tc>
          <w:tcPr>
            <w:tcW w:w="2088" w:type="dxa"/>
          </w:tcPr>
          <w:p w14:paraId="3B8ED374" w14:textId="77777777" w:rsidR="00FF2129" w:rsidRDefault="00482EF3">
            <w:pPr>
              <w:pStyle w:val="TableBody"/>
              <w:rPr>
                <w:bCs/>
              </w:rPr>
            </w:pPr>
            <w:r>
              <w:t xml:space="preserve">DASPP </w:t>
            </w:r>
            <w:r w:rsidRPr="00103E66">
              <w:rPr>
                <w:i/>
                <w:vertAlign w:val="subscript"/>
              </w:rPr>
              <w:t>j</w:t>
            </w:r>
          </w:p>
        </w:tc>
        <w:tc>
          <w:tcPr>
            <w:tcW w:w="900" w:type="dxa"/>
          </w:tcPr>
          <w:p w14:paraId="7152D6D7" w14:textId="77777777" w:rsidR="00FF2129" w:rsidRDefault="00482EF3">
            <w:pPr>
              <w:pStyle w:val="TableBody"/>
              <w:rPr>
                <w:bCs/>
              </w:rPr>
            </w:pPr>
            <w:r>
              <w:rPr>
                <w:bCs/>
              </w:rPr>
              <w:t>$/MWh</w:t>
            </w:r>
          </w:p>
        </w:tc>
        <w:tc>
          <w:tcPr>
            <w:tcW w:w="6104" w:type="dxa"/>
          </w:tcPr>
          <w:p w14:paraId="1208DDCF" w14:textId="77777777" w:rsidR="00FF2129" w:rsidRDefault="00482EF3" w:rsidP="00C35F04">
            <w:pPr>
              <w:pStyle w:val="TableBody"/>
              <w:rPr>
                <w:bCs/>
              </w:rPr>
            </w:pPr>
            <w:r>
              <w:rPr>
                <w:bCs/>
                <w:i/>
              </w:rPr>
              <w:t>Day-Ahead Settlement Point Price at source</w:t>
            </w:r>
            <w:r>
              <w:rPr>
                <w:bCs/>
              </w:rPr>
              <w:sym w:font="Symbol" w:char="F0BE"/>
            </w:r>
            <w:r>
              <w:rPr>
                <w:bCs/>
              </w:rPr>
              <w:t xml:space="preserve">The DAM Settlement Point Price at the source Settlement Point </w:t>
            </w:r>
            <w:r>
              <w:rPr>
                <w:bCs/>
                <w:i/>
              </w:rPr>
              <w:t>j</w:t>
            </w:r>
            <w:r>
              <w:rPr>
                <w:bCs/>
              </w:rPr>
              <w:t xml:space="preserve"> for the </w:t>
            </w:r>
            <w:r>
              <w:t>hour</w:t>
            </w:r>
            <w:r>
              <w:rPr>
                <w:bCs/>
              </w:rPr>
              <w:t>.</w:t>
            </w:r>
          </w:p>
        </w:tc>
      </w:tr>
      <w:tr w:rsidR="00FF2129" w14:paraId="7F295D83" w14:textId="77777777" w:rsidTr="005A0EB9">
        <w:trPr>
          <w:cantSplit/>
        </w:trPr>
        <w:tc>
          <w:tcPr>
            <w:tcW w:w="2088" w:type="dxa"/>
          </w:tcPr>
          <w:p w14:paraId="10B601A8" w14:textId="77777777" w:rsidR="00FF2129" w:rsidRDefault="00482EF3">
            <w:pPr>
              <w:pStyle w:val="TableBody"/>
              <w:rPr>
                <w:bCs/>
              </w:rPr>
            </w:pPr>
            <w:r>
              <w:t xml:space="preserve">DASPP </w:t>
            </w:r>
            <w:r w:rsidRPr="00103E66">
              <w:rPr>
                <w:i/>
                <w:vertAlign w:val="subscript"/>
              </w:rPr>
              <w:t>k</w:t>
            </w:r>
          </w:p>
        </w:tc>
        <w:tc>
          <w:tcPr>
            <w:tcW w:w="900" w:type="dxa"/>
          </w:tcPr>
          <w:p w14:paraId="316A50FD" w14:textId="77777777" w:rsidR="00FF2129" w:rsidRDefault="00482EF3">
            <w:pPr>
              <w:pStyle w:val="TableBody"/>
              <w:rPr>
                <w:bCs/>
              </w:rPr>
            </w:pPr>
            <w:r>
              <w:rPr>
                <w:bCs/>
              </w:rPr>
              <w:t>$/MWh</w:t>
            </w:r>
          </w:p>
        </w:tc>
        <w:tc>
          <w:tcPr>
            <w:tcW w:w="6104" w:type="dxa"/>
          </w:tcPr>
          <w:p w14:paraId="56B1D446" w14:textId="77777777" w:rsidR="00FF2129" w:rsidRDefault="00482EF3" w:rsidP="00C35F04">
            <w:pPr>
              <w:pStyle w:val="TableBody"/>
              <w:rPr>
                <w:bCs/>
              </w:rPr>
            </w:pPr>
            <w:r>
              <w:rPr>
                <w:bCs/>
                <w:i/>
              </w:rPr>
              <w:t>Day-Ahead Settlement Point Price at sink</w:t>
            </w:r>
            <w:r>
              <w:rPr>
                <w:bCs/>
              </w:rPr>
              <w:sym w:font="Symbol" w:char="F0BE"/>
            </w:r>
            <w:r>
              <w:rPr>
                <w:bCs/>
              </w:rPr>
              <w:t xml:space="preserve">The DAM Settlement Point Price at the sink Settlement Point </w:t>
            </w:r>
            <w:r>
              <w:rPr>
                <w:bCs/>
                <w:i/>
              </w:rPr>
              <w:t>k</w:t>
            </w:r>
            <w:r>
              <w:rPr>
                <w:bCs/>
              </w:rPr>
              <w:t xml:space="preserve"> for the </w:t>
            </w:r>
            <w:r>
              <w:t>hour</w:t>
            </w:r>
            <w:r>
              <w:rPr>
                <w:bCs/>
              </w:rPr>
              <w:t>.</w:t>
            </w:r>
          </w:p>
        </w:tc>
      </w:tr>
      <w:tr w:rsidR="00FF2129" w14:paraId="5ECCB1F8" w14:textId="77777777" w:rsidTr="005A0EB9">
        <w:trPr>
          <w:cantSplit/>
        </w:trPr>
        <w:tc>
          <w:tcPr>
            <w:tcW w:w="2088" w:type="dxa"/>
          </w:tcPr>
          <w:p w14:paraId="70F573DB" w14:textId="77777777" w:rsidR="00FF2129" w:rsidRDefault="00482EF3">
            <w:pPr>
              <w:pStyle w:val="TableBody"/>
              <w:rPr>
                <w:bCs/>
              </w:rPr>
            </w:pPr>
            <w:r>
              <w:rPr>
                <w:bCs/>
              </w:rPr>
              <w:t xml:space="preserve">RTOBL </w:t>
            </w:r>
            <w:r w:rsidRPr="00103E66">
              <w:rPr>
                <w:bCs/>
                <w:i/>
                <w:vertAlign w:val="subscript"/>
              </w:rPr>
              <w:t>q, (j, k)</w:t>
            </w:r>
          </w:p>
        </w:tc>
        <w:tc>
          <w:tcPr>
            <w:tcW w:w="900" w:type="dxa"/>
          </w:tcPr>
          <w:p w14:paraId="136A8FC6" w14:textId="77777777" w:rsidR="00FF2129" w:rsidRDefault="00482EF3">
            <w:pPr>
              <w:pStyle w:val="TableBody"/>
              <w:rPr>
                <w:bCs/>
              </w:rPr>
            </w:pPr>
            <w:r>
              <w:rPr>
                <w:bCs/>
              </w:rPr>
              <w:t>MW</w:t>
            </w:r>
          </w:p>
        </w:tc>
        <w:tc>
          <w:tcPr>
            <w:tcW w:w="6104" w:type="dxa"/>
          </w:tcPr>
          <w:p w14:paraId="7A1A521A" w14:textId="77777777" w:rsidR="00FF2129" w:rsidRDefault="00482EF3">
            <w:pPr>
              <w:pStyle w:val="TableBody"/>
              <w:rPr>
                <w:bCs/>
              </w:rPr>
            </w:pPr>
            <w:r>
              <w:rPr>
                <w:bCs/>
                <w:i/>
              </w:rPr>
              <w:t>Real-Time Obligation per QSE per pair of source and sink</w:t>
            </w:r>
            <w:r>
              <w:rPr>
                <w:bCs/>
              </w:rPr>
              <w:sym w:font="Symbol" w:char="F0BE"/>
            </w:r>
            <w:r>
              <w:rPr>
                <w:bCs/>
              </w:rPr>
              <w:t>The total MW of QSE</w:t>
            </w:r>
            <w:r w:rsidR="003262B6">
              <w:rPr>
                <w:bCs/>
              </w:rPr>
              <w:t xml:space="preserve"> </w:t>
            </w:r>
            <w:r w:rsidR="003262B6">
              <w:rPr>
                <w:bCs/>
                <w:i/>
              </w:rPr>
              <w:t>q</w:t>
            </w:r>
            <w:r>
              <w:rPr>
                <w:bCs/>
              </w:rPr>
              <w:t xml:space="preserve">’s PTP Obligation </w:t>
            </w:r>
            <w:r w:rsidR="00E976E7">
              <w:rPr>
                <w:bCs/>
              </w:rPr>
              <w:t>b</w:t>
            </w:r>
            <w:r>
              <w:rPr>
                <w:bCs/>
              </w:rPr>
              <w:t xml:space="preserve">ids cleared in the DAM </w:t>
            </w:r>
            <w:r w:rsidR="003262B6">
              <w:rPr>
                <w:bCs/>
              </w:rPr>
              <w:t xml:space="preserve">and settled in Real-Time </w:t>
            </w:r>
            <w:r>
              <w:rPr>
                <w:bCs/>
              </w:rPr>
              <w:t xml:space="preserve">for the source </w:t>
            </w:r>
            <w:r>
              <w:rPr>
                <w:bCs/>
                <w:i/>
              </w:rPr>
              <w:t>j</w:t>
            </w:r>
            <w:r>
              <w:rPr>
                <w:bCs/>
              </w:rPr>
              <w:t xml:space="preserve"> and the sink </w:t>
            </w:r>
            <w:r>
              <w:rPr>
                <w:bCs/>
                <w:i/>
              </w:rPr>
              <w:t>k</w:t>
            </w:r>
            <w:r w:rsidR="00E976E7">
              <w:rPr>
                <w:bCs/>
                <w:i/>
              </w:rPr>
              <w:t>,</w:t>
            </w:r>
            <w:r>
              <w:rPr>
                <w:bCs/>
              </w:rPr>
              <w:t xml:space="preserve"> for the hour.</w:t>
            </w:r>
          </w:p>
        </w:tc>
      </w:tr>
      <w:tr w:rsidR="00FF2129" w14:paraId="0BF3F3CF" w14:textId="77777777" w:rsidTr="005A0EB9">
        <w:trPr>
          <w:cantSplit/>
        </w:trPr>
        <w:tc>
          <w:tcPr>
            <w:tcW w:w="2088" w:type="dxa"/>
          </w:tcPr>
          <w:p w14:paraId="6DD4611D" w14:textId="77777777" w:rsidR="00FF2129" w:rsidRPr="00103E66" w:rsidRDefault="00482EF3">
            <w:pPr>
              <w:pStyle w:val="TableBody"/>
              <w:rPr>
                <w:bCs/>
                <w:i/>
              </w:rPr>
            </w:pPr>
            <w:r w:rsidRPr="00103E66">
              <w:rPr>
                <w:bCs/>
                <w:i/>
              </w:rPr>
              <w:t>q</w:t>
            </w:r>
          </w:p>
        </w:tc>
        <w:tc>
          <w:tcPr>
            <w:tcW w:w="900" w:type="dxa"/>
          </w:tcPr>
          <w:p w14:paraId="079E9691" w14:textId="77777777" w:rsidR="00FF2129" w:rsidRDefault="00482EF3">
            <w:pPr>
              <w:pStyle w:val="TableBody"/>
              <w:rPr>
                <w:bCs/>
              </w:rPr>
            </w:pPr>
            <w:r>
              <w:rPr>
                <w:bCs/>
              </w:rPr>
              <w:t>none</w:t>
            </w:r>
          </w:p>
        </w:tc>
        <w:tc>
          <w:tcPr>
            <w:tcW w:w="6104" w:type="dxa"/>
          </w:tcPr>
          <w:p w14:paraId="6A02E40F" w14:textId="77777777" w:rsidR="00FF2129" w:rsidRDefault="00482EF3">
            <w:pPr>
              <w:pStyle w:val="TableBody"/>
              <w:rPr>
                <w:bCs/>
              </w:rPr>
            </w:pPr>
            <w:r>
              <w:rPr>
                <w:bCs/>
              </w:rPr>
              <w:t>A QSE.</w:t>
            </w:r>
          </w:p>
        </w:tc>
      </w:tr>
      <w:tr w:rsidR="00FF2129" w14:paraId="05DAFF38" w14:textId="77777777" w:rsidTr="005A0EB9">
        <w:trPr>
          <w:cantSplit/>
        </w:trPr>
        <w:tc>
          <w:tcPr>
            <w:tcW w:w="2088" w:type="dxa"/>
          </w:tcPr>
          <w:p w14:paraId="28DD164E" w14:textId="77777777" w:rsidR="00FF2129" w:rsidRPr="00103E66" w:rsidRDefault="00482EF3">
            <w:pPr>
              <w:pStyle w:val="TableBody"/>
              <w:rPr>
                <w:bCs/>
                <w:i/>
              </w:rPr>
            </w:pPr>
            <w:r w:rsidRPr="00103E66">
              <w:rPr>
                <w:bCs/>
                <w:i/>
              </w:rPr>
              <w:t>j</w:t>
            </w:r>
          </w:p>
        </w:tc>
        <w:tc>
          <w:tcPr>
            <w:tcW w:w="900" w:type="dxa"/>
          </w:tcPr>
          <w:p w14:paraId="44AD7A77" w14:textId="77777777" w:rsidR="00FF2129" w:rsidRDefault="00482EF3">
            <w:pPr>
              <w:pStyle w:val="TableBody"/>
              <w:rPr>
                <w:bCs/>
              </w:rPr>
            </w:pPr>
            <w:r>
              <w:rPr>
                <w:bCs/>
              </w:rPr>
              <w:t>none</w:t>
            </w:r>
          </w:p>
        </w:tc>
        <w:tc>
          <w:tcPr>
            <w:tcW w:w="6104" w:type="dxa"/>
          </w:tcPr>
          <w:p w14:paraId="4E3FEFB0" w14:textId="77777777" w:rsidR="00FF2129" w:rsidRDefault="00482EF3">
            <w:pPr>
              <w:pStyle w:val="TableBody"/>
              <w:rPr>
                <w:bCs/>
              </w:rPr>
            </w:pPr>
            <w:r>
              <w:rPr>
                <w:bCs/>
              </w:rPr>
              <w:t>A source Settlement Point.</w:t>
            </w:r>
          </w:p>
        </w:tc>
      </w:tr>
      <w:tr w:rsidR="00FF2129" w14:paraId="7EF5885F" w14:textId="77777777" w:rsidTr="005A0EB9">
        <w:trPr>
          <w:cantSplit/>
        </w:trPr>
        <w:tc>
          <w:tcPr>
            <w:tcW w:w="2088" w:type="dxa"/>
          </w:tcPr>
          <w:p w14:paraId="3D7DB760" w14:textId="77777777" w:rsidR="00FF2129" w:rsidRPr="00103E66" w:rsidRDefault="00482EF3">
            <w:pPr>
              <w:pStyle w:val="TableBody"/>
              <w:rPr>
                <w:bCs/>
                <w:i/>
              </w:rPr>
            </w:pPr>
            <w:r w:rsidRPr="00103E66">
              <w:rPr>
                <w:bCs/>
                <w:i/>
              </w:rPr>
              <w:t>k</w:t>
            </w:r>
          </w:p>
        </w:tc>
        <w:tc>
          <w:tcPr>
            <w:tcW w:w="900" w:type="dxa"/>
          </w:tcPr>
          <w:p w14:paraId="1AF0A1EA" w14:textId="77777777" w:rsidR="00FF2129" w:rsidRDefault="00482EF3">
            <w:pPr>
              <w:pStyle w:val="TableBody"/>
              <w:rPr>
                <w:bCs/>
              </w:rPr>
            </w:pPr>
            <w:r>
              <w:rPr>
                <w:bCs/>
              </w:rPr>
              <w:t>none</w:t>
            </w:r>
          </w:p>
        </w:tc>
        <w:tc>
          <w:tcPr>
            <w:tcW w:w="6104" w:type="dxa"/>
          </w:tcPr>
          <w:p w14:paraId="1C803ECA" w14:textId="77777777" w:rsidR="00FF2129" w:rsidRDefault="00482EF3">
            <w:pPr>
              <w:pStyle w:val="TableBody"/>
              <w:rPr>
                <w:bCs/>
              </w:rPr>
            </w:pPr>
            <w:r>
              <w:rPr>
                <w:bCs/>
              </w:rPr>
              <w:t>A sink Settlement Point.</w:t>
            </w:r>
          </w:p>
        </w:tc>
      </w:tr>
    </w:tbl>
    <w:p w14:paraId="2C7D9F2C" w14:textId="77777777" w:rsidR="00FF2129" w:rsidRDefault="00482EF3" w:rsidP="009E3AE5">
      <w:pPr>
        <w:pStyle w:val="BodyTextNumbered"/>
        <w:spacing w:before="240"/>
      </w:pPr>
      <w:r>
        <w:t>(2)</w:t>
      </w:r>
      <w:r>
        <w:tab/>
        <w:t xml:space="preserve">The net total charge or payment to the QSE for the hour of all its cleared PTP Obligation </w:t>
      </w:r>
      <w:r w:rsidR="00E976E7">
        <w:t>b</w:t>
      </w:r>
      <w:r>
        <w:t>ids is calculated as follows:</w:t>
      </w:r>
    </w:p>
    <w:p w14:paraId="6A501BCC" w14:textId="77777777" w:rsidR="00FF2129" w:rsidRDefault="00482EF3" w:rsidP="00E30EAB">
      <w:pPr>
        <w:pStyle w:val="FormulaBold"/>
      </w:pPr>
      <w:r>
        <w:t>DARTOBLAMTQSETOT</w:t>
      </w:r>
      <w:r>
        <w:rPr>
          <w:i/>
          <w:vertAlign w:val="subscript"/>
        </w:rPr>
        <w:t xml:space="preserve"> q</w:t>
      </w:r>
      <w:r>
        <w:tab/>
      </w:r>
      <w:r>
        <w:tab/>
        <w:t>=</w:t>
      </w:r>
      <w:r>
        <w:tab/>
      </w:r>
      <w:r w:rsidR="00FF2129" w:rsidRPr="00FF2129">
        <w:rPr>
          <w:position w:val="-22"/>
        </w:rPr>
        <w:object w:dxaOrig="220" w:dyaOrig="460" w14:anchorId="75EB7FC2">
          <v:shape id="_x0000_i1032" type="#_x0000_t75" style="width:13.2pt;height:21pt" o:ole="">
            <v:imagedata r:id="rId32" o:title=""/>
          </v:shape>
          <o:OLEObject Type="Embed" ProgID="Equation.3" ShapeID="_x0000_i1032" DrawAspect="Content" ObjectID="_1775281325" r:id="rId33"/>
        </w:object>
      </w:r>
      <w:r w:rsidR="00FF2129" w:rsidRPr="00FF2129">
        <w:rPr>
          <w:position w:val="-20"/>
        </w:rPr>
        <w:object w:dxaOrig="220" w:dyaOrig="440" w14:anchorId="669121E5">
          <v:shape id="_x0000_i1033" type="#_x0000_t75" style="width:13.2pt;height:21pt" o:ole="">
            <v:imagedata r:id="rId34" o:title=""/>
          </v:shape>
          <o:OLEObject Type="Embed" ProgID="Equation.3" ShapeID="_x0000_i1033" DrawAspect="Content" ObjectID="_1775281326" r:id="rId35"/>
        </w:object>
      </w:r>
      <w:r>
        <w:t xml:space="preserve">DARTOBLAMT </w:t>
      </w:r>
      <w:r>
        <w:rPr>
          <w:i/>
          <w:vertAlign w:val="subscript"/>
        </w:rPr>
        <w:t>q</w:t>
      </w:r>
      <w:r w:rsidRPr="005A0EB9">
        <w:rPr>
          <w:vertAlign w:val="subscript"/>
        </w:rPr>
        <w:t>,</w:t>
      </w:r>
      <w:r>
        <w:t xml:space="preserve"> </w:t>
      </w:r>
      <w:r>
        <w:rPr>
          <w:i/>
          <w:vertAlign w:val="subscript"/>
        </w:rPr>
        <w:t>(j, k)</w:t>
      </w:r>
    </w:p>
    <w:p w14:paraId="1E473F85" w14:textId="77777777" w:rsidR="00FF2129" w:rsidRDefault="00482EF3">
      <w:r>
        <w:t>The above variables are defined as follows: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15"/>
        <w:gridCol w:w="6045"/>
      </w:tblGrid>
      <w:tr w:rsidR="00FF2129" w14:paraId="35668598" w14:textId="77777777" w:rsidTr="00FE4BF2">
        <w:tc>
          <w:tcPr>
            <w:tcW w:w="2448" w:type="dxa"/>
          </w:tcPr>
          <w:p w14:paraId="2E5CA610" w14:textId="77777777" w:rsidR="00FF2129" w:rsidRDefault="00482EF3">
            <w:pPr>
              <w:pStyle w:val="TableHead"/>
            </w:pPr>
            <w:r>
              <w:t>Variable</w:t>
            </w:r>
          </w:p>
        </w:tc>
        <w:tc>
          <w:tcPr>
            <w:tcW w:w="615" w:type="dxa"/>
          </w:tcPr>
          <w:p w14:paraId="335B7800" w14:textId="77777777" w:rsidR="00FF2129" w:rsidRDefault="00482EF3">
            <w:pPr>
              <w:pStyle w:val="TableHead"/>
            </w:pPr>
            <w:r>
              <w:t>Unit</w:t>
            </w:r>
          </w:p>
        </w:tc>
        <w:tc>
          <w:tcPr>
            <w:tcW w:w="6045" w:type="dxa"/>
          </w:tcPr>
          <w:p w14:paraId="571756B7" w14:textId="77777777" w:rsidR="00FF2129" w:rsidRDefault="00482EF3">
            <w:pPr>
              <w:pStyle w:val="TableHead"/>
            </w:pPr>
            <w:r>
              <w:t>Definition</w:t>
            </w:r>
          </w:p>
        </w:tc>
      </w:tr>
      <w:tr w:rsidR="00FF2129" w14:paraId="4C31A0EA" w14:textId="77777777" w:rsidTr="00FE4BF2">
        <w:tc>
          <w:tcPr>
            <w:tcW w:w="2448" w:type="dxa"/>
          </w:tcPr>
          <w:p w14:paraId="391FED43" w14:textId="77777777" w:rsidR="00FF2129" w:rsidRDefault="00482EF3">
            <w:pPr>
              <w:pStyle w:val="TableBody"/>
            </w:pPr>
            <w:r>
              <w:t>DARTOBLAMTQSETOT</w:t>
            </w:r>
            <w:r>
              <w:rPr>
                <w:vertAlign w:val="subscript"/>
              </w:rPr>
              <w:t>q</w:t>
            </w:r>
          </w:p>
        </w:tc>
        <w:tc>
          <w:tcPr>
            <w:tcW w:w="615" w:type="dxa"/>
          </w:tcPr>
          <w:p w14:paraId="18DE0367" w14:textId="77777777" w:rsidR="00FF2129" w:rsidRDefault="00482EF3">
            <w:pPr>
              <w:pStyle w:val="TableBody"/>
              <w:rPr>
                <w:bCs/>
              </w:rPr>
            </w:pPr>
            <w:r>
              <w:rPr>
                <w:bCs/>
              </w:rPr>
              <w:t>$</w:t>
            </w:r>
          </w:p>
        </w:tc>
        <w:tc>
          <w:tcPr>
            <w:tcW w:w="6045" w:type="dxa"/>
          </w:tcPr>
          <w:p w14:paraId="183534A7" w14:textId="77777777" w:rsidR="00FF2129" w:rsidRDefault="00482EF3" w:rsidP="005835CA">
            <w:pPr>
              <w:pStyle w:val="TableBody"/>
              <w:rPr>
                <w:bCs/>
              </w:rPr>
            </w:pPr>
            <w:r>
              <w:rPr>
                <w:bCs/>
                <w:i/>
              </w:rPr>
              <w:t>Day-Ahead Real-Time Obligation Amount QSE Total per QSE</w:t>
            </w:r>
            <w:r w:rsidR="005835CA">
              <w:rPr>
                <w:bCs/>
              </w:rPr>
              <w:sym w:font="Symbol" w:char="F0BE"/>
            </w:r>
            <w:r>
              <w:rPr>
                <w:bCs/>
              </w:rPr>
              <w:t xml:space="preserve">The net total charge or payment to QSE </w:t>
            </w:r>
            <w:r w:rsidRPr="005A0EB9">
              <w:rPr>
                <w:bCs/>
                <w:i/>
              </w:rPr>
              <w:t>q</w:t>
            </w:r>
            <w:r>
              <w:rPr>
                <w:bCs/>
              </w:rPr>
              <w:t xml:space="preserve"> for all its PTP Obligation </w:t>
            </w:r>
            <w:r w:rsidR="00E976E7">
              <w:rPr>
                <w:bCs/>
              </w:rPr>
              <w:t>b</w:t>
            </w:r>
            <w:r>
              <w:rPr>
                <w:bCs/>
              </w:rPr>
              <w:t xml:space="preserve">ids cleared in the DAM for the </w:t>
            </w:r>
            <w:r>
              <w:t>hour</w:t>
            </w:r>
            <w:r>
              <w:rPr>
                <w:bCs/>
              </w:rPr>
              <w:t>.</w:t>
            </w:r>
          </w:p>
        </w:tc>
      </w:tr>
      <w:tr w:rsidR="00FF2129" w14:paraId="0FD66EA3" w14:textId="77777777" w:rsidTr="00FE4BF2">
        <w:tc>
          <w:tcPr>
            <w:tcW w:w="2448" w:type="dxa"/>
          </w:tcPr>
          <w:p w14:paraId="26F71E54" w14:textId="77777777" w:rsidR="00FF2129" w:rsidRDefault="00482EF3">
            <w:pPr>
              <w:pStyle w:val="TableBody"/>
            </w:pPr>
            <w:r>
              <w:t>DARTOBLAMT</w:t>
            </w:r>
            <w:r>
              <w:rPr>
                <w:vertAlign w:val="subscript"/>
              </w:rPr>
              <w:t xml:space="preserve"> q,</w:t>
            </w:r>
            <w:r>
              <w:t xml:space="preserve"> </w:t>
            </w:r>
            <w:r>
              <w:rPr>
                <w:vertAlign w:val="subscript"/>
              </w:rPr>
              <w:t>(j, k)</w:t>
            </w:r>
          </w:p>
        </w:tc>
        <w:tc>
          <w:tcPr>
            <w:tcW w:w="615" w:type="dxa"/>
          </w:tcPr>
          <w:p w14:paraId="715356E0" w14:textId="77777777" w:rsidR="00FF2129" w:rsidRDefault="00482EF3">
            <w:pPr>
              <w:pStyle w:val="TableBody"/>
              <w:rPr>
                <w:bCs/>
              </w:rPr>
            </w:pPr>
            <w:r>
              <w:rPr>
                <w:bCs/>
              </w:rPr>
              <w:t>$</w:t>
            </w:r>
          </w:p>
        </w:tc>
        <w:tc>
          <w:tcPr>
            <w:tcW w:w="6045" w:type="dxa"/>
          </w:tcPr>
          <w:p w14:paraId="2538D1D4" w14:textId="77777777" w:rsidR="00FF2129" w:rsidRDefault="00482EF3" w:rsidP="005835CA">
            <w:pPr>
              <w:pStyle w:val="TableBody"/>
              <w:rPr>
                <w:bCs/>
              </w:rPr>
            </w:pPr>
            <w:r>
              <w:rPr>
                <w:bCs/>
                <w:i/>
              </w:rPr>
              <w:t>Day-Ahead Real-Time Obligation Amount per QSE per pair of source and sink</w:t>
            </w:r>
            <w:r w:rsidR="005835CA">
              <w:rPr>
                <w:bCs/>
              </w:rPr>
              <w:sym w:font="Symbol" w:char="F0BE"/>
            </w:r>
            <w:r>
              <w:rPr>
                <w:bCs/>
              </w:rPr>
              <w:t xml:space="preserve">The charge or payment to QSE </w:t>
            </w:r>
            <w:r w:rsidRPr="005A0EB9">
              <w:rPr>
                <w:bCs/>
                <w:i/>
              </w:rPr>
              <w:t>q</w:t>
            </w:r>
            <w:r>
              <w:rPr>
                <w:bCs/>
              </w:rPr>
              <w:t xml:space="preserve"> for a PTP Obligation </w:t>
            </w:r>
            <w:r w:rsidR="00E976E7">
              <w:rPr>
                <w:bCs/>
              </w:rPr>
              <w:t>b</w:t>
            </w:r>
            <w:r>
              <w:rPr>
                <w:bCs/>
              </w:rPr>
              <w:t xml:space="preserve">ids cleared in the DAM with the source </w:t>
            </w:r>
            <w:r>
              <w:rPr>
                <w:bCs/>
                <w:i/>
              </w:rPr>
              <w:t>j</w:t>
            </w:r>
            <w:r>
              <w:rPr>
                <w:bCs/>
              </w:rPr>
              <w:t xml:space="preserve"> and the sink </w:t>
            </w:r>
            <w:r>
              <w:rPr>
                <w:bCs/>
                <w:i/>
              </w:rPr>
              <w:t>k</w:t>
            </w:r>
            <w:r>
              <w:rPr>
                <w:bCs/>
              </w:rPr>
              <w:t xml:space="preserve">, for the </w:t>
            </w:r>
            <w:r>
              <w:t>hour</w:t>
            </w:r>
            <w:r>
              <w:rPr>
                <w:bCs/>
              </w:rPr>
              <w:t>.</w:t>
            </w:r>
          </w:p>
        </w:tc>
      </w:tr>
      <w:tr w:rsidR="00FF2129" w14:paraId="38997F95" w14:textId="77777777" w:rsidTr="00FE4BF2">
        <w:tc>
          <w:tcPr>
            <w:tcW w:w="2448" w:type="dxa"/>
            <w:tcBorders>
              <w:top w:val="single" w:sz="4" w:space="0" w:color="auto"/>
              <w:left w:val="single" w:sz="4" w:space="0" w:color="auto"/>
              <w:bottom w:val="single" w:sz="4" w:space="0" w:color="auto"/>
              <w:right w:val="single" w:sz="4" w:space="0" w:color="auto"/>
            </w:tcBorders>
          </w:tcPr>
          <w:p w14:paraId="305F14AB" w14:textId="77777777" w:rsidR="00FF2129" w:rsidRPr="005A0EB9" w:rsidRDefault="00482EF3">
            <w:pPr>
              <w:pStyle w:val="TableBody"/>
              <w:rPr>
                <w:i/>
              </w:rPr>
            </w:pPr>
            <w:r w:rsidRPr="005A0EB9">
              <w:rPr>
                <w:i/>
              </w:rPr>
              <w:t>q</w:t>
            </w:r>
          </w:p>
        </w:tc>
        <w:tc>
          <w:tcPr>
            <w:tcW w:w="615" w:type="dxa"/>
            <w:tcBorders>
              <w:top w:val="single" w:sz="4" w:space="0" w:color="auto"/>
              <w:left w:val="single" w:sz="4" w:space="0" w:color="auto"/>
              <w:bottom w:val="single" w:sz="4" w:space="0" w:color="auto"/>
              <w:right w:val="single" w:sz="4" w:space="0" w:color="auto"/>
            </w:tcBorders>
          </w:tcPr>
          <w:p w14:paraId="4AA8B977" w14:textId="77777777" w:rsidR="00FF2129" w:rsidRDefault="00482EF3">
            <w:pPr>
              <w:pStyle w:val="TableBody"/>
              <w:rPr>
                <w:bCs/>
              </w:rPr>
            </w:pPr>
            <w:r>
              <w:rPr>
                <w:bCs/>
              </w:rPr>
              <w:t>none</w:t>
            </w:r>
          </w:p>
        </w:tc>
        <w:tc>
          <w:tcPr>
            <w:tcW w:w="6045" w:type="dxa"/>
            <w:tcBorders>
              <w:top w:val="single" w:sz="4" w:space="0" w:color="auto"/>
              <w:left w:val="single" w:sz="4" w:space="0" w:color="auto"/>
              <w:bottom w:val="single" w:sz="4" w:space="0" w:color="auto"/>
              <w:right w:val="single" w:sz="4" w:space="0" w:color="auto"/>
            </w:tcBorders>
          </w:tcPr>
          <w:p w14:paraId="45DFDFCC" w14:textId="77777777" w:rsidR="00FF2129" w:rsidRDefault="00482EF3">
            <w:pPr>
              <w:pStyle w:val="TableBody"/>
              <w:rPr>
                <w:bCs/>
              </w:rPr>
            </w:pPr>
            <w:r>
              <w:rPr>
                <w:bCs/>
              </w:rPr>
              <w:t>A QSE.</w:t>
            </w:r>
          </w:p>
        </w:tc>
      </w:tr>
      <w:tr w:rsidR="00FF2129" w14:paraId="70994BDF" w14:textId="77777777" w:rsidTr="00FE4BF2">
        <w:tc>
          <w:tcPr>
            <w:tcW w:w="2448" w:type="dxa"/>
            <w:tcBorders>
              <w:top w:val="single" w:sz="4" w:space="0" w:color="auto"/>
              <w:left w:val="single" w:sz="4" w:space="0" w:color="auto"/>
              <w:bottom w:val="single" w:sz="4" w:space="0" w:color="auto"/>
              <w:right w:val="single" w:sz="4" w:space="0" w:color="auto"/>
            </w:tcBorders>
          </w:tcPr>
          <w:p w14:paraId="73C0553C" w14:textId="77777777" w:rsidR="00FF2129" w:rsidRPr="005A0EB9" w:rsidRDefault="00482EF3">
            <w:pPr>
              <w:pStyle w:val="TableBody"/>
              <w:rPr>
                <w:i/>
              </w:rPr>
            </w:pPr>
            <w:r w:rsidRPr="005A0EB9">
              <w:rPr>
                <w:i/>
              </w:rPr>
              <w:lastRenderedPageBreak/>
              <w:t>j</w:t>
            </w:r>
          </w:p>
        </w:tc>
        <w:tc>
          <w:tcPr>
            <w:tcW w:w="615" w:type="dxa"/>
            <w:tcBorders>
              <w:top w:val="single" w:sz="4" w:space="0" w:color="auto"/>
              <w:left w:val="single" w:sz="4" w:space="0" w:color="auto"/>
              <w:bottom w:val="single" w:sz="4" w:space="0" w:color="auto"/>
              <w:right w:val="single" w:sz="4" w:space="0" w:color="auto"/>
            </w:tcBorders>
          </w:tcPr>
          <w:p w14:paraId="3492E465" w14:textId="77777777" w:rsidR="00FF2129" w:rsidRDefault="00482EF3">
            <w:pPr>
              <w:pStyle w:val="TableBody"/>
              <w:rPr>
                <w:bCs/>
              </w:rPr>
            </w:pPr>
            <w:r>
              <w:rPr>
                <w:bCs/>
              </w:rPr>
              <w:t>none</w:t>
            </w:r>
          </w:p>
        </w:tc>
        <w:tc>
          <w:tcPr>
            <w:tcW w:w="6045" w:type="dxa"/>
            <w:tcBorders>
              <w:top w:val="single" w:sz="4" w:space="0" w:color="auto"/>
              <w:left w:val="single" w:sz="4" w:space="0" w:color="auto"/>
              <w:bottom w:val="single" w:sz="4" w:space="0" w:color="auto"/>
              <w:right w:val="single" w:sz="4" w:space="0" w:color="auto"/>
            </w:tcBorders>
          </w:tcPr>
          <w:p w14:paraId="0250CB70" w14:textId="77777777" w:rsidR="00FF2129" w:rsidRDefault="00482EF3">
            <w:pPr>
              <w:pStyle w:val="TableBody"/>
              <w:rPr>
                <w:bCs/>
              </w:rPr>
            </w:pPr>
            <w:r>
              <w:rPr>
                <w:bCs/>
              </w:rPr>
              <w:t>A source Settlement Point.</w:t>
            </w:r>
          </w:p>
        </w:tc>
      </w:tr>
      <w:tr w:rsidR="00FF2129" w14:paraId="230819B5" w14:textId="77777777" w:rsidTr="00FE4BF2">
        <w:tc>
          <w:tcPr>
            <w:tcW w:w="2448" w:type="dxa"/>
            <w:tcBorders>
              <w:top w:val="single" w:sz="4" w:space="0" w:color="auto"/>
              <w:left w:val="single" w:sz="4" w:space="0" w:color="auto"/>
              <w:bottom w:val="single" w:sz="4" w:space="0" w:color="auto"/>
              <w:right w:val="single" w:sz="4" w:space="0" w:color="auto"/>
            </w:tcBorders>
          </w:tcPr>
          <w:p w14:paraId="44008F18" w14:textId="77777777" w:rsidR="00FF2129" w:rsidRPr="005A0EB9" w:rsidRDefault="00482EF3">
            <w:pPr>
              <w:pStyle w:val="TableBody"/>
              <w:rPr>
                <w:i/>
              </w:rPr>
            </w:pPr>
            <w:r w:rsidRPr="005A0EB9">
              <w:rPr>
                <w:i/>
              </w:rPr>
              <w:t>k</w:t>
            </w:r>
          </w:p>
        </w:tc>
        <w:tc>
          <w:tcPr>
            <w:tcW w:w="615" w:type="dxa"/>
            <w:tcBorders>
              <w:top w:val="single" w:sz="4" w:space="0" w:color="auto"/>
              <w:left w:val="single" w:sz="4" w:space="0" w:color="auto"/>
              <w:bottom w:val="single" w:sz="4" w:space="0" w:color="auto"/>
              <w:right w:val="single" w:sz="4" w:space="0" w:color="auto"/>
            </w:tcBorders>
          </w:tcPr>
          <w:p w14:paraId="647E5778" w14:textId="77777777" w:rsidR="00FF2129" w:rsidRDefault="00482EF3">
            <w:pPr>
              <w:pStyle w:val="TableBody"/>
              <w:rPr>
                <w:bCs/>
              </w:rPr>
            </w:pPr>
            <w:r>
              <w:rPr>
                <w:bCs/>
              </w:rPr>
              <w:t>none</w:t>
            </w:r>
          </w:p>
        </w:tc>
        <w:tc>
          <w:tcPr>
            <w:tcW w:w="6045" w:type="dxa"/>
            <w:tcBorders>
              <w:top w:val="single" w:sz="4" w:space="0" w:color="auto"/>
              <w:left w:val="single" w:sz="4" w:space="0" w:color="auto"/>
              <w:bottom w:val="single" w:sz="4" w:space="0" w:color="auto"/>
              <w:right w:val="single" w:sz="4" w:space="0" w:color="auto"/>
            </w:tcBorders>
          </w:tcPr>
          <w:p w14:paraId="5DEE88EF" w14:textId="77777777" w:rsidR="00FF2129" w:rsidRDefault="00482EF3">
            <w:pPr>
              <w:pStyle w:val="TableBody"/>
              <w:rPr>
                <w:bCs/>
              </w:rPr>
            </w:pPr>
            <w:r>
              <w:rPr>
                <w:bCs/>
              </w:rPr>
              <w:t>A sink Settlement Point.</w:t>
            </w:r>
          </w:p>
        </w:tc>
      </w:tr>
    </w:tbl>
    <w:p w14:paraId="08CF0947" w14:textId="77777777" w:rsidR="000C362C" w:rsidRDefault="000C362C" w:rsidP="00E75519">
      <w:pPr>
        <w:pStyle w:val="BodyTextNumbered"/>
        <w:spacing w:before="240"/>
      </w:pPr>
      <w:r>
        <w:t>(3)</w:t>
      </w:r>
      <w:r>
        <w:tab/>
        <w:t xml:space="preserve">ERCOT shall charge a QSE for a cleared PTP Obligation bid with Links to an Option the positive difference in the </w:t>
      </w:r>
      <w:r w:rsidR="002352D8">
        <w:t>DASPP</w:t>
      </w:r>
      <w:r>
        <w:t xml:space="preserve"> between the sink Settlement Point and the source Settlement Point.  The charge to each QSE for a given Operating Hour of its cleared PTP Obligation bid with Links to an Option with each pair of source and sink Settlement Points is calculated as follows:</w:t>
      </w:r>
    </w:p>
    <w:p w14:paraId="09A39814" w14:textId="77777777" w:rsidR="000C362C" w:rsidRPr="00ED1696" w:rsidRDefault="000C362C" w:rsidP="00E30EAB">
      <w:pPr>
        <w:pStyle w:val="FormulaBold"/>
        <w:rPr>
          <w:i/>
          <w:vertAlign w:val="subscript"/>
        </w:rPr>
      </w:pPr>
      <w:r w:rsidRPr="00ED1696">
        <w:t xml:space="preserve">DARTOBLLOAMT </w:t>
      </w:r>
      <w:r w:rsidRPr="00ED1696">
        <w:rPr>
          <w:i/>
          <w:vertAlign w:val="subscript"/>
        </w:rPr>
        <w:t>q, (j, k)</w:t>
      </w:r>
      <w:r w:rsidRPr="00ED1696">
        <w:tab/>
        <w:t>=</w:t>
      </w:r>
      <w:r>
        <w:t xml:space="preserve"> </w:t>
      </w:r>
      <w:r w:rsidRPr="00ED1696">
        <w:t xml:space="preserve">Max (0, DAOBLPR </w:t>
      </w:r>
      <w:r w:rsidRPr="00ED1696">
        <w:rPr>
          <w:i/>
          <w:vertAlign w:val="subscript"/>
        </w:rPr>
        <w:t>(j, k)</w:t>
      </w:r>
      <w:r w:rsidRPr="00ED1696">
        <w:t xml:space="preserve">) </w:t>
      </w:r>
      <w:r w:rsidRPr="00ED1696">
        <w:rPr>
          <w:vertAlign w:val="superscript"/>
        </w:rPr>
        <w:t>*</w:t>
      </w:r>
      <w:r w:rsidRPr="00ED1696">
        <w:t xml:space="preserve"> </w:t>
      </w:r>
      <w:r>
        <w:t>RT</w:t>
      </w:r>
      <w:r w:rsidRPr="00ED1696">
        <w:t xml:space="preserve">OBLLO </w:t>
      </w:r>
      <w:r w:rsidRPr="00ED1696">
        <w:rPr>
          <w:i/>
          <w:vertAlign w:val="subscript"/>
        </w:rPr>
        <w:t>q, (j, k)</w:t>
      </w:r>
    </w:p>
    <w:p w14:paraId="640DDBFB" w14:textId="77777777" w:rsidR="000C362C" w:rsidRPr="00ED1696" w:rsidRDefault="000C362C" w:rsidP="00E30EAB">
      <w:pPr>
        <w:pStyle w:val="FormulaBold"/>
      </w:pPr>
      <w:r w:rsidRPr="00ED1696">
        <w:t>Where:</w:t>
      </w:r>
    </w:p>
    <w:p w14:paraId="02BD062D" w14:textId="77777777" w:rsidR="000C362C" w:rsidRPr="009453A1" w:rsidRDefault="000C362C" w:rsidP="00E30EAB">
      <w:pPr>
        <w:pStyle w:val="FormulaBold"/>
        <w:rPr>
          <w:i/>
          <w:vertAlign w:val="subscript"/>
        </w:rPr>
      </w:pPr>
      <w:r w:rsidRPr="009453A1">
        <w:t>RTOBLLO</w:t>
      </w:r>
      <w:r w:rsidRPr="009453A1">
        <w:rPr>
          <w:i/>
          <w:vertAlign w:val="subscript"/>
        </w:rPr>
        <w:t xml:space="preserve"> q, (j, k)</w:t>
      </w:r>
      <w:r w:rsidRPr="009453A1">
        <w:tab/>
        <w:t xml:space="preserve">= </w:t>
      </w:r>
      <w:r w:rsidRPr="009453A1">
        <w:rPr>
          <w:position w:val="-20"/>
        </w:rPr>
        <w:object w:dxaOrig="380" w:dyaOrig="440" w14:anchorId="68CE4819">
          <v:shape id="_x0000_i1034" type="#_x0000_t75" style="width:21pt;height:21pt" o:ole="">
            <v:imagedata r:id="rId36" o:title=""/>
          </v:shape>
          <o:OLEObject Type="Embed" ProgID="Equation.3" ShapeID="_x0000_i1034" DrawAspect="Content" ObjectID="_1775281327" r:id="rId37"/>
        </w:object>
      </w:r>
      <w:r w:rsidRPr="009453A1">
        <w:t xml:space="preserve"> OBLLOCRR</w:t>
      </w:r>
      <w:r w:rsidRPr="009453A1">
        <w:rPr>
          <w:i/>
          <w:vertAlign w:val="subscript"/>
        </w:rPr>
        <w:t xml:space="preserve"> q, (j, k), crrid, crrofferid</w:t>
      </w:r>
    </w:p>
    <w:p w14:paraId="28A2A598" w14:textId="77777777" w:rsidR="000C362C" w:rsidRDefault="000C362C" w:rsidP="000C362C">
      <w:r>
        <w:t>The above variables are defined as follows:</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900"/>
        <w:gridCol w:w="5785"/>
      </w:tblGrid>
      <w:tr w:rsidR="000C362C" w14:paraId="241889D0" w14:textId="77777777" w:rsidTr="009262F1">
        <w:trPr>
          <w:cantSplit/>
          <w:tblHeader/>
        </w:trPr>
        <w:tc>
          <w:tcPr>
            <w:tcW w:w="2407" w:type="dxa"/>
          </w:tcPr>
          <w:p w14:paraId="02B7895F" w14:textId="77777777" w:rsidR="000C362C" w:rsidRDefault="000C362C" w:rsidP="009262F1">
            <w:pPr>
              <w:pStyle w:val="TableHead"/>
            </w:pPr>
            <w:r>
              <w:t>Variable</w:t>
            </w:r>
          </w:p>
        </w:tc>
        <w:tc>
          <w:tcPr>
            <w:tcW w:w="900" w:type="dxa"/>
          </w:tcPr>
          <w:p w14:paraId="561DC120" w14:textId="77777777" w:rsidR="000C362C" w:rsidRDefault="000C362C" w:rsidP="009262F1">
            <w:pPr>
              <w:pStyle w:val="TableHead"/>
            </w:pPr>
            <w:r>
              <w:t>Unit</w:t>
            </w:r>
          </w:p>
        </w:tc>
        <w:tc>
          <w:tcPr>
            <w:tcW w:w="5785" w:type="dxa"/>
          </w:tcPr>
          <w:p w14:paraId="4E86CAA2" w14:textId="77777777" w:rsidR="000C362C" w:rsidRDefault="000C362C" w:rsidP="009262F1">
            <w:pPr>
              <w:pStyle w:val="TableHead"/>
            </w:pPr>
            <w:r>
              <w:t>Definition</w:t>
            </w:r>
          </w:p>
        </w:tc>
      </w:tr>
      <w:tr w:rsidR="000C362C" w14:paraId="313C2442" w14:textId="77777777" w:rsidTr="009262F1">
        <w:trPr>
          <w:cantSplit/>
        </w:trPr>
        <w:tc>
          <w:tcPr>
            <w:tcW w:w="2407" w:type="dxa"/>
          </w:tcPr>
          <w:p w14:paraId="5C6BA5AF" w14:textId="77777777" w:rsidR="000C362C" w:rsidRDefault="000C362C" w:rsidP="009262F1">
            <w:pPr>
              <w:pStyle w:val="TableBody"/>
            </w:pPr>
            <w:r>
              <w:t xml:space="preserve">DARTOBLLOAMT </w:t>
            </w:r>
            <w:r w:rsidRPr="00103E66">
              <w:rPr>
                <w:i/>
                <w:vertAlign w:val="subscript"/>
              </w:rPr>
              <w:t>q, (j, k)</w:t>
            </w:r>
          </w:p>
        </w:tc>
        <w:tc>
          <w:tcPr>
            <w:tcW w:w="900" w:type="dxa"/>
          </w:tcPr>
          <w:p w14:paraId="28C02276" w14:textId="77777777" w:rsidR="000C362C" w:rsidRDefault="000C362C" w:rsidP="009262F1">
            <w:pPr>
              <w:pStyle w:val="TableBody"/>
              <w:rPr>
                <w:bCs/>
              </w:rPr>
            </w:pPr>
            <w:r>
              <w:rPr>
                <w:bCs/>
              </w:rPr>
              <w:t>$</w:t>
            </w:r>
          </w:p>
        </w:tc>
        <w:tc>
          <w:tcPr>
            <w:tcW w:w="5785" w:type="dxa"/>
          </w:tcPr>
          <w:p w14:paraId="6DF6D451" w14:textId="77777777" w:rsidR="000C362C" w:rsidRDefault="000C362C" w:rsidP="009262F1">
            <w:pPr>
              <w:pStyle w:val="TableBody"/>
              <w:rPr>
                <w:bCs/>
              </w:rPr>
            </w:pPr>
            <w:r>
              <w:rPr>
                <w:bCs/>
                <w:i/>
              </w:rPr>
              <w:t>Day-Ahead Real-Time Obligation with Links to an Option Amount per QSE per pair of source and sink</w:t>
            </w:r>
            <w:r>
              <w:rPr>
                <w:bCs/>
              </w:rPr>
              <w:sym w:font="Symbol" w:char="F0BE"/>
            </w:r>
            <w:r>
              <w:rPr>
                <w:bCs/>
              </w:rPr>
              <w:t xml:space="preserve">The charge to QSE </w:t>
            </w:r>
            <w:r w:rsidRPr="00CB0194">
              <w:rPr>
                <w:bCs/>
                <w:i/>
              </w:rPr>
              <w:t>q</w:t>
            </w:r>
            <w:r>
              <w:rPr>
                <w:bCs/>
              </w:rPr>
              <w:t xml:space="preserve"> for a PTP Obligation bid with Links to an Option cleared in the DAM with the source </w:t>
            </w:r>
            <w:r>
              <w:rPr>
                <w:bCs/>
                <w:i/>
              </w:rPr>
              <w:t>j</w:t>
            </w:r>
            <w:r>
              <w:rPr>
                <w:bCs/>
              </w:rPr>
              <w:t xml:space="preserve"> and the sink </w:t>
            </w:r>
            <w:r>
              <w:rPr>
                <w:bCs/>
                <w:i/>
              </w:rPr>
              <w:t>k</w:t>
            </w:r>
            <w:r>
              <w:rPr>
                <w:bCs/>
              </w:rPr>
              <w:t xml:space="preserve">, for the </w:t>
            </w:r>
            <w:r>
              <w:t>hour</w:t>
            </w:r>
            <w:r>
              <w:rPr>
                <w:bCs/>
              </w:rPr>
              <w:t>.</w:t>
            </w:r>
          </w:p>
        </w:tc>
      </w:tr>
      <w:tr w:rsidR="000C362C" w14:paraId="3F5AF4AF" w14:textId="77777777" w:rsidTr="009262F1">
        <w:trPr>
          <w:cantSplit/>
        </w:trPr>
        <w:tc>
          <w:tcPr>
            <w:tcW w:w="2407" w:type="dxa"/>
          </w:tcPr>
          <w:p w14:paraId="6B47C321" w14:textId="77777777" w:rsidR="000C362C" w:rsidRDefault="000C362C" w:rsidP="009262F1">
            <w:pPr>
              <w:pStyle w:val="TableBody"/>
            </w:pPr>
            <w:r>
              <w:t xml:space="preserve">DAOBLPR </w:t>
            </w:r>
            <w:r w:rsidRPr="00103E66">
              <w:rPr>
                <w:i/>
                <w:vertAlign w:val="subscript"/>
              </w:rPr>
              <w:t>(j, k)</w:t>
            </w:r>
          </w:p>
        </w:tc>
        <w:tc>
          <w:tcPr>
            <w:tcW w:w="900" w:type="dxa"/>
          </w:tcPr>
          <w:p w14:paraId="3B15A9F2" w14:textId="77777777" w:rsidR="000C362C" w:rsidRDefault="000C362C" w:rsidP="009262F1">
            <w:pPr>
              <w:pStyle w:val="TableBody"/>
              <w:rPr>
                <w:bCs/>
              </w:rPr>
            </w:pPr>
            <w:r>
              <w:rPr>
                <w:bCs/>
              </w:rPr>
              <w:t xml:space="preserve">$/MWh </w:t>
            </w:r>
          </w:p>
        </w:tc>
        <w:tc>
          <w:tcPr>
            <w:tcW w:w="5785" w:type="dxa"/>
          </w:tcPr>
          <w:p w14:paraId="4925848D" w14:textId="77777777" w:rsidR="000C362C" w:rsidRDefault="000C362C" w:rsidP="009262F1">
            <w:pPr>
              <w:pStyle w:val="TableBody"/>
              <w:rPr>
                <w:bCs/>
                <w:i/>
              </w:rPr>
            </w:pPr>
            <w:r>
              <w:rPr>
                <w:bCs/>
                <w:i/>
              </w:rPr>
              <w:t>Day-Ahead Obligation Price per pair of source and sink</w:t>
            </w:r>
            <w:r>
              <w:rPr>
                <w:bCs/>
              </w:rPr>
              <w:sym w:font="Symbol" w:char="F0BE"/>
            </w:r>
            <w:r>
              <w:rPr>
                <w:bCs/>
              </w:rPr>
              <w:t xml:space="preserve">The DAM clearing price of a PTP Obligation bid with the source </w:t>
            </w:r>
            <w:r>
              <w:rPr>
                <w:bCs/>
                <w:i/>
              </w:rPr>
              <w:t>j</w:t>
            </w:r>
            <w:r>
              <w:rPr>
                <w:bCs/>
              </w:rPr>
              <w:t xml:space="preserve"> and the sink </w:t>
            </w:r>
            <w:r>
              <w:rPr>
                <w:bCs/>
                <w:i/>
              </w:rPr>
              <w:t>k</w:t>
            </w:r>
            <w:r>
              <w:rPr>
                <w:bCs/>
              </w:rPr>
              <w:t xml:space="preserve">, for the </w:t>
            </w:r>
            <w:r>
              <w:t>hour</w:t>
            </w:r>
            <w:r>
              <w:rPr>
                <w:bCs/>
              </w:rPr>
              <w:t>.</w:t>
            </w:r>
          </w:p>
        </w:tc>
      </w:tr>
      <w:tr w:rsidR="000C362C" w14:paraId="4AE0036F" w14:textId="77777777" w:rsidTr="009262F1">
        <w:trPr>
          <w:cantSplit/>
        </w:trPr>
        <w:tc>
          <w:tcPr>
            <w:tcW w:w="2407" w:type="dxa"/>
          </w:tcPr>
          <w:p w14:paraId="1F69A0CA" w14:textId="77777777" w:rsidR="000C362C" w:rsidRDefault="000C362C" w:rsidP="009262F1">
            <w:pPr>
              <w:pStyle w:val="TableBody"/>
              <w:rPr>
                <w:bCs/>
              </w:rPr>
            </w:pPr>
            <w:r>
              <w:rPr>
                <w:bCs/>
              </w:rPr>
              <w:t xml:space="preserve">RTOBLLO </w:t>
            </w:r>
            <w:r w:rsidRPr="00103E66">
              <w:rPr>
                <w:bCs/>
                <w:i/>
                <w:vertAlign w:val="subscript"/>
              </w:rPr>
              <w:t>q, (j, k)</w:t>
            </w:r>
          </w:p>
        </w:tc>
        <w:tc>
          <w:tcPr>
            <w:tcW w:w="900" w:type="dxa"/>
          </w:tcPr>
          <w:p w14:paraId="324A163D" w14:textId="77777777" w:rsidR="000C362C" w:rsidRDefault="000C362C" w:rsidP="009262F1">
            <w:pPr>
              <w:pStyle w:val="TableBody"/>
              <w:rPr>
                <w:bCs/>
              </w:rPr>
            </w:pPr>
            <w:r>
              <w:rPr>
                <w:bCs/>
              </w:rPr>
              <w:t>MW</w:t>
            </w:r>
          </w:p>
        </w:tc>
        <w:tc>
          <w:tcPr>
            <w:tcW w:w="5785" w:type="dxa"/>
          </w:tcPr>
          <w:p w14:paraId="5F43E61E" w14:textId="77777777" w:rsidR="000C362C" w:rsidRDefault="000C362C" w:rsidP="009262F1">
            <w:pPr>
              <w:pStyle w:val="TableBody"/>
              <w:rPr>
                <w:bCs/>
              </w:rPr>
            </w:pPr>
            <w:r>
              <w:rPr>
                <w:bCs/>
                <w:i/>
              </w:rPr>
              <w:t>Real-Time PTP Obligation with Links to an Option per QSE per pair of source and sink</w:t>
            </w:r>
            <w:r>
              <w:rPr>
                <w:bCs/>
              </w:rPr>
              <w:sym w:font="Symbol" w:char="F0BE"/>
            </w:r>
            <w:r>
              <w:rPr>
                <w:bCs/>
              </w:rPr>
              <w:t xml:space="preserve">The total MW of QSE </w:t>
            </w:r>
            <w:r w:rsidRPr="00A453A0">
              <w:rPr>
                <w:bCs/>
                <w:i/>
              </w:rPr>
              <w:t>q</w:t>
            </w:r>
            <w:r>
              <w:rPr>
                <w:bCs/>
              </w:rPr>
              <w:t xml:space="preserve">’s PTP Obligation bids with Links to an Option cleared in the DAM and settled in Real-Time for the source </w:t>
            </w:r>
            <w:r>
              <w:rPr>
                <w:bCs/>
                <w:i/>
              </w:rPr>
              <w:t>j</w:t>
            </w:r>
            <w:r>
              <w:rPr>
                <w:bCs/>
              </w:rPr>
              <w:t xml:space="preserve"> and the sink </w:t>
            </w:r>
            <w:r>
              <w:rPr>
                <w:bCs/>
                <w:i/>
              </w:rPr>
              <w:t>k,</w:t>
            </w:r>
            <w:r>
              <w:rPr>
                <w:bCs/>
              </w:rPr>
              <w:t xml:space="preserve"> for the hour.</w:t>
            </w:r>
          </w:p>
        </w:tc>
      </w:tr>
      <w:tr w:rsidR="000C362C" w14:paraId="2FB7F053" w14:textId="77777777" w:rsidTr="009262F1">
        <w:trPr>
          <w:cantSplit/>
        </w:trPr>
        <w:tc>
          <w:tcPr>
            <w:tcW w:w="2407" w:type="dxa"/>
          </w:tcPr>
          <w:p w14:paraId="0EF0A0CE" w14:textId="77777777" w:rsidR="000C362C" w:rsidRPr="00B7719D" w:rsidRDefault="000C362C" w:rsidP="009262F1">
            <w:pPr>
              <w:pStyle w:val="TableBody"/>
            </w:pPr>
            <w:r w:rsidRPr="00B7719D">
              <w:t>OBLLOCRR</w:t>
            </w:r>
            <w:r w:rsidRPr="00B7719D">
              <w:rPr>
                <w:i/>
                <w:vertAlign w:val="subscript"/>
              </w:rPr>
              <w:t xml:space="preserve"> q, (j, k), crrid</w:t>
            </w:r>
            <w:r>
              <w:rPr>
                <w:i/>
                <w:vertAlign w:val="subscript"/>
              </w:rPr>
              <w:t xml:space="preserve">, </w:t>
            </w:r>
            <w:r w:rsidRPr="00B7719D">
              <w:rPr>
                <w:i/>
                <w:vertAlign w:val="subscript"/>
              </w:rPr>
              <w:t>crrofferid</w:t>
            </w:r>
          </w:p>
        </w:tc>
        <w:tc>
          <w:tcPr>
            <w:tcW w:w="900" w:type="dxa"/>
          </w:tcPr>
          <w:p w14:paraId="4055AC65" w14:textId="77777777" w:rsidR="000C362C" w:rsidRPr="00B7719D" w:rsidRDefault="000C362C" w:rsidP="009262F1">
            <w:pPr>
              <w:pStyle w:val="TableBody"/>
              <w:rPr>
                <w:bCs/>
              </w:rPr>
            </w:pPr>
            <w:r>
              <w:rPr>
                <w:bCs/>
              </w:rPr>
              <w:t>MW</w:t>
            </w:r>
          </w:p>
        </w:tc>
        <w:tc>
          <w:tcPr>
            <w:tcW w:w="5785" w:type="dxa"/>
          </w:tcPr>
          <w:p w14:paraId="31C362F4" w14:textId="77777777" w:rsidR="000C362C" w:rsidRPr="00B7719D" w:rsidRDefault="000C362C" w:rsidP="009262F1">
            <w:pPr>
              <w:pStyle w:val="TableBody"/>
              <w:rPr>
                <w:bCs/>
                <w:i/>
              </w:rPr>
            </w:pPr>
            <w:r>
              <w:rPr>
                <w:bCs/>
                <w:i/>
              </w:rPr>
              <w:t>PTP Obligation with Links to an Option per QSE per pair of source and sink, CRRID and CRR Offer ID of the linked Option</w:t>
            </w:r>
            <w:r>
              <w:rPr>
                <w:bCs/>
              </w:rPr>
              <w:sym w:font="Symbol" w:char="F0BE"/>
            </w:r>
            <w:r>
              <w:rPr>
                <w:bCs/>
              </w:rPr>
              <w:t xml:space="preserve">The total MW of QSE </w:t>
            </w:r>
            <w:r>
              <w:rPr>
                <w:bCs/>
                <w:i/>
              </w:rPr>
              <w:t>q</w:t>
            </w:r>
            <w:r>
              <w:rPr>
                <w:bCs/>
              </w:rPr>
              <w:t xml:space="preserve">’s PTP Obligation bids with Links to an Option cleared in the DAM for the source </w:t>
            </w:r>
            <w:r>
              <w:rPr>
                <w:bCs/>
                <w:i/>
              </w:rPr>
              <w:t>j</w:t>
            </w:r>
            <w:r>
              <w:rPr>
                <w:bCs/>
              </w:rPr>
              <w:t xml:space="preserve"> and the sink </w:t>
            </w:r>
            <w:r>
              <w:rPr>
                <w:bCs/>
                <w:i/>
              </w:rPr>
              <w:t>k,</w:t>
            </w:r>
            <w:r>
              <w:rPr>
                <w:bCs/>
              </w:rPr>
              <w:t xml:space="preserve"> for the hour and CRRID and CRROFFERID of the linked PTP Option.</w:t>
            </w:r>
          </w:p>
        </w:tc>
      </w:tr>
      <w:tr w:rsidR="000C362C" w14:paraId="7D3B25DA" w14:textId="77777777" w:rsidTr="009262F1">
        <w:trPr>
          <w:cantSplit/>
        </w:trPr>
        <w:tc>
          <w:tcPr>
            <w:tcW w:w="2407" w:type="dxa"/>
          </w:tcPr>
          <w:p w14:paraId="3E8B7725" w14:textId="77777777" w:rsidR="000C362C" w:rsidRPr="00103E66" w:rsidRDefault="000C362C" w:rsidP="009262F1">
            <w:pPr>
              <w:pStyle w:val="TableBody"/>
              <w:rPr>
                <w:bCs/>
                <w:i/>
              </w:rPr>
            </w:pPr>
            <w:r w:rsidRPr="00103E66">
              <w:rPr>
                <w:bCs/>
                <w:i/>
              </w:rPr>
              <w:t>crrid</w:t>
            </w:r>
          </w:p>
        </w:tc>
        <w:tc>
          <w:tcPr>
            <w:tcW w:w="900" w:type="dxa"/>
          </w:tcPr>
          <w:p w14:paraId="07669BDD" w14:textId="77777777" w:rsidR="000C362C" w:rsidRDefault="000C362C" w:rsidP="009262F1">
            <w:pPr>
              <w:pStyle w:val="TableBody"/>
              <w:rPr>
                <w:bCs/>
              </w:rPr>
            </w:pPr>
            <w:r>
              <w:rPr>
                <w:bCs/>
              </w:rPr>
              <w:t>none</w:t>
            </w:r>
          </w:p>
        </w:tc>
        <w:tc>
          <w:tcPr>
            <w:tcW w:w="5785" w:type="dxa"/>
          </w:tcPr>
          <w:p w14:paraId="06762376" w14:textId="502BA0F9" w:rsidR="000C362C" w:rsidRDefault="000C362C" w:rsidP="00D2747C">
            <w:pPr>
              <w:pStyle w:val="TableBody"/>
              <w:rPr>
                <w:bCs/>
                <w:i/>
              </w:rPr>
            </w:pPr>
            <w:r>
              <w:rPr>
                <w:bCs/>
              </w:rPr>
              <w:t xml:space="preserve">A </w:t>
            </w:r>
            <w:r w:rsidR="00D2747C">
              <w:rPr>
                <w:bCs/>
              </w:rPr>
              <w:t>Congestion Revenue Right (</w:t>
            </w:r>
            <w:r>
              <w:rPr>
                <w:bCs/>
              </w:rPr>
              <w:t>CRR</w:t>
            </w:r>
            <w:r w:rsidR="00D2747C">
              <w:rPr>
                <w:bCs/>
              </w:rPr>
              <w:t>)</w:t>
            </w:r>
            <w:r>
              <w:rPr>
                <w:bCs/>
              </w:rPr>
              <w:t xml:space="preserve"> Option identification code.</w:t>
            </w:r>
          </w:p>
        </w:tc>
      </w:tr>
      <w:tr w:rsidR="000C362C" w14:paraId="7CF9500D" w14:textId="77777777" w:rsidTr="009262F1">
        <w:trPr>
          <w:cantSplit/>
        </w:trPr>
        <w:tc>
          <w:tcPr>
            <w:tcW w:w="2407" w:type="dxa"/>
          </w:tcPr>
          <w:p w14:paraId="6128210B" w14:textId="77777777" w:rsidR="000C362C" w:rsidRPr="00103E66" w:rsidRDefault="000C362C" w:rsidP="009262F1">
            <w:pPr>
              <w:pStyle w:val="TableBody"/>
              <w:rPr>
                <w:bCs/>
                <w:i/>
              </w:rPr>
            </w:pPr>
            <w:r w:rsidRPr="00B7719D">
              <w:rPr>
                <w:bCs/>
                <w:i/>
              </w:rPr>
              <w:t>crrofferid</w:t>
            </w:r>
          </w:p>
        </w:tc>
        <w:tc>
          <w:tcPr>
            <w:tcW w:w="900" w:type="dxa"/>
          </w:tcPr>
          <w:p w14:paraId="5B887EC8" w14:textId="77777777" w:rsidR="000C362C" w:rsidRDefault="000C362C" w:rsidP="009262F1">
            <w:pPr>
              <w:pStyle w:val="TableBody"/>
              <w:rPr>
                <w:bCs/>
              </w:rPr>
            </w:pPr>
            <w:r w:rsidRPr="00B7719D">
              <w:rPr>
                <w:bCs/>
              </w:rPr>
              <w:t>none</w:t>
            </w:r>
          </w:p>
        </w:tc>
        <w:tc>
          <w:tcPr>
            <w:tcW w:w="5785" w:type="dxa"/>
          </w:tcPr>
          <w:p w14:paraId="1E74AC0E" w14:textId="77777777" w:rsidR="000C362C" w:rsidRDefault="000C362C" w:rsidP="009262F1">
            <w:pPr>
              <w:pStyle w:val="TableBody"/>
              <w:rPr>
                <w:bCs/>
              </w:rPr>
            </w:pPr>
            <w:r w:rsidRPr="00B7719D">
              <w:rPr>
                <w:bCs/>
              </w:rPr>
              <w:t>A CRR Offer identification code.</w:t>
            </w:r>
          </w:p>
        </w:tc>
      </w:tr>
      <w:tr w:rsidR="000C362C" w14:paraId="416B70F1" w14:textId="77777777" w:rsidTr="009262F1">
        <w:trPr>
          <w:cantSplit/>
        </w:trPr>
        <w:tc>
          <w:tcPr>
            <w:tcW w:w="2407" w:type="dxa"/>
          </w:tcPr>
          <w:p w14:paraId="0381010E" w14:textId="77777777" w:rsidR="000C362C" w:rsidRPr="00103E66" w:rsidRDefault="000C362C" w:rsidP="009262F1">
            <w:pPr>
              <w:pStyle w:val="TableBody"/>
              <w:rPr>
                <w:bCs/>
                <w:i/>
              </w:rPr>
            </w:pPr>
            <w:r w:rsidRPr="00103E66">
              <w:rPr>
                <w:bCs/>
                <w:i/>
              </w:rPr>
              <w:t>q</w:t>
            </w:r>
          </w:p>
        </w:tc>
        <w:tc>
          <w:tcPr>
            <w:tcW w:w="900" w:type="dxa"/>
          </w:tcPr>
          <w:p w14:paraId="07123328" w14:textId="77777777" w:rsidR="000C362C" w:rsidRDefault="000C362C" w:rsidP="009262F1">
            <w:pPr>
              <w:pStyle w:val="TableBody"/>
              <w:rPr>
                <w:bCs/>
              </w:rPr>
            </w:pPr>
            <w:r>
              <w:rPr>
                <w:bCs/>
              </w:rPr>
              <w:t>none</w:t>
            </w:r>
          </w:p>
        </w:tc>
        <w:tc>
          <w:tcPr>
            <w:tcW w:w="5785" w:type="dxa"/>
          </w:tcPr>
          <w:p w14:paraId="60413A6E" w14:textId="77777777" w:rsidR="000C362C" w:rsidRDefault="000C362C" w:rsidP="009262F1">
            <w:pPr>
              <w:pStyle w:val="TableBody"/>
              <w:rPr>
                <w:bCs/>
              </w:rPr>
            </w:pPr>
            <w:r>
              <w:rPr>
                <w:bCs/>
              </w:rPr>
              <w:t>A QSE.</w:t>
            </w:r>
          </w:p>
        </w:tc>
      </w:tr>
      <w:tr w:rsidR="000C362C" w14:paraId="008E2B3C" w14:textId="77777777" w:rsidTr="009262F1">
        <w:trPr>
          <w:cantSplit/>
        </w:trPr>
        <w:tc>
          <w:tcPr>
            <w:tcW w:w="2407" w:type="dxa"/>
          </w:tcPr>
          <w:p w14:paraId="51D8A55E" w14:textId="77777777" w:rsidR="000C362C" w:rsidRPr="00103E66" w:rsidRDefault="000C362C" w:rsidP="009262F1">
            <w:pPr>
              <w:pStyle w:val="TableBody"/>
              <w:rPr>
                <w:bCs/>
                <w:i/>
              </w:rPr>
            </w:pPr>
            <w:r w:rsidRPr="00103E66">
              <w:rPr>
                <w:bCs/>
                <w:i/>
              </w:rPr>
              <w:t>j</w:t>
            </w:r>
          </w:p>
        </w:tc>
        <w:tc>
          <w:tcPr>
            <w:tcW w:w="900" w:type="dxa"/>
          </w:tcPr>
          <w:p w14:paraId="7F4CDC7D" w14:textId="77777777" w:rsidR="000C362C" w:rsidRDefault="000C362C" w:rsidP="009262F1">
            <w:pPr>
              <w:pStyle w:val="TableBody"/>
              <w:rPr>
                <w:bCs/>
              </w:rPr>
            </w:pPr>
            <w:r>
              <w:rPr>
                <w:bCs/>
              </w:rPr>
              <w:t>none</w:t>
            </w:r>
          </w:p>
        </w:tc>
        <w:tc>
          <w:tcPr>
            <w:tcW w:w="5785" w:type="dxa"/>
          </w:tcPr>
          <w:p w14:paraId="42B3A357" w14:textId="77777777" w:rsidR="000C362C" w:rsidRDefault="000C362C" w:rsidP="009262F1">
            <w:pPr>
              <w:pStyle w:val="TableBody"/>
              <w:rPr>
                <w:bCs/>
              </w:rPr>
            </w:pPr>
            <w:r>
              <w:rPr>
                <w:bCs/>
              </w:rPr>
              <w:t>A source Settlement Point.</w:t>
            </w:r>
          </w:p>
        </w:tc>
      </w:tr>
      <w:tr w:rsidR="000C362C" w14:paraId="46B002A3" w14:textId="77777777" w:rsidTr="009262F1">
        <w:trPr>
          <w:cantSplit/>
        </w:trPr>
        <w:tc>
          <w:tcPr>
            <w:tcW w:w="2407" w:type="dxa"/>
          </w:tcPr>
          <w:p w14:paraId="691D3C1D" w14:textId="77777777" w:rsidR="000C362C" w:rsidRPr="00103E66" w:rsidRDefault="000C362C" w:rsidP="009262F1">
            <w:pPr>
              <w:pStyle w:val="TableBody"/>
              <w:rPr>
                <w:bCs/>
                <w:i/>
              </w:rPr>
            </w:pPr>
            <w:r w:rsidRPr="00103E66">
              <w:rPr>
                <w:bCs/>
                <w:i/>
              </w:rPr>
              <w:t>k</w:t>
            </w:r>
          </w:p>
        </w:tc>
        <w:tc>
          <w:tcPr>
            <w:tcW w:w="900" w:type="dxa"/>
          </w:tcPr>
          <w:p w14:paraId="219821E5" w14:textId="77777777" w:rsidR="000C362C" w:rsidRDefault="000C362C" w:rsidP="009262F1">
            <w:pPr>
              <w:pStyle w:val="TableBody"/>
              <w:rPr>
                <w:bCs/>
              </w:rPr>
            </w:pPr>
            <w:r>
              <w:rPr>
                <w:bCs/>
              </w:rPr>
              <w:t>none</w:t>
            </w:r>
          </w:p>
        </w:tc>
        <w:tc>
          <w:tcPr>
            <w:tcW w:w="5785" w:type="dxa"/>
          </w:tcPr>
          <w:p w14:paraId="645908B5" w14:textId="77777777" w:rsidR="000C362C" w:rsidRDefault="000C362C" w:rsidP="009262F1">
            <w:pPr>
              <w:pStyle w:val="TableBody"/>
              <w:rPr>
                <w:bCs/>
              </w:rPr>
            </w:pPr>
            <w:r>
              <w:rPr>
                <w:bCs/>
              </w:rPr>
              <w:t>A sink Settlement Point.</w:t>
            </w:r>
          </w:p>
        </w:tc>
      </w:tr>
    </w:tbl>
    <w:p w14:paraId="6961FCDB" w14:textId="77777777" w:rsidR="000C362C" w:rsidRDefault="000C362C" w:rsidP="000C362C">
      <w:pPr>
        <w:pStyle w:val="BodyTextNumbered"/>
        <w:spacing w:before="240"/>
      </w:pPr>
      <w:r>
        <w:t>(4)</w:t>
      </w:r>
      <w:r>
        <w:tab/>
        <w:t>The net total charge to the QSE for the hour of all its cleared PTP Obligation bids with Links to an Option is calculated as follows:</w:t>
      </w:r>
    </w:p>
    <w:p w14:paraId="6F2E4EFF" w14:textId="77777777" w:rsidR="000C362C" w:rsidRPr="00ED1696" w:rsidRDefault="000C362C" w:rsidP="00E30EAB">
      <w:pPr>
        <w:pStyle w:val="FormulaBold"/>
      </w:pPr>
      <w:r w:rsidRPr="00ED1696">
        <w:t>DARTOBLLOAMTQSETOT</w:t>
      </w:r>
      <w:r w:rsidRPr="00ED1696">
        <w:rPr>
          <w:i/>
          <w:vertAlign w:val="subscript"/>
        </w:rPr>
        <w:t xml:space="preserve"> q</w:t>
      </w:r>
      <w:r w:rsidRPr="00ED1696">
        <w:tab/>
        <w:t>=</w:t>
      </w:r>
      <w:r w:rsidRPr="00ED1696">
        <w:tab/>
      </w:r>
      <w:r w:rsidRPr="00ED1696">
        <w:rPr>
          <w:position w:val="-22"/>
        </w:rPr>
        <w:object w:dxaOrig="220" w:dyaOrig="460" w14:anchorId="4CB0D53A">
          <v:shape id="_x0000_i1035" type="#_x0000_t75" style="width:13.2pt;height:21pt" o:ole="">
            <v:imagedata r:id="rId32" o:title=""/>
          </v:shape>
          <o:OLEObject Type="Embed" ProgID="Equation.3" ShapeID="_x0000_i1035" DrawAspect="Content" ObjectID="_1775281328" r:id="rId38"/>
        </w:object>
      </w:r>
      <w:r w:rsidRPr="00ED1696">
        <w:rPr>
          <w:position w:val="-20"/>
        </w:rPr>
        <w:object w:dxaOrig="220" w:dyaOrig="440" w14:anchorId="36F0EC5C">
          <v:shape id="_x0000_i1036" type="#_x0000_t75" style="width:13.2pt;height:21pt" o:ole="">
            <v:imagedata r:id="rId34" o:title=""/>
          </v:shape>
          <o:OLEObject Type="Embed" ProgID="Equation.3" ShapeID="_x0000_i1036" DrawAspect="Content" ObjectID="_1775281329" r:id="rId39"/>
        </w:object>
      </w:r>
      <w:r w:rsidRPr="00ED1696">
        <w:t xml:space="preserve">DARTOBLLOAMT </w:t>
      </w:r>
      <w:r w:rsidRPr="00ED1696">
        <w:rPr>
          <w:i/>
          <w:vertAlign w:val="subscript"/>
        </w:rPr>
        <w:t>q</w:t>
      </w:r>
      <w:r w:rsidRPr="005A0EB9">
        <w:rPr>
          <w:vertAlign w:val="subscript"/>
        </w:rPr>
        <w:t>,</w:t>
      </w:r>
      <w:r w:rsidRPr="00ED1696">
        <w:t xml:space="preserve"> </w:t>
      </w:r>
      <w:r w:rsidRPr="00ED1696">
        <w:rPr>
          <w:i/>
          <w:vertAlign w:val="subscript"/>
        </w:rPr>
        <w:t>(j, k)</w:t>
      </w:r>
    </w:p>
    <w:p w14:paraId="5E998CFD" w14:textId="77777777" w:rsidR="000C362C" w:rsidRDefault="000C362C" w:rsidP="000C362C">
      <w:r>
        <w:t>The above variables are defined as follows: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7"/>
        <w:gridCol w:w="630"/>
        <w:gridCol w:w="5711"/>
      </w:tblGrid>
      <w:tr w:rsidR="000C362C" w14:paraId="6248CA2A" w14:textId="77777777" w:rsidTr="00FE4BF2">
        <w:tc>
          <w:tcPr>
            <w:tcW w:w="2767" w:type="dxa"/>
          </w:tcPr>
          <w:p w14:paraId="43C2A598" w14:textId="77777777" w:rsidR="000C362C" w:rsidRDefault="000C362C" w:rsidP="009262F1">
            <w:pPr>
              <w:pStyle w:val="TableHead"/>
            </w:pPr>
            <w:r>
              <w:t>Variable</w:t>
            </w:r>
          </w:p>
        </w:tc>
        <w:tc>
          <w:tcPr>
            <w:tcW w:w="630" w:type="dxa"/>
          </w:tcPr>
          <w:p w14:paraId="1D579056" w14:textId="77777777" w:rsidR="000C362C" w:rsidRDefault="000C362C" w:rsidP="009262F1">
            <w:pPr>
              <w:pStyle w:val="TableHead"/>
            </w:pPr>
            <w:r>
              <w:t>Unit</w:t>
            </w:r>
          </w:p>
        </w:tc>
        <w:tc>
          <w:tcPr>
            <w:tcW w:w="5711" w:type="dxa"/>
          </w:tcPr>
          <w:p w14:paraId="4348FE18" w14:textId="77777777" w:rsidR="000C362C" w:rsidRDefault="000C362C" w:rsidP="009262F1">
            <w:pPr>
              <w:pStyle w:val="TableHead"/>
            </w:pPr>
            <w:r>
              <w:t>Definition</w:t>
            </w:r>
          </w:p>
        </w:tc>
      </w:tr>
      <w:tr w:rsidR="000C362C" w14:paraId="76FA3828" w14:textId="77777777" w:rsidTr="00FE4BF2">
        <w:tc>
          <w:tcPr>
            <w:tcW w:w="2767" w:type="dxa"/>
          </w:tcPr>
          <w:p w14:paraId="1D80993B" w14:textId="77777777" w:rsidR="000C362C" w:rsidRDefault="000C362C" w:rsidP="009262F1">
            <w:pPr>
              <w:pStyle w:val="TableBody"/>
            </w:pPr>
            <w:r>
              <w:lastRenderedPageBreak/>
              <w:t xml:space="preserve">DARTOBLLOAMTQSETOT </w:t>
            </w:r>
            <w:r w:rsidRPr="00103E66">
              <w:rPr>
                <w:i/>
                <w:vertAlign w:val="subscript"/>
              </w:rPr>
              <w:t>q</w:t>
            </w:r>
          </w:p>
        </w:tc>
        <w:tc>
          <w:tcPr>
            <w:tcW w:w="630" w:type="dxa"/>
          </w:tcPr>
          <w:p w14:paraId="69833C74" w14:textId="77777777" w:rsidR="000C362C" w:rsidRDefault="000C362C" w:rsidP="009262F1">
            <w:pPr>
              <w:pStyle w:val="TableBody"/>
              <w:rPr>
                <w:bCs/>
              </w:rPr>
            </w:pPr>
            <w:r>
              <w:rPr>
                <w:bCs/>
              </w:rPr>
              <w:t>$</w:t>
            </w:r>
          </w:p>
        </w:tc>
        <w:tc>
          <w:tcPr>
            <w:tcW w:w="5711" w:type="dxa"/>
          </w:tcPr>
          <w:p w14:paraId="6AB32E0A" w14:textId="77777777" w:rsidR="000C362C" w:rsidRDefault="000C362C" w:rsidP="009262F1">
            <w:pPr>
              <w:pStyle w:val="TableBody"/>
              <w:rPr>
                <w:bCs/>
              </w:rPr>
            </w:pPr>
            <w:r>
              <w:rPr>
                <w:bCs/>
                <w:i/>
              </w:rPr>
              <w:t>Day-Ahead Real-Time Obligation with Links to an Option Amount QSE Total per QSE</w:t>
            </w:r>
            <w:r>
              <w:rPr>
                <w:bCs/>
              </w:rPr>
              <w:sym w:font="Symbol" w:char="F0BE"/>
            </w:r>
            <w:r>
              <w:rPr>
                <w:bCs/>
              </w:rPr>
              <w:t xml:space="preserve">The net total charge to QSE </w:t>
            </w:r>
            <w:r w:rsidRPr="001D7FED">
              <w:rPr>
                <w:bCs/>
                <w:i/>
              </w:rPr>
              <w:t>q</w:t>
            </w:r>
            <w:r>
              <w:rPr>
                <w:bCs/>
              </w:rPr>
              <w:t xml:space="preserve"> for all its PTP Obligation bids with Links to an Option cleared in the DAM for the </w:t>
            </w:r>
            <w:r>
              <w:t>hour</w:t>
            </w:r>
            <w:r>
              <w:rPr>
                <w:bCs/>
              </w:rPr>
              <w:t>.</w:t>
            </w:r>
          </w:p>
        </w:tc>
      </w:tr>
      <w:tr w:rsidR="000C362C" w14:paraId="5FC6BA9B" w14:textId="77777777" w:rsidTr="00FE4BF2">
        <w:tc>
          <w:tcPr>
            <w:tcW w:w="2767" w:type="dxa"/>
          </w:tcPr>
          <w:p w14:paraId="78494067" w14:textId="77777777" w:rsidR="000C362C" w:rsidRDefault="000C362C" w:rsidP="009262F1">
            <w:pPr>
              <w:pStyle w:val="TableBody"/>
            </w:pPr>
            <w:r>
              <w:t>DARTOBLLOAMT</w:t>
            </w:r>
            <w:r>
              <w:rPr>
                <w:vertAlign w:val="subscript"/>
              </w:rPr>
              <w:t xml:space="preserve"> </w:t>
            </w:r>
            <w:r w:rsidRPr="00103E66">
              <w:rPr>
                <w:i/>
                <w:vertAlign w:val="subscript"/>
              </w:rPr>
              <w:t>q,</w:t>
            </w:r>
            <w:r w:rsidRPr="00103E66">
              <w:rPr>
                <w:i/>
              </w:rPr>
              <w:t xml:space="preserve"> </w:t>
            </w:r>
            <w:r w:rsidRPr="00103E66">
              <w:rPr>
                <w:i/>
                <w:vertAlign w:val="subscript"/>
              </w:rPr>
              <w:t>(j, k)</w:t>
            </w:r>
          </w:p>
        </w:tc>
        <w:tc>
          <w:tcPr>
            <w:tcW w:w="630" w:type="dxa"/>
          </w:tcPr>
          <w:p w14:paraId="2D38A296" w14:textId="77777777" w:rsidR="000C362C" w:rsidRDefault="000C362C" w:rsidP="009262F1">
            <w:pPr>
              <w:pStyle w:val="TableBody"/>
              <w:rPr>
                <w:bCs/>
              </w:rPr>
            </w:pPr>
            <w:r>
              <w:rPr>
                <w:bCs/>
              </w:rPr>
              <w:t>$</w:t>
            </w:r>
          </w:p>
        </w:tc>
        <w:tc>
          <w:tcPr>
            <w:tcW w:w="5711" w:type="dxa"/>
          </w:tcPr>
          <w:p w14:paraId="70C20F02" w14:textId="77777777" w:rsidR="000C362C" w:rsidRDefault="000C362C" w:rsidP="009262F1">
            <w:pPr>
              <w:pStyle w:val="TableBody"/>
              <w:rPr>
                <w:bCs/>
              </w:rPr>
            </w:pPr>
            <w:r>
              <w:rPr>
                <w:bCs/>
                <w:i/>
              </w:rPr>
              <w:t>Day-Ahead Real-Time Obligation with Links to Option Amount per QSE per pair of source and sink</w:t>
            </w:r>
            <w:r>
              <w:rPr>
                <w:bCs/>
              </w:rPr>
              <w:sym w:font="Symbol" w:char="F0BE"/>
            </w:r>
            <w:r>
              <w:rPr>
                <w:bCs/>
              </w:rPr>
              <w:t xml:space="preserve">The charge to QSE </w:t>
            </w:r>
            <w:r w:rsidRPr="001D7FED">
              <w:rPr>
                <w:bCs/>
                <w:i/>
              </w:rPr>
              <w:t>q</w:t>
            </w:r>
            <w:r>
              <w:rPr>
                <w:bCs/>
              </w:rPr>
              <w:t xml:space="preserve"> for a PTP Obligation bid with Links to an Option cleared in the DAM with the source </w:t>
            </w:r>
            <w:r>
              <w:rPr>
                <w:bCs/>
                <w:i/>
              </w:rPr>
              <w:t>j</w:t>
            </w:r>
            <w:r>
              <w:rPr>
                <w:bCs/>
              </w:rPr>
              <w:t xml:space="preserve"> and the sink </w:t>
            </w:r>
            <w:r>
              <w:rPr>
                <w:bCs/>
                <w:i/>
              </w:rPr>
              <w:t>k</w:t>
            </w:r>
            <w:r>
              <w:rPr>
                <w:bCs/>
              </w:rPr>
              <w:t xml:space="preserve">, for the </w:t>
            </w:r>
            <w:r>
              <w:t>hour</w:t>
            </w:r>
            <w:r>
              <w:rPr>
                <w:bCs/>
              </w:rPr>
              <w:t>.</w:t>
            </w:r>
          </w:p>
        </w:tc>
      </w:tr>
      <w:tr w:rsidR="000C362C" w14:paraId="36F406CE" w14:textId="77777777" w:rsidTr="00FE4BF2">
        <w:tc>
          <w:tcPr>
            <w:tcW w:w="2767" w:type="dxa"/>
            <w:tcBorders>
              <w:top w:val="single" w:sz="4" w:space="0" w:color="auto"/>
              <w:left w:val="single" w:sz="4" w:space="0" w:color="auto"/>
              <w:bottom w:val="single" w:sz="4" w:space="0" w:color="auto"/>
              <w:right w:val="single" w:sz="4" w:space="0" w:color="auto"/>
            </w:tcBorders>
          </w:tcPr>
          <w:p w14:paraId="65F1C850" w14:textId="77777777" w:rsidR="000C362C" w:rsidRPr="00103E66" w:rsidRDefault="000C362C" w:rsidP="009262F1">
            <w:pPr>
              <w:pStyle w:val="TableBody"/>
              <w:rPr>
                <w:i/>
              </w:rPr>
            </w:pPr>
            <w:r w:rsidRPr="00103E66">
              <w:rPr>
                <w:i/>
              </w:rPr>
              <w:t>q</w:t>
            </w:r>
          </w:p>
        </w:tc>
        <w:tc>
          <w:tcPr>
            <w:tcW w:w="630" w:type="dxa"/>
            <w:tcBorders>
              <w:top w:val="single" w:sz="4" w:space="0" w:color="auto"/>
              <w:left w:val="single" w:sz="4" w:space="0" w:color="auto"/>
              <w:bottom w:val="single" w:sz="4" w:space="0" w:color="auto"/>
              <w:right w:val="single" w:sz="4" w:space="0" w:color="auto"/>
            </w:tcBorders>
          </w:tcPr>
          <w:p w14:paraId="079E9682" w14:textId="77777777" w:rsidR="000C362C" w:rsidRDefault="000C362C" w:rsidP="009262F1">
            <w:pPr>
              <w:pStyle w:val="TableBody"/>
              <w:rPr>
                <w:bCs/>
              </w:rPr>
            </w:pPr>
            <w:r>
              <w:rPr>
                <w:bCs/>
              </w:rPr>
              <w:t>none</w:t>
            </w:r>
          </w:p>
        </w:tc>
        <w:tc>
          <w:tcPr>
            <w:tcW w:w="5711" w:type="dxa"/>
            <w:tcBorders>
              <w:top w:val="single" w:sz="4" w:space="0" w:color="auto"/>
              <w:left w:val="single" w:sz="4" w:space="0" w:color="auto"/>
              <w:bottom w:val="single" w:sz="4" w:space="0" w:color="auto"/>
              <w:right w:val="single" w:sz="4" w:space="0" w:color="auto"/>
            </w:tcBorders>
          </w:tcPr>
          <w:p w14:paraId="6A00ACDA" w14:textId="77777777" w:rsidR="000C362C" w:rsidRDefault="000C362C" w:rsidP="009262F1">
            <w:pPr>
              <w:pStyle w:val="TableBody"/>
              <w:rPr>
                <w:bCs/>
              </w:rPr>
            </w:pPr>
            <w:r>
              <w:rPr>
                <w:bCs/>
              </w:rPr>
              <w:t>A QSE.</w:t>
            </w:r>
          </w:p>
        </w:tc>
      </w:tr>
      <w:tr w:rsidR="000C362C" w14:paraId="25F48D76" w14:textId="77777777" w:rsidTr="00FE4BF2">
        <w:tc>
          <w:tcPr>
            <w:tcW w:w="2767" w:type="dxa"/>
            <w:tcBorders>
              <w:top w:val="single" w:sz="4" w:space="0" w:color="auto"/>
              <w:left w:val="single" w:sz="4" w:space="0" w:color="auto"/>
              <w:bottom w:val="single" w:sz="4" w:space="0" w:color="auto"/>
              <w:right w:val="single" w:sz="4" w:space="0" w:color="auto"/>
            </w:tcBorders>
          </w:tcPr>
          <w:p w14:paraId="4AB5DDFC" w14:textId="77777777" w:rsidR="000C362C" w:rsidRPr="00103E66" w:rsidRDefault="000C362C" w:rsidP="009262F1">
            <w:pPr>
              <w:pStyle w:val="TableBody"/>
              <w:rPr>
                <w:i/>
              </w:rPr>
            </w:pPr>
            <w:r w:rsidRPr="00103E66">
              <w:rPr>
                <w:i/>
              </w:rPr>
              <w:t>j</w:t>
            </w:r>
          </w:p>
        </w:tc>
        <w:tc>
          <w:tcPr>
            <w:tcW w:w="630" w:type="dxa"/>
            <w:tcBorders>
              <w:top w:val="single" w:sz="4" w:space="0" w:color="auto"/>
              <w:left w:val="single" w:sz="4" w:space="0" w:color="auto"/>
              <w:bottom w:val="single" w:sz="4" w:space="0" w:color="auto"/>
              <w:right w:val="single" w:sz="4" w:space="0" w:color="auto"/>
            </w:tcBorders>
          </w:tcPr>
          <w:p w14:paraId="3E11DB86" w14:textId="77777777" w:rsidR="000C362C" w:rsidRDefault="000C362C" w:rsidP="009262F1">
            <w:pPr>
              <w:pStyle w:val="TableBody"/>
              <w:rPr>
                <w:bCs/>
              </w:rPr>
            </w:pPr>
            <w:r>
              <w:rPr>
                <w:bCs/>
              </w:rPr>
              <w:t>none</w:t>
            </w:r>
          </w:p>
        </w:tc>
        <w:tc>
          <w:tcPr>
            <w:tcW w:w="5711" w:type="dxa"/>
            <w:tcBorders>
              <w:top w:val="single" w:sz="4" w:space="0" w:color="auto"/>
              <w:left w:val="single" w:sz="4" w:space="0" w:color="auto"/>
              <w:bottom w:val="single" w:sz="4" w:space="0" w:color="auto"/>
              <w:right w:val="single" w:sz="4" w:space="0" w:color="auto"/>
            </w:tcBorders>
          </w:tcPr>
          <w:p w14:paraId="4E1F6863" w14:textId="77777777" w:rsidR="000C362C" w:rsidRDefault="000C362C" w:rsidP="009262F1">
            <w:pPr>
              <w:pStyle w:val="TableBody"/>
              <w:rPr>
                <w:bCs/>
              </w:rPr>
            </w:pPr>
            <w:r>
              <w:rPr>
                <w:bCs/>
              </w:rPr>
              <w:t>A source Settlement Point.</w:t>
            </w:r>
          </w:p>
        </w:tc>
      </w:tr>
      <w:tr w:rsidR="000C362C" w14:paraId="25712185" w14:textId="77777777" w:rsidTr="00FE4BF2">
        <w:tc>
          <w:tcPr>
            <w:tcW w:w="2767" w:type="dxa"/>
            <w:tcBorders>
              <w:top w:val="single" w:sz="4" w:space="0" w:color="auto"/>
              <w:left w:val="single" w:sz="4" w:space="0" w:color="auto"/>
              <w:bottom w:val="single" w:sz="4" w:space="0" w:color="auto"/>
              <w:right w:val="single" w:sz="4" w:space="0" w:color="auto"/>
            </w:tcBorders>
          </w:tcPr>
          <w:p w14:paraId="31E3A622" w14:textId="77777777" w:rsidR="000C362C" w:rsidRPr="00103E66" w:rsidRDefault="000C362C" w:rsidP="009262F1">
            <w:pPr>
              <w:pStyle w:val="TableBody"/>
              <w:rPr>
                <w:i/>
              </w:rPr>
            </w:pPr>
            <w:r w:rsidRPr="00103E66">
              <w:rPr>
                <w:i/>
              </w:rPr>
              <w:t>k</w:t>
            </w:r>
          </w:p>
        </w:tc>
        <w:tc>
          <w:tcPr>
            <w:tcW w:w="630" w:type="dxa"/>
            <w:tcBorders>
              <w:top w:val="single" w:sz="4" w:space="0" w:color="auto"/>
              <w:left w:val="single" w:sz="4" w:space="0" w:color="auto"/>
              <w:bottom w:val="single" w:sz="4" w:space="0" w:color="auto"/>
              <w:right w:val="single" w:sz="4" w:space="0" w:color="auto"/>
            </w:tcBorders>
          </w:tcPr>
          <w:p w14:paraId="05693E06" w14:textId="77777777" w:rsidR="000C362C" w:rsidRDefault="000C362C" w:rsidP="009262F1">
            <w:pPr>
              <w:pStyle w:val="TableBody"/>
              <w:rPr>
                <w:bCs/>
              </w:rPr>
            </w:pPr>
            <w:r>
              <w:rPr>
                <w:bCs/>
              </w:rPr>
              <w:t>none</w:t>
            </w:r>
          </w:p>
        </w:tc>
        <w:tc>
          <w:tcPr>
            <w:tcW w:w="5711" w:type="dxa"/>
            <w:tcBorders>
              <w:top w:val="single" w:sz="4" w:space="0" w:color="auto"/>
              <w:left w:val="single" w:sz="4" w:space="0" w:color="auto"/>
              <w:bottom w:val="single" w:sz="4" w:space="0" w:color="auto"/>
              <w:right w:val="single" w:sz="4" w:space="0" w:color="auto"/>
            </w:tcBorders>
          </w:tcPr>
          <w:p w14:paraId="317D0D39" w14:textId="77777777" w:rsidR="000C362C" w:rsidRDefault="000C362C" w:rsidP="009262F1">
            <w:pPr>
              <w:pStyle w:val="TableBody"/>
              <w:rPr>
                <w:bCs/>
              </w:rPr>
            </w:pPr>
            <w:r>
              <w:rPr>
                <w:bCs/>
              </w:rPr>
              <w:t>A sink Settlement Point.</w:t>
            </w:r>
          </w:p>
        </w:tc>
      </w:tr>
    </w:tbl>
    <w:p w14:paraId="001FAEAE" w14:textId="77777777" w:rsidR="00FF2129" w:rsidRDefault="00482EF3" w:rsidP="00003B06">
      <w:pPr>
        <w:pStyle w:val="H3"/>
        <w:spacing w:before="480"/>
      </w:pPr>
      <w:bookmarkStart w:id="737" w:name="_Toc109185135"/>
      <w:bookmarkStart w:id="738" w:name="_Toc142108965"/>
      <w:bookmarkStart w:id="739" w:name="_Toc142113810"/>
      <w:bookmarkStart w:id="740" w:name="_Toc402345638"/>
      <w:bookmarkStart w:id="741" w:name="_Toc405383921"/>
      <w:bookmarkStart w:id="742" w:name="_Toc405537024"/>
      <w:bookmarkStart w:id="743" w:name="_Toc440871810"/>
      <w:bookmarkStart w:id="744" w:name="_Toc135990691"/>
      <w:r>
        <w:t>4.6.4</w:t>
      </w:r>
      <w:r>
        <w:tab/>
        <w:t>Settlement of Ancillary Services Procured in the DAM</w:t>
      </w:r>
      <w:bookmarkEnd w:id="737"/>
      <w:bookmarkEnd w:id="738"/>
      <w:bookmarkEnd w:id="739"/>
      <w:bookmarkEnd w:id="740"/>
      <w:bookmarkEnd w:id="741"/>
      <w:bookmarkEnd w:id="742"/>
      <w:bookmarkEnd w:id="743"/>
      <w:bookmarkEnd w:id="744"/>
    </w:p>
    <w:p w14:paraId="5A7D0800" w14:textId="77777777" w:rsidR="00FF2129" w:rsidRDefault="00EE47EB" w:rsidP="00E30EAB">
      <w:pPr>
        <w:pStyle w:val="BodyText"/>
        <w:ind w:left="720" w:hanging="720"/>
      </w:pPr>
      <w:bookmarkStart w:id="745" w:name="_Toc70135844"/>
      <w:bookmarkStart w:id="746" w:name="_Toc74112774"/>
      <w:bookmarkStart w:id="747" w:name="_Toc81042218"/>
      <w:bookmarkStart w:id="748" w:name="_Toc70135843"/>
      <w:bookmarkStart w:id="749" w:name="_Toc74112773"/>
      <w:r>
        <w:t>(1)</w:t>
      </w:r>
      <w:r>
        <w:tab/>
      </w:r>
      <w:r w:rsidR="008E44A3">
        <w:t>ERCOT shall pay each QSE providing Ancillary Services procured in the DAM the amount of Ancillary Service Capacity in MW procured from the QSE multiplied by the MCPC for the Ancillary Service provided, expressed in $/MW.  Each QSE shall pay for its share of each Ancillary Service procured by ERCOT in the DAM.</w:t>
      </w:r>
    </w:p>
    <w:p w14:paraId="09A8CA16" w14:textId="77777777" w:rsidR="00FF2129" w:rsidRDefault="00482EF3" w:rsidP="00E30EAB">
      <w:pPr>
        <w:pStyle w:val="H4"/>
        <w:spacing w:before="480"/>
        <w:ind w:left="1267" w:hanging="1267"/>
      </w:pPr>
      <w:bookmarkStart w:id="750" w:name="_Toc87758785"/>
      <w:bookmarkStart w:id="751" w:name="_Toc88040350"/>
      <w:bookmarkStart w:id="752" w:name="_Toc90197173"/>
      <w:bookmarkStart w:id="753" w:name="_Toc109185136"/>
      <w:bookmarkStart w:id="754" w:name="_Toc142108966"/>
      <w:bookmarkStart w:id="755" w:name="_Toc142113811"/>
      <w:bookmarkStart w:id="756" w:name="_Toc402345639"/>
      <w:bookmarkStart w:id="757" w:name="_Toc405383922"/>
      <w:bookmarkStart w:id="758" w:name="_Toc405537025"/>
      <w:bookmarkStart w:id="759" w:name="_Toc440871811"/>
      <w:bookmarkStart w:id="760" w:name="_Toc135990692"/>
      <w:r w:rsidRPr="00AD5148">
        <w:t>4.6.4.1</w:t>
      </w:r>
      <w:r w:rsidRPr="00AD5148">
        <w:tab/>
        <w:t>Payments for Ancillary Services Procured in the DAM</w:t>
      </w:r>
      <w:bookmarkEnd w:id="750"/>
      <w:bookmarkEnd w:id="751"/>
      <w:bookmarkEnd w:id="752"/>
      <w:bookmarkEnd w:id="753"/>
      <w:bookmarkEnd w:id="754"/>
      <w:bookmarkEnd w:id="755"/>
      <w:bookmarkEnd w:id="756"/>
      <w:bookmarkEnd w:id="757"/>
      <w:bookmarkEnd w:id="758"/>
      <w:bookmarkEnd w:id="759"/>
      <w:bookmarkEnd w:id="760"/>
      <w:r>
        <w:t xml:space="preserve">  </w:t>
      </w:r>
    </w:p>
    <w:p w14:paraId="2B5D66F0" w14:textId="77777777" w:rsidR="00FF2129" w:rsidRDefault="00482EF3" w:rsidP="00003B06">
      <w:pPr>
        <w:pStyle w:val="H5"/>
        <w:spacing w:before="480"/>
        <w:ind w:left="1627" w:hanging="1627"/>
      </w:pPr>
      <w:bookmarkStart w:id="761" w:name="_Toc87758786"/>
      <w:bookmarkStart w:id="762" w:name="_Toc88040351"/>
      <w:bookmarkStart w:id="763" w:name="_Toc90197174"/>
      <w:bookmarkStart w:id="764" w:name="_Toc109185137"/>
      <w:bookmarkStart w:id="765" w:name="_Toc142108967"/>
      <w:bookmarkStart w:id="766" w:name="_Toc142113812"/>
      <w:bookmarkStart w:id="767" w:name="_Toc402345640"/>
      <w:bookmarkStart w:id="768" w:name="_Toc405383923"/>
      <w:bookmarkStart w:id="769" w:name="_Toc405537026"/>
      <w:bookmarkStart w:id="770" w:name="_Toc440871812"/>
      <w:bookmarkStart w:id="771" w:name="_Toc135990693"/>
      <w:r>
        <w:t>4.6.4.1.1</w:t>
      </w:r>
      <w:r>
        <w:tab/>
        <w:t>Regulation Up Service Payment</w:t>
      </w:r>
      <w:bookmarkEnd w:id="761"/>
      <w:bookmarkEnd w:id="762"/>
      <w:bookmarkEnd w:id="763"/>
      <w:bookmarkEnd w:id="764"/>
      <w:bookmarkEnd w:id="765"/>
      <w:bookmarkEnd w:id="766"/>
      <w:bookmarkEnd w:id="767"/>
      <w:bookmarkEnd w:id="768"/>
      <w:bookmarkEnd w:id="769"/>
      <w:bookmarkEnd w:id="770"/>
      <w:bookmarkEnd w:id="771"/>
    </w:p>
    <w:p w14:paraId="3942E0D3" w14:textId="77777777" w:rsidR="00FF2129" w:rsidRDefault="00EE47EB" w:rsidP="00FA6269">
      <w:pPr>
        <w:pStyle w:val="BodyText"/>
        <w:ind w:left="720" w:hanging="720"/>
      </w:pPr>
      <w:r>
        <w:t>(1)</w:t>
      </w:r>
      <w:r>
        <w:tab/>
      </w:r>
      <w:r w:rsidR="00482EF3">
        <w:t>ERCOT shall pay each QSE whose Ancillary Service Offers to provide Reg-Up to ERCOT were cleared in the DAM, for each hour as follows:</w:t>
      </w:r>
    </w:p>
    <w:p w14:paraId="55B7DE1C" w14:textId="206247BB" w:rsidR="00FF2129" w:rsidRDefault="00482EF3" w:rsidP="00E30EAB">
      <w:pPr>
        <w:pStyle w:val="FormulaBold"/>
      </w:pPr>
      <w:r>
        <w:t xml:space="preserve">PCRUAMT </w:t>
      </w:r>
      <w:r>
        <w:rPr>
          <w:i/>
          <w:vertAlign w:val="subscript"/>
        </w:rPr>
        <w:t>q</w:t>
      </w:r>
      <w:r>
        <w:tab/>
        <w:t>=</w:t>
      </w:r>
      <w:r>
        <w:tab/>
        <w:t xml:space="preserve">(-1) * MCPCRU </w:t>
      </w:r>
      <w:r>
        <w:rPr>
          <w:i/>
          <w:vertAlign w:val="subscript"/>
        </w:rPr>
        <w:t>DAM</w:t>
      </w:r>
      <w:r>
        <w:t xml:space="preserve"> * PCRU </w:t>
      </w:r>
      <w:r>
        <w:rPr>
          <w:i/>
          <w:vertAlign w:val="subscript"/>
        </w:rPr>
        <w:t>q</w:t>
      </w:r>
    </w:p>
    <w:p w14:paraId="09D0C1C0" w14:textId="77777777" w:rsidR="00FF2129" w:rsidRDefault="00482EF3">
      <w:pPr>
        <w:pStyle w:val="BodyText"/>
        <w:rPr>
          <w:lang w:val="pt-BR"/>
        </w:rPr>
      </w:pPr>
      <w:r>
        <w:rPr>
          <w:lang w:val="pt-BR"/>
        </w:rPr>
        <w:t>Where:</w:t>
      </w:r>
    </w:p>
    <w:p w14:paraId="28A5939B" w14:textId="0A1D8D02" w:rsidR="00FF2129" w:rsidRDefault="00482EF3" w:rsidP="00D46800">
      <w:pPr>
        <w:pStyle w:val="Formula"/>
      </w:pPr>
      <w:r>
        <w:t xml:space="preserve">PCRU </w:t>
      </w:r>
      <w:r>
        <w:rPr>
          <w:i/>
          <w:vertAlign w:val="subscript"/>
        </w:rPr>
        <w:t>q</w:t>
      </w:r>
      <w:r>
        <w:tab/>
        <w:t>=</w:t>
      </w:r>
      <w:r w:rsidR="00B46E4A">
        <w:tab/>
      </w:r>
      <w:r w:rsidR="00B46E4A">
        <w:tab/>
      </w:r>
      <w:r w:rsidR="00B46E4A">
        <w:tab/>
      </w:r>
      <w:r w:rsidR="00FF2129" w:rsidRPr="00FF2129">
        <w:rPr>
          <w:position w:val="-18"/>
        </w:rPr>
        <w:object w:dxaOrig="220" w:dyaOrig="420" w14:anchorId="53A85A8A">
          <v:shape id="_x0000_i1037" type="#_x0000_t75" style="width:13.2pt;height:21pt" o:ole="">
            <v:imagedata r:id="rId40" o:title=""/>
          </v:shape>
          <o:OLEObject Type="Embed" ProgID="Equation.3" ShapeID="_x0000_i1037" DrawAspect="Content" ObjectID="_1775281330" r:id="rId41"/>
        </w:object>
      </w:r>
      <w:r>
        <w:t>PCRUR</w:t>
      </w:r>
      <w:r>
        <w:rPr>
          <w:i/>
        </w:rPr>
        <w:t xml:space="preserve"> </w:t>
      </w:r>
      <w:r>
        <w:rPr>
          <w:i/>
          <w:vertAlign w:val="subscript"/>
        </w:rPr>
        <w:t>r, q, DAM</w:t>
      </w:r>
    </w:p>
    <w:p w14:paraId="731C6544" w14:textId="77777777" w:rsidR="00FF2129" w:rsidRDefault="00482EF3">
      <w:r>
        <w:t>The above variables are defined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86"/>
        <w:gridCol w:w="989"/>
        <w:gridCol w:w="6575"/>
      </w:tblGrid>
      <w:tr w:rsidR="00FF2129" w14:paraId="64F84EC1" w14:textId="77777777">
        <w:tc>
          <w:tcPr>
            <w:tcW w:w="955" w:type="pct"/>
          </w:tcPr>
          <w:p w14:paraId="2365D83E" w14:textId="77777777" w:rsidR="00FF2129" w:rsidRDefault="00482EF3">
            <w:pPr>
              <w:pStyle w:val="TableHead"/>
            </w:pPr>
            <w:r>
              <w:t>Variable</w:t>
            </w:r>
          </w:p>
        </w:tc>
        <w:tc>
          <w:tcPr>
            <w:tcW w:w="529" w:type="pct"/>
          </w:tcPr>
          <w:p w14:paraId="152583CA" w14:textId="77777777" w:rsidR="00FF2129" w:rsidRDefault="00482EF3">
            <w:pPr>
              <w:pStyle w:val="TableHead"/>
            </w:pPr>
            <w:r>
              <w:t>Unit</w:t>
            </w:r>
          </w:p>
        </w:tc>
        <w:tc>
          <w:tcPr>
            <w:tcW w:w="3516" w:type="pct"/>
          </w:tcPr>
          <w:p w14:paraId="5B3D97E0" w14:textId="77777777" w:rsidR="00FF2129" w:rsidRDefault="00482EF3">
            <w:pPr>
              <w:pStyle w:val="TableHead"/>
            </w:pPr>
            <w:r>
              <w:t>Definition</w:t>
            </w:r>
          </w:p>
        </w:tc>
      </w:tr>
      <w:tr w:rsidR="00FF2129" w14:paraId="7145AAD0" w14:textId="77777777">
        <w:tc>
          <w:tcPr>
            <w:tcW w:w="955" w:type="pct"/>
          </w:tcPr>
          <w:p w14:paraId="24F22EE9" w14:textId="77777777" w:rsidR="00FF2129" w:rsidRDefault="00482EF3">
            <w:pPr>
              <w:pStyle w:val="TableBody"/>
            </w:pPr>
            <w:r>
              <w:t xml:space="preserve">PCRUAMT </w:t>
            </w:r>
            <w:r w:rsidRPr="00566C0F">
              <w:rPr>
                <w:i/>
                <w:vertAlign w:val="subscript"/>
              </w:rPr>
              <w:t xml:space="preserve">q </w:t>
            </w:r>
          </w:p>
        </w:tc>
        <w:tc>
          <w:tcPr>
            <w:tcW w:w="529" w:type="pct"/>
          </w:tcPr>
          <w:p w14:paraId="79FE7097" w14:textId="77777777" w:rsidR="00FF2129" w:rsidRDefault="00482EF3">
            <w:pPr>
              <w:pStyle w:val="TableBody"/>
            </w:pPr>
            <w:r>
              <w:t>$</w:t>
            </w:r>
          </w:p>
        </w:tc>
        <w:tc>
          <w:tcPr>
            <w:tcW w:w="3516" w:type="pct"/>
          </w:tcPr>
          <w:p w14:paraId="313249CA" w14:textId="77777777" w:rsidR="00FF2129" w:rsidRDefault="00482EF3">
            <w:pPr>
              <w:pStyle w:val="TableBody"/>
            </w:pPr>
            <w:r>
              <w:rPr>
                <w:i/>
              </w:rPr>
              <w:t>Procured Capacity for Reg-Up Amount per QSE in DAM</w:t>
            </w:r>
            <w:r>
              <w:t xml:space="preserve">—The DAM Reg-Up payment for QSE </w:t>
            </w:r>
            <w:r>
              <w:rPr>
                <w:i/>
              </w:rPr>
              <w:t>q</w:t>
            </w:r>
            <w:r>
              <w:t xml:space="preserve"> for the hour.</w:t>
            </w:r>
          </w:p>
        </w:tc>
      </w:tr>
      <w:tr w:rsidR="00FF2129" w14:paraId="3EB92C7C" w14:textId="77777777">
        <w:tc>
          <w:tcPr>
            <w:tcW w:w="955" w:type="pct"/>
          </w:tcPr>
          <w:p w14:paraId="18B6E500" w14:textId="77777777" w:rsidR="00FF2129" w:rsidRDefault="00482EF3">
            <w:pPr>
              <w:pStyle w:val="TableBody"/>
            </w:pPr>
            <w:r>
              <w:t xml:space="preserve">PCRU </w:t>
            </w:r>
            <w:r w:rsidRPr="00566C0F">
              <w:rPr>
                <w:i/>
                <w:vertAlign w:val="subscript"/>
              </w:rPr>
              <w:t>q</w:t>
            </w:r>
            <w:r w:rsidRPr="00566C0F">
              <w:rPr>
                <w:i/>
              </w:rPr>
              <w:t xml:space="preserve"> </w:t>
            </w:r>
          </w:p>
        </w:tc>
        <w:tc>
          <w:tcPr>
            <w:tcW w:w="529" w:type="pct"/>
          </w:tcPr>
          <w:p w14:paraId="3B7BF928" w14:textId="77777777" w:rsidR="00FF2129" w:rsidRDefault="00482EF3">
            <w:pPr>
              <w:pStyle w:val="TableBody"/>
            </w:pPr>
            <w:r>
              <w:t>MW</w:t>
            </w:r>
          </w:p>
        </w:tc>
        <w:tc>
          <w:tcPr>
            <w:tcW w:w="3516" w:type="pct"/>
          </w:tcPr>
          <w:p w14:paraId="1E124A4D" w14:textId="77777777" w:rsidR="00FF2129" w:rsidRDefault="00482EF3">
            <w:pPr>
              <w:pStyle w:val="TableBody"/>
            </w:pPr>
            <w:r>
              <w:rPr>
                <w:i/>
              </w:rPr>
              <w:t>Procured Capacity for Reg-Up per QSE in DAM</w:t>
            </w:r>
            <w:r>
              <w:t xml:space="preserve">—The total Reg-Up Service capacity quantity awarded to QSE </w:t>
            </w:r>
            <w:r>
              <w:rPr>
                <w:i/>
              </w:rPr>
              <w:t>q</w:t>
            </w:r>
            <w:r>
              <w:t xml:space="preserve"> in the DAM for all the Resources represented by this QSE for the hour.</w:t>
            </w:r>
          </w:p>
        </w:tc>
      </w:tr>
      <w:tr w:rsidR="00FF2129" w14:paraId="4250A2F1" w14:textId="77777777">
        <w:tc>
          <w:tcPr>
            <w:tcW w:w="955" w:type="pct"/>
          </w:tcPr>
          <w:p w14:paraId="60EC79F2" w14:textId="77777777" w:rsidR="00FF2129" w:rsidRDefault="00482EF3">
            <w:pPr>
              <w:pStyle w:val="TableBody"/>
            </w:pPr>
            <w:r>
              <w:t xml:space="preserve">PCRUR </w:t>
            </w:r>
            <w:r w:rsidRPr="00566C0F">
              <w:rPr>
                <w:i/>
                <w:vertAlign w:val="subscript"/>
              </w:rPr>
              <w:t>r</w:t>
            </w:r>
            <w:r w:rsidR="00EF43E9" w:rsidRPr="00566C0F">
              <w:rPr>
                <w:i/>
                <w:vertAlign w:val="subscript"/>
              </w:rPr>
              <w:t>,</w:t>
            </w:r>
            <w:r w:rsidRPr="00566C0F">
              <w:rPr>
                <w:i/>
              </w:rPr>
              <w:t xml:space="preserve"> </w:t>
            </w:r>
            <w:r w:rsidRPr="00566C0F">
              <w:rPr>
                <w:i/>
                <w:vertAlign w:val="subscript"/>
              </w:rPr>
              <w:t>q, DAM</w:t>
            </w:r>
          </w:p>
        </w:tc>
        <w:tc>
          <w:tcPr>
            <w:tcW w:w="529" w:type="pct"/>
          </w:tcPr>
          <w:p w14:paraId="6B0F1E24" w14:textId="77777777" w:rsidR="00FF2129" w:rsidRDefault="00482EF3">
            <w:pPr>
              <w:pStyle w:val="TableBody"/>
            </w:pPr>
            <w:r>
              <w:t>MW</w:t>
            </w:r>
          </w:p>
        </w:tc>
        <w:tc>
          <w:tcPr>
            <w:tcW w:w="3516" w:type="pct"/>
          </w:tcPr>
          <w:p w14:paraId="3E043421" w14:textId="77777777" w:rsidR="00FF2129" w:rsidRPr="00242397" w:rsidRDefault="00482EF3">
            <w:pPr>
              <w:pStyle w:val="TableBody"/>
            </w:pPr>
            <w:r>
              <w:rPr>
                <w:i/>
              </w:rPr>
              <w:t>Procured Capacity for Reg-Up from Resource per Resource per QSE in DAM</w:t>
            </w:r>
            <w:r>
              <w:t xml:space="preserve">—The Reg-Up capacity quantity awarded to QSE </w:t>
            </w:r>
            <w:r>
              <w:rPr>
                <w:i/>
              </w:rPr>
              <w:t>q</w:t>
            </w:r>
            <w:r>
              <w:t xml:space="preserve"> in the DAM for Resource </w:t>
            </w:r>
            <w:r>
              <w:rPr>
                <w:i/>
              </w:rPr>
              <w:t>r</w:t>
            </w:r>
            <w:r>
              <w:t xml:space="preserve"> for the hour.</w:t>
            </w:r>
            <w:r w:rsidR="00242397">
              <w:t xml:space="preserve">  Where for a Combined Cycle Train, the Resource </w:t>
            </w:r>
            <w:r w:rsidR="00242397">
              <w:rPr>
                <w:i/>
              </w:rPr>
              <w:t>r</w:t>
            </w:r>
            <w:r w:rsidR="00242397">
              <w:t xml:space="preserve"> is a Combined Cycle Generation Resource within the Combined Cycle Train.</w:t>
            </w:r>
          </w:p>
        </w:tc>
      </w:tr>
      <w:tr w:rsidR="00FF2129" w14:paraId="0B617350" w14:textId="77777777">
        <w:tc>
          <w:tcPr>
            <w:tcW w:w="955" w:type="pct"/>
          </w:tcPr>
          <w:p w14:paraId="2A87BFEF" w14:textId="77777777" w:rsidR="00FF2129" w:rsidRDefault="00482EF3">
            <w:pPr>
              <w:pStyle w:val="TableBody"/>
            </w:pPr>
            <w:r>
              <w:t xml:space="preserve">MCPCRU </w:t>
            </w:r>
            <w:r w:rsidRPr="00566C0F">
              <w:rPr>
                <w:i/>
                <w:vertAlign w:val="subscript"/>
              </w:rPr>
              <w:t>DAM</w:t>
            </w:r>
          </w:p>
        </w:tc>
        <w:tc>
          <w:tcPr>
            <w:tcW w:w="529" w:type="pct"/>
          </w:tcPr>
          <w:p w14:paraId="34DAF922" w14:textId="77777777" w:rsidR="00FF2129" w:rsidRDefault="00482EF3">
            <w:pPr>
              <w:pStyle w:val="TableBody"/>
            </w:pPr>
            <w:r>
              <w:t>$/MW per hour</w:t>
            </w:r>
          </w:p>
        </w:tc>
        <w:tc>
          <w:tcPr>
            <w:tcW w:w="3516" w:type="pct"/>
          </w:tcPr>
          <w:p w14:paraId="4F9467DD" w14:textId="77777777" w:rsidR="00FF2129" w:rsidRDefault="00482EF3">
            <w:pPr>
              <w:pStyle w:val="TableBody"/>
            </w:pPr>
            <w:r>
              <w:rPr>
                <w:i/>
              </w:rPr>
              <w:t>Market Clearing Price for Capacity for Reg-Up in DAM</w:t>
            </w:r>
            <w:r>
              <w:t>—The DAM MCPC for Reg-Up for the hour.</w:t>
            </w:r>
          </w:p>
        </w:tc>
      </w:tr>
      <w:tr w:rsidR="00FF2129" w14:paraId="256DD387" w14:textId="77777777">
        <w:tc>
          <w:tcPr>
            <w:tcW w:w="955" w:type="pct"/>
          </w:tcPr>
          <w:p w14:paraId="3491785D" w14:textId="77777777" w:rsidR="00FF2129" w:rsidRPr="00566C0F" w:rsidRDefault="00482EF3">
            <w:pPr>
              <w:pStyle w:val="TableBody"/>
              <w:rPr>
                <w:i/>
              </w:rPr>
            </w:pPr>
            <w:r w:rsidRPr="00566C0F">
              <w:rPr>
                <w:i/>
              </w:rPr>
              <w:lastRenderedPageBreak/>
              <w:t>r</w:t>
            </w:r>
          </w:p>
        </w:tc>
        <w:tc>
          <w:tcPr>
            <w:tcW w:w="529" w:type="pct"/>
          </w:tcPr>
          <w:p w14:paraId="4BC35962" w14:textId="77777777" w:rsidR="00FF2129" w:rsidRDefault="00482EF3">
            <w:pPr>
              <w:pStyle w:val="TableBody"/>
            </w:pPr>
            <w:r>
              <w:t>none</w:t>
            </w:r>
          </w:p>
        </w:tc>
        <w:tc>
          <w:tcPr>
            <w:tcW w:w="3516" w:type="pct"/>
          </w:tcPr>
          <w:p w14:paraId="2048D706" w14:textId="77777777" w:rsidR="00FF2129" w:rsidRDefault="00482EF3">
            <w:pPr>
              <w:pStyle w:val="TableBody"/>
            </w:pPr>
            <w:r>
              <w:t>A Resource.</w:t>
            </w:r>
          </w:p>
        </w:tc>
      </w:tr>
      <w:tr w:rsidR="00FF2129" w14:paraId="266F0B59" w14:textId="77777777">
        <w:tc>
          <w:tcPr>
            <w:tcW w:w="955" w:type="pct"/>
          </w:tcPr>
          <w:p w14:paraId="0158AD6D" w14:textId="77777777" w:rsidR="00FF2129" w:rsidRPr="00566C0F" w:rsidRDefault="00482EF3">
            <w:pPr>
              <w:pStyle w:val="TableBody"/>
              <w:rPr>
                <w:i/>
              </w:rPr>
            </w:pPr>
            <w:r w:rsidRPr="00566C0F">
              <w:rPr>
                <w:i/>
              </w:rPr>
              <w:t>q</w:t>
            </w:r>
          </w:p>
        </w:tc>
        <w:tc>
          <w:tcPr>
            <w:tcW w:w="529" w:type="pct"/>
          </w:tcPr>
          <w:p w14:paraId="4201D7BC" w14:textId="77777777" w:rsidR="00FF2129" w:rsidRDefault="00482EF3">
            <w:pPr>
              <w:pStyle w:val="TableBody"/>
            </w:pPr>
            <w:r>
              <w:t>none</w:t>
            </w:r>
          </w:p>
        </w:tc>
        <w:tc>
          <w:tcPr>
            <w:tcW w:w="3516" w:type="pct"/>
          </w:tcPr>
          <w:p w14:paraId="5BBE166C" w14:textId="77777777" w:rsidR="00FF2129" w:rsidRDefault="00482EF3">
            <w:pPr>
              <w:pStyle w:val="TableBody"/>
            </w:pPr>
            <w:r>
              <w:t>A QSE.</w:t>
            </w:r>
          </w:p>
        </w:tc>
      </w:tr>
    </w:tbl>
    <w:p w14:paraId="455C7E32" w14:textId="77777777" w:rsidR="000A2386" w:rsidRPr="000A2386" w:rsidRDefault="000A2386" w:rsidP="000A2386">
      <w:pPr>
        <w:pStyle w:val="BodyText"/>
        <w:spacing w:after="0"/>
      </w:pPr>
      <w:bookmarkStart w:id="772" w:name="_Toc109185138"/>
      <w:bookmarkStart w:id="773" w:name="_Toc142108968"/>
      <w:bookmarkStart w:id="774" w:name="_Toc142113813"/>
      <w:bookmarkStart w:id="775" w:name="_Toc402345641"/>
      <w:bookmarkStart w:id="776" w:name="_Toc405383924"/>
      <w:bookmarkStart w:id="777" w:name="_Toc405537027"/>
      <w:bookmarkStart w:id="778" w:name="_Toc440871813"/>
      <w:bookmarkStart w:id="779" w:name="_Toc87758788"/>
      <w:bookmarkStart w:id="780" w:name="_Toc88040353"/>
      <w:bookmarkStart w:id="781" w:name="_Toc90197176"/>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A2386" w:rsidRPr="004B32CF" w14:paraId="60AD9FEF" w14:textId="77777777" w:rsidTr="007258B7">
        <w:trPr>
          <w:trHeight w:val="386"/>
        </w:trPr>
        <w:tc>
          <w:tcPr>
            <w:tcW w:w="9350" w:type="dxa"/>
            <w:shd w:val="pct12" w:color="auto" w:fill="auto"/>
          </w:tcPr>
          <w:p w14:paraId="393FAC22" w14:textId="367F2589" w:rsidR="000A2386" w:rsidRPr="004B32CF" w:rsidRDefault="000A2386" w:rsidP="007258B7">
            <w:pPr>
              <w:spacing w:before="120" w:after="240"/>
              <w:rPr>
                <w:b/>
                <w:i/>
                <w:iCs/>
              </w:rPr>
            </w:pPr>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49BB87D4" w14:textId="77777777" w:rsidR="00C24CB5" w:rsidRDefault="00C24CB5" w:rsidP="00C24CB5">
            <w:pPr>
              <w:pStyle w:val="BodyText"/>
              <w:ind w:left="720" w:hanging="720"/>
            </w:pPr>
            <w:r>
              <w:t>(1)</w:t>
            </w:r>
            <w:r>
              <w:tab/>
              <w:t>ERCOT shall pay each QSE whose Resource-Specific Ancillary Service Offers to provide Reg-Up to ERCOT were cleared in the DAM, for each hour as follows:</w:t>
            </w:r>
          </w:p>
          <w:p w14:paraId="3A5699AC" w14:textId="35E8DF47" w:rsidR="00C24CB5" w:rsidRDefault="00C24CB5" w:rsidP="00E30EAB">
            <w:pPr>
              <w:pStyle w:val="FormulaBold"/>
            </w:pPr>
            <w:r>
              <w:t xml:space="preserve">PCRUAMT </w:t>
            </w:r>
            <w:r>
              <w:rPr>
                <w:i/>
                <w:vertAlign w:val="subscript"/>
              </w:rPr>
              <w:t>q</w:t>
            </w:r>
            <w:r>
              <w:tab/>
              <w:t>=</w:t>
            </w:r>
            <w:r>
              <w:tab/>
              <w:t xml:space="preserve">(-1) * MCPCRU </w:t>
            </w:r>
            <w:r>
              <w:rPr>
                <w:i/>
                <w:vertAlign w:val="subscript"/>
              </w:rPr>
              <w:t>DAM</w:t>
            </w:r>
            <w:r>
              <w:t xml:space="preserve"> * PCRU </w:t>
            </w:r>
            <w:r>
              <w:rPr>
                <w:i/>
                <w:vertAlign w:val="subscript"/>
              </w:rPr>
              <w:t>q</w:t>
            </w:r>
          </w:p>
          <w:p w14:paraId="2752242B" w14:textId="77777777" w:rsidR="00C24CB5" w:rsidRDefault="00C24CB5" w:rsidP="00C24CB5">
            <w:pPr>
              <w:pStyle w:val="BodyText"/>
              <w:rPr>
                <w:lang w:val="pt-BR"/>
              </w:rPr>
            </w:pPr>
            <w:r>
              <w:rPr>
                <w:lang w:val="pt-BR"/>
              </w:rPr>
              <w:t>Where:</w:t>
            </w:r>
          </w:p>
          <w:p w14:paraId="15424071" w14:textId="4A199B16" w:rsidR="00C24CB5" w:rsidRDefault="00C24CB5" w:rsidP="00E30EAB">
            <w:pPr>
              <w:pStyle w:val="FormulaBold"/>
              <w:rPr>
                <w:i/>
                <w:vertAlign w:val="subscript"/>
              </w:rPr>
            </w:pPr>
            <w:r>
              <w:t xml:space="preserve">PCRU </w:t>
            </w:r>
            <w:r>
              <w:rPr>
                <w:i/>
                <w:vertAlign w:val="subscript"/>
              </w:rPr>
              <w:t xml:space="preserve">q </w:t>
            </w:r>
            <w:r>
              <w:t xml:space="preserve"> </w:t>
            </w:r>
            <w:r w:rsidR="00E30EAB">
              <w:tab/>
            </w:r>
            <w:r>
              <w:t>=</w:t>
            </w:r>
            <w:r w:rsidR="00E30EAB">
              <w:tab/>
            </w:r>
            <w:r w:rsidRPr="00FF2129">
              <w:rPr>
                <w:position w:val="-18"/>
              </w:rPr>
              <w:object w:dxaOrig="288" w:dyaOrig="438" w14:anchorId="72E15660">
                <v:shape id="_x0000_i1038" type="#_x0000_t75" style="width:13.8pt;height:21.6pt" o:ole="">
                  <v:imagedata r:id="rId40" o:title=""/>
                </v:shape>
                <o:OLEObject Type="Embed" ProgID="Equation.3" ShapeID="_x0000_i1038" DrawAspect="Content" ObjectID="_1775281331" r:id="rId42"/>
              </w:object>
            </w:r>
            <w:r>
              <w:t>PCRUR</w:t>
            </w:r>
            <w:r>
              <w:rPr>
                <w:i/>
              </w:rPr>
              <w:t xml:space="preserve"> </w:t>
            </w:r>
            <w:r>
              <w:rPr>
                <w:i/>
                <w:vertAlign w:val="subscript"/>
              </w:rPr>
              <w:t>r, q, DAM</w:t>
            </w:r>
          </w:p>
          <w:p w14:paraId="29AEF915" w14:textId="77777777" w:rsidR="00C24CB5" w:rsidRPr="006145CA" w:rsidRDefault="00C24CB5" w:rsidP="00C24CB5">
            <w:pPr>
              <w:pStyle w:val="BodyText"/>
              <w:spacing w:before="240"/>
              <w:ind w:left="720" w:hanging="720"/>
              <w:rPr>
                <w:lang w:val="pt-BR"/>
              </w:rPr>
            </w:pPr>
            <w:r w:rsidRPr="006145CA">
              <w:rPr>
                <w:lang w:val="pt-BR"/>
              </w:rPr>
              <w:t>(2)</w:t>
            </w:r>
            <w:r w:rsidRPr="006145CA">
              <w:rPr>
                <w:lang w:val="pt-BR"/>
              </w:rPr>
              <w:tab/>
            </w:r>
            <w:r w:rsidRPr="006145CA">
              <w:t>ERCOT shall pay each QSE whose Ancillary Service Only Offers to provide Reg-Up to ERCOT were cleared in the DAM, for each hour as follows:</w:t>
            </w:r>
          </w:p>
          <w:p w14:paraId="521AA4C5" w14:textId="77777777" w:rsidR="00C24CB5" w:rsidRDefault="00C24CB5" w:rsidP="00F539C2">
            <w:pPr>
              <w:spacing w:after="240"/>
              <w:rPr>
                <w:i/>
                <w:vertAlign w:val="subscript"/>
              </w:rPr>
            </w:pPr>
            <w:r>
              <w:tab/>
            </w:r>
            <w:r w:rsidRPr="006145CA">
              <w:t xml:space="preserve">DAPCRUOAMT </w:t>
            </w:r>
            <w:r w:rsidRPr="006145CA">
              <w:rPr>
                <w:i/>
                <w:vertAlign w:val="subscript"/>
              </w:rPr>
              <w:t xml:space="preserve">q </w:t>
            </w:r>
            <w:r w:rsidRPr="006145CA">
              <w:t>= (-1) * MCPCRU</w:t>
            </w:r>
            <w:r w:rsidRPr="00062F8F">
              <w:rPr>
                <w:i/>
                <w:vertAlign w:val="subscript"/>
              </w:rPr>
              <w:t xml:space="preserve"> </w:t>
            </w:r>
            <w:r>
              <w:rPr>
                <w:i/>
                <w:vertAlign w:val="subscript"/>
              </w:rPr>
              <w:t>DAM</w:t>
            </w:r>
            <w:r w:rsidRPr="006145CA">
              <w:t xml:space="preserve"> *</w:t>
            </w:r>
            <w:r w:rsidRPr="006145CA">
              <w:rPr>
                <w:i/>
                <w:vertAlign w:val="subscript"/>
              </w:rPr>
              <w:t xml:space="preserve"> </w:t>
            </w:r>
            <w:r w:rsidRPr="006145CA">
              <w:t>DARUOAWD</w:t>
            </w:r>
            <w:r w:rsidRPr="006145CA">
              <w:rPr>
                <w:i/>
                <w:vertAlign w:val="subscript"/>
              </w:rPr>
              <w:t xml:space="preserve"> q </w:t>
            </w:r>
          </w:p>
          <w:p w14:paraId="38965FCA" w14:textId="632FF37B" w:rsidR="00C24CB5" w:rsidRDefault="00C24CB5" w:rsidP="00C24CB5">
            <w:r>
              <w:t>The above variables are defined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40"/>
              <w:gridCol w:w="964"/>
              <w:gridCol w:w="6406"/>
            </w:tblGrid>
            <w:tr w:rsidR="00C24CB5" w14:paraId="41A05AB2" w14:textId="77777777" w:rsidTr="007258B7">
              <w:tc>
                <w:tcPr>
                  <w:tcW w:w="955" w:type="pct"/>
                </w:tcPr>
                <w:p w14:paraId="7BE594F5" w14:textId="77777777" w:rsidR="00C24CB5" w:rsidRDefault="00C24CB5" w:rsidP="00C24CB5">
                  <w:pPr>
                    <w:pStyle w:val="TableHead"/>
                  </w:pPr>
                  <w:r>
                    <w:t>Variable</w:t>
                  </w:r>
                </w:p>
              </w:tc>
              <w:tc>
                <w:tcPr>
                  <w:tcW w:w="529" w:type="pct"/>
                </w:tcPr>
                <w:p w14:paraId="31906D45" w14:textId="77777777" w:rsidR="00C24CB5" w:rsidRDefault="00C24CB5" w:rsidP="00C24CB5">
                  <w:pPr>
                    <w:pStyle w:val="TableHead"/>
                  </w:pPr>
                  <w:r>
                    <w:t>Unit</w:t>
                  </w:r>
                </w:p>
              </w:tc>
              <w:tc>
                <w:tcPr>
                  <w:tcW w:w="3516" w:type="pct"/>
                </w:tcPr>
                <w:p w14:paraId="0CBCCA0F" w14:textId="77777777" w:rsidR="00C24CB5" w:rsidRDefault="00C24CB5" w:rsidP="00C24CB5">
                  <w:pPr>
                    <w:pStyle w:val="TableHead"/>
                  </w:pPr>
                  <w:r>
                    <w:t>Definition</w:t>
                  </w:r>
                </w:p>
              </w:tc>
            </w:tr>
            <w:tr w:rsidR="00C24CB5" w14:paraId="00E5C69A" w14:textId="77777777" w:rsidTr="007258B7">
              <w:tc>
                <w:tcPr>
                  <w:tcW w:w="955" w:type="pct"/>
                </w:tcPr>
                <w:p w14:paraId="3FC42FD0" w14:textId="77777777" w:rsidR="00C24CB5" w:rsidRDefault="00C24CB5" w:rsidP="00C24CB5">
                  <w:pPr>
                    <w:pStyle w:val="TableBody"/>
                  </w:pPr>
                  <w:r>
                    <w:t xml:space="preserve">PCRUAMT </w:t>
                  </w:r>
                  <w:r w:rsidRPr="00566C0F">
                    <w:rPr>
                      <w:i/>
                      <w:vertAlign w:val="subscript"/>
                    </w:rPr>
                    <w:t xml:space="preserve">q </w:t>
                  </w:r>
                </w:p>
              </w:tc>
              <w:tc>
                <w:tcPr>
                  <w:tcW w:w="529" w:type="pct"/>
                </w:tcPr>
                <w:p w14:paraId="646B0D89" w14:textId="77777777" w:rsidR="00C24CB5" w:rsidRDefault="00C24CB5" w:rsidP="00C24CB5">
                  <w:pPr>
                    <w:pStyle w:val="TableBody"/>
                  </w:pPr>
                  <w:r>
                    <w:t>$</w:t>
                  </w:r>
                </w:p>
              </w:tc>
              <w:tc>
                <w:tcPr>
                  <w:tcW w:w="3516" w:type="pct"/>
                </w:tcPr>
                <w:p w14:paraId="79F32BD7" w14:textId="77777777" w:rsidR="00C24CB5" w:rsidRDefault="00C24CB5" w:rsidP="00C24CB5">
                  <w:pPr>
                    <w:pStyle w:val="TableBody"/>
                  </w:pPr>
                  <w:r>
                    <w:rPr>
                      <w:i/>
                    </w:rPr>
                    <w:t>Procured Capacity for Reg-Up Amount per QSE in DAM</w:t>
                  </w:r>
                  <w:r>
                    <w:t xml:space="preserve">—The DAM Reg-Up payment for QSE </w:t>
                  </w:r>
                  <w:r>
                    <w:rPr>
                      <w:i/>
                    </w:rPr>
                    <w:t>q</w:t>
                  </w:r>
                  <w:r>
                    <w:t xml:space="preserve"> for the hour.</w:t>
                  </w:r>
                </w:p>
              </w:tc>
            </w:tr>
            <w:tr w:rsidR="00C24CB5" w14:paraId="0A978019" w14:textId="77777777" w:rsidTr="007258B7">
              <w:tc>
                <w:tcPr>
                  <w:tcW w:w="955" w:type="pct"/>
                </w:tcPr>
                <w:p w14:paraId="0A00C037" w14:textId="77777777" w:rsidR="00C24CB5" w:rsidRDefault="00C24CB5" w:rsidP="00C24CB5">
                  <w:pPr>
                    <w:pStyle w:val="TableBody"/>
                  </w:pPr>
                  <w:r>
                    <w:t>DAPCRUO</w:t>
                  </w:r>
                  <w:r w:rsidRPr="006145CA">
                    <w:t>AMT</w:t>
                  </w:r>
                  <w:r w:rsidRPr="006145CA">
                    <w:rPr>
                      <w:i/>
                    </w:rPr>
                    <w:t xml:space="preserve"> </w:t>
                  </w:r>
                  <w:r w:rsidRPr="006145CA">
                    <w:rPr>
                      <w:i/>
                      <w:vertAlign w:val="subscript"/>
                    </w:rPr>
                    <w:t>q</w:t>
                  </w:r>
                </w:p>
              </w:tc>
              <w:tc>
                <w:tcPr>
                  <w:tcW w:w="529" w:type="pct"/>
                </w:tcPr>
                <w:p w14:paraId="59DAAF49" w14:textId="77777777" w:rsidR="00C24CB5" w:rsidRDefault="00C24CB5" w:rsidP="00C24CB5">
                  <w:pPr>
                    <w:pStyle w:val="TableBody"/>
                  </w:pPr>
                  <w:r w:rsidRPr="006145CA">
                    <w:t>$</w:t>
                  </w:r>
                </w:p>
              </w:tc>
              <w:tc>
                <w:tcPr>
                  <w:tcW w:w="3516" w:type="pct"/>
                </w:tcPr>
                <w:p w14:paraId="3583566E" w14:textId="77777777" w:rsidR="00C24CB5" w:rsidRDefault="00C24CB5" w:rsidP="00C24CB5">
                  <w:pPr>
                    <w:pStyle w:val="TableBody"/>
                    <w:rPr>
                      <w:i/>
                    </w:rPr>
                  </w:pPr>
                  <w:r>
                    <w:rPr>
                      <w:i/>
                    </w:rPr>
                    <w:t xml:space="preserve">Day-Ahead </w:t>
                  </w:r>
                  <w:r w:rsidRPr="006145CA">
                    <w:rPr>
                      <w:i/>
                    </w:rPr>
                    <w:t>Procured Capacity for Reg-</w:t>
                  </w:r>
                  <w:r>
                    <w:rPr>
                      <w:i/>
                    </w:rPr>
                    <w:t>Up Only Amount per QSE</w:t>
                  </w:r>
                  <w:r w:rsidRPr="006145CA">
                    <w:t xml:space="preserve">—The payment to QSE </w:t>
                  </w:r>
                  <w:r w:rsidRPr="006145CA">
                    <w:rPr>
                      <w:i/>
                    </w:rPr>
                    <w:t>q</w:t>
                  </w:r>
                  <w:r w:rsidRPr="006145CA">
                    <w:t xml:space="preserve"> </w:t>
                  </w:r>
                  <w:r>
                    <w:t>f</w:t>
                  </w:r>
                  <w:r w:rsidRPr="006145CA">
                    <w:t>or all Reg-</w:t>
                  </w:r>
                  <w:r>
                    <w:t>Up</w:t>
                  </w:r>
                  <w:r w:rsidRPr="006145CA">
                    <w:t xml:space="preserve"> only awards </w:t>
                  </w:r>
                  <w:r>
                    <w:t xml:space="preserve">in DAM </w:t>
                  </w:r>
                  <w:r w:rsidRPr="006145CA">
                    <w:t>for the hour.</w:t>
                  </w:r>
                </w:p>
              </w:tc>
            </w:tr>
            <w:tr w:rsidR="00C24CB5" w14:paraId="0B73F1C3" w14:textId="77777777" w:rsidTr="007258B7">
              <w:tc>
                <w:tcPr>
                  <w:tcW w:w="955" w:type="pct"/>
                </w:tcPr>
                <w:p w14:paraId="7119F328" w14:textId="77777777" w:rsidR="00C24CB5" w:rsidRDefault="00C24CB5" w:rsidP="00C24CB5">
                  <w:pPr>
                    <w:pStyle w:val="TableBody"/>
                  </w:pPr>
                  <w:r>
                    <w:t xml:space="preserve">PCRU </w:t>
                  </w:r>
                  <w:r w:rsidRPr="00566C0F">
                    <w:rPr>
                      <w:i/>
                      <w:vertAlign w:val="subscript"/>
                    </w:rPr>
                    <w:t>q</w:t>
                  </w:r>
                  <w:r w:rsidRPr="00566C0F">
                    <w:rPr>
                      <w:i/>
                    </w:rPr>
                    <w:t xml:space="preserve"> </w:t>
                  </w:r>
                </w:p>
              </w:tc>
              <w:tc>
                <w:tcPr>
                  <w:tcW w:w="529" w:type="pct"/>
                </w:tcPr>
                <w:p w14:paraId="0B922897" w14:textId="77777777" w:rsidR="00C24CB5" w:rsidRDefault="00C24CB5" w:rsidP="00C24CB5">
                  <w:pPr>
                    <w:pStyle w:val="TableBody"/>
                  </w:pPr>
                  <w:r>
                    <w:t>MW</w:t>
                  </w:r>
                </w:p>
              </w:tc>
              <w:tc>
                <w:tcPr>
                  <w:tcW w:w="3516" w:type="pct"/>
                </w:tcPr>
                <w:p w14:paraId="012BE16E" w14:textId="77777777" w:rsidR="00C24CB5" w:rsidRDefault="00C24CB5" w:rsidP="00C24CB5">
                  <w:pPr>
                    <w:pStyle w:val="TableBody"/>
                  </w:pPr>
                  <w:r>
                    <w:rPr>
                      <w:i/>
                    </w:rPr>
                    <w:t>Procured Capacity for Reg-Up per QSE in DAM</w:t>
                  </w:r>
                  <w:r>
                    <w:t xml:space="preserve">—The total Reg-Up Service capacity quantity awarded to QSE </w:t>
                  </w:r>
                  <w:r>
                    <w:rPr>
                      <w:i/>
                    </w:rPr>
                    <w:t>q</w:t>
                  </w:r>
                  <w:r>
                    <w:t xml:space="preserve"> in the DAM for all the Resources represented by this QSE for the hour.</w:t>
                  </w:r>
                </w:p>
              </w:tc>
            </w:tr>
            <w:tr w:rsidR="00C24CB5" w14:paraId="59EF0F7C" w14:textId="77777777" w:rsidTr="007258B7">
              <w:tc>
                <w:tcPr>
                  <w:tcW w:w="955" w:type="pct"/>
                </w:tcPr>
                <w:p w14:paraId="7A0E6D2D" w14:textId="77777777" w:rsidR="00C24CB5" w:rsidRDefault="00C24CB5" w:rsidP="00C24CB5">
                  <w:pPr>
                    <w:pStyle w:val="TableBody"/>
                  </w:pPr>
                  <w:r>
                    <w:t xml:space="preserve">PCRUR </w:t>
                  </w:r>
                  <w:r w:rsidRPr="00566C0F">
                    <w:rPr>
                      <w:i/>
                      <w:vertAlign w:val="subscript"/>
                    </w:rPr>
                    <w:t>r,</w:t>
                  </w:r>
                  <w:r w:rsidRPr="00566C0F">
                    <w:rPr>
                      <w:i/>
                    </w:rPr>
                    <w:t xml:space="preserve"> </w:t>
                  </w:r>
                  <w:r w:rsidRPr="00566C0F">
                    <w:rPr>
                      <w:i/>
                      <w:vertAlign w:val="subscript"/>
                    </w:rPr>
                    <w:t>q, DAM</w:t>
                  </w:r>
                </w:p>
              </w:tc>
              <w:tc>
                <w:tcPr>
                  <w:tcW w:w="529" w:type="pct"/>
                </w:tcPr>
                <w:p w14:paraId="167F4A8E" w14:textId="77777777" w:rsidR="00C24CB5" w:rsidRDefault="00C24CB5" w:rsidP="00C24CB5">
                  <w:pPr>
                    <w:pStyle w:val="TableBody"/>
                  </w:pPr>
                  <w:r>
                    <w:t>MW</w:t>
                  </w:r>
                </w:p>
              </w:tc>
              <w:tc>
                <w:tcPr>
                  <w:tcW w:w="3516" w:type="pct"/>
                </w:tcPr>
                <w:p w14:paraId="2C5BD45F" w14:textId="77777777" w:rsidR="00C24CB5" w:rsidRPr="00242397" w:rsidRDefault="00C24CB5" w:rsidP="00C24CB5">
                  <w:pPr>
                    <w:pStyle w:val="TableBody"/>
                  </w:pPr>
                  <w:r>
                    <w:rPr>
                      <w:i/>
                    </w:rPr>
                    <w:t>Procured Capacity for Reg-Up from Resource per Resource per QSE in DAM</w:t>
                  </w:r>
                  <w:r>
                    <w:t xml:space="preserve">—The Reg-Up capacity quantity awarded to QSE </w:t>
                  </w:r>
                  <w:r>
                    <w:rPr>
                      <w:i/>
                    </w:rPr>
                    <w:t>q</w:t>
                  </w:r>
                  <w:r>
                    <w:t xml:space="preserve"> in the DAM for Resource </w:t>
                  </w:r>
                  <w:r>
                    <w:rPr>
                      <w:i/>
                    </w:rPr>
                    <w:t>r</w:t>
                  </w:r>
                  <w:r>
                    <w:t xml:space="preserve"> for the hour.  Where for a Combined Cycle Train, the Resource </w:t>
                  </w:r>
                  <w:r>
                    <w:rPr>
                      <w:i/>
                    </w:rPr>
                    <w:t>r</w:t>
                  </w:r>
                  <w:r>
                    <w:t xml:space="preserve"> is a Combined Cycle Generation Resource within the Combined Cycle Train.</w:t>
                  </w:r>
                </w:p>
              </w:tc>
            </w:tr>
            <w:tr w:rsidR="00C24CB5" w14:paraId="67490BBE" w14:textId="77777777" w:rsidTr="007258B7">
              <w:tc>
                <w:tcPr>
                  <w:tcW w:w="955" w:type="pct"/>
                </w:tcPr>
                <w:p w14:paraId="4331F31F" w14:textId="77777777" w:rsidR="00C24CB5" w:rsidRDefault="00C24CB5" w:rsidP="00C24CB5">
                  <w:pPr>
                    <w:pStyle w:val="TableBody"/>
                  </w:pPr>
                  <w:r>
                    <w:t xml:space="preserve">MCPCRU </w:t>
                  </w:r>
                  <w:r w:rsidRPr="00566C0F">
                    <w:rPr>
                      <w:i/>
                      <w:vertAlign w:val="subscript"/>
                    </w:rPr>
                    <w:t>DAM</w:t>
                  </w:r>
                </w:p>
              </w:tc>
              <w:tc>
                <w:tcPr>
                  <w:tcW w:w="529" w:type="pct"/>
                </w:tcPr>
                <w:p w14:paraId="6E48B564" w14:textId="77777777" w:rsidR="00C24CB5" w:rsidRDefault="00C24CB5" w:rsidP="00C24CB5">
                  <w:pPr>
                    <w:pStyle w:val="TableBody"/>
                  </w:pPr>
                  <w:r>
                    <w:t xml:space="preserve">$/MW </w:t>
                  </w:r>
                </w:p>
              </w:tc>
              <w:tc>
                <w:tcPr>
                  <w:tcW w:w="3516" w:type="pct"/>
                </w:tcPr>
                <w:p w14:paraId="7663A1F4" w14:textId="77777777" w:rsidR="00C24CB5" w:rsidRDefault="00C24CB5" w:rsidP="00C24CB5">
                  <w:pPr>
                    <w:pStyle w:val="TableBody"/>
                  </w:pPr>
                  <w:r>
                    <w:rPr>
                      <w:i/>
                    </w:rPr>
                    <w:t>Market Clearing Price for Capacity for Reg-Up in DAM</w:t>
                  </w:r>
                  <w:r>
                    <w:t>—The DAM MCPC for Reg-Up for the hour.</w:t>
                  </w:r>
                </w:p>
              </w:tc>
            </w:tr>
            <w:tr w:rsidR="00C24CB5" w14:paraId="084505A8" w14:textId="77777777" w:rsidTr="007258B7">
              <w:tc>
                <w:tcPr>
                  <w:tcW w:w="955" w:type="pct"/>
                </w:tcPr>
                <w:p w14:paraId="78546CD5" w14:textId="77777777" w:rsidR="00C24CB5" w:rsidRDefault="00C24CB5" w:rsidP="00C24CB5">
                  <w:pPr>
                    <w:pStyle w:val="TableBody"/>
                  </w:pPr>
                  <w:r w:rsidRPr="006145CA">
                    <w:t xml:space="preserve">DARUOAWD </w:t>
                  </w:r>
                  <w:r w:rsidRPr="006145CA">
                    <w:rPr>
                      <w:i/>
                      <w:vertAlign w:val="subscript"/>
                    </w:rPr>
                    <w:t>q</w:t>
                  </w:r>
                </w:p>
              </w:tc>
              <w:tc>
                <w:tcPr>
                  <w:tcW w:w="529" w:type="pct"/>
                </w:tcPr>
                <w:p w14:paraId="59E02E66" w14:textId="77777777" w:rsidR="00C24CB5" w:rsidRDefault="00C24CB5" w:rsidP="00C24CB5">
                  <w:pPr>
                    <w:pStyle w:val="TableBody"/>
                  </w:pPr>
                  <w:r w:rsidRPr="006145CA">
                    <w:t>MW</w:t>
                  </w:r>
                </w:p>
              </w:tc>
              <w:tc>
                <w:tcPr>
                  <w:tcW w:w="3516" w:type="pct"/>
                </w:tcPr>
                <w:p w14:paraId="0860E530" w14:textId="77777777" w:rsidR="00C24CB5" w:rsidRDefault="00C24CB5" w:rsidP="00C24CB5">
                  <w:pPr>
                    <w:pStyle w:val="TableBody"/>
                    <w:rPr>
                      <w:i/>
                    </w:rPr>
                  </w:pPr>
                  <w:r w:rsidRPr="006145CA">
                    <w:rPr>
                      <w:i/>
                    </w:rPr>
                    <w:t xml:space="preserve">Day-Ahead Reg-Up Only Award </w:t>
                  </w:r>
                  <w:r>
                    <w:rPr>
                      <w:i/>
                    </w:rPr>
                    <w:t>per</w:t>
                  </w:r>
                  <w:r w:rsidRPr="006145CA">
                    <w:rPr>
                      <w:i/>
                    </w:rPr>
                    <w:t xml:space="preserve"> QSE </w:t>
                  </w:r>
                  <w:r w:rsidRPr="006145CA">
                    <w:t>—The Reg-Up Only c</w:t>
                  </w:r>
                  <w:r>
                    <w:t xml:space="preserve">apacity quantity awarded in DAM </w:t>
                  </w:r>
                  <w:r w:rsidRPr="006145CA">
                    <w:t xml:space="preserve">to QSE </w:t>
                  </w:r>
                  <w:r w:rsidRPr="006145CA">
                    <w:rPr>
                      <w:i/>
                    </w:rPr>
                    <w:t>q</w:t>
                  </w:r>
                  <w:r w:rsidRPr="006145CA">
                    <w:t xml:space="preserve"> for the hour.</w:t>
                  </w:r>
                </w:p>
              </w:tc>
            </w:tr>
            <w:tr w:rsidR="00C24CB5" w14:paraId="3075C9AB" w14:textId="77777777" w:rsidTr="007258B7">
              <w:tc>
                <w:tcPr>
                  <w:tcW w:w="955" w:type="pct"/>
                </w:tcPr>
                <w:p w14:paraId="5AF6BFBE" w14:textId="77777777" w:rsidR="00C24CB5" w:rsidRPr="00566C0F" w:rsidRDefault="00C24CB5" w:rsidP="00C24CB5">
                  <w:pPr>
                    <w:pStyle w:val="TableBody"/>
                    <w:rPr>
                      <w:i/>
                    </w:rPr>
                  </w:pPr>
                  <w:r w:rsidRPr="00566C0F">
                    <w:rPr>
                      <w:i/>
                    </w:rPr>
                    <w:t>r</w:t>
                  </w:r>
                </w:p>
              </w:tc>
              <w:tc>
                <w:tcPr>
                  <w:tcW w:w="529" w:type="pct"/>
                </w:tcPr>
                <w:p w14:paraId="4726C154" w14:textId="77777777" w:rsidR="00C24CB5" w:rsidRDefault="00C24CB5" w:rsidP="00C24CB5">
                  <w:pPr>
                    <w:pStyle w:val="TableBody"/>
                  </w:pPr>
                  <w:r>
                    <w:t>none</w:t>
                  </w:r>
                </w:p>
              </w:tc>
              <w:tc>
                <w:tcPr>
                  <w:tcW w:w="3516" w:type="pct"/>
                </w:tcPr>
                <w:p w14:paraId="34D37D2C" w14:textId="77777777" w:rsidR="00C24CB5" w:rsidRDefault="00C24CB5" w:rsidP="00C24CB5">
                  <w:pPr>
                    <w:pStyle w:val="TableBody"/>
                  </w:pPr>
                  <w:r>
                    <w:t>A Resource.</w:t>
                  </w:r>
                </w:p>
              </w:tc>
            </w:tr>
            <w:tr w:rsidR="00C24CB5" w14:paraId="39963276" w14:textId="77777777" w:rsidTr="007258B7">
              <w:tc>
                <w:tcPr>
                  <w:tcW w:w="955" w:type="pct"/>
                </w:tcPr>
                <w:p w14:paraId="31C65FF1" w14:textId="77777777" w:rsidR="00C24CB5" w:rsidRPr="00566C0F" w:rsidRDefault="00C24CB5" w:rsidP="00C24CB5">
                  <w:pPr>
                    <w:pStyle w:val="TableBody"/>
                    <w:rPr>
                      <w:i/>
                    </w:rPr>
                  </w:pPr>
                  <w:r w:rsidRPr="00566C0F">
                    <w:rPr>
                      <w:i/>
                    </w:rPr>
                    <w:t>q</w:t>
                  </w:r>
                </w:p>
              </w:tc>
              <w:tc>
                <w:tcPr>
                  <w:tcW w:w="529" w:type="pct"/>
                </w:tcPr>
                <w:p w14:paraId="225B6A95" w14:textId="77777777" w:rsidR="00C24CB5" w:rsidRDefault="00C24CB5" w:rsidP="00C24CB5">
                  <w:pPr>
                    <w:pStyle w:val="TableBody"/>
                  </w:pPr>
                  <w:r>
                    <w:t>none</w:t>
                  </w:r>
                </w:p>
              </w:tc>
              <w:tc>
                <w:tcPr>
                  <w:tcW w:w="3516" w:type="pct"/>
                </w:tcPr>
                <w:p w14:paraId="28149B4A" w14:textId="77777777" w:rsidR="00C24CB5" w:rsidRDefault="00C24CB5" w:rsidP="00C24CB5">
                  <w:pPr>
                    <w:pStyle w:val="TableBody"/>
                  </w:pPr>
                  <w:r>
                    <w:t>A QSE.</w:t>
                  </w:r>
                </w:p>
              </w:tc>
            </w:tr>
          </w:tbl>
          <w:p w14:paraId="5ABB5B62" w14:textId="7931C505" w:rsidR="000A2386" w:rsidRPr="004B32CF" w:rsidRDefault="000A2386" w:rsidP="007258B7">
            <w:pPr>
              <w:pStyle w:val="BodyTextNumbered"/>
            </w:pPr>
          </w:p>
        </w:tc>
      </w:tr>
    </w:tbl>
    <w:p w14:paraId="0D130E35" w14:textId="1FA89E60" w:rsidR="00FF2129" w:rsidRDefault="00482EF3" w:rsidP="00003B06">
      <w:pPr>
        <w:pStyle w:val="H5"/>
        <w:spacing w:before="480"/>
        <w:ind w:left="1627" w:hanging="1627"/>
      </w:pPr>
      <w:bookmarkStart w:id="782" w:name="_Toc135990694"/>
      <w:r>
        <w:t>4.6.4.1.2</w:t>
      </w:r>
      <w:r>
        <w:tab/>
        <w:t>Regulation Down Service Payment</w:t>
      </w:r>
      <w:bookmarkEnd w:id="772"/>
      <w:bookmarkEnd w:id="773"/>
      <w:bookmarkEnd w:id="774"/>
      <w:bookmarkEnd w:id="775"/>
      <w:bookmarkEnd w:id="776"/>
      <w:bookmarkEnd w:id="777"/>
      <w:bookmarkEnd w:id="778"/>
      <w:bookmarkEnd w:id="782"/>
    </w:p>
    <w:p w14:paraId="2F14B590" w14:textId="77777777" w:rsidR="00FF2129" w:rsidRDefault="00EE47EB" w:rsidP="00FA6269">
      <w:pPr>
        <w:pStyle w:val="BodyText"/>
        <w:ind w:left="720" w:hanging="720"/>
      </w:pPr>
      <w:r>
        <w:t>(1)</w:t>
      </w:r>
      <w:r>
        <w:tab/>
      </w:r>
      <w:r w:rsidR="00482EF3">
        <w:t>ERCOT shall pay each QSE whose Ancillary Service Offers to provide Reg-Down to ERCOT were cleared in the DAM, for each hour as follows:</w:t>
      </w:r>
    </w:p>
    <w:p w14:paraId="48861287" w14:textId="5525A61B" w:rsidR="00FF2129" w:rsidRDefault="00482EF3" w:rsidP="00E30EAB">
      <w:pPr>
        <w:pStyle w:val="FormulaBold"/>
      </w:pPr>
      <w:r>
        <w:lastRenderedPageBreak/>
        <w:t xml:space="preserve">PCRDAMT </w:t>
      </w:r>
      <w:r>
        <w:rPr>
          <w:i/>
          <w:vertAlign w:val="subscript"/>
        </w:rPr>
        <w:t>q</w:t>
      </w:r>
      <w:r>
        <w:tab/>
        <w:t>=</w:t>
      </w:r>
      <w:r>
        <w:tab/>
        <w:t xml:space="preserve">(-1) * MCPCRD </w:t>
      </w:r>
      <w:r>
        <w:rPr>
          <w:i/>
          <w:vertAlign w:val="subscript"/>
        </w:rPr>
        <w:t>DAM</w:t>
      </w:r>
      <w:r>
        <w:t xml:space="preserve"> * PCRD </w:t>
      </w:r>
      <w:r>
        <w:rPr>
          <w:i/>
          <w:vertAlign w:val="subscript"/>
        </w:rPr>
        <w:t>q</w:t>
      </w:r>
    </w:p>
    <w:p w14:paraId="5A81AE3E" w14:textId="77777777" w:rsidR="00FF2129" w:rsidRDefault="00482EF3">
      <w:pPr>
        <w:pStyle w:val="BodyText"/>
        <w:rPr>
          <w:lang w:val="pt-BR"/>
        </w:rPr>
      </w:pPr>
      <w:r>
        <w:rPr>
          <w:lang w:val="pt-BR"/>
        </w:rPr>
        <w:t>Where:</w:t>
      </w:r>
    </w:p>
    <w:p w14:paraId="3C065B43" w14:textId="77777777" w:rsidR="00FF2129" w:rsidRDefault="00482EF3" w:rsidP="00D46800">
      <w:pPr>
        <w:pStyle w:val="Formula"/>
      </w:pPr>
      <w:r>
        <w:t xml:space="preserve">PCRD </w:t>
      </w:r>
      <w:r>
        <w:rPr>
          <w:i/>
          <w:vertAlign w:val="subscript"/>
        </w:rPr>
        <w:t>q</w:t>
      </w:r>
      <w:r>
        <w:tab/>
      </w:r>
      <w:r w:rsidR="00AD5148">
        <w:tab/>
      </w:r>
      <w:r>
        <w:t>=</w:t>
      </w:r>
      <w:r w:rsidR="00FF2129" w:rsidRPr="00FF2129">
        <w:rPr>
          <w:position w:val="-18"/>
        </w:rPr>
        <w:object w:dxaOrig="220" w:dyaOrig="420" w14:anchorId="7CA64728">
          <v:shape id="_x0000_i1039" type="#_x0000_t75" style="width:13.2pt;height:21pt" o:ole="">
            <v:imagedata r:id="rId40" o:title=""/>
          </v:shape>
          <o:OLEObject Type="Embed" ProgID="Equation.3" ShapeID="_x0000_i1039" DrawAspect="Content" ObjectID="_1775281332" r:id="rId43"/>
        </w:object>
      </w:r>
      <w:r>
        <w:t>PCRDR</w:t>
      </w:r>
      <w:r>
        <w:rPr>
          <w:i/>
        </w:rPr>
        <w:t xml:space="preserve"> </w:t>
      </w:r>
      <w:r>
        <w:rPr>
          <w:i/>
          <w:vertAlign w:val="subscript"/>
        </w:rPr>
        <w:t>r, q, DAM</w:t>
      </w:r>
    </w:p>
    <w:p w14:paraId="5AE7F1E7" w14:textId="77777777" w:rsidR="00FF2129" w:rsidRDefault="00482EF3">
      <w:r>
        <w:t>The above variables are defined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86"/>
        <w:gridCol w:w="989"/>
        <w:gridCol w:w="6575"/>
      </w:tblGrid>
      <w:tr w:rsidR="00FF2129" w14:paraId="069B0C0F" w14:textId="77777777">
        <w:trPr>
          <w:cantSplit/>
          <w:tblHeader/>
        </w:trPr>
        <w:tc>
          <w:tcPr>
            <w:tcW w:w="955" w:type="pct"/>
          </w:tcPr>
          <w:p w14:paraId="0F381F96" w14:textId="77777777" w:rsidR="00FF2129" w:rsidRDefault="00482EF3">
            <w:pPr>
              <w:pStyle w:val="TableHead"/>
            </w:pPr>
            <w:r>
              <w:t>Variable</w:t>
            </w:r>
          </w:p>
        </w:tc>
        <w:tc>
          <w:tcPr>
            <w:tcW w:w="529" w:type="pct"/>
          </w:tcPr>
          <w:p w14:paraId="772069D9" w14:textId="77777777" w:rsidR="00FF2129" w:rsidRDefault="00482EF3">
            <w:pPr>
              <w:pStyle w:val="TableHead"/>
            </w:pPr>
            <w:r>
              <w:t>Unit</w:t>
            </w:r>
          </w:p>
        </w:tc>
        <w:tc>
          <w:tcPr>
            <w:tcW w:w="3516" w:type="pct"/>
          </w:tcPr>
          <w:p w14:paraId="3189980E" w14:textId="77777777" w:rsidR="00FF2129" w:rsidRDefault="00482EF3">
            <w:pPr>
              <w:pStyle w:val="TableHead"/>
            </w:pPr>
            <w:r>
              <w:t>Definition</w:t>
            </w:r>
          </w:p>
        </w:tc>
      </w:tr>
      <w:tr w:rsidR="00FF2129" w14:paraId="548D1929" w14:textId="77777777">
        <w:trPr>
          <w:cantSplit/>
        </w:trPr>
        <w:tc>
          <w:tcPr>
            <w:tcW w:w="955" w:type="pct"/>
          </w:tcPr>
          <w:p w14:paraId="052A4D0E" w14:textId="77777777" w:rsidR="00FF2129" w:rsidRDefault="00482EF3">
            <w:pPr>
              <w:pStyle w:val="TableBody"/>
            </w:pPr>
            <w:r>
              <w:t>PCRDAMT</w:t>
            </w:r>
            <w:r w:rsidRPr="00566C0F">
              <w:rPr>
                <w:i/>
              </w:rPr>
              <w:t xml:space="preserve"> </w:t>
            </w:r>
            <w:r w:rsidRPr="00566C0F">
              <w:rPr>
                <w:i/>
                <w:vertAlign w:val="subscript"/>
              </w:rPr>
              <w:t>q</w:t>
            </w:r>
          </w:p>
        </w:tc>
        <w:tc>
          <w:tcPr>
            <w:tcW w:w="529" w:type="pct"/>
          </w:tcPr>
          <w:p w14:paraId="42DACF01" w14:textId="77777777" w:rsidR="00FF2129" w:rsidRDefault="00482EF3">
            <w:pPr>
              <w:pStyle w:val="TableBody"/>
            </w:pPr>
            <w:r>
              <w:t>$</w:t>
            </w:r>
          </w:p>
        </w:tc>
        <w:tc>
          <w:tcPr>
            <w:tcW w:w="3516" w:type="pct"/>
          </w:tcPr>
          <w:p w14:paraId="5F4426B0" w14:textId="77777777" w:rsidR="00FF2129" w:rsidRDefault="00482EF3">
            <w:pPr>
              <w:pStyle w:val="TableBody"/>
            </w:pPr>
            <w:r>
              <w:rPr>
                <w:i/>
              </w:rPr>
              <w:t>Procured Capacity for Reg-Down Amount per QSE in DAM</w:t>
            </w:r>
            <w:r>
              <w:t xml:space="preserve">—The DAM Reg-Down payment for QSE </w:t>
            </w:r>
            <w:r>
              <w:rPr>
                <w:i/>
              </w:rPr>
              <w:t>q</w:t>
            </w:r>
            <w:r>
              <w:t xml:space="preserve"> for the hour.</w:t>
            </w:r>
          </w:p>
        </w:tc>
      </w:tr>
      <w:tr w:rsidR="00FF2129" w14:paraId="6BBBE6C4" w14:textId="77777777">
        <w:trPr>
          <w:cantSplit/>
        </w:trPr>
        <w:tc>
          <w:tcPr>
            <w:tcW w:w="955" w:type="pct"/>
          </w:tcPr>
          <w:p w14:paraId="440B10F6" w14:textId="77777777" w:rsidR="00FF2129" w:rsidRDefault="00482EF3">
            <w:pPr>
              <w:pStyle w:val="TableBody"/>
            </w:pPr>
            <w:r>
              <w:t>PCRD</w:t>
            </w:r>
            <w:r w:rsidRPr="00566C0F">
              <w:rPr>
                <w:i/>
              </w:rPr>
              <w:t xml:space="preserve"> </w:t>
            </w:r>
            <w:r w:rsidRPr="00566C0F">
              <w:rPr>
                <w:i/>
                <w:vertAlign w:val="subscript"/>
              </w:rPr>
              <w:t>q</w:t>
            </w:r>
          </w:p>
        </w:tc>
        <w:tc>
          <w:tcPr>
            <w:tcW w:w="529" w:type="pct"/>
          </w:tcPr>
          <w:p w14:paraId="779689C0" w14:textId="77777777" w:rsidR="00FF2129" w:rsidRDefault="00482EF3">
            <w:pPr>
              <w:pStyle w:val="TableBody"/>
            </w:pPr>
            <w:r>
              <w:t>MW</w:t>
            </w:r>
          </w:p>
        </w:tc>
        <w:tc>
          <w:tcPr>
            <w:tcW w:w="3516" w:type="pct"/>
          </w:tcPr>
          <w:p w14:paraId="652F8987" w14:textId="77777777" w:rsidR="00FF2129" w:rsidRDefault="00482EF3">
            <w:pPr>
              <w:pStyle w:val="TableBody"/>
            </w:pPr>
            <w:r>
              <w:rPr>
                <w:i/>
              </w:rPr>
              <w:t>Procured Capacity for Reg-Down per QSE in DAM</w:t>
            </w:r>
            <w:r>
              <w:t xml:space="preserve">—The total Reg-Down Service capacity quantity awarded to QSE </w:t>
            </w:r>
            <w:r>
              <w:rPr>
                <w:i/>
              </w:rPr>
              <w:t>q</w:t>
            </w:r>
            <w:r>
              <w:t xml:space="preserve"> in the DAM for all the Resources represented by this QSE for the hour.</w:t>
            </w:r>
          </w:p>
        </w:tc>
      </w:tr>
      <w:tr w:rsidR="00FF2129" w14:paraId="5738A574" w14:textId="77777777">
        <w:trPr>
          <w:cantSplit/>
        </w:trPr>
        <w:tc>
          <w:tcPr>
            <w:tcW w:w="955" w:type="pct"/>
          </w:tcPr>
          <w:p w14:paraId="2290EE88" w14:textId="77777777" w:rsidR="00FF2129" w:rsidRDefault="00482EF3">
            <w:pPr>
              <w:pStyle w:val="TableBody"/>
            </w:pPr>
            <w:r>
              <w:t xml:space="preserve">PCRDR </w:t>
            </w:r>
            <w:r w:rsidRPr="00566C0F">
              <w:rPr>
                <w:i/>
                <w:vertAlign w:val="subscript"/>
              </w:rPr>
              <w:t>r</w:t>
            </w:r>
            <w:r w:rsidR="00EF43E9" w:rsidRPr="00566C0F">
              <w:rPr>
                <w:i/>
                <w:vertAlign w:val="subscript"/>
              </w:rPr>
              <w:t>,</w:t>
            </w:r>
            <w:r w:rsidRPr="00566C0F">
              <w:rPr>
                <w:i/>
              </w:rPr>
              <w:t xml:space="preserve"> </w:t>
            </w:r>
            <w:r w:rsidRPr="00566C0F">
              <w:rPr>
                <w:i/>
                <w:vertAlign w:val="subscript"/>
              </w:rPr>
              <w:t>q, DAM</w:t>
            </w:r>
          </w:p>
        </w:tc>
        <w:tc>
          <w:tcPr>
            <w:tcW w:w="529" w:type="pct"/>
          </w:tcPr>
          <w:p w14:paraId="2D1B9EAA" w14:textId="77777777" w:rsidR="00FF2129" w:rsidRDefault="00482EF3">
            <w:pPr>
              <w:pStyle w:val="TableBody"/>
            </w:pPr>
            <w:r>
              <w:t>MW</w:t>
            </w:r>
          </w:p>
        </w:tc>
        <w:tc>
          <w:tcPr>
            <w:tcW w:w="3516" w:type="pct"/>
          </w:tcPr>
          <w:p w14:paraId="17A2AFA2" w14:textId="77777777" w:rsidR="00FF2129" w:rsidRDefault="00482EF3">
            <w:pPr>
              <w:pStyle w:val="TableBody"/>
            </w:pPr>
            <w:r>
              <w:rPr>
                <w:i/>
              </w:rPr>
              <w:t>Procured Capacity for Reg-Down from Resource per Resource per QSE in DAM</w:t>
            </w:r>
            <w:r>
              <w:t xml:space="preserve">—The Reg-Down capacity quantity awarded to QSE </w:t>
            </w:r>
            <w:r>
              <w:rPr>
                <w:i/>
              </w:rPr>
              <w:t>q</w:t>
            </w:r>
            <w:r>
              <w:t xml:space="preserve"> in the DAM for Resource </w:t>
            </w:r>
            <w:r>
              <w:rPr>
                <w:i/>
              </w:rPr>
              <w:t>r</w:t>
            </w:r>
            <w:r>
              <w:t xml:space="preserve"> for the hour.</w:t>
            </w:r>
            <w:r w:rsidR="00D0798F">
              <w:t xml:space="preserve">  Where for a Combined Cycle Train, the Resource </w:t>
            </w:r>
            <w:r w:rsidR="00D0798F" w:rsidRPr="00B34C5D">
              <w:rPr>
                <w:i/>
              </w:rPr>
              <w:t>r</w:t>
            </w:r>
            <w:r w:rsidR="00D0798F">
              <w:rPr>
                <w:i/>
              </w:rPr>
              <w:t xml:space="preserve"> </w:t>
            </w:r>
            <w:r w:rsidR="00D0798F" w:rsidRPr="001C65E0">
              <w:t xml:space="preserve">is a </w:t>
            </w:r>
            <w:r w:rsidR="00D0798F">
              <w:t>Combined Cycle Generation Resource within the Combined Cycle Train.</w:t>
            </w:r>
          </w:p>
        </w:tc>
      </w:tr>
      <w:tr w:rsidR="00FF2129" w14:paraId="212B6118" w14:textId="77777777">
        <w:trPr>
          <w:cantSplit/>
        </w:trPr>
        <w:tc>
          <w:tcPr>
            <w:tcW w:w="955" w:type="pct"/>
          </w:tcPr>
          <w:p w14:paraId="3330378C" w14:textId="77777777" w:rsidR="00FF2129" w:rsidRDefault="00482EF3">
            <w:pPr>
              <w:pStyle w:val="TableBody"/>
            </w:pPr>
            <w:r>
              <w:t xml:space="preserve">MCPCRD </w:t>
            </w:r>
            <w:r w:rsidRPr="00566C0F">
              <w:rPr>
                <w:i/>
                <w:vertAlign w:val="subscript"/>
              </w:rPr>
              <w:t>DAM</w:t>
            </w:r>
          </w:p>
        </w:tc>
        <w:tc>
          <w:tcPr>
            <w:tcW w:w="529" w:type="pct"/>
          </w:tcPr>
          <w:p w14:paraId="5BCFB89E" w14:textId="77777777" w:rsidR="00FF2129" w:rsidRDefault="00482EF3">
            <w:pPr>
              <w:pStyle w:val="TableBody"/>
            </w:pPr>
            <w:r>
              <w:t>$/MW per hour</w:t>
            </w:r>
          </w:p>
        </w:tc>
        <w:tc>
          <w:tcPr>
            <w:tcW w:w="3516" w:type="pct"/>
          </w:tcPr>
          <w:p w14:paraId="4AEA7F88" w14:textId="77777777" w:rsidR="00FF2129" w:rsidRDefault="00482EF3">
            <w:pPr>
              <w:pStyle w:val="TableBody"/>
            </w:pPr>
            <w:r>
              <w:rPr>
                <w:i/>
              </w:rPr>
              <w:t>Market Clearing Price for Capacity for Reg-Down in DAM</w:t>
            </w:r>
            <w:r>
              <w:t>—The DAM MCPC for Reg-Down for the hour.</w:t>
            </w:r>
          </w:p>
        </w:tc>
      </w:tr>
      <w:tr w:rsidR="00FF2129" w14:paraId="72E79127" w14:textId="77777777">
        <w:trPr>
          <w:cantSplit/>
        </w:trPr>
        <w:tc>
          <w:tcPr>
            <w:tcW w:w="955" w:type="pct"/>
          </w:tcPr>
          <w:p w14:paraId="1838A3A6" w14:textId="77777777" w:rsidR="00FF2129" w:rsidRPr="00566C0F" w:rsidRDefault="00482EF3">
            <w:pPr>
              <w:pStyle w:val="TableBody"/>
              <w:rPr>
                <w:i/>
              </w:rPr>
            </w:pPr>
            <w:r w:rsidRPr="00566C0F">
              <w:rPr>
                <w:i/>
              </w:rPr>
              <w:t>r</w:t>
            </w:r>
          </w:p>
        </w:tc>
        <w:tc>
          <w:tcPr>
            <w:tcW w:w="529" w:type="pct"/>
          </w:tcPr>
          <w:p w14:paraId="4FEAC72F" w14:textId="77777777" w:rsidR="00FF2129" w:rsidRDefault="00482EF3">
            <w:pPr>
              <w:pStyle w:val="TableBody"/>
            </w:pPr>
            <w:r>
              <w:t>none</w:t>
            </w:r>
          </w:p>
        </w:tc>
        <w:tc>
          <w:tcPr>
            <w:tcW w:w="3516" w:type="pct"/>
          </w:tcPr>
          <w:p w14:paraId="7CE83288" w14:textId="77777777" w:rsidR="00FF2129" w:rsidRDefault="00482EF3">
            <w:pPr>
              <w:pStyle w:val="TableBody"/>
            </w:pPr>
            <w:r>
              <w:t>A Resource.</w:t>
            </w:r>
          </w:p>
        </w:tc>
      </w:tr>
      <w:tr w:rsidR="00FF2129" w14:paraId="561A0875" w14:textId="77777777">
        <w:trPr>
          <w:cantSplit/>
        </w:trPr>
        <w:tc>
          <w:tcPr>
            <w:tcW w:w="955" w:type="pct"/>
          </w:tcPr>
          <w:p w14:paraId="38B867D9" w14:textId="77777777" w:rsidR="00FF2129" w:rsidRPr="00566C0F" w:rsidRDefault="00482EF3">
            <w:pPr>
              <w:pStyle w:val="TableBody"/>
              <w:rPr>
                <w:i/>
              </w:rPr>
            </w:pPr>
            <w:r w:rsidRPr="00566C0F">
              <w:rPr>
                <w:i/>
              </w:rPr>
              <w:t>q</w:t>
            </w:r>
          </w:p>
        </w:tc>
        <w:tc>
          <w:tcPr>
            <w:tcW w:w="529" w:type="pct"/>
          </w:tcPr>
          <w:p w14:paraId="1574D237" w14:textId="77777777" w:rsidR="00FF2129" w:rsidRDefault="00482EF3">
            <w:pPr>
              <w:pStyle w:val="TableBody"/>
            </w:pPr>
            <w:r>
              <w:t>none</w:t>
            </w:r>
          </w:p>
        </w:tc>
        <w:tc>
          <w:tcPr>
            <w:tcW w:w="3516" w:type="pct"/>
          </w:tcPr>
          <w:p w14:paraId="3DB14E6A" w14:textId="77777777" w:rsidR="00FF2129" w:rsidRDefault="00482EF3">
            <w:pPr>
              <w:pStyle w:val="TableBody"/>
            </w:pPr>
            <w:r>
              <w:t>A QSE.</w:t>
            </w:r>
          </w:p>
        </w:tc>
      </w:tr>
    </w:tbl>
    <w:p w14:paraId="07D7924E" w14:textId="77777777" w:rsidR="00C24CB5" w:rsidRPr="000A2386" w:rsidRDefault="00C24CB5" w:rsidP="00C24CB5">
      <w:pPr>
        <w:pStyle w:val="BodyText"/>
        <w:spacing w:after="0"/>
      </w:pPr>
      <w:bookmarkStart w:id="783" w:name="_Toc109185139"/>
      <w:bookmarkStart w:id="784" w:name="_Toc142108969"/>
      <w:bookmarkStart w:id="785" w:name="_Toc142113814"/>
      <w:bookmarkStart w:id="786" w:name="_Toc402345642"/>
      <w:bookmarkStart w:id="787" w:name="_Toc405383925"/>
      <w:bookmarkStart w:id="788" w:name="_Toc405537028"/>
      <w:bookmarkStart w:id="789" w:name="_Toc440871814"/>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4CB5" w:rsidRPr="004B32CF" w14:paraId="0DBF58E3" w14:textId="77777777" w:rsidTr="007258B7">
        <w:trPr>
          <w:trHeight w:val="386"/>
        </w:trPr>
        <w:tc>
          <w:tcPr>
            <w:tcW w:w="9350" w:type="dxa"/>
            <w:shd w:val="pct12" w:color="auto" w:fill="auto"/>
          </w:tcPr>
          <w:p w14:paraId="74146365" w14:textId="77777777" w:rsidR="00C24CB5" w:rsidRPr="004B32CF" w:rsidRDefault="00C24CB5" w:rsidP="007258B7">
            <w:pPr>
              <w:spacing w:before="120" w:after="240"/>
              <w:rPr>
                <w:b/>
                <w:i/>
                <w:iCs/>
              </w:rPr>
            </w:pPr>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47157A3E" w14:textId="77777777" w:rsidR="00C24CB5" w:rsidRDefault="00C24CB5" w:rsidP="00C24CB5">
            <w:pPr>
              <w:pStyle w:val="BodyText"/>
              <w:ind w:left="720" w:hanging="720"/>
            </w:pPr>
            <w:r>
              <w:t>(1)</w:t>
            </w:r>
            <w:r>
              <w:tab/>
              <w:t xml:space="preserve">ERCOT shall pay each QSE whose </w:t>
            </w:r>
            <w:r w:rsidRPr="006145CA">
              <w:t>Resource</w:t>
            </w:r>
            <w:r>
              <w:t>-</w:t>
            </w:r>
            <w:r w:rsidRPr="006145CA">
              <w:t xml:space="preserve">Specific </w:t>
            </w:r>
            <w:r>
              <w:t>Ancillary Service Offers to provide Reg-Down to ERCOT were cleared in the DAM, for each hour as follows:</w:t>
            </w:r>
          </w:p>
          <w:p w14:paraId="1DFF826E" w14:textId="4F7C13E0" w:rsidR="00C24CB5" w:rsidRDefault="00C24CB5" w:rsidP="00E30EAB">
            <w:pPr>
              <w:pStyle w:val="FormulaBold"/>
            </w:pPr>
            <w:r>
              <w:t xml:space="preserve">PCRDAMT </w:t>
            </w:r>
            <w:r>
              <w:rPr>
                <w:i/>
                <w:vertAlign w:val="subscript"/>
              </w:rPr>
              <w:t>q</w:t>
            </w:r>
            <w:r>
              <w:tab/>
              <w:t>=</w:t>
            </w:r>
            <w:r>
              <w:tab/>
              <w:t xml:space="preserve">(-1) * MCPCRD </w:t>
            </w:r>
            <w:r>
              <w:rPr>
                <w:i/>
                <w:vertAlign w:val="subscript"/>
              </w:rPr>
              <w:t>DAM</w:t>
            </w:r>
            <w:r>
              <w:t xml:space="preserve"> * PCRD </w:t>
            </w:r>
            <w:r>
              <w:rPr>
                <w:i/>
                <w:vertAlign w:val="subscript"/>
              </w:rPr>
              <w:t>q</w:t>
            </w:r>
          </w:p>
          <w:p w14:paraId="6E3B6AA2" w14:textId="77777777" w:rsidR="00C24CB5" w:rsidRDefault="00C24CB5" w:rsidP="00C24CB5">
            <w:pPr>
              <w:pStyle w:val="BodyText"/>
              <w:rPr>
                <w:lang w:val="pt-BR"/>
              </w:rPr>
            </w:pPr>
            <w:r>
              <w:rPr>
                <w:lang w:val="pt-BR"/>
              </w:rPr>
              <w:t>Where:</w:t>
            </w:r>
          </w:p>
          <w:p w14:paraId="7876BD49" w14:textId="461F469C" w:rsidR="00C24CB5" w:rsidRDefault="00C24CB5" w:rsidP="00E30EAB">
            <w:pPr>
              <w:pStyle w:val="FormulaBold"/>
              <w:rPr>
                <w:i/>
                <w:vertAlign w:val="subscript"/>
              </w:rPr>
            </w:pPr>
            <w:r>
              <w:t xml:space="preserve">PCRD </w:t>
            </w:r>
            <w:r>
              <w:rPr>
                <w:i/>
                <w:vertAlign w:val="subscript"/>
              </w:rPr>
              <w:t xml:space="preserve">q </w:t>
            </w:r>
            <w:r w:rsidR="00E30EAB">
              <w:tab/>
            </w:r>
            <w:r>
              <w:rPr>
                <w:i/>
                <w:vertAlign w:val="subscript"/>
              </w:rPr>
              <w:t xml:space="preserve"> </w:t>
            </w:r>
            <w:r>
              <w:t>=</w:t>
            </w:r>
            <w:r w:rsidR="00E30EAB">
              <w:tab/>
            </w:r>
            <w:r w:rsidRPr="00FF2129">
              <w:rPr>
                <w:position w:val="-18"/>
              </w:rPr>
              <w:object w:dxaOrig="288" w:dyaOrig="438" w14:anchorId="0C7D89A0">
                <v:shape id="_x0000_i1040" type="#_x0000_t75" style="width:13.8pt;height:21.6pt" o:ole="">
                  <v:imagedata r:id="rId40" o:title=""/>
                </v:shape>
                <o:OLEObject Type="Embed" ProgID="Equation.3" ShapeID="_x0000_i1040" DrawAspect="Content" ObjectID="_1775281333" r:id="rId44"/>
              </w:object>
            </w:r>
            <w:r>
              <w:t>PCRDR</w:t>
            </w:r>
            <w:r>
              <w:rPr>
                <w:i/>
              </w:rPr>
              <w:t xml:space="preserve"> </w:t>
            </w:r>
            <w:r>
              <w:rPr>
                <w:i/>
                <w:vertAlign w:val="subscript"/>
              </w:rPr>
              <w:t>r, q, DAM</w:t>
            </w:r>
          </w:p>
          <w:p w14:paraId="7E48A435" w14:textId="77777777" w:rsidR="00C24CB5" w:rsidRPr="006145CA" w:rsidRDefault="00C24CB5" w:rsidP="00C24CB5">
            <w:pPr>
              <w:pStyle w:val="BodyText"/>
              <w:spacing w:before="240"/>
              <w:ind w:left="720" w:hanging="720"/>
              <w:rPr>
                <w:lang w:val="pt-BR"/>
              </w:rPr>
            </w:pPr>
            <w:r w:rsidRPr="006145CA">
              <w:rPr>
                <w:lang w:val="pt-BR"/>
              </w:rPr>
              <w:t>(2)</w:t>
            </w:r>
            <w:r w:rsidRPr="006145CA">
              <w:t xml:space="preserve">  </w:t>
            </w:r>
            <w:r w:rsidRPr="006145CA">
              <w:tab/>
              <w:t>ERCOT shall pay each QSE whose Ancillary Service Only Offers to provide Reg-Down to ERCOT were cleared in the DAM, for each hour as follows:</w:t>
            </w:r>
          </w:p>
          <w:p w14:paraId="43D08DD9" w14:textId="29DDE516" w:rsidR="00C24CB5" w:rsidRDefault="00C24CB5" w:rsidP="00D46800">
            <w:pPr>
              <w:pStyle w:val="Formula"/>
            </w:pPr>
            <w:r w:rsidRPr="006145CA">
              <w:t xml:space="preserve">DAPCRDOAMT </w:t>
            </w:r>
            <w:r w:rsidRPr="006145CA">
              <w:rPr>
                <w:i/>
                <w:vertAlign w:val="subscript"/>
              </w:rPr>
              <w:t>q</w:t>
            </w:r>
            <w:r>
              <w:t xml:space="preserve">  </w:t>
            </w:r>
            <w:r w:rsidRPr="006145CA">
              <w:t>= (-1) * MCPCRD</w:t>
            </w:r>
            <w:r w:rsidRPr="009074A3">
              <w:rPr>
                <w:i/>
                <w:vertAlign w:val="subscript"/>
              </w:rPr>
              <w:t xml:space="preserve"> </w:t>
            </w:r>
            <w:r>
              <w:rPr>
                <w:i/>
                <w:vertAlign w:val="subscript"/>
              </w:rPr>
              <w:t>DAM</w:t>
            </w:r>
            <w:r w:rsidRPr="006145CA">
              <w:t xml:space="preserve"> * DARDOAWD</w:t>
            </w:r>
            <w:r w:rsidRPr="006145CA">
              <w:rPr>
                <w:i/>
                <w:vertAlign w:val="subscript"/>
              </w:rPr>
              <w:t xml:space="preserve"> q</w:t>
            </w:r>
          </w:p>
          <w:p w14:paraId="32DE9CC4" w14:textId="77777777" w:rsidR="00C24CB5" w:rsidRDefault="00C24CB5" w:rsidP="00C24CB5">
            <w:r>
              <w:t>The above variables are defined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40"/>
              <w:gridCol w:w="964"/>
              <w:gridCol w:w="6406"/>
            </w:tblGrid>
            <w:tr w:rsidR="00C24CB5" w14:paraId="654D8B36" w14:textId="77777777" w:rsidTr="007258B7">
              <w:trPr>
                <w:cantSplit/>
                <w:tblHeader/>
              </w:trPr>
              <w:tc>
                <w:tcPr>
                  <w:tcW w:w="955" w:type="pct"/>
                </w:tcPr>
                <w:p w14:paraId="2130EA5D" w14:textId="77777777" w:rsidR="00C24CB5" w:rsidRDefault="00C24CB5" w:rsidP="00C24CB5">
                  <w:pPr>
                    <w:pStyle w:val="TableHead"/>
                  </w:pPr>
                  <w:r>
                    <w:t>Variable</w:t>
                  </w:r>
                </w:p>
              </w:tc>
              <w:tc>
                <w:tcPr>
                  <w:tcW w:w="529" w:type="pct"/>
                </w:tcPr>
                <w:p w14:paraId="6C9BBF7C" w14:textId="77777777" w:rsidR="00C24CB5" w:rsidRDefault="00C24CB5" w:rsidP="00C24CB5">
                  <w:pPr>
                    <w:pStyle w:val="TableHead"/>
                  </w:pPr>
                  <w:r>
                    <w:t>Unit</w:t>
                  </w:r>
                </w:p>
              </w:tc>
              <w:tc>
                <w:tcPr>
                  <w:tcW w:w="3516" w:type="pct"/>
                </w:tcPr>
                <w:p w14:paraId="2E0DDFC0" w14:textId="77777777" w:rsidR="00C24CB5" w:rsidRDefault="00C24CB5" w:rsidP="00C24CB5">
                  <w:pPr>
                    <w:pStyle w:val="TableHead"/>
                  </w:pPr>
                  <w:r>
                    <w:t>Definition</w:t>
                  </w:r>
                </w:p>
              </w:tc>
            </w:tr>
            <w:tr w:rsidR="00C24CB5" w14:paraId="437D31B8" w14:textId="77777777" w:rsidTr="007258B7">
              <w:trPr>
                <w:cantSplit/>
              </w:trPr>
              <w:tc>
                <w:tcPr>
                  <w:tcW w:w="955" w:type="pct"/>
                </w:tcPr>
                <w:p w14:paraId="6AE274E0" w14:textId="77777777" w:rsidR="00C24CB5" w:rsidRDefault="00C24CB5" w:rsidP="00C24CB5">
                  <w:pPr>
                    <w:pStyle w:val="TableBody"/>
                  </w:pPr>
                  <w:r>
                    <w:t>PCRDAMT</w:t>
                  </w:r>
                  <w:r w:rsidRPr="00566C0F">
                    <w:rPr>
                      <w:i/>
                    </w:rPr>
                    <w:t xml:space="preserve"> </w:t>
                  </w:r>
                  <w:r w:rsidRPr="00566C0F">
                    <w:rPr>
                      <w:i/>
                      <w:vertAlign w:val="subscript"/>
                    </w:rPr>
                    <w:t>q</w:t>
                  </w:r>
                </w:p>
              </w:tc>
              <w:tc>
                <w:tcPr>
                  <w:tcW w:w="529" w:type="pct"/>
                </w:tcPr>
                <w:p w14:paraId="0CAAA28D" w14:textId="77777777" w:rsidR="00C24CB5" w:rsidRDefault="00C24CB5" w:rsidP="00C24CB5">
                  <w:pPr>
                    <w:pStyle w:val="TableBody"/>
                  </w:pPr>
                  <w:r>
                    <w:t>$</w:t>
                  </w:r>
                </w:p>
              </w:tc>
              <w:tc>
                <w:tcPr>
                  <w:tcW w:w="3516" w:type="pct"/>
                </w:tcPr>
                <w:p w14:paraId="092AA15D" w14:textId="77777777" w:rsidR="00C24CB5" w:rsidRDefault="00C24CB5" w:rsidP="00C24CB5">
                  <w:pPr>
                    <w:pStyle w:val="TableBody"/>
                  </w:pPr>
                  <w:r>
                    <w:rPr>
                      <w:i/>
                    </w:rPr>
                    <w:t>Procured Capacity for Reg-Down Amount per QSE in DAM</w:t>
                  </w:r>
                  <w:r>
                    <w:t xml:space="preserve">—The DAM Reg-Down payment for QSE </w:t>
                  </w:r>
                  <w:r>
                    <w:rPr>
                      <w:i/>
                    </w:rPr>
                    <w:t>q</w:t>
                  </w:r>
                  <w:r>
                    <w:t xml:space="preserve"> for the hour.</w:t>
                  </w:r>
                </w:p>
              </w:tc>
            </w:tr>
            <w:tr w:rsidR="00C24CB5" w14:paraId="0BBA9F74" w14:textId="77777777" w:rsidTr="007258B7">
              <w:trPr>
                <w:cantSplit/>
              </w:trPr>
              <w:tc>
                <w:tcPr>
                  <w:tcW w:w="955" w:type="pct"/>
                </w:tcPr>
                <w:p w14:paraId="34E93DE1" w14:textId="77777777" w:rsidR="00C24CB5" w:rsidRDefault="00C24CB5" w:rsidP="00C24CB5">
                  <w:pPr>
                    <w:pStyle w:val="TableBody"/>
                  </w:pPr>
                  <w:r w:rsidRPr="006145CA">
                    <w:t>DAPCRDOAMT</w:t>
                  </w:r>
                  <w:r w:rsidRPr="006145CA">
                    <w:rPr>
                      <w:i/>
                    </w:rPr>
                    <w:t xml:space="preserve"> </w:t>
                  </w:r>
                  <w:r w:rsidRPr="006145CA">
                    <w:rPr>
                      <w:i/>
                      <w:vertAlign w:val="subscript"/>
                    </w:rPr>
                    <w:t>q</w:t>
                  </w:r>
                </w:p>
              </w:tc>
              <w:tc>
                <w:tcPr>
                  <w:tcW w:w="529" w:type="pct"/>
                </w:tcPr>
                <w:p w14:paraId="72F7B900" w14:textId="77777777" w:rsidR="00C24CB5" w:rsidRDefault="00C24CB5" w:rsidP="00C24CB5">
                  <w:pPr>
                    <w:pStyle w:val="TableBody"/>
                  </w:pPr>
                  <w:r w:rsidRPr="006145CA">
                    <w:t>$</w:t>
                  </w:r>
                </w:p>
              </w:tc>
              <w:tc>
                <w:tcPr>
                  <w:tcW w:w="3516" w:type="pct"/>
                </w:tcPr>
                <w:p w14:paraId="24813428" w14:textId="77777777" w:rsidR="00C24CB5" w:rsidRDefault="00C24CB5" w:rsidP="00C24CB5">
                  <w:pPr>
                    <w:pStyle w:val="TableBody"/>
                    <w:rPr>
                      <w:i/>
                    </w:rPr>
                  </w:pPr>
                  <w:r>
                    <w:rPr>
                      <w:i/>
                    </w:rPr>
                    <w:t xml:space="preserve">Day-Ahead </w:t>
                  </w:r>
                  <w:r w:rsidRPr="006145CA">
                    <w:rPr>
                      <w:i/>
                    </w:rPr>
                    <w:t xml:space="preserve">Procured Capacity for Reg-Down Only </w:t>
                  </w:r>
                  <w:r>
                    <w:rPr>
                      <w:i/>
                    </w:rPr>
                    <w:t>Amount</w:t>
                  </w:r>
                  <w:r w:rsidRPr="006145CA">
                    <w:rPr>
                      <w:i/>
                    </w:rPr>
                    <w:t xml:space="preserve"> per QSE</w:t>
                  </w:r>
                  <w:r w:rsidRPr="006145CA">
                    <w:t xml:space="preserve">— The payment to QSE </w:t>
                  </w:r>
                  <w:r w:rsidRPr="006145CA">
                    <w:rPr>
                      <w:i/>
                    </w:rPr>
                    <w:t>q</w:t>
                  </w:r>
                  <w:r w:rsidRPr="006145CA">
                    <w:t xml:space="preserve"> </w:t>
                  </w:r>
                  <w:r>
                    <w:t>f</w:t>
                  </w:r>
                  <w:r w:rsidRPr="006145CA">
                    <w:t>or all Reg-</w:t>
                  </w:r>
                  <w:r>
                    <w:t>Down</w:t>
                  </w:r>
                  <w:r w:rsidRPr="006145CA">
                    <w:t xml:space="preserve"> only awards </w:t>
                  </w:r>
                  <w:r>
                    <w:t xml:space="preserve">in DAM </w:t>
                  </w:r>
                  <w:r w:rsidRPr="006145CA">
                    <w:t>for the hour.</w:t>
                  </w:r>
                </w:p>
              </w:tc>
            </w:tr>
            <w:tr w:rsidR="00C24CB5" w14:paraId="7A6D94D2" w14:textId="77777777" w:rsidTr="007258B7">
              <w:trPr>
                <w:cantSplit/>
              </w:trPr>
              <w:tc>
                <w:tcPr>
                  <w:tcW w:w="955" w:type="pct"/>
                </w:tcPr>
                <w:p w14:paraId="1183CC1B" w14:textId="77777777" w:rsidR="00C24CB5" w:rsidRDefault="00C24CB5" w:rsidP="00C24CB5">
                  <w:pPr>
                    <w:pStyle w:val="TableBody"/>
                  </w:pPr>
                  <w:r>
                    <w:lastRenderedPageBreak/>
                    <w:t>PCRD</w:t>
                  </w:r>
                  <w:r w:rsidRPr="00566C0F">
                    <w:rPr>
                      <w:i/>
                    </w:rPr>
                    <w:t xml:space="preserve"> </w:t>
                  </w:r>
                  <w:r w:rsidRPr="00566C0F">
                    <w:rPr>
                      <w:i/>
                      <w:vertAlign w:val="subscript"/>
                    </w:rPr>
                    <w:t>q</w:t>
                  </w:r>
                </w:p>
              </w:tc>
              <w:tc>
                <w:tcPr>
                  <w:tcW w:w="529" w:type="pct"/>
                </w:tcPr>
                <w:p w14:paraId="0839ECAC" w14:textId="77777777" w:rsidR="00C24CB5" w:rsidRDefault="00C24CB5" w:rsidP="00C24CB5">
                  <w:pPr>
                    <w:pStyle w:val="TableBody"/>
                  </w:pPr>
                  <w:r>
                    <w:t>MW</w:t>
                  </w:r>
                </w:p>
              </w:tc>
              <w:tc>
                <w:tcPr>
                  <w:tcW w:w="3516" w:type="pct"/>
                </w:tcPr>
                <w:p w14:paraId="31393330" w14:textId="77777777" w:rsidR="00C24CB5" w:rsidRDefault="00C24CB5" w:rsidP="00C24CB5">
                  <w:pPr>
                    <w:pStyle w:val="TableBody"/>
                  </w:pPr>
                  <w:r>
                    <w:rPr>
                      <w:i/>
                    </w:rPr>
                    <w:t>Procured Capacity for Reg-Down per QSE in DAM</w:t>
                  </w:r>
                  <w:r>
                    <w:t xml:space="preserve">—The total Reg-Down Service capacity quantity awarded to QSE </w:t>
                  </w:r>
                  <w:r>
                    <w:rPr>
                      <w:i/>
                    </w:rPr>
                    <w:t>q</w:t>
                  </w:r>
                  <w:r>
                    <w:t xml:space="preserve"> in the DAM for all the Resources represented by this QSE for the hour.</w:t>
                  </w:r>
                </w:p>
              </w:tc>
            </w:tr>
            <w:tr w:rsidR="00C24CB5" w14:paraId="1F5FE636" w14:textId="77777777" w:rsidTr="007258B7">
              <w:trPr>
                <w:cantSplit/>
              </w:trPr>
              <w:tc>
                <w:tcPr>
                  <w:tcW w:w="955" w:type="pct"/>
                </w:tcPr>
                <w:p w14:paraId="58F33B11" w14:textId="77777777" w:rsidR="00C24CB5" w:rsidRDefault="00C24CB5" w:rsidP="00C24CB5">
                  <w:pPr>
                    <w:pStyle w:val="TableBody"/>
                  </w:pPr>
                  <w:r>
                    <w:t xml:space="preserve">PCRDR </w:t>
                  </w:r>
                  <w:r w:rsidRPr="00566C0F">
                    <w:rPr>
                      <w:i/>
                      <w:vertAlign w:val="subscript"/>
                    </w:rPr>
                    <w:t>r,</w:t>
                  </w:r>
                  <w:r w:rsidRPr="00566C0F">
                    <w:rPr>
                      <w:i/>
                    </w:rPr>
                    <w:t xml:space="preserve"> </w:t>
                  </w:r>
                  <w:r w:rsidRPr="00566C0F">
                    <w:rPr>
                      <w:i/>
                      <w:vertAlign w:val="subscript"/>
                    </w:rPr>
                    <w:t>q, DAM</w:t>
                  </w:r>
                </w:p>
              </w:tc>
              <w:tc>
                <w:tcPr>
                  <w:tcW w:w="529" w:type="pct"/>
                </w:tcPr>
                <w:p w14:paraId="062DE1E8" w14:textId="77777777" w:rsidR="00C24CB5" w:rsidRDefault="00C24CB5" w:rsidP="00C24CB5">
                  <w:pPr>
                    <w:pStyle w:val="TableBody"/>
                  </w:pPr>
                  <w:r>
                    <w:t>MW</w:t>
                  </w:r>
                </w:p>
              </w:tc>
              <w:tc>
                <w:tcPr>
                  <w:tcW w:w="3516" w:type="pct"/>
                </w:tcPr>
                <w:p w14:paraId="294035E2" w14:textId="77777777" w:rsidR="00C24CB5" w:rsidRDefault="00C24CB5" w:rsidP="00C24CB5">
                  <w:pPr>
                    <w:pStyle w:val="TableBody"/>
                  </w:pPr>
                  <w:r>
                    <w:rPr>
                      <w:i/>
                    </w:rPr>
                    <w:t>Procured Capacity for Reg-Down from Resource per Resource per QSE in DAM</w:t>
                  </w:r>
                  <w:r>
                    <w:t xml:space="preserve">—The Reg-Down capacity quantity awarded to QSE </w:t>
                  </w:r>
                  <w:r>
                    <w:rPr>
                      <w:i/>
                    </w:rPr>
                    <w:t>q</w:t>
                  </w:r>
                  <w:r>
                    <w:t xml:space="preserve"> in the DAM for Resource </w:t>
                  </w:r>
                  <w:r>
                    <w:rPr>
                      <w:i/>
                    </w:rPr>
                    <w:t>r</w:t>
                  </w:r>
                  <w:r>
                    <w:t xml:space="preserve"> for the hour.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C24CB5" w14:paraId="10653035" w14:textId="77777777" w:rsidTr="007258B7">
              <w:trPr>
                <w:cantSplit/>
              </w:trPr>
              <w:tc>
                <w:tcPr>
                  <w:tcW w:w="955" w:type="pct"/>
                </w:tcPr>
                <w:p w14:paraId="3D0F678E" w14:textId="77777777" w:rsidR="00C24CB5" w:rsidRDefault="00C24CB5" w:rsidP="00C24CB5">
                  <w:pPr>
                    <w:pStyle w:val="TableBody"/>
                  </w:pPr>
                  <w:r>
                    <w:t xml:space="preserve">MCPCRD </w:t>
                  </w:r>
                  <w:r w:rsidRPr="00566C0F">
                    <w:rPr>
                      <w:i/>
                      <w:vertAlign w:val="subscript"/>
                    </w:rPr>
                    <w:t>DAM</w:t>
                  </w:r>
                </w:p>
              </w:tc>
              <w:tc>
                <w:tcPr>
                  <w:tcW w:w="529" w:type="pct"/>
                </w:tcPr>
                <w:p w14:paraId="1304866F" w14:textId="77777777" w:rsidR="00C24CB5" w:rsidRDefault="00C24CB5" w:rsidP="00C24CB5">
                  <w:pPr>
                    <w:pStyle w:val="TableBody"/>
                  </w:pPr>
                  <w:r>
                    <w:t xml:space="preserve">$/MW </w:t>
                  </w:r>
                </w:p>
              </w:tc>
              <w:tc>
                <w:tcPr>
                  <w:tcW w:w="3516" w:type="pct"/>
                </w:tcPr>
                <w:p w14:paraId="2FA60D9E" w14:textId="77777777" w:rsidR="00C24CB5" w:rsidRDefault="00C24CB5" w:rsidP="00C24CB5">
                  <w:pPr>
                    <w:pStyle w:val="TableBody"/>
                  </w:pPr>
                  <w:r>
                    <w:rPr>
                      <w:i/>
                    </w:rPr>
                    <w:t>Market Clearing Price for Capacity for Reg-Down in DAM</w:t>
                  </w:r>
                  <w:r>
                    <w:t>—The DAM MCPC for Reg-Down for the hour.</w:t>
                  </w:r>
                </w:p>
              </w:tc>
            </w:tr>
            <w:tr w:rsidR="00C24CB5" w14:paraId="13824289" w14:textId="77777777" w:rsidTr="007258B7">
              <w:trPr>
                <w:cantSplit/>
              </w:trPr>
              <w:tc>
                <w:tcPr>
                  <w:tcW w:w="955" w:type="pct"/>
                </w:tcPr>
                <w:p w14:paraId="14F71183" w14:textId="77777777" w:rsidR="00C24CB5" w:rsidRDefault="00C24CB5" w:rsidP="00C24CB5">
                  <w:pPr>
                    <w:pStyle w:val="TableBody"/>
                  </w:pPr>
                  <w:r w:rsidRPr="006145CA">
                    <w:t xml:space="preserve">DARDOAWD </w:t>
                  </w:r>
                  <w:r w:rsidRPr="006145CA">
                    <w:rPr>
                      <w:i/>
                      <w:vertAlign w:val="subscript"/>
                    </w:rPr>
                    <w:t>q</w:t>
                  </w:r>
                </w:p>
              </w:tc>
              <w:tc>
                <w:tcPr>
                  <w:tcW w:w="529" w:type="pct"/>
                </w:tcPr>
                <w:p w14:paraId="6567812A" w14:textId="77777777" w:rsidR="00C24CB5" w:rsidRDefault="00C24CB5" w:rsidP="00C24CB5">
                  <w:pPr>
                    <w:pStyle w:val="TableBody"/>
                  </w:pPr>
                  <w:r w:rsidRPr="006145CA">
                    <w:t>MW</w:t>
                  </w:r>
                </w:p>
              </w:tc>
              <w:tc>
                <w:tcPr>
                  <w:tcW w:w="3516" w:type="pct"/>
                </w:tcPr>
                <w:p w14:paraId="4ED31966" w14:textId="77777777" w:rsidR="00C24CB5" w:rsidRDefault="00C24CB5" w:rsidP="00C24CB5">
                  <w:pPr>
                    <w:pStyle w:val="TableBody"/>
                    <w:rPr>
                      <w:i/>
                    </w:rPr>
                  </w:pPr>
                  <w:r w:rsidRPr="006145CA">
                    <w:rPr>
                      <w:i/>
                    </w:rPr>
                    <w:t xml:space="preserve">Day-Ahead Reg-Down Only Award </w:t>
                  </w:r>
                  <w:r>
                    <w:rPr>
                      <w:i/>
                    </w:rPr>
                    <w:t>per</w:t>
                  </w:r>
                  <w:r w:rsidRPr="006145CA">
                    <w:rPr>
                      <w:i/>
                    </w:rPr>
                    <w:t xml:space="preserve"> QSE </w:t>
                  </w:r>
                  <w:r w:rsidRPr="006145CA">
                    <w:t>—The Reg-Down only capacity quanti</w:t>
                  </w:r>
                  <w:r>
                    <w:t xml:space="preserve">ty awarded in DAM </w:t>
                  </w:r>
                  <w:r w:rsidRPr="006145CA">
                    <w:t xml:space="preserve">to QSE </w:t>
                  </w:r>
                  <w:r w:rsidRPr="006145CA">
                    <w:rPr>
                      <w:i/>
                    </w:rPr>
                    <w:t>q</w:t>
                  </w:r>
                  <w:r w:rsidRPr="006145CA">
                    <w:t xml:space="preserve"> for the hour.</w:t>
                  </w:r>
                </w:p>
              </w:tc>
            </w:tr>
            <w:tr w:rsidR="00C24CB5" w14:paraId="06788A0E" w14:textId="77777777" w:rsidTr="007258B7">
              <w:trPr>
                <w:cantSplit/>
              </w:trPr>
              <w:tc>
                <w:tcPr>
                  <w:tcW w:w="955" w:type="pct"/>
                </w:tcPr>
                <w:p w14:paraId="073F4B81" w14:textId="77777777" w:rsidR="00C24CB5" w:rsidRPr="00566C0F" w:rsidRDefault="00C24CB5" w:rsidP="00C24CB5">
                  <w:pPr>
                    <w:pStyle w:val="TableBody"/>
                    <w:rPr>
                      <w:i/>
                    </w:rPr>
                  </w:pPr>
                  <w:r w:rsidRPr="00566C0F">
                    <w:rPr>
                      <w:i/>
                    </w:rPr>
                    <w:t>r</w:t>
                  </w:r>
                </w:p>
              </w:tc>
              <w:tc>
                <w:tcPr>
                  <w:tcW w:w="529" w:type="pct"/>
                </w:tcPr>
                <w:p w14:paraId="22403D27" w14:textId="77777777" w:rsidR="00C24CB5" w:rsidRDefault="00C24CB5" w:rsidP="00C24CB5">
                  <w:pPr>
                    <w:pStyle w:val="TableBody"/>
                  </w:pPr>
                  <w:r>
                    <w:t>none</w:t>
                  </w:r>
                </w:p>
              </w:tc>
              <w:tc>
                <w:tcPr>
                  <w:tcW w:w="3516" w:type="pct"/>
                </w:tcPr>
                <w:p w14:paraId="1576B7DE" w14:textId="77777777" w:rsidR="00C24CB5" w:rsidRDefault="00C24CB5" w:rsidP="00C24CB5">
                  <w:pPr>
                    <w:pStyle w:val="TableBody"/>
                  </w:pPr>
                  <w:r>
                    <w:t>A Resource.</w:t>
                  </w:r>
                </w:p>
              </w:tc>
            </w:tr>
            <w:tr w:rsidR="00C24CB5" w14:paraId="3F3D9ABC" w14:textId="77777777" w:rsidTr="007258B7">
              <w:trPr>
                <w:cantSplit/>
              </w:trPr>
              <w:tc>
                <w:tcPr>
                  <w:tcW w:w="955" w:type="pct"/>
                </w:tcPr>
                <w:p w14:paraId="5954FCB9" w14:textId="77777777" w:rsidR="00C24CB5" w:rsidRPr="00566C0F" w:rsidRDefault="00C24CB5" w:rsidP="00C24CB5">
                  <w:pPr>
                    <w:pStyle w:val="TableBody"/>
                    <w:rPr>
                      <w:i/>
                    </w:rPr>
                  </w:pPr>
                  <w:r w:rsidRPr="00566C0F">
                    <w:rPr>
                      <w:i/>
                    </w:rPr>
                    <w:t>q</w:t>
                  </w:r>
                </w:p>
              </w:tc>
              <w:tc>
                <w:tcPr>
                  <w:tcW w:w="529" w:type="pct"/>
                </w:tcPr>
                <w:p w14:paraId="2C70238B" w14:textId="77777777" w:rsidR="00C24CB5" w:rsidRDefault="00C24CB5" w:rsidP="00C24CB5">
                  <w:pPr>
                    <w:pStyle w:val="TableBody"/>
                  </w:pPr>
                  <w:r>
                    <w:t>none</w:t>
                  </w:r>
                </w:p>
              </w:tc>
              <w:tc>
                <w:tcPr>
                  <w:tcW w:w="3516" w:type="pct"/>
                </w:tcPr>
                <w:p w14:paraId="65105945" w14:textId="77777777" w:rsidR="00C24CB5" w:rsidRDefault="00C24CB5" w:rsidP="00C24CB5">
                  <w:pPr>
                    <w:pStyle w:val="TableBody"/>
                  </w:pPr>
                  <w:r>
                    <w:t>A QSE.</w:t>
                  </w:r>
                </w:p>
              </w:tc>
            </w:tr>
          </w:tbl>
          <w:p w14:paraId="3D7D5F57" w14:textId="77777777" w:rsidR="00C24CB5" w:rsidRPr="004B32CF" w:rsidRDefault="00C24CB5" w:rsidP="007258B7">
            <w:pPr>
              <w:pStyle w:val="BodyTextNumbered"/>
            </w:pPr>
          </w:p>
        </w:tc>
      </w:tr>
    </w:tbl>
    <w:p w14:paraId="3FC34313" w14:textId="190A5A7F" w:rsidR="00FF2129" w:rsidRDefault="00482EF3" w:rsidP="00003B06">
      <w:pPr>
        <w:pStyle w:val="H5"/>
        <w:spacing w:before="480"/>
        <w:ind w:left="1627" w:hanging="1627"/>
      </w:pPr>
      <w:bookmarkStart w:id="790" w:name="_Toc135990695"/>
      <w:r>
        <w:lastRenderedPageBreak/>
        <w:t>4.6.4.1.3</w:t>
      </w:r>
      <w:r>
        <w:tab/>
        <w:t>Responsive Reserve Payment</w:t>
      </w:r>
      <w:bookmarkEnd w:id="783"/>
      <w:bookmarkEnd w:id="784"/>
      <w:bookmarkEnd w:id="785"/>
      <w:bookmarkEnd w:id="786"/>
      <w:bookmarkEnd w:id="787"/>
      <w:bookmarkEnd w:id="788"/>
      <w:bookmarkEnd w:id="789"/>
      <w:bookmarkEnd w:id="790"/>
    </w:p>
    <w:p w14:paraId="7517F4EF" w14:textId="77777777" w:rsidR="00056084" w:rsidRPr="00782EFB" w:rsidRDefault="00056084" w:rsidP="00056084">
      <w:pPr>
        <w:spacing w:before="240" w:after="240"/>
        <w:ind w:left="720" w:hanging="720"/>
        <w:rPr>
          <w:iCs/>
        </w:rPr>
      </w:pPr>
      <w:r w:rsidRPr="00782EFB">
        <w:rPr>
          <w:iCs/>
        </w:rPr>
        <w:t>(1)</w:t>
      </w:r>
      <w:r w:rsidRPr="00782EFB">
        <w:rPr>
          <w:iCs/>
        </w:rPr>
        <w:tab/>
        <w:t>ERCOT shall pay each QSE whose Ancillary Service Offers to provide RRS to ERCOT were cleared in the DAM, for each hour as follows:</w:t>
      </w:r>
    </w:p>
    <w:p w14:paraId="331C7314" w14:textId="2AF64F90" w:rsidR="00056084" w:rsidRPr="00C43A85" w:rsidRDefault="00056084" w:rsidP="00E30EAB">
      <w:pPr>
        <w:tabs>
          <w:tab w:val="left" w:pos="2352"/>
          <w:tab w:val="left" w:pos="3420"/>
          <w:tab w:val="left" w:pos="3822"/>
        </w:tabs>
        <w:spacing w:after="240"/>
        <w:ind w:left="1440" w:hanging="720"/>
        <w:rPr>
          <w:bCs/>
          <w:iCs/>
          <w:lang w:val="x-none" w:eastAsia="x-none"/>
        </w:rPr>
      </w:pPr>
      <w:r w:rsidRPr="00C43A85">
        <w:rPr>
          <w:bCs/>
          <w:iCs/>
          <w:lang w:val="x-none" w:eastAsia="x-none"/>
        </w:rPr>
        <w:t>PC</w:t>
      </w:r>
      <w:r w:rsidRPr="00C43A85">
        <w:rPr>
          <w:bCs/>
          <w:iCs/>
          <w:lang w:eastAsia="x-none"/>
        </w:rPr>
        <w:t>R</w:t>
      </w:r>
      <w:r w:rsidRPr="00C43A85">
        <w:rPr>
          <w:bCs/>
          <w:iCs/>
          <w:lang w:val="x-none" w:eastAsia="x-none"/>
        </w:rPr>
        <w:t xml:space="preserve">RAMT </w:t>
      </w:r>
      <w:r w:rsidRPr="00C43A85">
        <w:rPr>
          <w:bCs/>
          <w:i/>
          <w:iCs/>
          <w:vertAlign w:val="subscript"/>
          <w:lang w:val="x-none" w:eastAsia="x-none"/>
        </w:rPr>
        <w:t>q</w:t>
      </w:r>
      <w:r w:rsidRPr="00C43A85">
        <w:rPr>
          <w:bCs/>
          <w:iCs/>
          <w:lang w:val="x-none" w:eastAsia="x-none"/>
        </w:rPr>
        <w:tab/>
        <w:t>=</w:t>
      </w:r>
      <w:r w:rsidRPr="00C43A85">
        <w:rPr>
          <w:bCs/>
          <w:iCs/>
          <w:lang w:val="x-none" w:eastAsia="x-none"/>
        </w:rPr>
        <w:tab/>
        <w:t>(-1) * MCPC</w:t>
      </w:r>
      <w:r w:rsidRPr="00C43A85">
        <w:rPr>
          <w:bCs/>
          <w:iCs/>
          <w:lang w:eastAsia="x-none"/>
        </w:rPr>
        <w:t>R</w:t>
      </w:r>
      <w:r w:rsidRPr="00C43A85">
        <w:rPr>
          <w:bCs/>
          <w:iCs/>
          <w:lang w:val="x-none" w:eastAsia="x-none"/>
        </w:rPr>
        <w:t xml:space="preserve">R </w:t>
      </w:r>
      <w:r w:rsidRPr="00C43A85">
        <w:rPr>
          <w:bCs/>
          <w:i/>
          <w:iCs/>
          <w:vertAlign w:val="subscript"/>
          <w:lang w:val="x-none" w:eastAsia="x-none"/>
        </w:rPr>
        <w:t>DAM</w:t>
      </w:r>
      <w:r w:rsidRPr="00C43A85">
        <w:rPr>
          <w:bCs/>
          <w:iCs/>
          <w:lang w:val="x-none" w:eastAsia="x-none"/>
        </w:rPr>
        <w:t xml:space="preserve"> * PC</w:t>
      </w:r>
      <w:r w:rsidRPr="00C43A85">
        <w:rPr>
          <w:bCs/>
          <w:iCs/>
          <w:lang w:eastAsia="x-none"/>
        </w:rPr>
        <w:t>R</w:t>
      </w:r>
      <w:r w:rsidRPr="00C43A85">
        <w:rPr>
          <w:bCs/>
          <w:iCs/>
          <w:lang w:val="x-none" w:eastAsia="x-none"/>
        </w:rPr>
        <w:t xml:space="preserve">R </w:t>
      </w:r>
      <w:r w:rsidRPr="00C43A85">
        <w:rPr>
          <w:bCs/>
          <w:i/>
          <w:iCs/>
          <w:vertAlign w:val="subscript"/>
          <w:lang w:val="x-none" w:eastAsia="x-none"/>
        </w:rPr>
        <w:t>q</w:t>
      </w:r>
    </w:p>
    <w:p w14:paraId="6577A2A6" w14:textId="77777777" w:rsidR="00056084" w:rsidRPr="00782EFB" w:rsidRDefault="00056084" w:rsidP="00056084">
      <w:pPr>
        <w:spacing w:after="240"/>
        <w:rPr>
          <w:iCs/>
          <w:lang w:val="pt-BR"/>
        </w:rPr>
      </w:pPr>
      <w:r w:rsidRPr="00782EFB">
        <w:rPr>
          <w:iCs/>
          <w:lang w:val="pt-BR"/>
        </w:rPr>
        <w:t>Where:</w:t>
      </w:r>
    </w:p>
    <w:p w14:paraId="39A7B916" w14:textId="77777777" w:rsidR="00056084" w:rsidRPr="00782EFB" w:rsidRDefault="00056084" w:rsidP="00E30EAB">
      <w:pPr>
        <w:tabs>
          <w:tab w:val="left" w:pos="2340"/>
          <w:tab w:val="left" w:pos="2700"/>
        </w:tabs>
        <w:spacing w:after="240"/>
        <w:ind w:left="3067" w:hanging="2347"/>
        <w:rPr>
          <w:bCs/>
          <w:lang w:val="x-none" w:eastAsia="x-none"/>
        </w:rPr>
      </w:pPr>
      <w:r w:rsidRPr="00782EFB">
        <w:rPr>
          <w:bCs/>
          <w:lang w:val="x-none" w:eastAsia="x-none"/>
        </w:rPr>
        <w:t>PC</w:t>
      </w:r>
      <w:r w:rsidRPr="00782EFB">
        <w:rPr>
          <w:bCs/>
          <w:lang w:eastAsia="x-none"/>
        </w:rPr>
        <w:t>R</w:t>
      </w:r>
      <w:r w:rsidRPr="00782EFB">
        <w:rPr>
          <w:bCs/>
          <w:lang w:val="x-none" w:eastAsia="x-none"/>
        </w:rPr>
        <w:t xml:space="preserve">R </w:t>
      </w:r>
      <w:r w:rsidRPr="00782EFB">
        <w:rPr>
          <w:bCs/>
          <w:i/>
          <w:vertAlign w:val="subscript"/>
          <w:lang w:val="x-none" w:eastAsia="x-none"/>
        </w:rPr>
        <w:t>q</w:t>
      </w:r>
      <w:r w:rsidRPr="00782EFB">
        <w:rPr>
          <w:bCs/>
          <w:lang w:val="x-none" w:eastAsia="x-none"/>
        </w:rPr>
        <w:tab/>
        <w:t>=</w:t>
      </w:r>
      <w:r>
        <w:rPr>
          <w:bCs/>
          <w:lang w:val="x-none" w:eastAsia="x-none"/>
        </w:rPr>
        <w:tab/>
      </w:r>
      <w:r>
        <w:rPr>
          <w:bCs/>
          <w:lang w:val="x-none" w:eastAsia="x-none"/>
        </w:rPr>
        <w:tab/>
      </w:r>
      <w:r>
        <w:rPr>
          <w:bCs/>
          <w:lang w:val="x-none" w:eastAsia="x-none"/>
        </w:rPr>
        <w:tab/>
      </w:r>
      <w:r>
        <w:rPr>
          <w:noProof/>
          <w:position w:val="-18"/>
        </w:rPr>
        <w:drawing>
          <wp:inline distT="0" distB="0" distL="0" distR="0" wp14:anchorId="0A2ED9E7" wp14:editId="426A2977">
            <wp:extent cx="142875" cy="266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2875" cy="266700"/>
                    </a:xfrm>
                    <a:prstGeom prst="rect">
                      <a:avLst/>
                    </a:prstGeom>
                    <a:noFill/>
                    <a:ln>
                      <a:noFill/>
                    </a:ln>
                  </pic:spPr>
                </pic:pic>
              </a:graphicData>
            </a:graphic>
          </wp:inline>
        </w:drawing>
      </w:r>
      <w:r w:rsidRPr="00782EFB">
        <w:rPr>
          <w:bCs/>
          <w:lang w:val="x-none" w:eastAsia="x-none"/>
        </w:rPr>
        <w:t>PC</w:t>
      </w:r>
      <w:r w:rsidRPr="00782EFB">
        <w:rPr>
          <w:bCs/>
          <w:lang w:eastAsia="x-none"/>
        </w:rPr>
        <w:t>RR</w:t>
      </w:r>
      <w:r w:rsidRPr="00782EFB">
        <w:rPr>
          <w:bCs/>
          <w:lang w:val="x-none" w:eastAsia="x-none"/>
        </w:rPr>
        <w:t>R</w:t>
      </w:r>
      <w:r w:rsidRPr="00782EFB">
        <w:rPr>
          <w:bCs/>
          <w:i/>
          <w:lang w:val="x-none" w:eastAsia="x-none"/>
        </w:rPr>
        <w:t xml:space="preserve"> </w:t>
      </w:r>
      <w:r w:rsidRPr="00782EFB">
        <w:rPr>
          <w:bCs/>
          <w:i/>
          <w:vertAlign w:val="subscript"/>
          <w:lang w:val="x-none" w:eastAsia="x-none"/>
        </w:rPr>
        <w:t>r, q, DAM</w:t>
      </w:r>
    </w:p>
    <w:p w14:paraId="7274415A" w14:textId="77777777" w:rsidR="00056084" w:rsidRPr="00782EFB" w:rsidRDefault="00056084" w:rsidP="00056084">
      <w:r w:rsidRPr="00782EFB">
        <w:t>The above variables are defined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76"/>
        <w:gridCol w:w="950"/>
        <w:gridCol w:w="6624"/>
      </w:tblGrid>
      <w:tr w:rsidR="00056084" w:rsidRPr="00782EFB" w14:paraId="2DEFD3CA" w14:textId="77777777" w:rsidTr="00EE28DA">
        <w:tc>
          <w:tcPr>
            <w:tcW w:w="950" w:type="pct"/>
          </w:tcPr>
          <w:p w14:paraId="70FC1B05" w14:textId="77777777" w:rsidR="00056084" w:rsidRPr="00782EFB" w:rsidRDefault="00056084" w:rsidP="00EE28DA">
            <w:pPr>
              <w:spacing w:after="120"/>
              <w:rPr>
                <w:b/>
                <w:iCs/>
                <w:sz w:val="20"/>
                <w:szCs w:val="20"/>
              </w:rPr>
            </w:pPr>
            <w:r w:rsidRPr="00782EFB">
              <w:rPr>
                <w:b/>
                <w:iCs/>
                <w:sz w:val="20"/>
                <w:szCs w:val="20"/>
              </w:rPr>
              <w:t>Variable</w:t>
            </w:r>
          </w:p>
        </w:tc>
        <w:tc>
          <w:tcPr>
            <w:tcW w:w="508" w:type="pct"/>
          </w:tcPr>
          <w:p w14:paraId="12A57C71" w14:textId="77777777" w:rsidR="00056084" w:rsidRPr="00782EFB" w:rsidRDefault="00056084" w:rsidP="00EE28DA">
            <w:pPr>
              <w:spacing w:after="120"/>
              <w:rPr>
                <w:b/>
                <w:iCs/>
                <w:sz w:val="20"/>
                <w:szCs w:val="20"/>
              </w:rPr>
            </w:pPr>
            <w:r w:rsidRPr="00782EFB">
              <w:rPr>
                <w:b/>
                <w:iCs/>
                <w:sz w:val="20"/>
                <w:szCs w:val="20"/>
              </w:rPr>
              <w:t>Unit</w:t>
            </w:r>
          </w:p>
        </w:tc>
        <w:tc>
          <w:tcPr>
            <w:tcW w:w="3542" w:type="pct"/>
          </w:tcPr>
          <w:p w14:paraId="71A3A4A2" w14:textId="77777777" w:rsidR="00056084" w:rsidRPr="00782EFB" w:rsidRDefault="00056084" w:rsidP="00EE28DA">
            <w:pPr>
              <w:spacing w:after="120"/>
              <w:rPr>
                <w:b/>
                <w:iCs/>
                <w:sz w:val="20"/>
                <w:szCs w:val="20"/>
              </w:rPr>
            </w:pPr>
            <w:r w:rsidRPr="00782EFB">
              <w:rPr>
                <w:b/>
                <w:iCs/>
                <w:sz w:val="20"/>
                <w:szCs w:val="20"/>
              </w:rPr>
              <w:t>Definition</w:t>
            </w:r>
          </w:p>
        </w:tc>
      </w:tr>
      <w:tr w:rsidR="00056084" w:rsidRPr="00782EFB" w14:paraId="5EAFCCBD" w14:textId="77777777" w:rsidTr="00EE28DA">
        <w:tc>
          <w:tcPr>
            <w:tcW w:w="950" w:type="pct"/>
          </w:tcPr>
          <w:p w14:paraId="649CA673" w14:textId="77777777" w:rsidR="00056084" w:rsidRPr="00782EFB" w:rsidRDefault="00056084" w:rsidP="00EE28DA">
            <w:pPr>
              <w:spacing w:after="60"/>
              <w:rPr>
                <w:iCs/>
                <w:sz w:val="20"/>
                <w:szCs w:val="20"/>
              </w:rPr>
            </w:pPr>
            <w:r w:rsidRPr="00782EFB">
              <w:rPr>
                <w:iCs/>
                <w:sz w:val="20"/>
                <w:szCs w:val="20"/>
              </w:rPr>
              <w:t xml:space="preserve">PCRRAMT </w:t>
            </w:r>
            <w:r w:rsidRPr="00782EFB">
              <w:rPr>
                <w:i/>
                <w:iCs/>
                <w:sz w:val="20"/>
                <w:szCs w:val="20"/>
                <w:vertAlign w:val="subscript"/>
              </w:rPr>
              <w:t>q</w:t>
            </w:r>
          </w:p>
        </w:tc>
        <w:tc>
          <w:tcPr>
            <w:tcW w:w="508" w:type="pct"/>
          </w:tcPr>
          <w:p w14:paraId="68AA8136" w14:textId="77777777" w:rsidR="00056084" w:rsidRPr="00782EFB" w:rsidRDefault="00056084" w:rsidP="00EE28DA">
            <w:pPr>
              <w:spacing w:after="60"/>
              <w:rPr>
                <w:iCs/>
                <w:sz w:val="20"/>
                <w:szCs w:val="20"/>
              </w:rPr>
            </w:pPr>
            <w:r w:rsidRPr="00782EFB">
              <w:rPr>
                <w:iCs/>
                <w:sz w:val="20"/>
                <w:szCs w:val="20"/>
              </w:rPr>
              <w:t>$</w:t>
            </w:r>
          </w:p>
        </w:tc>
        <w:tc>
          <w:tcPr>
            <w:tcW w:w="3542" w:type="pct"/>
          </w:tcPr>
          <w:p w14:paraId="702BE2FC" w14:textId="77777777" w:rsidR="00056084" w:rsidRPr="00782EFB" w:rsidRDefault="00056084" w:rsidP="00EE28DA">
            <w:pPr>
              <w:spacing w:after="60"/>
              <w:rPr>
                <w:iCs/>
                <w:sz w:val="20"/>
                <w:szCs w:val="20"/>
              </w:rPr>
            </w:pPr>
            <w:r w:rsidRPr="00782EFB">
              <w:rPr>
                <w:i/>
                <w:iCs/>
                <w:sz w:val="20"/>
                <w:szCs w:val="20"/>
              </w:rPr>
              <w:t>Procured Capacity for Responsive Reserve Amount per QSE in DAM</w:t>
            </w:r>
            <w:r w:rsidRPr="00782EFB">
              <w:rPr>
                <w:iCs/>
                <w:sz w:val="20"/>
                <w:szCs w:val="20"/>
              </w:rPr>
              <w:t xml:space="preserve">—The DAM </w:t>
            </w:r>
            <w:r>
              <w:rPr>
                <w:iCs/>
                <w:sz w:val="20"/>
                <w:szCs w:val="20"/>
              </w:rPr>
              <w:t>RRS</w:t>
            </w:r>
            <w:r w:rsidRPr="00782EFB">
              <w:rPr>
                <w:iCs/>
                <w:sz w:val="20"/>
                <w:szCs w:val="20"/>
              </w:rPr>
              <w:t xml:space="preserve"> payment for QSE </w:t>
            </w:r>
            <w:r w:rsidRPr="00782EFB">
              <w:rPr>
                <w:i/>
                <w:iCs/>
                <w:sz w:val="20"/>
                <w:szCs w:val="20"/>
              </w:rPr>
              <w:t>q</w:t>
            </w:r>
            <w:r w:rsidRPr="00782EFB">
              <w:rPr>
                <w:iCs/>
                <w:sz w:val="20"/>
                <w:szCs w:val="20"/>
              </w:rPr>
              <w:t xml:space="preserve"> for the hour.</w:t>
            </w:r>
          </w:p>
        </w:tc>
      </w:tr>
      <w:tr w:rsidR="00056084" w:rsidRPr="00782EFB" w14:paraId="67819FC2" w14:textId="77777777" w:rsidTr="00EE28DA">
        <w:tc>
          <w:tcPr>
            <w:tcW w:w="950" w:type="pct"/>
          </w:tcPr>
          <w:p w14:paraId="194E5DC8" w14:textId="77777777" w:rsidR="00056084" w:rsidRPr="00782EFB" w:rsidRDefault="00056084" w:rsidP="00EE28DA">
            <w:pPr>
              <w:spacing w:after="60"/>
              <w:rPr>
                <w:iCs/>
                <w:sz w:val="20"/>
                <w:szCs w:val="20"/>
              </w:rPr>
            </w:pPr>
            <w:r w:rsidRPr="00782EFB">
              <w:rPr>
                <w:iCs/>
                <w:sz w:val="20"/>
                <w:szCs w:val="20"/>
              </w:rPr>
              <w:t xml:space="preserve">PCRR </w:t>
            </w:r>
            <w:r w:rsidRPr="00782EFB">
              <w:rPr>
                <w:i/>
                <w:iCs/>
                <w:sz w:val="20"/>
                <w:szCs w:val="20"/>
                <w:vertAlign w:val="subscript"/>
              </w:rPr>
              <w:t>q</w:t>
            </w:r>
            <w:r w:rsidRPr="00782EFB">
              <w:rPr>
                <w:i/>
                <w:iCs/>
                <w:sz w:val="20"/>
                <w:szCs w:val="20"/>
              </w:rPr>
              <w:t xml:space="preserve"> </w:t>
            </w:r>
          </w:p>
        </w:tc>
        <w:tc>
          <w:tcPr>
            <w:tcW w:w="508" w:type="pct"/>
          </w:tcPr>
          <w:p w14:paraId="6E708371" w14:textId="77777777" w:rsidR="00056084" w:rsidRPr="00782EFB" w:rsidRDefault="00056084" w:rsidP="00EE28DA">
            <w:pPr>
              <w:spacing w:after="60"/>
              <w:rPr>
                <w:iCs/>
                <w:sz w:val="20"/>
                <w:szCs w:val="20"/>
              </w:rPr>
            </w:pPr>
            <w:r w:rsidRPr="00782EFB">
              <w:rPr>
                <w:iCs/>
                <w:sz w:val="20"/>
                <w:szCs w:val="20"/>
              </w:rPr>
              <w:t>MW</w:t>
            </w:r>
          </w:p>
        </w:tc>
        <w:tc>
          <w:tcPr>
            <w:tcW w:w="3542" w:type="pct"/>
          </w:tcPr>
          <w:p w14:paraId="6D6F7252" w14:textId="77777777" w:rsidR="00056084" w:rsidRPr="00782EFB" w:rsidRDefault="00056084" w:rsidP="00EE28DA">
            <w:pPr>
              <w:spacing w:after="60"/>
              <w:rPr>
                <w:iCs/>
                <w:sz w:val="20"/>
                <w:szCs w:val="20"/>
              </w:rPr>
            </w:pPr>
            <w:r w:rsidRPr="00782EFB">
              <w:rPr>
                <w:i/>
                <w:iCs/>
                <w:sz w:val="20"/>
                <w:szCs w:val="20"/>
              </w:rPr>
              <w:t>Procured Capacity for Responsive Reserve per QSE in DAM</w:t>
            </w:r>
            <w:r w:rsidRPr="00782EFB">
              <w:rPr>
                <w:iCs/>
                <w:sz w:val="20"/>
                <w:szCs w:val="20"/>
              </w:rPr>
              <w:t xml:space="preserve">—The total </w:t>
            </w:r>
            <w:r>
              <w:rPr>
                <w:iCs/>
                <w:sz w:val="20"/>
                <w:szCs w:val="20"/>
              </w:rPr>
              <w:t>RRS</w:t>
            </w:r>
            <w:r w:rsidRPr="00782EFB">
              <w:rPr>
                <w:iCs/>
                <w:sz w:val="20"/>
                <w:szCs w:val="20"/>
              </w:rPr>
              <w:t xml:space="preserve"> capacity quantity awarded to QSE </w:t>
            </w:r>
            <w:r w:rsidRPr="00782EFB">
              <w:rPr>
                <w:i/>
                <w:iCs/>
                <w:sz w:val="20"/>
                <w:szCs w:val="20"/>
              </w:rPr>
              <w:t>q</w:t>
            </w:r>
            <w:r w:rsidRPr="00782EFB">
              <w:rPr>
                <w:iCs/>
                <w:sz w:val="20"/>
                <w:szCs w:val="20"/>
              </w:rPr>
              <w:t xml:space="preserve"> in the DAM for all the Resources represented by this QSE for the hour.</w:t>
            </w:r>
          </w:p>
        </w:tc>
      </w:tr>
      <w:tr w:rsidR="00056084" w:rsidRPr="00782EFB" w14:paraId="250C9DA4" w14:textId="77777777" w:rsidTr="00EE28DA">
        <w:tc>
          <w:tcPr>
            <w:tcW w:w="950" w:type="pct"/>
          </w:tcPr>
          <w:p w14:paraId="72DACBEF" w14:textId="77777777" w:rsidR="00056084" w:rsidRPr="00782EFB" w:rsidRDefault="00056084" w:rsidP="00EE28DA">
            <w:pPr>
              <w:spacing w:after="60"/>
              <w:rPr>
                <w:iCs/>
                <w:sz w:val="20"/>
                <w:szCs w:val="20"/>
              </w:rPr>
            </w:pPr>
            <w:r w:rsidRPr="00782EFB">
              <w:rPr>
                <w:iCs/>
                <w:sz w:val="20"/>
                <w:szCs w:val="20"/>
              </w:rPr>
              <w:t>PCRRR</w:t>
            </w:r>
            <w:r w:rsidRPr="00782EFB">
              <w:rPr>
                <w:i/>
                <w:iCs/>
                <w:sz w:val="20"/>
                <w:szCs w:val="20"/>
              </w:rPr>
              <w:t xml:space="preserve"> </w:t>
            </w:r>
            <w:r w:rsidRPr="00782EFB">
              <w:rPr>
                <w:i/>
                <w:iCs/>
                <w:sz w:val="20"/>
                <w:szCs w:val="20"/>
                <w:vertAlign w:val="subscript"/>
              </w:rPr>
              <w:t>r,</w:t>
            </w:r>
            <w:r w:rsidRPr="00782EFB">
              <w:rPr>
                <w:i/>
                <w:iCs/>
                <w:sz w:val="20"/>
                <w:szCs w:val="20"/>
              </w:rPr>
              <w:t xml:space="preserve"> </w:t>
            </w:r>
            <w:r w:rsidRPr="00782EFB">
              <w:rPr>
                <w:i/>
                <w:iCs/>
                <w:sz w:val="20"/>
                <w:szCs w:val="20"/>
                <w:vertAlign w:val="subscript"/>
              </w:rPr>
              <w:t>q, DAM</w:t>
            </w:r>
          </w:p>
        </w:tc>
        <w:tc>
          <w:tcPr>
            <w:tcW w:w="508" w:type="pct"/>
          </w:tcPr>
          <w:p w14:paraId="4ECE96B2" w14:textId="77777777" w:rsidR="00056084" w:rsidRPr="00782EFB" w:rsidRDefault="00056084" w:rsidP="00EE28DA">
            <w:pPr>
              <w:spacing w:after="60"/>
              <w:rPr>
                <w:iCs/>
                <w:sz w:val="20"/>
                <w:szCs w:val="20"/>
              </w:rPr>
            </w:pPr>
            <w:r w:rsidRPr="00782EFB">
              <w:rPr>
                <w:iCs/>
                <w:sz w:val="20"/>
                <w:szCs w:val="20"/>
              </w:rPr>
              <w:t>MW</w:t>
            </w:r>
          </w:p>
        </w:tc>
        <w:tc>
          <w:tcPr>
            <w:tcW w:w="3542" w:type="pct"/>
          </w:tcPr>
          <w:p w14:paraId="667802B4" w14:textId="77777777" w:rsidR="00056084" w:rsidRPr="00782EFB" w:rsidRDefault="00056084" w:rsidP="00EE28DA">
            <w:pPr>
              <w:spacing w:after="60"/>
              <w:rPr>
                <w:iCs/>
                <w:sz w:val="20"/>
                <w:szCs w:val="20"/>
              </w:rPr>
            </w:pPr>
            <w:r w:rsidRPr="00782EFB">
              <w:rPr>
                <w:i/>
                <w:iCs/>
                <w:sz w:val="20"/>
                <w:szCs w:val="20"/>
              </w:rPr>
              <w:t>Procured Capacity for Responsive Reserve from Resource per Resource per QSE in DAM</w:t>
            </w:r>
            <w:r w:rsidRPr="00782EFB">
              <w:rPr>
                <w:iCs/>
                <w:sz w:val="20"/>
                <w:szCs w:val="20"/>
              </w:rPr>
              <w:t xml:space="preserve">—The </w:t>
            </w:r>
            <w:r>
              <w:rPr>
                <w:iCs/>
                <w:sz w:val="20"/>
                <w:szCs w:val="20"/>
              </w:rPr>
              <w:t>RRS</w:t>
            </w:r>
            <w:r w:rsidRPr="00782EFB">
              <w:rPr>
                <w:iCs/>
                <w:sz w:val="20"/>
                <w:szCs w:val="20"/>
              </w:rPr>
              <w:t xml:space="preserve"> capacity quantity awarded to QSE </w:t>
            </w:r>
            <w:r w:rsidRPr="00782EFB">
              <w:rPr>
                <w:i/>
                <w:iCs/>
                <w:sz w:val="20"/>
                <w:szCs w:val="20"/>
              </w:rPr>
              <w:t>q</w:t>
            </w:r>
            <w:r w:rsidRPr="00782EFB">
              <w:rPr>
                <w:iCs/>
                <w:sz w:val="20"/>
                <w:szCs w:val="20"/>
              </w:rPr>
              <w:t xml:space="preserve"> in the DAM for Resource </w:t>
            </w:r>
            <w:r w:rsidRPr="00782EFB">
              <w:rPr>
                <w:i/>
                <w:iCs/>
                <w:sz w:val="20"/>
                <w:szCs w:val="20"/>
              </w:rPr>
              <w:t>r</w:t>
            </w:r>
            <w:r w:rsidRPr="00782EFB">
              <w:rPr>
                <w:iCs/>
                <w:sz w:val="20"/>
                <w:szCs w:val="20"/>
              </w:rPr>
              <w:t xml:space="preserve"> for the hour.  Where for a Combined Cycle Train, the Resource </w:t>
            </w:r>
            <w:r w:rsidRPr="00782EFB">
              <w:rPr>
                <w:i/>
                <w:iCs/>
                <w:sz w:val="20"/>
                <w:szCs w:val="20"/>
              </w:rPr>
              <w:t xml:space="preserve">r </w:t>
            </w:r>
            <w:r w:rsidRPr="00782EFB">
              <w:rPr>
                <w:iCs/>
                <w:sz w:val="20"/>
                <w:szCs w:val="20"/>
              </w:rPr>
              <w:t>is a Combined Cycle Generation Resource within the Combined Cycle Train.</w:t>
            </w:r>
          </w:p>
        </w:tc>
      </w:tr>
      <w:tr w:rsidR="00056084" w:rsidRPr="00782EFB" w14:paraId="64DE96AD" w14:textId="77777777" w:rsidTr="00EE28DA">
        <w:tc>
          <w:tcPr>
            <w:tcW w:w="950" w:type="pct"/>
          </w:tcPr>
          <w:p w14:paraId="700865C8" w14:textId="77777777" w:rsidR="00056084" w:rsidRPr="00782EFB" w:rsidRDefault="00056084" w:rsidP="00EE28DA">
            <w:pPr>
              <w:spacing w:after="60"/>
              <w:rPr>
                <w:iCs/>
                <w:sz w:val="20"/>
                <w:szCs w:val="20"/>
              </w:rPr>
            </w:pPr>
            <w:r w:rsidRPr="00782EFB">
              <w:rPr>
                <w:iCs/>
                <w:sz w:val="20"/>
                <w:szCs w:val="20"/>
              </w:rPr>
              <w:t xml:space="preserve">MCPCRR </w:t>
            </w:r>
            <w:r w:rsidRPr="00782EFB">
              <w:rPr>
                <w:i/>
                <w:iCs/>
                <w:sz w:val="20"/>
                <w:szCs w:val="20"/>
                <w:vertAlign w:val="subscript"/>
              </w:rPr>
              <w:t>DAM</w:t>
            </w:r>
          </w:p>
        </w:tc>
        <w:tc>
          <w:tcPr>
            <w:tcW w:w="508" w:type="pct"/>
          </w:tcPr>
          <w:p w14:paraId="0D359542" w14:textId="77777777" w:rsidR="00056084" w:rsidRPr="00782EFB" w:rsidRDefault="00056084" w:rsidP="00EE28DA">
            <w:pPr>
              <w:spacing w:after="60"/>
              <w:rPr>
                <w:iCs/>
                <w:sz w:val="20"/>
                <w:szCs w:val="20"/>
              </w:rPr>
            </w:pPr>
            <w:r w:rsidRPr="00782EFB">
              <w:rPr>
                <w:iCs/>
                <w:sz w:val="20"/>
                <w:szCs w:val="20"/>
              </w:rPr>
              <w:t>$/MW per hour</w:t>
            </w:r>
          </w:p>
        </w:tc>
        <w:tc>
          <w:tcPr>
            <w:tcW w:w="3542" w:type="pct"/>
          </w:tcPr>
          <w:p w14:paraId="5BABB228" w14:textId="77777777" w:rsidR="00056084" w:rsidRPr="00782EFB" w:rsidRDefault="00056084" w:rsidP="00EE28DA">
            <w:pPr>
              <w:spacing w:after="60"/>
              <w:rPr>
                <w:iCs/>
                <w:sz w:val="20"/>
                <w:szCs w:val="20"/>
              </w:rPr>
            </w:pPr>
            <w:r w:rsidRPr="00782EFB">
              <w:rPr>
                <w:i/>
                <w:iCs/>
                <w:sz w:val="20"/>
                <w:szCs w:val="20"/>
              </w:rPr>
              <w:t>Market Clearing Price for Capacity for Responsive Reserve in DAM</w:t>
            </w:r>
            <w:r w:rsidRPr="00782EFB">
              <w:rPr>
                <w:iCs/>
                <w:sz w:val="20"/>
                <w:szCs w:val="20"/>
              </w:rPr>
              <w:t xml:space="preserve">—The DAM MCPC for </w:t>
            </w:r>
            <w:r>
              <w:rPr>
                <w:iCs/>
                <w:sz w:val="20"/>
                <w:szCs w:val="20"/>
              </w:rPr>
              <w:t>RRS</w:t>
            </w:r>
            <w:r w:rsidRPr="00782EFB">
              <w:rPr>
                <w:iCs/>
                <w:sz w:val="20"/>
                <w:szCs w:val="20"/>
              </w:rPr>
              <w:t xml:space="preserve"> for the hour.</w:t>
            </w:r>
          </w:p>
        </w:tc>
      </w:tr>
      <w:tr w:rsidR="00056084" w:rsidRPr="00782EFB" w14:paraId="6814F441" w14:textId="77777777" w:rsidTr="00EE28DA">
        <w:tc>
          <w:tcPr>
            <w:tcW w:w="950" w:type="pct"/>
          </w:tcPr>
          <w:p w14:paraId="4A474523" w14:textId="77777777" w:rsidR="00056084" w:rsidRPr="00782EFB" w:rsidRDefault="00056084" w:rsidP="00EE28DA">
            <w:pPr>
              <w:spacing w:after="60"/>
              <w:rPr>
                <w:i/>
                <w:iCs/>
                <w:sz w:val="20"/>
                <w:szCs w:val="20"/>
              </w:rPr>
            </w:pPr>
            <w:r w:rsidRPr="00782EFB">
              <w:rPr>
                <w:i/>
                <w:iCs/>
                <w:sz w:val="20"/>
                <w:szCs w:val="20"/>
              </w:rPr>
              <w:t>r</w:t>
            </w:r>
          </w:p>
        </w:tc>
        <w:tc>
          <w:tcPr>
            <w:tcW w:w="508" w:type="pct"/>
          </w:tcPr>
          <w:p w14:paraId="2B3424D6" w14:textId="77777777" w:rsidR="00056084" w:rsidRPr="00782EFB" w:rsidRDefault="00056084" w:rsidP="00EE28DA">
            <w:pPr>
              <w:spacing w:after="60"/>
              <w:rPr>
                <w:iCs/>
                <w:sz w:val="20"/>
                <w:szCs w:val="20"/>
              </w:rPr>
            </w:pPr>
            <w:r w:rsidRPr="00782EFB">
              <w:rPr>
                <w:iCs/>
                <w:sz w:val="20"/>
                <w:szCs w:val="20"/>
              </w:rPr>
              <w:t>none</w:t>
            </w:r>
          </w:p>
        </w:tc>
        <w:tc>
          <w:tcPr>
            <w:tcW w:w="3542" w:type="pct"/>
          </w:tcPr>
          <w:p w14:paraId="0A75E669" w14:textId="77777777" w:rsidR="00056084" w:rsidRPr="00782EFB" w:rsidRDefault="00056084" w:rsidP="00EE28DA">
            <w:pPr>
              <w:spacing w:after="60"/>
              <w:rPr>
                <w:iCs/>
                <w:sz w:val="20"/>
                <w:szCs w:val="20"/>
              </w:rPr>
            </w:pPr>
            <w:r w:rsidRPr="00782EFB">
              <w:rPr>
                <w:iCs/>
                <w:sz w:val="20"/>
                <w:szCs w:val="20"/>
              </w:rPr>
              <w:t>A Resource.</w:t>
            </w:r>
          </w:p>
        </w:tc>
      </w:tr>
      <w:tr w:rsidR="00056084" w:rsidRPr="00782EFB" w14:paraId="3A592D62" w14:textId="77777777" w:rsidTr="00EE28DA">
        <w:tc>
          <w:tcPr>
            <w:tcW w:w="950" w:type="pct"/>
          </w:tcPr>
          <w:p w14:paraId="06EB3E9A" w14:textId="77777777" w:rsidR="00056084" w:rsidRPr="00782EFB" w:rsidRDefault="00056084" w:rsidP="00EE28DA">
            <w:pPr>
              <w:spacing w:after="60"/>
              <w:rPr>
                <w:i/>
                <w:iCs/>
                <w:sz w:val="20"/>
                <w:szCs w:val="20"/>
              </w:rPr>
            </w:pPr>
            <w:r w:rsidRPr="00782EFB">
              <w:rPr>
                <w:i/>
                <w:iCs/>
                <w:sz w:val="20"/>
                <w:szCs w:val="20"/>
              </w:rPr>
              <w:t>q</w:t>
            </w:r>
          </w:p>
        </w:tc>
        <w:tc>
          <w:tcPr>
            <w:tcW w:w="508" w:type="pct"/>
          </w:tcPr>
          <w:p w14:paraId="09CD5D62" w14:textId="77777777" w:rsidR="00056084" w:rsidRPr="00782EFB" w:rsidRDefault="00056084" w:rsidP="00EE28DA">
            <w:pPr>
              <w:spacing w:after="60"/>
              <w:rPr>
                <w:iCs/>
                <w:sz w:val="20"/>
                <w:szCs w:val="20"/>
              </w:rPr>
            </w:pPr>
            <w:r w:rsidRPr="00782EFB">
              <w:rPr>
                <w:iCs/>
                <w:sz w:val="20"/>
                <w:szCs w:val="20"/>
              </w:rPr>
              <w:t>none</w:t>
            </w:r>
          </w:p>
        </w:tc>
        <w:tc>
          <w:tcPr>
            <w:tcW w:w="3542" w:type="pct"/>
          </w:tcPr>
          <w:p w14:paraId="26843E5D" w14:textId="77777777" w:rsidR="00056084" w:rsidRPr="00782EFB" w:rsidRDefault="00056084" w:rsidP="00EE28DA">
            <w:pPr>
              <w:spacing w:after="60"/>
              <w:rPr>
                <w:iCs/>
                <w:sz w:val="20"/>
                <w:szCs w:val="20"/>
              </w:rPr>
            </w:pPr>
            <w:r w:rsidRPr="00782EFB">
              <w:rPr>
                <w:iCs/>
                <w:sz w:val="20"/>
                <w:szCs w:val="20"/>
              </w:rPr>
              <w:t>A QSE.</w:t>
            </w:r>
          </w:p>
        </w:tc>
      </w:tr>
    </w:tbl>
    <w:p w14:paraId="133639A3" w14:textId="77777777" w:rsidR="00C24CB5" w:rsidRPr="000A2386" w:rsidRDefault="00C24CB5" w:rsidP="00C24CB5">
      <w:pPr>
        <w:pStyle w:val="BodyText"/>
        <w:spacing w:after="0"/>
      </w:pPr>
      <w:bookmarkStart w:id="791" w:name="_Toc109185140"/>
      <w:bookmarkStart w:id="792" w:name="_Toc142108970"/>
      <w:bookmarkStart w:id="793" w:name="_Toc142113815"/>
      <w:bookmarkStart w:id="794" w:name="_Toc402345643"/>
      <w:bookmarkStart w:id="795" w:name="_Toc405383926"/>
      <w:bookmarkStart w:id="796" w:name="_Toc405537029"/>
      <w:bookmarkStart w:id="797" w:name="_Toc440871815"/>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4CB5" w:rsidRPr="004B32CF" w14:paraId="07142BD9" w14:textId="77777777" w:rsidTr="007258B7">
        <w:trPr>
          <w:trHeight w:val="386"/>
        </w:trPr>
        <w:tc>
          <w:tcPr>
            <w:tcW w:w="9350" w:type="dxa"/>
            <w:shd w:val="pct12" w:color="auto" w:fill="auto"/>
          </w:tcPr>
          <w:p w14:paraId="224DCE46" w14:textId="77777777" w:rsidR="00C24CB5" w:rsidRPr="004B32CF" w:rsidRDefault="00C24CB5" w:rsidP="007258B7">
            <w:pPr>
              <w:spacing w:before="120" w:after="240"/>
              <w:rPr>
                <w:b/>
                <w:i/>
                <w:iCs/>
              </w:rPr>
            </w:pPr>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3F1997B8" w14:textId="77777777" w:rsidR="00C24CB5" w:rsidRPr="00782EFB" w:rsidRDefault="00C24CB5" w:rsidP="00C24CB5">
            <w:pPr>
              <w:spacing w:before="240" w:after="240"/>
              <w:ind w:left="720" w:hanging="720"/>
              <w:rPr>
                <w:iCs/>
              </w:rPr>
            </w:pPr>
            <w:r w:rsidRPr="00782EFB">
              <w:rPr>
                <w:iCs/>
              </w:rPr>
              <w:lastRenderedPageBreak/>
              <w:t>(1)</w:t>
            </w:r>
            <w:r w:rsidRPr="00782EFB">
              <w:rPr>
                <w:iCs/>
              </w:rPr>
              <w:tab/>
              <w:t xml:space="preserve">ERCOT shall pay each QSE whose </w:t>
            </w:r>
            <w:r>
              <w:rPr>
                <w:iCs/>
              </w:rPr>
              <w:t xml:space="preserve">Resource-Specific </w:t>
            </w:r>
            <w:r w:rsidRPr="00782EFB">
              <w:rPr>
                <w:iCs/>
              </w:rPr>
              <w:t>Ancillary Service Offers to provide RRS to ERCOT were cleared in the DAM, for each hour as follows:</w:t>
            </w:r>
          </w:p>
          <w:p w14:paraId="53DE53D2" w14:textId="4AAB0663" w:rsidR="00C24CB5" w:rsidRPr="00C43A85" w:rsidRDefault="00C24CB5" w:rsidP="00C24CB5">
            <w:pPr>
              <w:tabs>
                <w:tab w:val="left" w:pos="2352"/>
                <w:tab w:val="left" w:pos="3420"/>
                <w:tab w:val="left" w:pos="3822"/>
              </w:tabs>
              <w:spacing w:after="240"/>
              <w:ind w:left="720" w:hanging="720"/>
              <w:rPr>
                <w:bCs/>
                <w:iCs/>
              </w:rPr>
            </w:pPr>
            <w:r w:rsidRPr="006145CA">
              <w:rPr>
                <w:lang w:val="pt-BR"/>
              </w:rPr>
              <w:tab/>
            </w:r>
            <w:r w:rsidRPr="00C43A85">
              <w:rPr>
                <w:bCs/>
                <w:iCs/>
              </w:rPr>
              <w:t xml:space="preserve">PCRRAMT </w:t>
            </w:r>
            <w:r w:rsidRPr="00C43A85">
              <w:rPr>
                <w:bCs/>
                <w:i/>
                <w:iCs/>
                <w:vertAlign w:val="subscript"/>
              </w:rPr>
              <w:t>q</w:t>
            </w:r>
            <w:r w:rsidRPr="00C43A85">
              <w:rPr>
                <w:bCs/>
                <w:iCs/>
              </w:rPr>
              <w:tab/>
              <w:t>=</w:t>
            </w:r>
            <w:r w:rsidRPr="00C43A85">
              <w:rPr>
                <w:bCs/>
                <w:iCs/>
              </w:rPr>
              <w:tab/>
              <w:t xml:space="preserve">(-1) * MCPCRR </w:t>
            </w:r>
            <w:r w:rsidRPr="00C43A85">
              <w:rPr>
                <w:bCs/>
                <w:i/>
                <w:iCs/>
                <w:vertAlign w:val="subscript"/>
              </w:rPr>
              <w:t>DAM</w:t>
            </w:r>
            <w:r w:rsidRPr="00C43A85">
              <w:rPr>
                <w:bCs/>
                <w:iCs/>
              </w:rPr>
              <w:t xml:space="preserve"> * PCRR </w:t>
            </w:r>
            <w:r w:rsidRPr="00C43A85">
              <w:rPr>
                <w:bCs/>
                <w:i/>
                <w:iCs/>
                <w:vertAlign w:val="subscript"/>
              </w:rPr>
              <w:t>q</w:t>
            </w:r>
          </w:p>
          <w:p w14:paraId="1342814C" w14:textId="77777777" w:rsidR="00C24CB5" w:rsidRPr="00782EFB" w:rsidRDefault="00C24CB5" w:rsidP="00C24CB5">
            <w:pPr>
              <w:spacing w:after="240"/>
              <w:rPr>
                <w:iCs/>
                <w:lang w:val="pt-BR"/>
              </w:rPr>
            </w:pPr>
            <w:r w:rsidRPr="00782EFB">
              <w:rPr>
                <w:iCs/>
                <w:lang w:val="pt-BR"/>
              </w:rPr>
              <w:t>Where:</w:t>
            </w:r>
          </w:p>
          <w:p w14:paraId="79670A8F" w14:textId="194FD7C7" w:rsidR="00C24CB5" w:rsidRDefault="00C24CB5" w:rsidP="00C24CB5">
            <w:pPr>
              <w:tabs>
                <w:tab w:val="left" w:pos="2340"/>
                <w:tab w:val="left" w:pos="3420"/>
                <w:tab w:val="left" w:pos="3822"/>
              </w:tabs>
              <w:spacing w:after="240"/>
              <w:ind w:left="720" w:hanging="720"/>
              <w:rPr>
                <w:bCs/>
                <w:i/>
                <w:vertAlign w:val="subscript"/>
              </w:rPr>
            </w:pPr>
            <w:r w:rsidRPr="006145CA">
              <w:rPr>
                <w:lang w:val="pt-BR"/>
              </w:rPr>
              <w:tab/>
            </w:r>
            <w:r w:rsidRPr="00782EFB">
              <w:rPr>
                <w:bCs/>
              </w:rPr>
              <w:t xml:space="preserve">PCRR </w:t>
            </w:r>
            <w:r w:rsidRPr="00782EFB">
              <w:rPr>
                <w:bCs/>
                <w:i/>
                <w:vertAlign w:val="subscript"/>
              </w:rPr>
              <w:t>q</w:t>
            </w:r>
            <w:r w:rsidRPr="00782EFB">
              <w:rPr>
                <w:bCs/>
              </w:rPr>
              <w:tab/>
              <w:t>=</w:t>
            </w:r>
            <w:r>
              <w:rPr>
                <w:bCs/>
              </w:rPr>
              <w:tab/>
            </w:r>
            <w:r w:rsidRPr="00C92160">
              <w:rPr>
                <w:noProof/>
                <w:position w:val="-18"/>
              </w:rPr>
              <w:drawing>
                <wp:inline distT="0" distB="0" distL="0" distR="0" wp14:anchorId="0239D0BC" wp14:editId="7F095EC3">
                  <wp:extent cx="142875" cy="270510"/>
                  <wp:effectExtent l="0" t="0" r="9525" b="0"/>
                  <wp:docPr id="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2875" cy="270510"/>
                          </a:xfrm>
                          <a:prstGeom prst="rect">
                            <a:avLst/>
                          </a:prstGeom>
                          <a:noFill/>
                          <a:ln>
                            <a:noFill/>
                          </a:ln>
                        </pic:spPr>
                      </pic:pic>
                    </a:graphicData>
                  </a:graphic>
                </wp:inline>
              </w:drawing>
            </w:r>
            <w:r w:rsidRPr="00782EFB">
              <w:rPr>
                <w:bCs/>
              </w:rPr>
              <w:t>PCRRR</w:t>
            </w:r>
            <w:r w:rsidRPr="00782EFB">
              <w:rPr>
                <w:bCs/>
                <w:i/>
              </w:rPr>
              <w:t xml:space="preserve"> </w:t>
            </w:r>
            <w:r w:rsidRPr="00782EFB">
              <w:rPr>
                <w:bCs/>
                <w:i/>
                <w:vertAlign w:val="subscript"/>
              </w:rPr>
              <w:t>r, q, DAM</w:t>
            </w:r>
          </w:p>
          <w:p w14:paraId="010D1ADF" w14:textId="77777777" w:rsidR="00C24CB5" w:rsidRPr="006145CA" w:rsidRDefault="00C24CB5" w:rsidP="00C24CB5">
            <w:pPr>
              <w:pStyle w:val="BodyText"/>
              <w:spacing w:before="240"/>
              <w:ind w:left="720" w:hanging="720"/>
              <w:rPr>
                <w:lang w:val="pt-BR"/>
              </w:rPr>
            </w:pPr>
            <w:r w:rsidRPr="006145CA">
              <w:rPr>
                <w:lang w:val="pt-BR"/>
              </w:rPr>
              <w:t>(2)</w:t>
            </w:r>
            <w:r w:rsidRPr="006145CA">
              <w:rPr>
                <w:lang w:val="pt-BR"/>
              </w:rPr>
              <w:tab/>
            </w:r>
            <w:r w:rsidRPr="006145CA">
              <w:t>ERCOT shall pay each QSE whose Ancillary Service Only Offers to provide R</w:t>
            </w:r>
            <w:r>
              <w:t>RS</w:t>
            </w:r>
            <w:r w:rsidRPr="006145CA">
              <w:t xml:space="preserve"> to ERCOT were cleared in the DAM, for each hour as follows:</w:t>
            </w:r>
          </w:p>
          <w:p w14:paraId="6ECC877E" w14:textId="27159A54" w:rsidR="00C24CB5" w:rsidRPr="006145CA" w:rsidRDefault="00C24CB5" w:rsidP="00D46800">
            <w:pPr>
              <w:pStyle w:val="Formula"/>
            </w:pPr>
            <w:r w:rsidRPr="006145CA">
              <w:t xml:space="preserve">DAPCRROAMT </w:t>
            </w:r>
            <w:r w:rsidRPr="006145CA">
              <w:rPr>
                <w:i/>
                <w:vertAlign w:val="subscript"/>
              </w:rPr>
              <w:t xml:space="preserve">q  </w:t>
            </w:r>
            <w:r w:rsidRPr="006145CA">
              <w:t>= (-1) * MCPCRR</w:t>
            </w:r>
            <w:r w:rsidRPr="009074A3">
              <w:rPr>
                <w:i/>
                <w:vertAlign w:val="subscript"/>
              </w:rPr>
              <w:t xml:space="preserve"> </w:t>
            </w:r>
            <w:r>
              <w:rPr>
                <w:i/>
                <w:vertAlign w:val="subscript"/>
              </w:rPr>
              <w:t>DAM</w:t>
            </w:r>
            <w:r w:rsidRPr="006145CA">
              <w:t xml:space="preserve"> </w:t>
            </w:r>
            <w:r w:rsidRPr="006145CA">
              <w:rPr>
                <w:i/>
              </w:rPr>
              <w:t>*</w:t>
            </w:r>
            <w:r w:rsidRPr="006145CA">
              <w:t xml:space="preserve"> DARROAWD</w:t>
            </w:r>
            <w:r w:rsidRPr="006145CA">
              <w:rPr>
                <w:i/>
                <w:vertAlign w:val="subscript"/>
              </w:rPr>
              <w:t xml:space="preserve"> q</w:t>
            </w:r>
          </w:p>
          <w:p w14:paraId="3776EC9A" w14:textId="77777777" w:rsidR="00C24CB5" w:rsidRPr="00782EFB" w:rsidRDefault="00C24CB5" w:rsidP="00C24CB5">
            <w:r w:rsidRPr="00782EFB">
              <w:t>The above variables are defined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0"/>
              <w:gridCol w:w="926"/>
              <w:gridCol w:w="6454"/>
            </w:tblGrid>
            <w:tr w:rsidR="00C24CB5" w:rsidRPr="00782EFB" w14:paraId="28C8672F" w14:textId="77777777" w:rsidTr="007258B7">
              <w:tc>
                <w:tcPr>
                  <w:tcW w:w="950" w:type="pct"/>
                </w:tcPr>
                <w:p w14:paraId="685FB0AD" w14:textId="77777777" w:rsidR="00C24CB5" w:rsidRPr="00782EFB" w:rsidRDefault="00C24CB5" w:rsidP="00C24CB5">
                  <w:pPr>
                    <w:spacing w:after="120"/>
                    <w:rPr>
                      <w:b/>
                      <w:iCs/>
                      <w:sz w:val="20"/>
                      <w:szCs w:val="20"/>
                    </w:rPr>
                  </w:pPr>
                  <w:r w:rsidRPr="00782EFB">
                    <w:rPr>
                      <w:b/>
                      <w:iCs/>
                      <w:sz w:val="20"/>
                      <w:szCs w:val="20"/>
                    </w:rPr>
                    <w:t>Variable</w:t>
                  </w:r>
                </w:p>
              </w:tc>
              <w:tc>
                <w:tcPr>
                  <w:tcW w:w="508" w:type="pct"/>
                </w:tcPr>
                <w:p w14:paraId="3A09C9CB" w14:textId="77777777" w:rsidR="00C24CB5" w:rsidRPr="00782EFB" w:rsidRDefault="00C24CB5" w:rsidP="00C24CB5">
                  <w:pPr>
                    <w:spacing w:after="120"/>
                    <w:rPr>
                      <w:b/>
                      <w:iCs/>
                      <w:sz w:val="20"/>
                      <w:szCs w:val="20"/>
                    </w:rPr>
                  </w:pPr>
                  <w:r w:rsidRPr="00782EFB">
                    <w:rPr>
                      <w:b/>
                      <w:iCs/>
                      <w:sz w:val="20"/>
                      <w:szCs w:val="20"/>
                    </w:rPr>
                    <w:t>Unit</w:t>
                  </w:r>
                </w:p>
              </w:tc>
              <w:tc>
                <w:tcPr>
                  <w:tcW w:w="3542" w:type="pct"/>
                </w:tcPr>
                <w:p w14:paraId="248F4EA2" w14:textId="77777777" w:rsidR="00C24CB5" w:rsidRPr="00782EFB" w:rsidRDefault="00C24CB5" w:rsidP="00C24CB5">
                  <w:pPr>
                    <w:spacing w:after="120"/>
                    <w:rPr>
                      <w:b/>
                      <w:iCs/>
                      <w:sz w:val="20"/>
                      <w:szCs w:val="20"/>
                    </w:rPr>
                  </w:pPr>
                  <w:r w:rsidRPr="00782EFB">
                    <w:rPr>
                      <w:b/>
                      <w:iCs/>
                      <w:sz w:val="20"/>
                      <w:szCs w:val="20"/>
                    </w:rPr>
                    <w:t>Definition</w:t>
                  </w:r>
                </w:p>
              </w:tc>
            </w:tr>
            <w:tr w:rsidR="00C24CB5" w:rsidRPr="00782EFB" w14:paraId="7E5046D1" w14:textId="77777777" w:rsidTr="007258B7">
              <w:tc>
                <w:tcPr>
                  <w:tcW w:w="950" w:type="pct"/>
                </w:tcPr>
                <w:p w14:paraId="2B2B30BF" w14:textId="77777777" w:rsidR="00C24CB5" w:rsidRPr="00782EFB" w:rsidRDefault="00C24CB5" w:rsidP="00C24CB5">
                  <w:pPr>
                    <w:spacing w:after="60"/>
                    <w:rPr>
                      <w:iCs/>
                      <w:sz w:val="20"/>
                      <w:szCs w:val="20"/>
                    </w:rPr>
                  </w:pPr>
                  <w:r w:rsidRPr="00782EFB">
                    <w:rPr>
                      <w:iCs/>
                      <w:sz w:val="20"/>
                      <w:szCs w:val="20"/>
                    </w:rPr>
                    <w:t xml:space="preserve">PCRRAMT </w:t>
                  </w:r>
                  <w:r w:rsidRPr="00782EFB">
                    <w:rPr>
                      <w:i/>
                      <w:iCs/>
                      <w:sz w:val="20"/>
                      <w:szCs w:val="20"/>
                      <w:vertAlign w:val="subscript"/>
                    </w:rPr>
                    <w:t>q</w:t>
                  </w:r>
                </w:p>
              </w:tc>
              <w:tc>
                <w:tcPr>
                  <w:tcW w:w="508" w:type="pct"/>
                </w:tcPr>
                <w:p w14:paraId="32F9CB7B" w14:textId="77777777" w:rsidR="00C24CB5" w:rsidRPr="00782EFB" w:rsidRDefault="00C24CB5" w:rsidP="00C24CB5">
                  <w:pPr>
                    <w:spacing w:after="60"/>
                    <w:rPr>
                      <w:iCs/>
                      <w:sz w:val="20"/>
                      <w:szCs w:val="20"/>
                    </w:rPr>
                  </w:pPr>
                  <w:r w:rsidRPr="00782EFB">
                    <w:rPr>
                      <w:iCs/>
                      <w:sz w:val="20"/>
                      <w:szCs w:val="20"/>
                    </w:rPr>
                    <w:t>$</w:t>
                  </w:r>
                </w:p>
              </w:tc>
              <w:tc>
                <w:tcPr>
                  <w:tcW w:w="3542" w:type="pct"/>
                </w:tcPr>
                <w:p w14:paraId="33FFFB16" w14:textId="77777777" w:rsidR="00C24CB5" w:rsidRPr="00782EFB" w:rsidRDefault="00C24CB5" w:rsidP="00C24CB5">
                  <w:pPr>
                    <w:spacing w:after="60"/>
                    <w:rPr>
                      <w:iCs/>
                      <w:sz w:val="20"/>
                      <w:szCs w:val="20"/>
                    </w:rPr>
                  </w:pPr>
                  <w:r w:rsidRPr="00782EFB">
                    <w:rPr>
                      <w:i/>
                      <w:iCs/>
                      <w:sz w:val="20"/>
                      <w:szCs w:val="20"/>
                    </w:rPr>
                    <w:t>Procured Capacity for Responsive Reserve Amount per QSE in DAM</w:t>
                  </w:r>
                  <w:r w:rsidRPr="00782EFB">
                    <w:rPr>
                      <w:iCs/>
                      <w:sz w:val="20"/>
                      <w:szCs w:val="20"/>
                    </w:rPr>
                    <w:t xml:space="preserve">—The DAM </w:t>
                  </w:r>
                  <w:r>
                    <w:rPr>
                      <w:iCs/>
                      <w:sz w:val="20"/>
                      <w:szCs w:val="20"/>
                    </w:rPr>
                    <w:t>RRS</w:t>
                  </w:r>
                  <w:r w:rsidRPr="00782EFB">
                    <w:rPr>
                      <w:iCs/>
                      <w:sz w:val="20"/>
                      <w:szCs w:val="20"/>
                    </w:rPr>
                    <w:t xml:space="preserve"> payment for QSE </w:t>
                  </w:r>
                  <w:r w:rsidRPr="00782EFB">
                    <w:rPr>
                      <w:i/>
                      <w:iCs/>
                      <w:sz w:val="20"/>
                      <w:szCs w:val="20"/>
                    </w:rPr>
                    <w:t>q</w:t>
                  </w:r>
                  <w:r w:rsidRPr="00782EFB">
                    <w:rPr>
                      <w:iCs/>
                      <w:sz w:val="20"/>
                      <w:szCs w:val="20"/>
                    </w:rPr>
                    <w:t xml:space="preserve"> for the hour.</w:t>
                  </w:r>
                </w:p>
              </w:tc>
            </w:tr>
            <w:tr w:rsidR="00C24CB5" w:rsidRPr="00782EFB" w14:paraId="25F45B7C" w14:textId="77777777" w:rsidTr="007258B7">
              <w:tc>
                <w:tcPr>
                  <w:tcW w:w="950" w:type="pct"/>
                </w:tcPr>
                <w:p w14:paraId="68B9B93C" w14:textId="77777777" w:rsidR="00C24CB5" w:rsidRPr="004122F0" w:rsidRDefault="00C24CB5" w:rsidP="00C24CB5">
                  <w:pPr>
                    <w:spacing w:after="60"/>
                    <w:rPr>
                      <w:iCs/>
                      <w:sz w:val="20"/>
                      <w:szCs w:val="20"/>
                    </w:rPr>
                  </w:pPr>
                  <w:r w:rsidRPr="00C65B7B">
                    <w:rPr>
                      <w:sz w:val="20"/>
                      <w:szCs w:val="20"/>
                    </w:rPr>
                    <w:t>DAPCRROAMT</w:t>
                  </w:r>
                  <w:r w:rsidRPr="00C65B7B">
                    <w:rPr>
                      <w:i/>
                      <w:sz w:val="20"/>
                      <w:szCs w:val="20"/>
                    </w:rPr>
                    <w:t xml:space="preserve"> </w:t>
                  </w:r>
                  <w:r w:rsidRPr="00C65B7B">
                    <w:rPr>
                      <w:i/>
                      <w:sz w:val="20"/>
                      <w:szCs w:val="20"/>
                      <w:vertAlign w:val="subscript"/>
                    </w:rPr>
                    <w:t>q</w:t>
                  </w:r>
                </w:p>
              </w:tc>
              <w:tc>
                <w:tcPr>
                  <w:tcW w:w="508" w:type="pct"/>
                </w:tcPr>
                <w:p w14:paraId="38040FA2" w14:textId="77777777" w:rsidR="00C24CB5" w:rsidRPr="004122F0" w:rsidRDefault="00C24CB5" w:rsidP="00C24CB5">
                  <w:pPr>
                    <w:spacing w:after="60"/>
                    <w:rPr>
                      <w:iCs/>
                      <w:sz w:val="20"/>
                      <w:szCs w:val="20"/>
                    </w:rPr>
                  </w:pPr>
                  <w:r w:rsidRPr="00C65B7B">
                    <w:rPr>
                      <w:sz w:val="20"/>
                      <w:szCs w:val="20"/>
                    </w:rPr>
                    <w:t>$</w:t>
                  </w:r>
                </w:p>
              </w:tc>
              <w:tc>
                <w:tcPr>
                  <w:tcW w:w="3542" w:type="pct"/>
                </w:tcPr>
                <w:p w14:paraId="0ED895B8" w14:textId="77777777" w:rsidR="00C24CB5" w:rsidRPr="004122F0" w:rsidRDefault="00C24CB5" w:rsidP="00C24CB5">
                  <w:pPr>
                    <w:spacing w:after="60"/>
                    <w:rPr>
                      <w:i/>
                      <w:iCs/>
                      <w:sz w:val="20"/>
                      <w:szCs w:val="20"/>
                    </w:rPr>
                  </w:pPr>
                  <w:r w:rsidRPr="00C65B7B">
                    <w:rPr>
                      <w:i/>
                      <w:sz w:val="20"/>
                      <w:szCs w:val="20"/>
                    </w:rPr>
                    <w:t xml:space="preserve">Day-Ahead Procured Capacity for Responsive Reserve Only </w:t>
                  </w:r>
                  <w:r>
                    <w:rPr>
                      <w:i/>
                      <w:sz w:val="20"/>
                      <w:szCs w:val="20"/>
                    </w:rPr>
                    <w:t>Amount</w:t>
                  </w:r>
                  <w:r w:rsidRPr="00C65B7B">
                    <w:rPr>
                      <w:i/>
                      <w:sz w:val="20"/>
                      <w:szCs w:val="20"/>
                    </w:rPr>
                    <w:t xml:space="preserve"> per QSE</w:t>
                  </w:r>
                  <w:r w:rsidRPr="00C65B7B">
                    <w:rPr>
                      <w:sz w:val="20"/>
                      <w:szCs w:val="20"/>
                    </w:rPr>
                    <w:t xml:space="preserve">— The payment to QSE </w:t>
                  </w:r>
                  <w:r w:rsidRPr="00C65B7B">
                    <w:rPr>
                      <w:i/>
                      <w:sz w:val="20"/>
                      <w:szCs w:val="20"/>
                    </w:rPr>
                    <w:t>q</w:t>
                  </w:r>
                  <w:r w:rsidRPr="00C65B7B">
                    <w:rPr>
                      <w:sz w:val="20"/>
                      <w:szCs w:val="20"/>
                    </w:rPr>
                    <w:t xml:space="preserve"> for all RRS only awards in DAM for the hour.</w:t>
                  </w:r>
                </w:p>
              </w:tc>
            </w:tr>
            <w:tr w:rsidR="00C24CB5" w:rsidRPr="00782EFB" w14:paraId="1E69BA58" w14:textId="77777777" w:rsidTr="007258B7">
              <w:tc>
                <w:tcPr>
                  <w:tcW w:w="950" w:type="pct"/>
                </w:tcPr>
                <w:p w14:paraId="2A665AE5" w14:textId="77777777" w:rsidR="00C24CB5" w:rsidRPr="003D74CC" w:rsidRDefault="00C24CB5" w:rsidP="00C24CB5">
                  <w:pPr>
                    <w:spacing w:after="60"/>
                    <w:rPr>
                      <w:iCs/>
                      <w:sz w:val="20"/>
                      <w:szCs w:val="20"/>
                    </w:rPr>
                  </w:pPr>
                  <w:r w:rsidRPr="004122F0">
                    <w:rPr>
                      <w:iCs/>
                      <w:sz w:val="20"/>
                      <w:szCs w:val="20"/>
                    </w:rPr>
                    <w:t xml:space="preserve">PCRR </w:t>
                  </w:r>
                  <w:r w:rsidRPr="004122F0">
                    <w:rPr>
                      <w:i/>
                      <w:iCs/>
                      <w:sz w:val="20"/>
                      <w:szCs w:val="20"/>
                      <w:vertAlign w:val="subscript"/>
                    </w:rPr>
                    <w:t>q</w:t>
                  </w:r>
                  <w:r w:rsidRPr="003D74CC">
                    <w:rPr>
                      <w:i/>
                      <w:iCs/>
                      <w:sz w:val="20"/>
                      <w:szCs w:val="20"/>
                    </w:rPr>
                    <w:t xml:space="preserve"> </w:t>
                  </w:r>
                </w:p>
              </w:tc>
              <w:tc>
                <w:tcPr>
                  <w:tcW w:w="508" w:type="pct"/>
                </w:tcPr>
                <w:p w14:paraId="33B9DB88" w14:textId="77777777" w:rsidR="00C24CB5" w:rsidRPr="00672F9E" w:rsidRDefault="00C24CB5" w:rsidP="00C24CB5">
                  <w:pPr>
                    <w:spacing w:after="60"/>
                    <w:rPr>
                      <w:iCs/>
                      <w:sz w:val="20"/>
                      <w:szCs w:val="20"/>
                    </w:rPr>
                  </w:pPr>
                  <w:r w:rsidRPr="00672F9E">
                    <w:rPr>
                      <w:iCs/>
                      <w:sz w:val="20"/>
                      <w:szCs w:val="20"/>
                    </w:rPr>
                    <w:t>MW</w:t>
                  </w:r>
                </w:p>
              </w:tc>
              <w:tc>
                <w:tcPr>
                  <w:tcW w:w="3542" w:type="pct"/>
                </w:tcPr>
                <w:p w14:paraId="7C27D029" w14:textId="77777777" w:rsidR="00C24CB5" w:rsidRPr="004122F0" w:rsidRDefault="00C24CB5" w:rsidP="00C24CB5">
                  <w:pPr>
                    <w:spacing w:after="60"/>
                    <w:rPr>
                      <w:iCs/>
                      <w:sz w:val="20"/>
                      <w:szCs w:val="20"/>
                    </w:rPr>
                  </w:pPr>
                  <w:r w:rsidRPr="00C43BCB">
                    <w:rPr>
                      <w:i/>
                      <w:iCs/>
                      <w:sz w:val="20"/>
                      <w:szCs w:val="20"/>
                    </w:rPr>
                    <w:t>Procured Capacity for Responsive Reserve per QSE in DAM</w:t>
                  </w:r>
                  <w:r w:rsidRPr="00C43BCB">
                    <w:rPr>
                      <w:iCs/>
                      <w:sz w:val="20"/>
                      <w:szCs w:val="20"/>
                    </w:rPr>
                    <w:t xml:space="preserve">—The total RRS capacity quantity awarded to QSE </w:t>
                  </w:r>
                  <w:r w:rsidRPr="004122F0">
                    <w:rPr>
                      <w:i/>
                      <w:iCs/>
                      <w:sz w:val="20"/>
                      <w:szCs w:val="20"/>
                    </w:rPr>
                    <w:t>q</w:t>
                  </w:r>
                  <w:r w:rsidRPr="004122F0">
                    <w:rPr>
                      <w:iCs/>
                      <w:sz w:val="20"/>
                      <w:szCs w:val="20"/>
                    </w:rPr>
                    <w:t xml:space="preserve"> in the DAM for all the Resources represented by this QSE for the hour.</w:t>
                  </w:r>
                </w:p>
              </w:tc>
            </w:tr>
            <w:tr w:rsidR="00C24CB5" w:rsidRPr="00782EFB" w14:paraId="57656B24" w14:textId="77777777" w:rsidTr="007258B7">
              <w:tc>
                <w:tcPr>
                  <w:tcW w:w="950" w:type="pct"/>
                </w:tcPr>
                <w:p w14:paraId="591E88C6" w14:textId="77777777" w:rsidR="00C24CB5" w:rsidRPr="003D74CC" w:rsidRDefault="00C24CB5" w:rsidP="00C24CB5">
                  <w:pPr>
                    <w:spacing w:after="60"/>
                    <w:rPr>
                      <w:iCs/>
                      <w:sz w:val="20"/>
                      <w:szCs w:val="20"/>
                    </w:rPr>
                  </w:pPr>
                  <w:r w:rsidRPr="004122F0">
                    <w:rPr>
                      <w:iCs/>
                      <w:sz w:val="20"/>
                      <w:szCs w:val="20"/>
                    </w:rPr>
                    <w:t>PCRRR</w:t>
                  </w:r>
                  <w:r w:rsidRPr="004122F0">
                    <w:rPr>
                      <w:i/>
                      <w:iCs/>
                      <w:sz w:val="20"/>
                      <w:szCs w:val="20"/>
                    </w:rPr>
                    <w:t xml:space="preserve"> </w:t>
                  </w:r>
                  <w:r w:rsidRPr="003D74CC">
                    <w:rPr>
                      <w:i/>
                      <w:iCs/>
                      <w:sz w:val="20"/>
                      <w:szCs w:val="20"/>
                      <w:vertAlign w:val="subscript"/>
                    </w:rPr>
                    <w:t>r,</w:t>
                  </w:r>
                  <w:r w:rsidRPr="003D74CC">
                    <w:rPr>
                      <w:i/>
                      <w:iCs/>
                      <w:sz w:val="20"/>
                      <w:szCs w:val="20"/>
                    </w:rPr>
                    <w:t xml:space="preserve"> </w:t>
                  </w:r>
                  <w:r w:rsidRPr="003D74CC">
                    <w:rPr>
                      <w:i/>
                      <w:iCs/>
                      <w:sz w:val="20"/>
                      <w:szCs w:val="20"/>
                      <w:vertAlign w:val="subscript"/>
                    </w:rPr>
                    <w:t>q, DAM</w:t>
                  </w:r>
                </w:p>
              </w:tc>
              <w:tc>
                <w:tcPr>
                  <w:tcW w:w="508" w:type="pct"/>
                </w:tcPr>
                <w:p w14:paraId="037206B9" w14:textId="77777777" w:rsidR="00C24CB5" w:rsidRPr="00672F9E" w:rsidRDefault="00C24CB5" w:rsidP="00C24CB5">
                  <w:pPr>
                    <w:spacing w:after="60"/>
                    <w:rPr>
                      <w:iCs/>
                      <w:sz w:val="20"/>
                      <w:szCs w:val="20"/>
                    </w:rPr>
                  </w:pPr>
                  <w:r w:rsidRPr="00672F9E">
                    <w:rPr>
                      <w:iCs/>
                      <w:sz w:val="20"/>
                      <w:szCs w:val="20"/>
                    </w:rPr>
                    <w:t>MW</w:t>
                  </w:r>
                </w:p>
              </w:tc>
              <w:tc>
                <w:tcPr>
                  <w:tcW w:w="3542" w:type="pct"/>
                </w:tcPr>
                <w:p w14:paraId="4878A52C" w14:textId="77777777" w:rsidR="00C24CB5" w:rsidRPr="004122F0" w:rsidRDefault="00C24CB5" w:rsidP="00C24CB5">
                  <w:pPr>
                    <w:spacing w:after="60"/>
                    <w:rPr>
                      <w:iCs/>
                      <w:sz w:val="20"/>
                      <w:szCs w:val="20"/>
                    </w:rPr>
                  </w:pPr>
                  <w:r w:rsidRPr="00C43BCB">
                    <w:rPr>
                      <w:i/>
                      <w:iCs/>
                      <w:sz w:val="20"/>
                      <w:szCs w:val="20"/>
                    </w:rPr>
                    <w:t>Procured Capacity for Responsive Reserve from Resource per Resource per QSE in DAM</w:t>
                  </w:r>
                  <w:r w:rsidRPr="004122F0">
                    <w:rPr>
                      <w:iCs/>
                      <w:sz w:val="20"/>
                      <w:szCs w:val="20"/>
                    </w:rPr>
                    <w:t xml:space="preserve">—The RRS capacity quantity awarded to QSE </w:t>
                  </w:r>
                  <w:r w:rsidRPr="004122F0">
                    <w:rPr>
                      <w:i/>
                      <w:iCs/>
                      <w:sz w:val="20"/>
                      <w:szCs w:val="20"/>
                    </w:rPr>
                    <w:t>q</w:t>
                  </w:r>
                  <w:r w:rsidRPr="004122F0">
                    <w:rPr>
                      <w:iCs/>
                      <w:sz w:val="20"/>
                      <w:szCs w:val="20"/>
                    </w:rPr>
                    <w:t xml:space="preserve"> in the DAM for Resource </w:t>
                  </w:r>
                  <w:r w:rsidRPr="004122F0">
                    <w:rPr>
                      <w:i/>
                      <w:iCs/>
                      <w:sz w:val="20"/>
                      <w:szCs w:val="20"/>
                    </w:rPr>
                    <w:t>r</w:t>
                  </w:r>
                  <w:r w:rsidRPr="004122F0">
                    <w:rPr>
                      <w:iCs/>
                      <w:sz w:val="20"/>
                      <w:szCs w:val="20"/>
                    </w:rPr>
                    <w:t xml:space="preserve"> for the hour.  Where for a Combined Cycle Train, the Resource </w:t>
                  </w:r>
                  <w:r w:rsidRPr="004122F0">
                    <w:rPr>
                      <w:i/>
                      <w:iCs/>
                      <w:sz w:val="20"/>
                      <w:szCs w:val="20"/>
                    </w:rPr>
                    <w:t xml:space="preserve">r </w:t>
                  </w:r>
                  <w:r w:rsidRPr="004122F0">
                    <w:rPr>
                      <w:iCs/>
                      <w:sz w:val="20"/>
                      <w:szCs w:val="20"/>
                    </w:rPr>
                    <w:t>is a Combined Cycle Generation Resource within the Combined Cycle Train.</w:t>
                  </w:r>
                </w:p>
              </w:tc>
            </w:tr>
            <w:tr w:rsidR="00C24CB5" w:rsidRPr="00782EFB" w14:paraId="307A43FF" w14:textId="77777777" w:rsidTr="007258B7">
              <w:tc>
                <w:tcPr>
                  <w:tcW w:w="950" w:type="pct"/>
                </w:tcPr>
                <w:p w14:paraId="68CC1BF8" w14:textId="77777777" w:rsidR="00C24CB5" w:rsidRPr="003D74CC" w:rsidRDefault="00C24CB5" w:rsidP="00C24CB5">
                  <w:pPr>
                    <w:spacing w:after="60"/>
                    <w:rPr>
                      <w:iCs/>
                      <w:sz w:val="20"/>
                      <w:szCs w:val="20"/>
                    </w:rPr>
                  </w:pPr>
                  <w:r w:rsidRPr="004122F0">
                    <w:rPr>
                      <w:iCs/>
                      <w:sz w:val="20"/>
                      <w:szCs w:val="20"/>
                    </w:rPr>
                    <w:t xml:space="preserve">MCPCRR </w:t>
                  </w:r>
                  <w:r w:rsidRPr="004122F0">
                    <w:rPr>
                      <w:i/>
                      <w:iCs/>
                      <w:sz w:val="20"/>
                      <w:szCs w:val="20"/>
                      <w:vertAlign w:val="subscript"/>
                    </w:rPr>
                    <w:t>DAM</w:t>
                  </w:r>
                </w:p>
              </w:tc>
              <w:tc>
                <w:tcPr>
                  <w:tcW w:w="508" w:type="pct"/>
                </w:tcPr>
                <w:p w14:paraId="7959D567" w14:textId="77777777" w:rsidR="00C24CB5" w:rsidRPr="00C43BCB" w:rsidRDefault="00C24CB5" w:rsidP="00C24CB5">
                  <w:pPr>
                    <w:spacing w:after="60"/>
                    <w:rPr>
                      <w:iCs/>
                      <w:sz w:val="20"/>
                      <w:szCs w:val="20"/>
                    </w:rPr>
                  </w:pPr>
                  <w:r w:rsidRPr="00672F9E">
                    <w:rPr>
                      <w:iCs/>
                      <w:sz w:val="20"/>
                      <w:szCs w:val="20"/>
                    </w:rPr>
                    <w:t>$/MW per hour</w:t>
                  </w:r>
                </w:p>
              </w:tc>
              <w:tc>
                <w:tcPr>
                  <w:tcW w:w="3542" w:type="pct"/>
                </w:tcPr>
                <w:p w14:paraId="065CC83B" w14:textId="77777777" w:rsidR="00C24CB5" w:rsidRPr="004122F0" w:rsidRDefault="00C24CB5" w:rsidP="00C24CB5">
                  <w:pPr>
                    <w:spacing w:after="60"/>
                    <w:rPr>
                      <w:iCs/>
                      <w:sz w:val="20"/>
                      <w:szCs w:val="20"/>
                    </w:rPr>
                  </w:pPr>
                  <w:r w:rsidRPr="004122F0">
                    <w:rPr>
                      <w:i/>
                      <w:iCs/>
                      <w:sz w:val="20"/>
                      <w:szCs w:val="20"/>
                    </w:rPr>
                    <w:t>Market Clearing Price for Capacity for Responsive Reserve in DAM</w:t>
                  </w:r>
                  <w:r w:rsidRPr="004122F0">
                    <w:rPr>
                      <w:iCs/>
                      <w:sz w:val="20"/>
                      <w:szCs w:val="20"/>
                    </w:rPr>
                    <w:t>—The DAM MCPC for RRS for the hour.</w:t>
                  </w:r>
                </w:p>
              </w:tc>
            </w:tr>
            <w:tr w:rsidR="00C24CB5" w:rsidRPr="00782EFB" w14:paraId="6F736E0D" w14:textId="77777777" w:rsidTr="007258B7">
              <w:tc>
                <w:tcPr>
                  <w:tcW w:w="950" w:type="pct"/>
                </w:tcPr>
                <w:p w14:paraId="5D8F48D4" w14:textId="77777777" w:rsidR="00C24CB5" w:rsidRPr="004122F0" w:rsidRDefault="00C24CB5" w:rsidP="00C24CB5">
                  <w:pPr>
                    <w:spacing w:after="60"/>
                    <w:rPr>
                      <w:iCs/>
                      <w:sz w:val="20"/>
                      <w:szCs w:val="20"/>
                    </w:rPr>
                  </w:pPr>
                  <w:r w:rsidRPr="00C65B7B">
                    <w:rPr>
                      <w:sz w:val="20"/>
                      <w:szCs w:val="20"/>
                    </w:rPr>
                    <w:t xml:space="preserve">DARROAWD </w:t>
                  </w:r>
                  <w:r w:rsidRPr="00C65B7B">
                    <w:rPr>
                      <w:i/>
                      <w:sz w:val="20"/>
                      <w:szCs w:val="20"/>
                      <w:vertAlign w:val="subscript"/>
                    </w:rPr>
                    <w:t>q</w:t>
                  </w:r>
                </w:p>
              </w:tc>
              <w:tc>
                <w:tcPr>
                  <w:tcW w:w="508" w:type="pct"/>
                </w:tcPr>
                <w:p w14:paraId="5CE9D9E3" w14:textId="77777777" w:rsidR="00C24CB5" w:rsidRPr="004122F0" w:rsidRDefault="00C24CB5" w:rsidP="00C24CB5">
                  <w:pPr>
                    <w:spacing w:after="60"/>
                    <w:rPr>
                      <w:iCs/>
                      <w:sz w:val="20"/>
                      <w:szCs w:val="20"/>
                    </w:rPr>
                  </w:pPr>
                  <w:r w:rsidRPr="00C65B7B">
                    <w:rPr>
                      <w:sz w:val="20"/>
                      <w:szCs w:val="20"/>
                    </w:rPr>
                    <w:t>MW</w:t>
                  </w:r>
                </w:p>
              </w:tc>
              <w:tc>
                <w:tcPr>
                  <w:tcW w:w="3542" w:type="pct"/>
                </w:tcPr>
                <w:p w14:paraId="1258B063" w14:textId="77777777" w:rsidR="00C24CB5" w:rsidRPr="004122F0" w:rsidRDefault="00C24CB5" w:rsidP="00C24CB5">
                  <w:pPr>
                    <w:spacing w:after="60"/>
                    <w:rPr>
                      <w:i/>
                      <w:iCs/>
                      <w:sz w:val="20"/>
                      <w:szCs w:val="20"/>
                    </w:rPr>
                  </w:pPr>
                  <w:r w:rsidRPr="00C65B7B">
                    <w:rPr>
                      <w:i/>
                      <w:sz w:val="20"/>
                      <w:szCs w:val="20"/>
                    </w:rPr>
                    <w:t xml:space="preserve">Day-Ahead Responsive Reserve Only Award </w:t>
                  </w:r>
                  <w:r>
                    <w:rPr>
                      <w:i/>
                      <w:sz w:val="20"/>
                      <w:szCs w:val="20"/>
                    </w:rPr>
                    <w:t>per</w:t>
                  </w:r>
                  <w:r w:rsidRPr="00C65B7B">
                    <w:rPr>
                      <w:i/>
                      <w:sz w:val="20"/>
                      <w:szCs w:val="20"/>
                    </w:rPr>
                    <w:t xml:space="preserve"> QSE </w:t>
                  </w:r>
                  <w:r w:rsidRPr="00C65B7B">
                    <w:rPr>
                      <w:sz w:val="20"/>
                      <w:szCs w:val="20"/>
                    </w:rPr>
                    <w:t xml:space="preserve">—The RRS only capacity quantity awarded in DAM to QSE </w:t>
                  </w:r>
                  <w:r w:rsidRPr="00C65B7B">
                    <w:rPr>
                      <w:i/>
                      <w:sz w:val="20"/>
                      <w:szCs w:val="20"/>
                    </w:rPr>
                    <w:t>q</w:t>
                  </w:r>
                  <w:r w:rsidRPr="00C65B7B">
                    <w:rPr>
                      <w:sz w:val="20"/>
                      <w:szCs w:val="20"/>
                    </w:rPr>
                    <w:t xml:space="preserve"> for the hour.</w:t>
                  </w:r>
                </w:p>
              </w:tc>
            </w:tr>
            <w:tr w:rsidR="00C24CB5" w:rsidRPr="00782EFB" w14:paraId="7F23DECB" w14:textId="77777777" w:rsidTr="007258B7">
              <w:tc>
                <w:tcPr>
                  <w:tcW w:w="950" w:type="pct"/>
                </w:tcPr>
                <w:p w14:paraId="3A51C961" w14:textId="77777777" w:rsidR="00C24CB5" w:rsidRPr="00782EFB" w:rsidRDefault="00C24CB5" w:rsidP="00C24CB5">
                  <w:pPr>
                    <w:spacing w:after="60"/>
                    <w:rPr>
                      <w:i/>
                      <w:iCs/>
                      <w:sz w:val="20"/>
                      <w:szCs w:val="20"/>
                    </w:rPr>
                  </w:pPr>
                  <w:r w:rsidRPr="00782EFB">
                    <w:rPr>
                      <w:i/>
                      <w:iCs/>
                      <w:sz w:val="20"/>
                      <w:szCs w:val="20"/>
                    </w:rPr>
                    <w:t>r</w:t>
                  </w:r>
                </w:p>
              </w:tc>
              <w:tc>
                <w:tcPr>
                  <w:tcW w:w="508" w:type="pct"/>
                </w:tcPr>
                <w:p w14:paraId="6EA7745D" w14:textId="77777777" w:rsidR="00C24CB5" w:rsidRPr="00782EFB" w:rsidRDefault="00C24CB5" w:rsidP="00C24CB5">
                  <w:pPr>
                    <w:spacing w:after="60"/>
                    <w:rPr>
                      <w:iCs/>
                      <w:sz w:val="20"/>
                      <w:szCs w:val="20"/>
                    </w:rPr>
                  </w:pPr>
                  <w:r w:rsidRPr="00782EFB">
                    <w:rPr>
                      <w:iCs/>
                      <w:sz w:val="20"/>
                      <w:szCs w:val="20"/>
                    </w:rPr>
                    <w:t>none</w:t>
                  </w:r>
                </w:p>
              </w:tc>
              <w:tc>
                <w:tcPr>
                  <w:tcW w:w="3542" w:type="pct"/>
                </w:tcPr>
                <w:p w14:paraId="292803BB" w14:textId="77777777" w:rsidR="00C24CB5" w:rsidRPr="00782EFB" w:rsidRDefault="00C24CB5" w:rsidP="00C24CB5">
                  <w:pPr>
                    <w:spacing w:after="60"/>
                    <w:rPr>
                      <w:iCs/>
                      <w:sz w:val="20"/>
                      <w:szCs w:val="20"/>
                    </w:rPr>
                  </w:pPr>
                  <w:r w:rsidRPr="00782EFB">
                    <w:rPr>
                      <w:iCs/>
                      <w:sz w:val="20"/>
                      <w:szCs w:val="20"/>
                    </w:rPr>
                    <w:t>A Resource.</w:t>
                  </w:r>
                </w:p>
              </w:tc>
            </w:tr>
            <w:tr w:rsidR="00C24CB5" w:rsidRPr="00782EFB" w14:paraId="443A0E0D" w14:textId="77777777" w:rsidTr="007258B7">
              <w:tc>
                <w:tcPr>
                  <w:tcW w:w="950" w:type="pct"/>
                </w:tcPr>
                <w:p w14:paraId="1E2704FD" w14:textId="77777777" w:rsidR="00C24CB5" w:rsidRPr="00782EFB" w:rsidRDefault="00C24CB5" w:rsidP="00C24CB5">
                  <w:pPr>
                    <w:spacing w:after="60"/>
                    <w:rPr>
                      <w:i/>
                      <w:iCs/>
                      <w:sz w:val="20"/>
                      <w:szCs w:val="20"/>
                    </w:rPr>
                  </w:pPr>
                  <w:r w:rsidRPr="00782EFB">
                    <w:rPr>
                      <w:i/>
                      <w:iCs/>
                      <w:sz w:val="20"/>
                      <w:szCs w:val="20"/>
                    </w:rPr>
                    <w:t>q</w:t>
                  </w:r>
                </w:p>
              </w:tc>
              <w:tc>
                <w:tcPr>
                  <w:tcW w:w="508" w:type="pct"/>
                </w:tcPr>
                <w:p w14:paraId="59F71F79" w14:textId="77777777" w:rsidR="00C24CB5" w:rsidRPr="00782EFB" w:rsidRDefault="00C24CB5" w:rsidP="00C24CB5">
                  <w:pPr>
                    <w:spacing w:after="60"/>
                    <w:rPr>
                      <w:iCs/>
                      <w:sz w:val="20"/>
                      <w:szCs w:val="20"/>
                    </w:rPr>
                  </w:pPr>
                  <w:r w:rsidRPr="00782EFB">
                    <w:rPr>
                      <w:iCs/>
                      <w:sz w:val="20"/>
                      <w:szCs w:val="20"/>
                    </w:rPr>
                    <w:t>none</w:t>
                  </w:r>
                </w:p>
              </w:tc>
              <w:tc>
                <w:tcPr>
                  <w:tcW w:w="3542" w:type="pct"/>
                </w:tcPr>
                <w:p w14:paraId="787F3C52" w14:textId="77777777" w:rsidR="00C24CB5" w:rsidRPr="00782EFB" w:rsidRDefault="00C24CB5" w:rsidP="00C24CB5">
                  <w:pPr>
                    <w:spacing w:after="60"/>
                    <w:rPr>
                      <w:iCs/>
                      <w:sz w:val="20"/>
                      <w:szCs w:val="20"/>
                    </w:rPr>
                  </w:pPr>
                  <w:r w:rsidRPr="00782EFB">
                    <w:rPr>
                      <w:iCs/>
                      <w:sz w:val="20"/>
                      <w:szCs w:val="20"/>
                    </w:rPr>
                    <w:t>A QSE.</w:t>
                  </w:r>
                </w:p>
              </w:tc>
            </w:tr>
          </w:tbl>
          <w:p w14:paraId="74B60CC1" w14:textId="77777777" w:rsidR="00C24CB5" w:rsidRPr="004B32CF" w:rsidRDefault="00C24CB5" w:rsidP="007258B7">
            <w:pPr>
              <w:pStyle w:val="BodyTextNumbered"/>
            </w:pPr>
          </w:p>
        </w:tc>
      </w:tr>
    </w:tbl>
    <w:p w14:paraId="3385BDB4" w14:textId="77777777" w:rsidR="00FF2129" w:rsidRDefault="00482EF3" w:rsidP="00003B06">
      <w:pPr>
        <w:pStyle w:val="H5"/>
        <w:spacing w:before="480"/>
        <w:ind w:left="1627" w:hanging="1627"/>
      </w:pPr>
      <w:bookmarkStart w:id="798" w:name="_Toc135990696"/>
      <w:r>
        <w:lastRenderedPageBreak/>
        <w:t>4.6.4.1.4</w:t>
      </w:r>
      <w:r>
        <w:tab/>
        <w:t>Non-Spinning Reserve Service Payment</w:t>
      </w:r>
      <w:bookmarkEnd w:id="791"/>
      <w:bookmarkEnd w:id="792"/>
      <w:bookmarkEnd w:id="793"/>
      <w:bookmarkEnd w:id="794"/>
      <w:bookmarkEnd w:id="795"/>
      <w:bookmarkEnd w:id="796"/>
      <w:bookmarkEnd w:id="797"/>
      <w:bookmarkEnd w:id="798"/>
    </w:p>
    <w:p w14:paraId="2CCB61A2" w14:textId="77777777" w:rsidR="00FF2129" w:rsidRDefault="00EE47EB" w:rsidP="00FA6269">
      <w:pPr>
        <w:pStyle w:val="BodyText"/>
        <w:ind w:left="720" w:hanging="720"/>
      </w:pPr>
      <w:r>
        <w:t>(1)</w:t>
      </w:r>
      <w:r>
        <w:tab/>
      </w:r>
      <w:r w:rsidR="00482EF3">
        <w:t>ERCOT shall pay each QSE whose Ancillary Service Offers to provide Non-Spin to ERCOT were cleared in the DAM, for each hour as follows:</w:t>
      </w:r>
    </w:p>
    <w:p w14:paraId="116D4305" w14:textId="0EB537A5" w:rsidR="00FF2129" w:rsidRDefault="00482EF3" w:rsidP="00D46800">
      <w:pPr>
        <w:pStyle w:val="Formula"/>
      </w:pPr>
      <w:r>
        <w:t xml:space="preserve">PCNSAMT </w:t>
      </w:r>
      <w:r>
        <w:rPr>
          <w:i/>
          <w:vertAlign w:val="subscript"/>
        </w:rPr>
        <w:t>q</w:t>
      </w:r>
      <w:r>
        <w:tab/>
        <w:t>=</w:t>
      </w:r>
      <w:r w:rsidR="00E30EAB">
        <w:tab/>
      </w:r>
      <w:r>
        <w:tab/>
        <w:t xml:space="preserve">(-1) * MCPCNS </w:t>
      </w:r>
      <w:r>
        <w:rPr>
          <w:i/>
          <w:vertAlign w:val="subscript"/>
        </w:rPr>
        <w:t>DAM</w:t>
      </w:r>
      <w:r>
        <w:t xml:space="preserve"> * PCNS </w:t>
      </w:r>
      <w:r>
        <w:rPr>
          <w:i/>
          <w:vertAlign w:val="subscript"/>
        </w:rPr>
        <w:t>q</w:t>
      </w:r>
    </w:p>
    <w:p w14:paraId="27B0CF04" w14:textId="77777777" w:rsidR="00FF2129" w:rsidRDefault="00482EF3">
      <w:pPr>
        <w:pStyle w:val="BodyText"/>
        <w:rPr>
          <w:lang w:val="pt-BR"/>
        </w:rPr>
      </w:pPr>
      <w:r>
        <w:rPr>
          <w:lang w:val="pt-BR"/>
        </w:rPr>
        <w:t>Where:</w:t>
      </w:r>
    </w:p>
    <w:p w14:paraId="450288C5" w14:textId="25A6263F" w:rsidR="00FF2129" w:rsidRDefault="00482EF3" w:rsidP="00D46800">
      <w:pPr>
        <w:pStyle w:val="Formula"/>
      </w:pPr>
      <w:r>
        <w:t xml:space="preserve">PCNS </w:t>
      </w:r>
      <w:r>
        <w:rPr>
          <w:i/>
          <w:vertAlign w:val="subscript"/>
        </w:rPr>
        <w:t>q</w:t>
      </w:r>
      <w:r>
        <w:tab/>
        <w:t>=</w:t>
      </w:r>
      <w:r w:rsidR="00E30EAB">
        <w:tab/>
      </w:r>
      <w:r w:rsidR="00E30EAB">
        <w:tab/>
      </w:r>
      <w:r w:rsidR="00FF2129" w:rsidRPr="00FF2129">
        <w:rPr>
          <w:position w:val="-18"/>
        </w:rPr>
        <w:object w:dxaOrig="220" w:dyaOrig="420" w14:anchorId="441DB6B5">
          <v:shape id="_x0000_i1041" type="#_x0000_t75" style="width:13.2pt;height:21pt" o:ole="">
            <v:imagedata r:id="rId40" o:title=""/>
          </v:shape>
          <o:OLEObject Type="Embed" ProgID="Equation.3" ShapeID="_x0000_i1041" DrawAspect="Content" ObjectID="_1775281334" r:id="rId46"/>
        </w:object>
      </w:r>
      <w:r>
        <w:t>PCNSR</w:t>
      </w:r>
      <w:r>
        <w:rPr>
          <w:i/>
        </w:rPr>
        <w:t xml:space="preserve"> </w:t>
      </w:r>
      <w:r>
        <w:rPr>
          <w:i/>
          <w:vertAlign w:val="subscript"/>
        </w:rPr>
        <w:t>r, q, DAM</w:t>
      </w:r>
    </w:p>
    <w:p w14:paraId="0D45CFE0" w14:textId="77777777" w:rsidR="00FF2129" w:rsidRDefault="00482EF3">
      <w:r>
        <w:t>The above variables are defined as follows:</w:t>
      </w:r>
    </w:p>
    <w:tbl>
      <w:tblPr>
        <w:tblW w:w="494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50"/>
        <w:gridCol w:w="951"/>
        <w:gridCol w:w="6554"/>
      </w:tblGrid>
      <w:tr w:rsidR="00FF2129" w14:paraId="5786034D" w14:textId="77777777" w:rsidTr="00E30EAB">
        <w:tc>
          <w:tcPr>
            <w:tcW w:w="945" w:type="pct"/>
          </w:tcPr>
          <w:p w14:paraId="4A4483D7" w14:textId="77777777" w:rsidR="00FF2129" w:rsidRDefault="00482EF3">
            <w:pPr>
              <w:pStyle w:val="TableHead"/>
            </w:pPr>
            <w:r>
              <w:lastRenderedPageBreak/>
              <w:t>Variable</w:t>
            </w:r>
          </w:p>
        </w:tc>
        <w:tc>
          <w:tcPr>
            <w:tcW w:w="514" w:type="pct"/>
          </w:tcPr>
          <w:p w14:paraId="4182A32D" w14:textId="77777777" w:rsidR="00FF2129" w:rsidRDefault="00482EF3">
            <w:pPr>
              <w:pStyle w:val="TableHead"/>
            </w:pPr>
            <w:r>
              <w:t>Unit</w:t>
            </w:r>
          </w:p>
        </w:tc>
        <w:tc>
          <w:tcPr>
            <w:tcW w:w="3540" w:type="pct"/>
          </w:tcPr>
          <w:p w14:paraId="4BBAC78B" w14:textId="77777777" w:rsidR="00FF2129" w:rsidRDefault="00482EF3">
            <w:pPr>
              <w:pStyle w:val="TableHead"/>
            </w:pPr>
            <w:r>
              <w:t>Definition</w:t>
            </w:r>
          </w:p>
        </w:tc>
      </w:tr>
      <w:tr w:rsidR="00FF2129" w14:paraId="53565C0F" w14:textId="77777777" w:rsidTr="00E30EAB">
        <w:tc>
          <w:tcPr>
            <w:tcW w:w="945" w:type="pct"/>
          </w:tcPr>
          <w:p w14:paraId="4B3978B7" w14:textId="77777777" w:rsidR="00FF2129" w:rsidRDefault="00482EF3">
            <w:pPr>
              <w:pStyle w:val="TableBody"/>
            </w:pPr>
            <w:r>
              <w:t xml:space="preserve">PCNSAMT </w:t>
            </w:r>
            <w:r w:rsidRPr="00566C0F">
              <w:rPr>
                <w:i/>
                <w:vertAlign w:val="subscript"/>
              </w:rPr>
              <w:t>q</w:t>
            </w:r>
          </w:p>
        </w:tc>
        <w:tc>
          <w:tcPr>
            <w:tcW w:w="514" w:type="pct"/>
          </w:tcPr>
          <w:p w14:paraId="76D8D2DA" w14:textId="77777777" w:rsidR="00FF2129" w:rsidRDefault="00482EF3">
            <w:pPr>
              <w:pStyle w:val="TableBody"/>
            </w:pPr>
            <w:r>
              <w:t>$</w:t>
            </w:r>
          </w:p>
        </w:tc>
        <w:tc>
          <w:tcPr>
            <w:tcW w:w="3540" w:type="pct"/>
          </w:tcPr>
          <w:p w14:paraId="771DF53F" w14:textId="77777777" w:rsidR="00FF2129" w:rsidRDefault="00482EF3">
            <w:pPr>
              <w:pStyle w:val="TableBody"/>
            </w:pPr>
            <w:r>
              <w:rPr>
                <w:i/>
              </w:rPr>
              <w:t>Procured Capacity for Non-Spin Amount per QSE in DAM</w:t>
            </w:r>
            <w:r>
              <w:t xml:space="preserve">—The DAM Non-Spin payment for QSE </w:t>
            </w:r>
            <w:r>
              <w:rPr>
                <w:i/>
              </w:rPr>
              <w:t>q</w:t>
            </w:r>
            <w:r>
              <w:t xml:space="preserve"> for the hour.</w:t>
            </w:r>
          </w:p>
        </w:tc>
      </w:tr>
      <w:tr w:rsidR="00FF2129" w14:paraId="4EC3AE31" w14:textId="77777777" w:rsidTr="00E30EAB">
        <w:tc>
          <w:tcPr>
            <w:tcW w:w="945" w:type="pct"/>
          </w:tcPr>
          <w:p w14:paraId="33169420" w14:textId="77777777" w:rsidR="00FF2129" w:rsidRDefault="00482EF3">
            <w:pPr>
              <w:pStyle w:val="TableBody"/>
            </w:pPr>
            <w:r>
              <w:t xml:space="preserve">PCNS </w:t>
            </w:r>
            <w:r w:rsidRPr="00566C0F">
              <w:rPr>
                <w:i/>
                <w:vertAlign w:val="subscript"/>
              </w:rPr>
              <w:t>q</w:t>
            </w:r>
          </w:p>
        </w:tc>
        <w:tc>
          <w:tcPr>
            <w:tcW w:w="514" w:type="pct"/>
          </w:tcPr>
          <w:p w14:paraId="043D5FF4" w14:textId="77777777" w:rsidR="00FF2129" w:rsidRDefault="00482EF3">
            <w:pPr>
              <w:pStyle w:val="TableBody"/>
            </w:pPr>
            <w:r>
              <w:t>MW</w:t>
            </w:r>
          </w:p>
        </w:tc>
        <w:tc>
          <w:tcPr>
            <w:tcW w:w="3540" w:type="pct"/>
          </w:tcPr>
          <w:p w14:paraId="4196BC54" w14:textId="77777777" w:rsidR="00FF2129" w:rsidRDefault="00482EF3">
            <w:pPr>
              <w:pStyle w:val="TableBody"/>
            </w:pPr>
            <w:r>
              <w:rPr>
                <w:i/>
              </w:rPr>
              <w:t>Procured Capacity for Non-Spin per QSE in DAM</w:t>
            </w:r>
            <w:r>
              <w:t xml:space="preserve">—The total Non-Spin Service capacity quantity awarded to QSE </w:t>
            </w:r>
            <w:r>
              <w:rPr>
                <w:i/>
              </w:rPr>
              <w:t>q</w:t>
            </w:r>
            <w:r>
              <w:t xml:space="preserve"> in the DAM for all the Resources represented by this QSE for the hour.</w:t>
            </w:r>
          </w:p>
        </w:tc>
      </w:tr>
      <w:tr w:rsidR="00FF2129" w14:paraId="0B0AB141" w14:textId="77777777" w:rsidTr="00E30EAB">
        <w:tc>
          <w:tcPr>
            <w:tcW w:w="945" w:type="pct"/>
          </w:tcPr>
          <w:p w14:paraId="43FE792C" w14:textId="77777777" w:rsidR="00FF2129" w:rsidRDefault="00482EF3">
            <w:pPr>
              <w:pStyle w:val="TableBody"/>
            </w:pPr>
            <w:r>
              <w:t xml:space="preserve">PCNSR </w:t>
            </w:r>
            <w:r w:rsidRPr="00566C0F">
              <w:rPr>
                <w:i/>
                <w:vertAlign w:val="subscript"/>
              </w:rPr>
              <w:t>r</w:t>
            </w:r>
            <w:r w:rsidR="00EF43E9" w:rsidRPr="00566C0F">
              <w:rPr>
                <w:i/>
                <w:vertAlign w:val="subscript"/>
              </w:rPr>
              <w:t>,</w:t>
            </w:r>
            <w:r w:rsidRPr="00566C0F">
              <w:rPr>
                <w:i/>
              </w:rPr>
              <w:t xml:space="preserve"> </w:t>
            </w:r>
            <w:r w:rsidRPr="00566C0F">
              <w:rPr>
                <w:i/>
                <w:vertAlign w:val="subscript"/>
              </w:rPr>
              <w:t>q</w:t>
            </w:r>
            <w:r w:rsidR="00D0798F" w:rsidRPr="00566C0F">
              <w:rPr>
                <w:i/>
                <w:vertAlign w:val="subscript"/>
              </w:rPr>
              <w:t>,</w:t>
            </w:r>
            <w:r w:rsidRPr="00566C0F">
              <w:rPr>
                <w:i/>
                <w:vertAlign w:val="subscript"/>
              </w:rPr>
              <w:t xml:space="preserve"> DAM</w:t>
            </w:r>
          </w:p>
        </w:tc>
        <w:tc>
          <w:tcPr>
            <w:tcW w:w="514" w:type="pct"/>
          </w:tcPr>
          <w:p w14:paraId="147B71FE" w14:textId="77777777" w:rsidR="00FF2129" w:rsidRDefault="00482EF3">
            <w:pPr>
              <w:pStyle w:val="TableBody"/>
            </w:pPr>
            <w:r>
              <w:t>MW</w:t>
            </w:r>
          </w:p>
        </w:tc>
        <w:tc>
          <w:tcPr>
            <w:tcW w:w="3540" w:type="pct"/>
          </w:tcPr>
          <w:p w14:paraId="5ED0CB0E" w14:textId="77777777" w:rsidR="00FF2129" w:rsidRDefault="00482EF3">
            <w:pPr>
              <w:pStyle w:val="TableBody"/>
            </w:pPr>
            <w:r>
              <w:rPr>
                <w:i/>
              </w:rPr>
              <w:t>Procured Capacity for Non-Spin from Resource per Resource per QSE in DAM</w:t>
            </w:r>
            <w:r>
              <w:t xml:space="preserve">—The Non-Spin capacity quantity awarded to QSE </w:t>
            </w:r>
            <w:r>
              <w:rPr>
                <w:i/>
              </w:rPr>
              <w:t>q</w:t>
            </w:r>
            <w:r>
              <w:t xml:space="preserve"> in the DAM for Resource </w:t>
            </w:r>
            <w:r>
              <w:rPr>
                <w:i/>
              </w:rPr>
              <w:t>r</w:t>
            </w:r>
            <w:r>
              <w:t xml:space="preserve"> for the hour.</w:t>
            </w:r>
            <w:r w:rsidR="00D0798F">
              <w:t xml:space="preserve">  Where for a Combined Cycle Train, the Resource </w:t>
            </w:r>
            <w:r w:rsidR="00D0798F" w:rsidRPr="00B34C5D">
              <w:rPr>
                <w:i/>
              </w:rPr>
              <w:t>r</w:t>
            </w:r>
            <w:r w:rsidR="00D0798F">
              <w:rPr>
                <w:i/>
              </w:rPr>
              <w:t xml:space="preserve"> </w:t>
            </w:r>
            <w:r w:rsidR="00D0798F" w:rsidRPr="001C65E0">
              <w:t xml:space="preserve">is a </w:t>
            </w:r>
            <w:r w:rsidR="00D0798F">
              <w:t>Combined Cycle Generation Resource within the Combined Cycle Train.</w:t>
            </w:r>
          </w:p>
        </w:tc>
      </w:tr>
      <w:tr w:rsidR="00FF2129" w14:paraId="221E59DE" w14:textId="77777777" w:rsidTr="00E30EAB">
        <w:tc>
          <w:tcPr>
            <w:tcW w:w="945" w:type="pct"/>
          </w:tcPr>
          <w:p w14:paraId="343EC3EF" w14:textId="77777777" w:rsidR="00FF2129" w:rsidRDefault="00482EF3">
            <w:pPr>
              <w:pStyle w:val="TableBody"/>
            </w:pPr>
            <w:r>
              <w:t xml:space="preserve">MCPCNS </w:t>
            </w:r>
            <w:r w:rsidRPr="00566C0F">
              <w:rPr>
                <w:i/>
                <w:vertAlign w:val="subscript"/>
              </w:rPr>
              <w:t>DAM</w:t>
            </w:r>
          </w:p>
        </w:tc>
        <w:tc>
          <w:tcPr>
            <w:tcW w:w="514" w:type="pct"/>
          </w:tcPr>
          <w:p w14:paraId="66EF7FF0" w14:textId="77777777" w:rsidR="00FF2129" w:rsidRDefault="00482EF3">
            <w:pPr>
              <w:pStyle w:val="TableBody"/>
            </w:pPr>
            <w:r>
              <w:t>$/MW per hour</w:t>
            </w:r>
          </w:p>
        </w:tc>
        <w:tc>
          <w:tcPr>
            <w:tcW w:w="3540" w:type="pct"/>
          </w:tcPr>
          <w:p w14:paraId="0D0C0B68" w14:textId="77777777" w:rsidR="00FF2129" w:rsidRDefault="00482EF3">
            <w:pPr>
              <w:pStyle w:val="TableBody"/>
            </w:pPr>
            <w:r>
              <w:rPr>
                <w:i/>
              </w:rPr>
              <w:t>Market Clearing Price for Capacity for Non-Spin in DAM</w:t>
            </w:r>
            <w:r>
              <w:t>—The DAM MCPC for Non-Spin for the hour.</w:t>
            </w:r>
          </w:p>
        </w:tc>
      </w:tr>
      <w:tr w:rsidR="00FF2129" w14:paraId="190599C3" w14:textId="77777777" w:rsidTr="00E30EAB">
        <w:tc>
          <w:tcPr>
            <w:tcW w:w="945" w:type="pct"/>
          </w:tcPr>
          <w:p w14:paraId="016A5F43" w14:textId="77777777" w:rsidR="00FF2129" w:rsidRPr="00566C0F" w:rsidRDefault="00482EF3">
            <w:pPr>
              <w:pStyle w:val="TableBody"/>
              <w:rPr>
                <w:i/>
              </w:rPr>
            </w:pPr>
            <w:r w:rsidRPr="00566C0F">
              <w:rPr>
                <w:i/>
              </w:rPr>
              <w:t>r</w:t>
            </w:r>
          </w:p>
        </w:tc>
        <w:tc>
          <w:tcPr>
            <w:tcW w:w="514" w:type="pct"/>
          </w:tcPr>
          <w:p w14:paraId="68D536FF" w14:textId="77777777" w:rsidR="00FF2129" w:rsidRDefault="00482EF3">
            <w:pPr>
              <w:pStyle w:val="TableBody"/>
            </w:pPr>
            <w:r>
              <w:t>none</w:t>
            </w:r>
          </w:p>
        </w:tc>
        <w:tc>
          <w:tcPr>
            <w:tcW w:w="3540" w:type="pct"/>
          </w:tcPr>
          <w:p w14:paraId="56ABD48A" w14:textId="77777777" w:rsidR="00FF2129" w:rsidRDefault="00482EF3">
            <w:pPr>
              <w:pStyle w:val="TableBody"/>
            </w:pPr>
            <w:r>
              <w:t>A Resource.</w:t>
            </w:r>
          </w:p>
        </w:tc>
      </w:tr>
      <w:tr w:rsidR="00FF2129" w14:paraId="60678FE0" w14:textId="77777777" w:rsidTr="00E30EAB">
        <w:tc>
          <w:tcPr>
            <w:tcW w:w="945" w:type="pct"/>
          </w:tcPr>
          <w:p w14:paraId="06E88956" w14:textId="77777777" w:rsidR="00FF2129" w:rsidRPr="00566C0F" w:rsidRDefault="00482EF3">
            <w:pPr>
              <w:pStyle w:val="TableBody"/>
              <w:rPr>
                <w:i/>
              </w:rPr>
            </w:pPr>
            <w:r w:rsidRPr="00566C0F">
              <w:rPr>
                <w:i/>
              </w:rPr>
              <w:t>q</w:t>
            </w:r>
          </w:p>
        </w:tc>
        <w:tc>
          <w:tcPr>
            <w:tcW w:w="514" w:type="pct"/>
          </w:tcPr>
          <w:p w14:paraId="21E96443" w14:textId="77777777" w:rsidR="00FF2129" w:rsidRDefault="00482EF3">
            <w:pPr>
              <w:pStyle w:val="TableBody"/>
            </w:pPr>
            <w:r>
              <w:t>none</w:t>
            </w:r>
          </w:p>
        </w:tc>
        <w:tc>
          <w:tcPr>
            <w:tcW w:w="3540" w:type="pct"/>
          </w:tcPr>
          <w:p w14:paraId="11B824C7" w14:textId="77777777" w:rsidR="00FF2129" w:rsidRDefault="00482EF3">
            <w:pPr>
              <w:pStyle w:val="TableBody"/>
            </w:pPr>
            <w:r>
              <w:t>A QSE.</w:t>
            </w:r>
          </w:p>
        </w:tc>
      </w:tr>
    </w:tbl>
    <w:p w14:paraId="25DA42C2" w14:textId="77777777" w:rsidR="00B46E4A" w:rsidRDefault="00B46E4A"/>
    <w:tbl>
      <w:tblPr>
        <w:tblW w:w="4950"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257"/>
      </w:tblGrid>
      <w:tr w:rsidR="00C24CB5" w:rsidRPr="004B32CF" w14:paraId="5275E564" w14:textId="77777777" w:rsidTr="00E30EAB">
        <w:trPr>
          <w:trHeight w:val="386"/>
        </w:trPr>
        <w:tc>
          <w:tcPr>
            <w:tcW w:w="5000" w:type="pct"/>
            <w:shd w:val="pct12" w:color="auto" w:fill="auto"/>
          </w:tcPr>
          <w:p w14:paraId="3FF16E61" w14:textId="77777777" w:rsidR="00C24CB5" w:rsidRPr="004B32CF" w:rsidRDefault="00C24CB5" w:rsidP="007258B7">
            <w:pPr>
              <w:spacing w:before="120" w:after="240"/>
              <w:rPr>
                <w:b/>
                <w:i/>
                <w:iCs/>
              </w:rPr>
            </w:pPr>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66EC5ADD" w14:textId="77777777" w:rsidR="00C24CB5" w:rsidRPr="006145CA" w:rsidRDefault="00C24CB5" w:rsidP="00C24CB5">
            <w:pPr>
              <w:pStyle w:val="BodyText"/>
              <w:ind w:left="720" w:hanging="720"/>
            </w:pPr>
            <w:r w:rsidRPr="006145CA">
              <w:t>(1)</w:t>
            </w:r>
            <w:r w:rsidRPr="006145CA">
              <w:tab/>
              <w:t>ERCOT shall pay each QSE whose Resource-</w:t>
            </w:r>
            <w:r>
              <w:t>S</w:t>
            </w:r>
            <w:r w:rsidRPr="006145CA">
              <w:t>pecific Ancillary Service Offers to provide Non-Spin to ERCOT were cleared in the DAM, for each hour as follows:</w:t>
            </w:r>
          </w:p>
          <w:p w14:paraId="1466CA1F" w14:textId="371F8A77" w:rsidR="00C24CB5" w:rsidRDefault="00C24CB5" w:rsidP="00E30EAB">
            <w:pPr>
              <w:pStyle w:val="FormulaBold"/>
            </w:pPr>
            <w:r>
              <w:t xml:space="preserve">PCNSAMT </w:t>
            </w:r>
            <w:r>
              <w:rPr>
                <w:i/>
                <w:vertAlign w:val="subscript"/>
              </w:rPr>
              <w:t>q</w:t>
            </w:r>
            <w:r>
              <w:tab/>
              <w:t>=</w:t>
            </w:r>
            <w:r>
              <w:tab/>
              <w:t xml:space="preserve">(-1) * MCPCNS </w:t>
            </w:r>
            <w:r>
              <w:rPr>
                <w:i/>
                <w:vertAlign w:val="subscript"/>
              </w:rPr>
              <w:t>DAM</w:t>
            </w:r>
            <w:r>
              <w:t xml:space="preserve"> * PCNS </w:t>
            </w:r>
            <w:r>
              <w:rPr>
                <w:i/>
                <w:vertAlign w:val="subscript"/>
              </w:rPr>
              <w:t>q</w:t>
            </w:r>
          </w:p>
          <w:p w14:paraId="4664C813" w14:textId="77777777" w:rsidR="00C24CB5" w:rsidRDefault="00C24CB5" w:rsidP="00C24CB5">
            <w:pPr>
              <w:pStyle w:val="BodyText"/>
              <w:rPr>
                <w:lang w:val="pt-BR"/>
              </w:rPr>
            </w:pPr>
            <w:r>
              <w:rPr>
                <w:lang w:val="pt-BR"/>
              </w:rPr>
              <w:t>Where:</w:t>
            </w:r>
          </w:p>
          <w:p w14:paraId="235C5F50" w14:textId="0BB890BF" w:rsidR="00C24CB5" w:rsidRDefault="00C24CB5" w:rsidP="00E30EAB">
            <w:pPr>
              <w:pStyle w:val="FormulaBold"/>
              <w:rPr>
                <w:i/>
                <w:vertAlign w:val="subscript"/>
              </w:rPr>
            </w:pPr>
            <w:r>
              <w:t xml:space="preserve">PCNS </w:t>
            </w:r>
            <w:r>
              <w:rPr>
                <w:i/>
                <w:vertAlign w:val="subscript"/>
              </w:rPr>
              <w:t xml:space="preserve">q   </w:t>
            </w:r>
            <w:r w:rsidR="00E30EAB">
              <w:tab/>
            </w:r>
            <w:r>
              <w:t>=</w:t>
            </w:r>
            <w:r w:rsidR="00E30EAB">
              <w:tab/>
            </w:r>
            <w:r w:rsidRPr="00FF2129">
              <w:rPr>
                <w:position w:val="-18"/>
              </w:rPr>
              <w:object w:dxaOrig="288" w:dyaOrig="438" w14:anchorId="075F1D1B">
                <v:shape id="_x0000_i1042" type="#_x0000_t75" style="width:13.8pt;height:21.6pt" o:ole="">
                  <v:imagedata r:id="rId40" o:title=""/>
                </v:shape>
                <o:OLEObject Type="Embed" ProgID="Equation.3" ShapeID="_x0000_i1042" DrawAspect="Content" ObjectID="_1775281335" r:id="rId47"/>
              </w:object>
            </w:r>
            <w:r>
              <w:t>PCNSR</w:t>
            </w:r>
            <w:r>
              <w:rPr>
                <w:i/>
              </w:rPr>
              <w:t xml:space="preserve"> </w:t>
            </w:r>
            <w:r>
              <w:rPr>
                <w:i/>
                <w:vertAlign w:val="subscript"/>
              </w:rPr>
              <w:t>r, q, DAM</w:t>
            </w:r>
          </w:p>
          <w:p w14:paraId="29C154CF" w14:textId="77777777" w:rsidR="00C24CB5" w:rsidRPr="006145CA" w:rsidRDefault="00C24CB5" w:rsidP="00C24CB5">
            <w:pPr>
              <w:pStyle w:val="BodyText"/>
              <w:spacing w:before="240"/>
              <w:ind w:left="720" w:hanging="720"/>
              <w:rPr>
                <w:lang w:val="pt-BR"/>
              </w:rPr>
            </w:pPr>
            <w:r w:rsidRPr="006145CA">
              <w:rPr>
                <w:lang w:val="pt-BR"/>
              </w:rPr>
              <w:t>(2)</w:t>
            </w:r>
            <w:r w:rsidRPr="006145CA">
              <w:rPr>
                <w:lang w:val="pt-BR"/>
              </w:rPr>
              <w:tab/>
            </w:r>
            <w:r w:rsidRPr="006145CA">
              <w:t>ERCOT shall pay each QSE whose Ancillary Service Only Offers to provide Non-Spin to ERCOT were cleared in the DAM, for each hour as follows:</w:t>
            </w:r>
          </w:p>
          <w:p w14:paraId="78DF4D61" w14:textId="0234D76B" w:rsidR="00C24CB5" w:rsidRPr="006145CA" w:rsidRDefault="00C24CB5" w:rsidP="00D46800">
            <w:pPr>
              <w:pStyle w:val="Formula"/>
            </w:pPr>
            <w:r w:rsidRPr="006145CA">
              <w:t xml:space="preserve">DAPCNSOAMT </w:t>
            </w:r>
            <w:r w:rsidRPr="006145CA">
              <w:rPr>
                <w:i/>
                <w:vertAlign w:val="subscript"/>
              </w:rPr>
              <w:t xml:space="preserve">q  </w:t>
            </w:r>
            <w:r w:rsidRPr="006145CA">
              <w:t>=</w:t>
            </w:r>
            <w:r>
              <w:t xml:space="preserve"> </w:t>
            </w:r>
            <w:r w:rsidRPr="006145CA">
              <w:t>(-1) * MCPCNS</w:t>
            </w:r>
            <w:r w:rsidRPr="003D74CC">
              <w:rPr>
                <w:i/>
                <w:vertAlign w:val="subscript"/>
              </w:rPr>
              <w:t xml:space="preserve"> </w:t>
            </w:r>
            <w:r>
              <w:rPr>
                <w:i/>
                <w:vertAlign w:val="subscript"/>
              </w:rPr>
              <w:t>DAM</w:t>
            </w:r>
            <w:r>
              <w:t xml:space="preserve"> </w:t>
            </w:r>
            <w:r w:rsidRPr="006145CA">
              <w:rPr>
                <w:i/>
              </w:rPr>
              <w:t>*</w:t>
            </w:r>
            <w:r>
              <w:t xml:space="preserve"> </w:t>
            </w:r>
            <w:r w:rsidRPr="006145CA">
              <w:t xml:space="preserve">DANSOAWD </w:t>
            </w:r>
            <w:r w:rsidRPr="006145CA">
              <w:rPr>
                <w:i/>
                <w:vertAlign w:val="subscript"/>
              </w:rPr>
              <w:t>q</w:t>
            </w:r>
          </w:p>
          <w:p w14:paraId="29A88DAE" w14:textId="77777777" w:rsidR="00C24CB5" w:rsidRDefault="00C24CB5" w:rsidP="00C24CB5">
            <w:r>
              <w:t>The above variables are defined as follows:</w:t>
            </w:r>
          </w:p>
          <w:tbl>
            <w:tblPr>
              <w:tblW w:w="4999" w:type="pc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04"/>
              <w:gridCol w:w="927"/>
              <w:gridCol w:w="6384"/>
            </w:tblGrid>
            <w:tr w:rsidR="00C24CB5" w14:paraId="738CC580" w14:textId="77777777" w:rsidTr="007258B7">
              <w:tc>
                <w:tcPr>
                  <w:tcW w:w="945" w:type="pct"/>
                </w:tcPr>
                <w:p w14:paraId="42502766" w14:textId="77777777" w:rsidR="00C24CB5" w:rsidRDefault="00C24CB5" w:rsidP="00C24CB5">
                  <w:pPr>
                    <w:pStyle w:val="TableHead"/>
                  </w:pPr>
                  <w:r>
                    <w:t>Variable</w:t>
                  </w:r>
                </w:p>
              </w:tc>
              <w:tc>
                <w:tcPr>
                  <w:tcW w:w="514" w:type="pct"/>
                </w:tcPr>
                <w:p w14:paraId="18045012" w14:textId="77777777" w:rsidR="00C24CB5" w:rsidRDefault="00C24CB5" w:rsidP="00C24CB5">
                  <w:pPr>
                    <w:pStyle w:val="TableHead"/>
                  </w:pPr>
                  <w:r>
                    <w:t>Unit</w:t>
                  </w:r>
                </w:p>
              </w:tc>
              <w:tc>
                <w:tcPr>
                  <w:tcW w:w="3541" w:type="pct"/>
                </w:tcPr>
                <w:p w14:paraId="7880781C" w14:textId="77777777" w:rsidR="00C24CB5" w:rsidRDefault="00C24CB5" w:rsidP="00C24CB5">
                  <w:pPr>
                    <w:pStyle w:val="TableHead"/>
                  </w:pPr>
                  <w:r>
                    <w:t>Definition</w:t>
                  </w:r>
                </w:p>
              </w:tc>
            </w:tr>
            <w:tr w:rsidR="00C24CB5" w14:paraId="5DBD6241" w14:textId="77777777" w:rsidTr="007258B7">
              <w:tc>
                <w:tcPr>
                  <w:tcW w:w="945" w:type="pct"/>
                </w:tcPr>
                <w:p w14:paraId="7A81BF1A" w14:textId="77777777" w:rsidR="00C24CB5" w:rsidRDefault="00C24CB5" w:rsidP="00C24CB5">
                  <w:pPr>
                    <w:pStyle w:val="TableBody"/>
                  </w:pPr>
                  <w:r>
                    <w:t xml:space="preserve">PCNSAMT </w:t>
                  </w:r>
                  <w:r w:rsidRPr="00566C0F">
                    <w:rPr>
                      <w:i/>
                      <w:vertAlign w:val="subscript"/>
                    </w:rPr>
                    <w:t>q</w:t>
                  </w:r>
                </w:p>
              </w:tc>
              <w:tc>
                <w:tcPr>
                  <w:tcW w:w="514" w:type="pct"/>
                </w:tcPr>
                <w:p w14:paraId="5E8D2F2C" w14:textId="77777777" w:rsidR="00C24CB5" w:rsidRDefault="00C24CB5" w:rsidP="00C24CB5">
                  <w:pPr>
                    <w:pStyle w:val="TableBody"/>
                  </w:pPr>
                  <w:r>
                    <w:t>$</w:t>
                  </w:r>
                </w:p>
              </w:tc>
              <w:tc>
                <w:tcPr>
                  <w:tcW w:w="3541" w:type="pct"/>
                </w:tcPr>
                <w:p w14:paraId="69578605" w14:textId="77777777" w:rsidR="00C24CB5" w:rsidRDefault="00C24CB5" w:rsidP="00C24CB5">
                  <w:pPr>
                    <w:pStyle w:val="TableBody"/>
                  </w:pPr>
                  <w:r>
                    <w:rPr>
                      <w:i/>
                    </w:rPr>
                    <w:t>Procured Capacity for Non-Spin Amount per QSE in DAM</w:t>
                  </w:r>
                  <w:r>
                    <w:t xml:space="preserve">—The DAM Non-Spin payment for QSE </w:t>
                  </w:r>
                  <w:r>
                    <w:rPr>
                      <w:i/>
                    </w:rPr>
                    <w:t>q</w:t>
                  </w:r>
                  <w:r>
                    <w:t xml:space="preserve"> for the hour.</w:t>
                  </w:r>
                </w:p>
              </w:tc>
            </w:tr>
            <w:tr w:rsidR="00C24CB5" w14:paraId="09BB0EDA" w14:textId="77777777" w:rsidTr="007258B7">
              <w:tc>
                <w:tcPr>
                  <w:tcW w:w="945" w:type="pct"/>
                </w:tcPr>
                <w:p w14:paraId="456F3BCB" w14:textId="77777777" w:rsidR="00C24CB5" w:rsidRDefault="00C24CB5" w:rsidP="00C24CB5">
                  <w:pPr>
                    <w:pStyle w:val="TableBody"/>
                  </w:pPr>
                  <w:r w:rsidRPr="006145CA">
                    <w:t>DA</w:t>
                  </w:r>
                  <w:r>
                    <w:t>PCNS</w:t>
                  </w:r>
                  <w:r w:rsidRPr="006145CA">
                    <w:t>OAMT</w:t>
                  </w:r>
                  <w:r w:rsidRPr="006145CA">
                    <w:rPr>
                      <w:i/>
                    </w:rPr>
                    <w:t xml:space="preserve"> </w:t>
                  </w:r>
                  <w:r w:rsidRPr="006145CA">
                    <w:rPr>
                      <w:i/>
                      <w:vertAlign w:val="subscript"/>
                    </w:rPr>
                    <w:t>q</w:t>
                  </w:r>
                </w:p>
              </w:tc>
              <w:tc>
                <w:tcPr>
                  <w:tcW w:w="514" w:type="pct"/>
                </w:tcPr>
                <w:p w14:paraId="5755AEF7" w14:textId="77777777" w:rsidR="00C24CB5" w:rsidRDefault="00C24CB5" w:rsidP="00C24CB5">
                  <w:pPr>
                    <w:pStyle w:val="TableBody"/>
                  </w:pPr>
                  <w:r w:rsidRPr="006145CA">
                    <w:t>$</w:t>
                  </w:r>
                </w:p>
              </w:tc>
              <w:tc>
                <w:tcPr>
                  <w:tcW w:w="3541" w:type="pct"/>
                </w:tcPr>
                <w:p w14:paraId="0D2619DE" w14:textId="77777777" w:rsidR="00C24CB5" w:rsidRDefault="00C24CB5" w:rsidP="00C24CB5">
                  <w:pPr>
                    <w:pStyle w:val="TableBody"/>
                    <w:rPr>
                      <w:i/>
                    </w:rPr>
                  </w:pPr>
                  <w:r>
                    <w:rPr>
                      <w:i/>
                    </w:rPr>
                    <w:t>Day-Ahead Procured Capacity for Non-Spin</w:t>
                  </w:r>
                  <w:r w:rsidRPr="006145CA">
                    <w:rPr>
                      <w:i/>
                    </w:rPr>
                    <w:t xml:space="preserve"> Only </w:t>
                  </w:r>
                  <w:r>
                    <w:rPr>
                      <w:i/>
                    </w:rPr>
                    <w:t>Amount</w:t>
                  </w:r>
                  <w:r w:rsidRPr="006145CA">
                    <w:rPr>
                      <w:i/>
                    </w:rPr>
                    <w:t xml:space="preserve"> per QSE</w:t>
                  </w:r>
                  <w:r w:rsidRPr="006145CA">
                    <w:t xml:space="preserve">— The payment to QSE </w:t>
                  </w:r>
                  <w:r w:rsidRPr="006145CA">
                    <w:rPr>
                      <w:i/>
                    </w:rPr>
                    <w:t>q</w:t>
                  </w:r>
                  <w:r w:rsidRPr="006145CA">
                    <w:t xml:space="preserve"> </w:t>
                  </w:r>
                  <w:r>
                    <w:t>f</w:t>
                  </w:r>
                  <w:r w:rsidRPr="006145CA">
                    <w:t xml:space="preserve">or all </w:t>
                  </w:r>
                  <w:r>
                    <w:t>Non-Spin</w:t>
                  </w:r>
                  <w:r w:rsidRPr="006145CA">
                    <w:t xml:space="preserve"> only awards </w:t>
                  </w:r>
                  <w:r>
                    <w:t xml:space="preserve">in DAM </w:t>
                  </w:r>
                  <w:r w:rsidRPr="006145CA">
                    <w:t>for the hour.</w:t>
                  </w:r>
                </w:p>
              </w:tc>
            </w:tr>
            <w:tr w:rsidR="00C24CB5" w14:paraId="20C53F50" w14:textId="77777777" w:rsidTr="007258B7">
              <w:tc>
                <w:tcPr>
                  <w:tcW w:w="945" w:type="pct"/>
                </w:tcPr>
                <w:p w14:paraId="68357352" w14:textId="77777777" w:rsidR="00C24CB5" w:rsidRDefault="00C24CB5" w:rsidP="00C24CB5">
                  <w:pPr>
                    <w:pStyle w:val="TableBody"/>
                  </w:pPr>
                  <w:r>
                    <w:t xml:space="preserve">PCNS </w:t>
                  </w:r>
                  <w:r w:rsidRPr="00566C0F">
                    <w:rPr>
                      <w:i/>
                      <w:vertAlign w:val="subscript"/>
                    </w:rPr>
                    <w:t>q</w:t>
                  </w:r>
                </w:p>
              </w:tc>
              <w:tc>
                <w:tcPr>
                  <w:tcW w:w="514" w:type="pct"/>
                </w:tcPr>
                <w:p w14:paraId="6595FE7B" w14:textId="77777777" w:rsidR="00C24CB5" w:rsidRDefault="00C24CB5" w:rsidP="00C24CB5">
                  <w:pPr>
                    <w:pStyle w:val="TableBody"/>
                  </w:pPr>
                  <w:r>
                    <w:t>MW</w:t>
                  </w:r>
                </w:p>
              </w:tc>
              <w:tc>
                <w:tcPr>
                  <w:tcW w:w="3541" w:type="pct"/>
                </w:tcPr>
                <w:p w14:paraId="4650B1E4" w14:textId="77777777" w:rsidR="00C24CB5" w:rsidRDefault="00C24CB5" w:rsidP="00C24CB5">
                  <w:pPr>
                    <w:pStyle w:val="TableBody"/>
                  </w:pPr>
                  <w:r>
                    <w:rPr>
                      <w:i/>
                    </w:rPr>
                    <w:t>Procured Capacity for Non-Spin per QSE in DAM</w:t>
                  </w:r>
                  <w:r>
                    <w:t xml:space="preserve">—The total Non-Spin Service capacity quantity awarded to QSE </w:t>
                  </w:r>
                  <w:r>
                    <w:rPr>
                      <w:i/>
                    </w:rPr>
                    <w:t>q</w:t>
                  </w:r>
                  <w:r>
                    <w:t xml:space="preserve"> in the DAM for all the Resources represented by this QSE for the hour.</w:t>
                  </w:r>
                </w:p>
              </w:tc>
            </w:tr>
            <w:tr w:rsidR="00C24CB5" w14:paraId="0039AAFA" w14:textId="77777777" w:rsidTr="007258B7">
              <w:tc>
                <w:tcPr>
                  <w:tcW w:w="945" w:type="pct"/>
                </w:tcPr>
                <w:p w14:paraId="4A1A9E7A" w14:textId="77777777" w:rsidR="00C24CB5" w:rsidRDefault="00C24CB5" w:rsidP="00C24CB5">
                  <w:pPr>
                    <w:pStyle w:val="TableBody"/>
                  </w:pPr>
                  <w:r>
                    <w:t xml:space="preserve">PCNSR </w:t>
                  </w:r>
                  <w:r w:rsidRPr="00566C0F">
                    <w:rPr>
                      <w:i/>
                      <w:vertAlign w:val="subscript"/>
                    </w:rPr>
                    <w:t>r,</w:t>
                  </w:r>
                  <w:r w:rsidRPr="00566C0F">
                    <w:rPr>
                      <w:i/>
                    </w:rPr>
                    <w:t xml:space="preserve"> </w:t>
                  </w:r>
                  <w:r w:rsidRPr="00566C0F">
                    <w:rPr>
                      <w:i/>
                      <w:vertAlign w:val="subscript"/>
                    </w:rPr>
                    <w:t>q, DAM</w:t>
                  </w:r>
                </w:p>
              </w:tc>
              <w:tc>
                <w:tcPr>
                  <w:tcW w:w="514" w:type="pct"/>
                </w:tcPr>
                <w:p w14:paraId="7A3E93EB" w14:textId="77777777" w:rsidR="00C24CB5" w:rsidRDefault="00C24CB5" w:rsidP="00C24CB5">
                  <w:pPr>
                    <w:pStyle w:val="TableBody"/>
                  </w:pPr>
                  <w:r>
                    <w:t>MW</w:t>
                  </w:r>
                </w:p>
              </w:tc>
              <w:tc>
                <w:tcPr>
                  <w:tcW w:w="3541" w:type="pct"/>
                </w:tcPr>
                <w:p w14:paraId="4DBDAA43" w14:textId="77777777" w:rsidR="00C24CB5" w:rsidRDefault="00C24CB5" w:rsidP="00C24CB5">
                  <w:pPr>
                    <w:pStyle w:val="TableBody"/>
                  </w:pPr>
                  <w:r>
                    <w:rPr>
                      <w:i/>
                    </w:rPr>
                    <w:t>Procured Capacity for Non-Spin from Resource per Resource per QSE in DAM</w:t>
                  </w:r>
                  <w:r>
                    <w:t xml:space="preserve">—The Non-Spin capacity quantity awarded to QSE </w:t>
                  </w:r>
                  <w:r>
                    <w:rPr>
                      <w:i/>
                    </w:rPr>
                    <w:t>q</w:t>
                  </w:r>
                  <w:r>
                    <w:t xml:space="preserve"> in the DAM for Resource </w:t>
                  </w:r>
                  <w:r>
                    <w:rPr>
                      <w:i/>
                    </w:rPr>
                    <w:t>r</w:t>
                  </w:r>
                  <w:r>
                    <w:t xml:space="preserve"> for the hour.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C24CB5" w14:paraId="585F3B09" w14:textId="77777777" w:rsidTr="007258B7">
              <w:tc>
                <w:tcPr>
                  <w:tcW w:w="945" w:type="pct"/>
                </w:tcPr>
                <w:p w14:paraId="3F60FC1B" w14:textId="77777777" w:rsidR="00C24CB5" w:rsidRDefault="00C24CB5" w:rsidP="00C24CB5">
                  <w:pPr>
                    <w:pStyle w:val="TableBody"/>
                  </w:pPr>
                  <w:r>
                    <w:lastRenderedPageBreak/>
                    <w:t xml:space="preserve">MCPCNS </w:t>
                  </w:r>
                  <w:r w:rsidRPr="00566C0F">
                    <w:rPr>
                      <w:i/>
                      <w:vertAlign w:val="subscript"/>
                    </w:rPr>
                    <w:t>DAM</w:t>
                  </w:r>
                </w:p>
              </w:tc>
              <w:tc>
                <w:tcPr>
                  <w:tcW w:w="514" w:type="pct"/>
                </w:tcPr>
                <w:p w14:paraId="06B47600" w14:textId="77777777" w:rsidR="00C24CB5" w:rsidRDefault="00C24CB5" w:rsidP="00C24CB5">
                  <w:pPr>
                    <w:pStyle w:val="TableBody"/>
                  </w:pPr>
                  <w:r>
                    <w:t xml:space="preserve">$/MW </w:t>
                  </w:r>
                </w:p>
              </w:tc>
              <w:tc>
                <w:tcPr>
                  <w:tcW w:w="3541" w:type="pct"/>
                </w:tcPr>
                <w:p w14:paraId="541F85DC" w14:textId="77777777" w:rsidR="00C24CB5" w:rsidRDefault="00C24CB5" w:rsidP="00C24CB5">
                  <w:pPr>
                    <w:pStyle w:val="TableBody"/>
                  </w:pPr>
                  <w:r>
                    <w:rPr>
                      <w:i/>
                    </w:rPr>
                    <w:t>Market Clearing Price for Capacity for Non-Spin in DAM</w:t>
                  </w:r>
                  <w:r>
                    <w:t>—The DAM MCPC for Non-Spin for the hour.</w:t>
                  </w:r>
                </w:p>
              </w:tc>
            </w:tr>
            <w:tr w:rsidR="00C24CB5" w14:paraId="726CB873" w14:textId="77777777" w:rsidTr="007258B7">
              <w:tc>
                <w:tcPr>
                  <w:tcW w:w="945" w:type="pct"/>
                </w:tcPr>
                <w:p w14:paraId="5868BA9C" w14:textId="77777777" w:rsidR="00C24CB5" w:rsidRDefault="00C24CB5" w:rsidP="00C24CB5">
                  <w:pPr>
                    <w:pStyle w:val="TableBody"/>
                  </w:pPr>
                  <w:r w:rsidRPr="006145CA">
                    <w:t>DA</w:t>
                  </w:r>
                  <w:r>
                    <w:t>NS</w:t>
                  </w:r>
                  <w:r w:rsidRPr="006145CA">
                    <w:t xml:space="preserve">OAWD </w:t>
                  </w:r>
                  <w:r w:rsidRPr="006145CA">
                    <w:rPr>
                      <w:i/>
                      <w:vertAlign w:val="subscript"/>
                    </w:rPr>
                    <w:t>q</w:t>
                  </w:r>
                </w:p>
              </w:tc>
              <w:tc>
                <w:tcPr>
                  <w:tcW w:w="514" w:type="pct"/>
                </w:tcPr>
                <w:p w14:paraId="44CBD38E" w14:textId="77777777" w:rsidR="00C24CB5" w:rsidRDefault="00C24CB5" w:rsidP="00C24CB5">
                  <w:pPr>
                    <w:pStyle w:val="TableBody"/>
                  </w:pPr>
                  <w:r w:rsidRPr="006145CA">
                    <w:t>MW</w:t>
                  </w:r>
                </w:p>
              </w:tc>
              <w:tc>
                <w:tcPr>
                  <w:tcW w:w="3541" w:type="pct"/>
                </w:tcPr>
                <w:p w14:paraId="5A7FC31B" w14:textId="77777777" w:rsidR="00C24CB5" w:rsidRDefault="00C24CB5" w:rsidP="00C24CB5">
                  <w:pPr>
                    <w:pStyle w:val="TableBody"/>
                    <w:rPr>
                      <w:i/>
                    </w:rPr>
                  </w:pPr>
                  <w:r w:rsidRPr="006145CA">
                    <w:rPr>
                      <w:i/>
                    </w:rPr>
                    <w:t xml:space="preserve">Day-Ahead </w:t>
                  </w:r>
                  <w:r>
                    <w:rPr>
                      <w:i/>
                    </w:rPr>
                    <w:t>Non-Spin</w:t>
                  </w:r>
                  <w:r w:rsidRPr="006145CA">
                    <w:rPr>
                      <w:i/>
                    </w:rPr>
                    <w:t xml:space="preserve"> Only Award </w:t>
                  </w:r>
                  <w:r>
                    <w:rPr>
                      <w:i/>
                    </w:rPr>
                    <w:t>per</w:t>
                  </w:r>
                  <w:r w:rsidRPr="006145CA">
                    <w:rPr>
                      <w:i/>
                    </w:rPr>
                    <w:t xml:space="preserve"> QSE </w:t>
                  </w:r>
                  <w:r w:rsidRPr="006145CA">
                    <w:t xml:space="preserve">—The </w:t>
                  </w:r>
                  <w:r>
                    <w:t>Non-Spin</w:t>
                  </w:r>
                  <w:r w:rsidRPr="006145CA">
                    <w:t xml:space="preserve"> only capacity quanti</w:t>
                  </w:r>
                  <w:r>
                    <w:t xml:space="preserve">ty awarded in DAM </w:t>
                  </w:r>
                  <w:r w:rsidRPr="006145CA">
                    <w:t xml:space="preserve">to QSE </w:t>
                  </w:r>
                  <w:r w:rsidRPr="006145CA">
                    <w:rPr>
                      <w:i/>
                    </w:rPr>
                    <w:t>q</w:t>
                  </w:r>
                  <w:r w:rsidRPr="006145CA">
                    <w:t xml:space="preserve"> for the hour.</w:t>
                  </w:r>
                </w:p>
              </w:tc>
            </w:tr>
            <w:tr w:rsidR="00C24CB5" w14:paraId="2C1ED357" w14:textId="77777777" w:rsidTr="007258B7">
              <w:tc>
                <w:tcPr>
                  <w:tcW w:w="945" w:type="pct"/>
                </w:tcPr>
                <w:p w14:paraId="4FED0538" w14:textId="77777777" w:rsidR="00C24CB5" w:rsidRPr="00566C0F" w:rsidRDefault="00C24CB5" w:rsidP="00C24CB5">
                  <w:pPr>
                    <w:pStyle w:val="TableBody"/>
                    <w:rPr>
                      <w:i/>
                    </w:rPr>
                  </w:pPr>
                  <w:r w:rsidRPr="00566C0F">
                    <w:rPr>
                      <w:i/>
                    </w:rPr>
                    <w:t>r</w:t>
                  </w:r>
                </w:p>
              </w:tc>
              <w:tc>
                <w:tcPr>
                  <w:tcW w:w="514" w:type="pct"/>
                </w:tcPr>
                <w:p w14:paraId="52EE0F7B" w14:textId="77777777" w:rsidR="00C24CB5" w:rsidRDefault="00C24CB5" w:rsidP="00C24CB5">
                  <w:pPr>
                    <w:pStyle w:val="TableBody"/>
                  </w:pPr>
                  <w:r>
                    <w:t>none</w:t>
                  </w:r>
                </w:p>
              </w:tc>
              <w:tc>
                <w:tcPr>
                  <w:tcW w:w="3541" w:type="pct"/>
                </w:tcPr>
                <w:p w14:paraId="11D4CF3B" w14:textId="77777777" w:rsidR="00C24CB5" w:rsidRDefault="00C24CB5" w:rsidP="00C24CB5">
                  <w:pPr>
                    <w:pStyle w:val="TableBody"/>
                  </w:pPr>
                  <w:r>
                    <w:t>A Resource.</w:t>
                  </w:r>
                </w:p>
              </w:tc>
            </w:tr>
            <w:tr w:rsidR="00C24CB5" w14:paraId="7526B473" w14:textId="77777777" w:rsidTr="007258B7">
              <w:tc>
                <w:tcPr>
                  <w:tcW w:w="945" w:type="pct"/>
                </w:tcPr>
                <w:p w14:paraId="359E8055" w14:textId="77777777" w:rsidR="00C24CB5" w:rsidRPr="00566C0F" w:rsidRDefault="00C24CB5" w:rsidP="00C24CB5">
                  <w:pPr>
                    <w:pStyle w:val="TableBody"/>
                    <w:rPr>
                      <w:i/>
                    </w:rPr>
                  </w:pPr>
                  <w:r w:rsidRPr="00566C0F">
                    <w:rPr>
                      <w:i/>
                    </w:rPr>
                    <w:t>q</w:t>
                  </w:r>
                </w:p>
              </w:tc>
              <w:tc>
                <w:tcPr>
                  <w:tcW w:w="514" w:type="pct"/>
                </w:tcPr>
                <w:p w14:paraId="1CADFA8C" w14:textId="77777777" w:rsidR="00C24CB5" w:rsidRDefault="00C24CB5" w:rsidP="00C24CB5">
                  <w:pPr>
                    <w:pStyle w:val="TableBody"/>
                  </w:pPr>
                  <w:r>
                    <w:t>none</w:t>
                  </w:r>
                </w:p>
              </w:tc>
              <w:tc>
                <w:tcPr>
                  <w:tcW w:w="3541" w:type="pct"/>
                </w:tcPr>
                <w:p w14:paraId="59719324" w14:textId="77777777" w:rsidR="00C24CB5" w:rsidRDefault="00C24CB5" w:rsidP="00C24CB5">
                  <w:pPr>
                    <w:pStyle w:val="TableBody"/>
                  </w:pPr>
                  <w:r>
                    <w:t>A QSE.</w:t>
                  </w:r>
                </w:p>
              </w:tc>
            </w:tr>
          </w:tbl>
          <w:p w14:paraId="1DEAC435" w14:textId="77777777" w:rsidR="00C24CB5" w:rsidRPr="004B32CF" w:rsidRDefault="00C24CB5" w:rsidP="007258B7">
            <w:pPr>
              <w:pStyle w:val="BodyTextNumbered"/>
            </w:pPr>
          </w:p>
        </w:tc>
      </w:tr>
    </w:tbl>
    <w:p w14:paraId="5B2C6136" w14:textId="77777777" w:rsidR="00DB45F7" w:rsidRPr="0003648D" w:rsidRDefault="00DB45F7" w:rsidP="00DB45F7">
      <w:pPr>
        <w:pStyle w:val="H5"/>
        <w:spacing w:before="480"/>
        <w:ind w:left="1627" w:hanging="1627"/>
        <w:rPr>
          <w:b w:val="0"/>
          <w:bCs w:val="0"/>
          <w:i w:val="0"/>
          <w:iCs w:val="0"/>
        </w:rPr>
      </w:pPr>
      <w:bookmarkStart w:id="799" w:name="_Toc135990697"/>
      <w:bookmarkStart w:id="800" w:name="_Hlk135899194"/>
      <w:r w:rsidRPr="0003648D">
        <w:lastRenderedPageBreak/>
        <w:t>4.6.4.1.5</w:t>
      </w:r>
      <w:r w:rsidRPr="0003648D">
        <w:tab/>
      </w:r>
      <w:r w:rsidRPr="00C306C9">
        <w:t xml:space="preserve"> ERCOT Contingency</w:t>
      </w:r>
      <w:r>
        <w:t xml:space="preserve"> Reserve</w:t>
      </w:r>
      <w:r w:rsidRPr="0003648D">
        <w:t xml:space="preserve"> </w:t>
      </w:r>
      <w:r>
        <w:t xml:space="preserve">Service </w:t>
      </w:r>
      <w:r w:rsidRPr="0003648D">
        <w:t>Payment</w:t>
      </w:r>
      <w:bookmarkEnd w:id="799"/>
    </w:p>
    <w:p w14:paraId="509A3D4B" w14:textId="77777777" w:rsidR="00DB45F7" w:rsidRPr="00782EFB" w:rsidRDefault="00DB45F7" w:rsidP="00DB45F7">
      <w:pPr>
        <w:spacing w:before="120" w:after="120"/>
        <w:ind w:left="720" w:hanging="720"/>
      </w:pPr>
      <w:r w:rsidRPr="00782EFB">
        <w:t>(1)</w:t>
      </w:r>
      <w:r w:rsidRPr="00782EFB">
        <w:tab/>
        <w:t>ERCOT shall pay each QSE whose Ancillary Service Offers to provide ECRS to ERCOT were cleared in the DAM, for each hour as follows:</w:t>
      </w:r>
    </w:p>
    <w:p w14:paraId="482E3692" w14:textId="77777777" w:rsidR="00DB45F7" w:rsidRPr="00782EFB" w:rsidRDefault="00DB45F7" w:rsidP="00DB45F7">
      <w:pPr>
        <w:tabs>
          <w:tab w:val="left" w:pos="2340"/>
          <w:tab w:val="left" w:pos="3420"/>
        </w:tabs>
        <w:spacing w:after="240"/>
        <w:ind w:left="720"/>
        <w:rPr>
          <w:bCs/>
        </w:rPr>
      </w:pPr>
      <w:r w:rsidRPr="00782EFB">
        <w:rPr>
          <w:bCs/>
        </w:rPr>
        <w:t xml:space="preserve">PCECRAMT </w:t>
      </w:r>
      <w:r w:rsidRPr="00782EFB">
        <w:rPr>
          <w:bCs/>
          <w:i/>
          <w:vertAlign w:val="subscript"/>
        </w:rPr>
        <w:t>q</w:t>
      </w:r>
      <w:r w:rsidRPr="00782EFB">
        <w:rPr>
          <w:bCs/>
        </w:rPr>
        <w:tab/>
        <w:t>=</w:t>
      </w:r>
      <w:r w:rsidRPr="00782EFB">
        <w:rPr>
          <w:bCs/>
        </w:rPr>
        <w:tab/>
        <w:t xml:space="preserve">(-1) * MCPCECR </w:t>
      </w:r>
      <w:r w:rsidRPr="00782EFB">
        <w:rPr>
          <w:bCs/>
          <w:i/>
          <w:vertAlign w:val="subscript"/>
        </w:rPr>
        <w:t>DAM</w:t>
      </w:r>
      <w:r w:rsidRPr="00782EFB">
        <w:rPr>
          <w:bCs/>
        </w:rPr>
        <w:t xml:space="preserve"> * PCECR </w:t>
      </w:r>
      <w:r w:rsidRPr="00782EFB">
        <w:rPr>
          <w:bCs/>
          <w:i/>
          <w:vertAlign w:val="subscript"/>
        </w:rPr>
        <w:t>q</w:t>
      </w:r>
    </w:p>
    <w:p w14:paraId="2FF04E17" w14:textId="77777777" w:rsidR="00DB45F7" w:rsidRPr="00782EFB" w:rsidRDefault="00DB45F7" w:rsidP="00DB45F7">
      <w:pPr>
        <w:spacing w:before="120" w:after="120"/>
        <w:rPr>
          <w:lang w:val="pt-BR"/>
        </w:rPr>
      </w:pPr>
      <w:r w:rsidRPr="00782EFB">
        <w:rPr>
          <w:lang w:val="pt-BR"/>
        </w:rPr>
        <w:t>Where:</w:t>
      </w:r>
    </w:p>
    <w:p w14:paraId="30F09409" w14:textId="77777777" w:rsidR="00DB45F7" w:rsidRDefault="00DB45F7" w:rsidP="00DB45F7">
      <w:pPr>
        <w:ind w:left="720"/>
        <w:rPr>
          <w:bCs/>
          <w:i/>
          <w:vertAlign w:val="subscript"/>
        </w:rPr>
      </w:pPr>
      <w:r w:rsidRPr="00782EFB">
        <w:rPr>
          <w:bCs/>
        </w:rPr>
        <w:t xml:space="preserve">PCECR </w:t>
      </w:r>
      <w:r w:rsidRPr="00782EFB">
        <w:rPr>
          <w:bCs/>
          <w:i/>
          <w:vertAlign w:val="subscript"/>
        </w:rPr>
        <w:t>q</w:t>
      </w:r>
      <w:r w:rsidRPr="00782EFB">
        <w:rPr>
          <w:bCs/>
        </w:rPr>
        <w:tab/>
        <w:t>=</w:t>
      </w:r>
      <w:r>
        <w:rPr>
          <w:bCs/>
        </w:rPr>
        <w:tab/>
      </w:r>
      <w:r w:rsidRPr="00782EFB">
        <w:rPr>
          <w:bCs/>
          <w:position w:val="-18"/>
        </w:rPr>
        <w:object w:dxaOrig="288" w:dyaOrig="438" w14:anchorId="08D47F82">
          <v:shape id="_x0000_i1043" type="#_x0000_t75" style="width:13.8pt;height:21.6pt" o:ole="">
            <v:imagedata r:id="rId40" o:title=""/>
          </v:shape>
          <o:OLEObject Type="Embed" ProgID="Equation.3" ShapeID="_x0000_i1043" DrawAspect="Content" ObjectID="_1775281336" r:id="rId48"/>
        </w:object>
      </w:r>
      <w:r w:rsidRPr="00782EFB">
        <w:rPr>
          <w:bCs/>
        </w:rPr>
        <w:t>PCECRR</w:t>
      </w:r>
      <w:r w:rsidRPr="00782EFB">
        <w:rPr>
          <w:bCs/>
          <w:i/>
        </w:rPr>
        <w:t xml:space="preserve"> </w:t>
      </w:r>
      <w:r w:rsidRPr="00782EFB">
        <w:rPr>
          <w:bCs/>
          <w:i/>
          <w:vertAlign w:val="subscript"/>
        </w:rPr>
        <w:t>r, q, DAM</w:t>
      </w:r>
    </w:p>
    <w:p w14:paraId="186BE248" w14:textId="77777777" w:rsidR="00DB45F7" w:rsidRPr="00782EFB" w:rsidRDefault="00DB45F7" w:rsidP="00DB45F7">
      <w:r w:rsidRPr="00782EFB">
        <w:t>The above variables are defined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62"/>
        <w:gridCol w:w="856"/>
        <w:gridCol w:w="6532"/>
      </w:tblGrid>
      <w:tr w:rsidR="00DB45F7" w:rsidRPr="00782EFB" w14:paraId="5FBE4FD8" w14:textId="77777777" w:rsidTr="00317AF5">
        <w:tc>
          <w:tcPr>
            <w:tcW w:w="1049" w:type="pct"/>
          </w:tcPr>
          <w:p w14:paraId="7DD4A2CB" w14:textId="77777777" w:rsidR="00DB45F7" w:rsidRPr="00782EFB" w:rsidRDefault="00DB45F7" w:rsidP="00317AF5">
            <w:pPr>
              <w:spacing w:after="240"/>
              <w:rPr>
                <w:b/>
                <w:iCs/>
                <w:sz w:val="20"/>
                <w:szCs w:val="20"/>
              </w:rPr>
            </w:pPr>
            <w:r w:rsidRPr="00782EFB">
              <w:rPr>
                <w:b/>
                <w:iCs/>
                <w:sz w:val="20"/>
                <w:szCs w:val="20"/>
              </w:rPr>
              <w:t>Variable</w:t>
            </w:r>
          </w:p>
        </w:tc>
        <w:tc>
          <w:tcPr>
            <w:tcW w:w="458" w:type="pct"/>
          </w:tcPr>
          <w:p w14:paraId="61764041" w14:textId="77777777" w:rsidR="00DB45F7" w:rsidRPr="00782EFB" w:rsidRDefault="00DB45F7" w:rsidP="00317AF5">
            <w:pPr>
              <w:spacing w:after="240"/>
              <w:rPr>
                <w:b/>
                <w:iCs/>
                <w:sz w:val="20"/>
                <w:szCs w:val="20"/>
              </w:rPr>
            </w:pPr>
            <w:r w:rsidRPr="00782EFB">
              <w:rPr>
                <w:b/>
                <w:iCs/>
                <w:sz w:val="20"/>
                <w:szCs w:val="20"/>
              </w:rPr>
              <w:t>Unit</w:t>
            </w:r>
          </w:p>
        </w:tc>
        <w:tc>
          <w:tcPr>
            <w:tcW w:w="3493" w:type="pct"/>
          </w:tcPr>
          <w:p w14:paraId="108BD6DB" w14:textId="77777777" w:rsidR="00DB45F7" w:rsidRPr="00782EFB" w:rsidRDefault="00DB45F7" w:rsidP="00317AF5">
            <w:pPr>
              <w:spacing w:after="240"/>
              <w:rPr>
                <w:b/>
                <w:iCs/>
                <w:sz w:val="20"/>
                <w:szCs w:val="20"/>
              </w:rPr>
            </w:pPr>
            <w:r w:rsidRPr="00782EFB">
              <w:rPr>
                <w:b/>
                <w:iCs/>
                <w:sz w:val="20"/>
                <w:szCs w:val="20"/>
              </w:rPr>
              <w:t>Definition</w:t>
            </w:r>
          </w:p>
        </w:tc>
      </w:tr>
      <w:tr w:rsidR="00DB45F7" w:rsidRPr="00782EFB" w14:paraId="02B18426" w14:textId="77777777" w:rsidTr="00317AF5">
        <w:tc>
          <w:tcPr>
            <w:tcW w:w="1049" w:type="pct"/>
          </w:tcPr>
          <w:p w14:paraId="230A0BD4" w14:textId="77777777" w:rsidR="00DB45F7" w:rsidRPr="00782EFB" w:rsidRDefault="00DB45F7" w:rsidP="00317AF5">
            <w:pPr>
              <w:spacing w:after="60"/>
              <w:rPr>
                <w:iCs/>
                <w:sz w:val="20"/>
                <w:szCs w:val="20"/>
              </w:rPr>
            </w:pPr>
            <w:r w:rsidRPr="00782EFB">
              <w:rPr>
                <w:iCs/>
                <w:sz w:val="20"/>
                <w:szCs w:val="20"/>
              </w:rPr>
              <w:t xml:space="preserve">PCECRAMT </w:t>
            </w:r>
            <w:r w:rsidRPr="00782EFB">
              <w:rPr>
                <w:i/>
                <w:iCs/>
                <w:sz w:val="20"/>
                <w:szCs w:val="20"/>
                <w:vertAlign w:val="subscript"/>
              </w:rPr>
              <w:t>q</w:t>
            </w:r>
          </w:p>
        </w:tc>
        <w:tc>
          <w:tcPr>
            <w:tcW w:w="458" w:type="pct"/>
          </w:tcPr>
          <w:p w14:paraId="53748F3E" w14:textId="77777777" w:rsidR="00DB45F7" w:rsidRPr="00782EFB" w:rsidRDefault="00DB45F7" w:rsidP="00317AF5">
            <w:pPr>
              <w:spacing w:after="60"/>
              <w:rPr>
                <w:iCs/>
                <w:sz w:val="20"/>
                <w:szCs w:val="20"/>
              </w:rPr>
            </w:pPr>
            <w:r w:rsidRPr="00782EFB">
              <w:rPr>
                <w:iCs/>
                <w:sz w:val="20"/>
                <w:szCs w:val="20"/>
              </w:rPr>
              <w:t>$</w:t>
            </w:r>
          </w:p>
        </w:tc>
        <w:tc>
          <w:tcPr>
            <w:tcW w:w="3493" w:type="pct"/>
          </w:tcPr>
          <w:p w14:paraId="39A82573" w14:textId="77777777" w:rsidR="00DB45F7" w:rsidRPr="00782EFB" w:rsidRDefault="00DB45F7" w:rsidP="00317AF5">
            <w:pPr>
              <w:spacing w:after="60"/>
              <w:rPr>
                <w:iCs/>
                <w:sz w:val="20"/>
                <w:szCs w:val="20"/>
              </w:rPr>
            </w:pPr>
            <w:r w:rsidRPr="00782EFB">
              <w:rPr>
                <w:i/>
                <w:iCs/>
                <w:sz w:val="20"/>
                <w:szCs w:val="20"/>
              </w:rPr>
              <w:t>Procured Capacity for ERCOT Contingency Reserve Service Amount per QSE in DAM</w:t>
            </w:r>
            <w:r w:rsidRPr="00782EFB">
              <w:rPr>
                <w:iCs/>
                <w:sz w:val="20"/>
                <w:szCs w:val="20"/>
              </w:rPr>
              <w:t xml:space="preserve">—The DAM ECRS payment for QSE </w:t>
            </w:r>
            <w:r w:rsidRPr="00782EFB">
              <w:rPr>
                <w:i/>
                <w:iCs/>
                <w:sz w:val="20"/>
                <w:szCs w:val="20"/>
              </w:rPr>
              <w:t>q</w:t>
            </w:r>
            <w:r w:rsidRPr="00782EFB">
              <w:rPr>
                <w:iCs/>
                <w:sz w:val="20"/>
                <w:szCs w:val="20"/>
              </w:rPr>
              <w:t xml:space="preserve"> for the hour.</w:t>
            </w:r>
          </w:p>
        </w:tc>
      </w:tr>
      <w:tr w:rsidR="00DB45F7" w:rsidRPr="00782EFB" w14:paraId="5BE65CAE" w14:textId="77777777" w:rsidTr="00317AF5">
        <w:tc>
          <w:tcPr>
            <w:tcW w:w="1049" w:type="pct"/>
          </w:tcPr>
          <w:p w14:paraId="6F275156" w14:textId="77777777" w:rsidR="00DB45F7" w:rsidRPr="00C43BCB" w:rsidRDefault="00DB45F7" w:rsidP="00317AF5">
            <w:pPr>
              <w:spacing w:after="60"/>
              <w:rPr>
                <w:iCs/>
                <w:sz w:val="20"/>
                <w:szCs w:val="20"/>
              </w:rPr>
            </w:pPr>
            <w:r w:rsidRPr="00A1178F">
              <w:rPr>
                <w:iCs/>
                <w:sz w:val="20"/>
                <w:szCs w:val="20"/>
              </w:rPr>
              <w:t>PCECR</w:t>
            </w:r>
            <w:r w:rsidRPr="00C43BCB">
              <w:rPr>
                <w:iCs/>
                <w:sz w:val="20"/>
                <w:szCs w:val="20"/>
              </w:rPr>
              <w:t xml:space="preserve"> </w:t>
            </w:r>
            <w:r w:rsidRPr="00C43BCB">
              <w:rPr>
                <w:i/>
                <w:iCs/>
                <w:sz w:val="20"/>
                <w:szCs w:val="20"/>
                <w:vertAlign w:val="subscript"/>
              </w:rPr>
              <w:t>q</w:t>
            </w:r>
            <w:r w:rsidRPr="00C43BCB">
              <w:rPr>
                <w:i/>
                <w:iCs/>
                <w:sz w:val="20"/>
                <w:szCs w:val="20"/>
              </w:rPr>
              <w:t xml:space="preserve"> </w:t>
            </w:r>
          </w:p>
        </w:tc>
        <w:tc>
          <w:tcPr>
            <w:tcW w:w="458" w:type="pct"/>
          </w:tcPr>
          <w:p w14:paraId="52683E8A" w14:textId="77777777" w:rsidR="00DB45F7" w:rsidRPr="00A1178F" w:rsidRDefault="00DB45F7" w:rsidP="00317AF5">
            <w:pPr>
              <w:spacing w:after="60"/>
              <w:rPr>
                <w:iCs/>
                <w:sz w:val="20"/>
                <w:szCs w:val="20"/>
              </w:rPr>
            </w:pPr>
            <w:r w:rsidRPr="00A1178F">
              <w:rPr>
                <w:iCs/>
                <w:sz w:val="20"/>
                <w:szCs w:val="20"/>
              </w:rPr>
              <w:t>MW</w:t>
            </w:r>
          </w:p>
        </w:tc>
        <w:tc>
          <w:tcPr>
            <w:tcW w:w="3493" w:type="pct"/>
          </w:tcPr>
          <w:p w14:paraId="04340D14" w14:textId="77777777" w:rsidR="00DB45F7" w:rsidRPr="00A1178F" w:rsidRDefault="00DB45F7" w:rsidP="00317AF5">
            <w:pPr>
              <w:spacing w:after="60"/>
              <w:rPr>
                <w:iCs/>
                <w:sz w:val="20"/>
                <w:szCs w:val="20"/>
              </w:rPr>
            </w:pPr>
            <w:r w:rsidRPr="00A1178F">
              <w:rPr>
                <w:i/>
                <w:iCs/>
                <w:sz w:val="20"/>
                <w:szCs w:val="20"/>
              </w:rPr>
              <w:t>Procured Capacity for ERCOT Contingency Reserve Service per QSE in DAM</w:t>
            </w:r>
            <w:r w:rsidRPr="00A1178F">
              <w:rPr>
                <w:iCs/>
                <w:sz w:val="20"/>
                <w:szCs w:val="20"/>
              </w:rPr>
              <w:t xml:space="preserve">—The total ECRS capacity quantity awarded to QSE </w:t>
            </w:r>
            <w:r w:rsidRPr="00A1178F">
              <w:rPr>
                <w:i/>
                <w:iCs/>
                <w:sz w:val="20"/>
                <w:szCs w:val="20"/>
              </w:rPr>
              <w:t>q</w:t>
            </w:r>
            <w:r w:rsidRPr="00A1178F">
              <w:rPr>
                <w:iCs/>
                <w:sz w:val="20"/>
                <w:szCs w:val="20"/>
              </w:rPr>
              <w:t xml:space="preserve"> in the DAM for all the Resources represented by this QSE for the hour.</w:t>
            </w:r>
          </w:p>
        </w:tc>
      </w:tr>
      <w:tr w:rsidR="00DB45F7" w:rsidRPr="00782EFB" w14:paraId="4F429DA5" w14:textId="77777777" w:rsidTr="00317AF5">
        <w:tc>
          <w:tcPr>
            <w:tcW w:w="1049" w:type="pct"/>
          </w:tcPr>
          <w:p w14:paraId="2F7E63B1" w14:textId="77777777" w:rsidR="00DB45F7" w:rsidRPr="00302DCD" w:rsidRDefault="00DB45F7" w:rsidP="00317AF5">
            <w:pPr>
              <w:spacing w:after="60"/>
              <w:rPr>
                <w:iCs/>
                <w:sz w:val="20"/>
                <w:szCs w:val="20"/>
              </w:rPr>
            </w:pPr>
            <w:r w:rsidRPr="00A1178F">
              <w:rPr>
                <w:iCs/>
                <w:sz w:val="20"/>
                <w:szCs w:val="20"/>
              </w:rPr>
              <w:t xml:space="preserve">PCECRR </w:t>
            </w:r>
            <w:r w:rsidRPr="00A1178F">
              <w:rPr>
                <w:i/>
                <w:iCs/>
                <w:sz w:val="20"/>
                <w:szCs w:val="20"/>
                <w:vertAlign w:val="subscript"/>
              </w:rPr>
              <w:t>r,</w:t>
            </w:r>
            <w:r w:rsidRPr="00302DCD">
              <w:rPr>
                <w:i/>
                <w:iCs/>
                <w:sz w:val="20"/>
                <w:szCs w:val="20"/>
              </w:rPr>
              <w:t xml:space="preserve"> </w:t>
            </w:r>
            <w:r w:rsidRPr="00302DCD">
              <w:rPr>
                <w:i/>
                <w:iCs/>
                <w:sz w:val="20"/>
                <w:szCs w:val="20"/>
                <w:vertAlign w:val="subscript"/>
              </w:rPr>
              <w:t>q, DAM</w:t>
            </w:r>
          </w:p>
        </w:tc>
        <w:tc>
          <w:tcPr>
            <w:tcW w:w="458" w:type="pct"/>
          </w:tcPr>
          <w:p w14:paraId="1EC34708" w14:textId="77777777" w:rsidR="00DB45F7" w:rsidRPr="00C43BCB" w:rsidRDefault="00DB45F7" w:rsidP="00317AF5">
            <w:pPr>
              <w:spacing w:after="60"/>
              <w:rPr>
                <w:iCs/>
                <w:sz w:val="20"/>
                <w:szCs w:val="20"/>
              </w:rPr>
            </w:pPr>
            <w:r w:rsidRPr="00C43BCB">
              <w:rPr>
                <w:iCs/>
                <w:sz w:val="20"/>
                <w:szCs w:val="20"/>
              </w:rPr>
              <w:t>MW</w:t>
            </w:r>
          </w:p>
        </w:tc>
        <w:tc>
          <w:tcPr>
            <w:tcW w:w="3493" w:type="pct"/>
          </w:tcPr>
          <w:p w14:paraId="4488CD8E" w14:textId="77777777" w:rsidR="00DB45F7" w:rsidRPr="00A1178F" w:rsidRDefault="00DB45F7" w:rsidP="00317AF5">
            <w:pPr>
              <w:spacing w:after="60"/>
              <w:rPr>
                <w:iCs/>
                <w:sz w:val="20"/>
                <w:szCs w:val="20"/>
              </w:rPr>
            </w:pPr>
            <w:r w:rsidRPr="00A1178F">
              <w:rPr>
                <w:i/>
                <w:iCs/>
                <w:sz w:val="20"/>
                <w:szCs w:val="20"/>
              </w:rPr>
              <w:t>Procured Capacity for ERCOT Contingency Reserve Service from Resource per Resource per QSE in DAM</w:t>
            </w:r>
            <w:r w:rsidRPr="00A1178F">
              <w:rPr>
                <w:iCs/>
                <w:sz w:val="20"/>
                <w:szCs w:val="20"/>
              </w:rPr>
              <w:t xml:space="preserve">—The ECRS capacity quantity awarded to QSE </w:t>
            </w:r>
            <w:r w:rsidRPr="00A1178F">
              <w:rPr>
                <w:i/>
                <w:iCs/>
                <w:sz w:val="20"/>
                <w:szCs w:val="20"/>
              </w:rPr>
              <w:t>q</w:t>
            </w:r>
            <w:r w:rsidRPr="00A1178F">
              <w:rPr>
                <w:iCs/>
                <w:sz w:val="20"/>
                <w:szCs w:val="20"/>
              </w:rPr>
              <w:t xml:space="preserve"> in the DAM for Resource </w:t>
            </w:r>
            <w:r w:rsidRPr="00A1178F">
              <w:rPr>
                <w:i/>
                <w:iCs/>
                <w:sz w:val="20"/>
                <w:szCs w:val="20"/>
              </w:rPr>
              <w:t>r</w:t>
            </w:r>
            <w:r w:rsidRPr="00A1178F">
              <w:rPr>
                <w:iCs/>
                <w:sz w:val="20"/>
                <w:szCs w:val="20"/>
              </w:rPr>
              <w:t xml:space="preserve"> for the hour.  Where for a Combined Cycle Train, the Resource </w:t>
            </w:r>
            <w:r w:rsidRPr="00A1178F">
              <w:rPr>
                <w:i/>
                <w:iCs/>
                <w:sz w:val="20"/>
                <w:szCs w:val="20"/>
              </w:rPr>
              <w:t xml:space="preserve">r </w:t>
            </w:r>
            <w:r w:rsidRPr="00A1178F">
              <w:rPr>
                <w:iCs/>
                <w:sz w:val="20"/>
                <w:szCs w:val="20"/>
              </w:rPr>
              <w:t>is a Combined Cycle Generation Resource within the Combined Cycle Train.</w:t>
            </w:r>
          </w:p>
        </w:tc>
      </w:tr>
      <w:tr w:rsidR="00DB45F7" w:rsidRPr="00782EFB" w14:paraId="7AFA698D" w14:textId="77777777" w:rsidTr="00317AF5">
        <w:tc>
          <w:tcPr>
            <w:tcW w:w="1049" w:type="pct"/>
          </w:tcPr>
          <w:p w14:paraId="49A6B3B5" w14:textId="77777777" w:rsidR="00DB45F7" w:rsidRPr="00302DCD" w:rsidRDefault="00DB45F7" w:rsidP="00317AF5">
            <w:pPr>
              <w:spacing w:after="60"/>
              <w:rPr>
                <w:iCs/>
                <w:sz w:val="20"/>
                <w:szCs w:val="20"/>
              </w:rPr>
            </w:pPr>
            <w:r w:rsidRPr="00A1178F">
              <w:rPr>
                <w:iCs/>
                <w:sz w:val="20"/>
                <w:szCs w:val="20"/>
              </w:rPr>
              <w:t xml:space="preserve">MCPCECR </w:t>
            </w:r>
            <w:r w:rsidRPr="00A1178F">
              <w:rPr>
                <w:i/>
                <w:iCs/>
                <w:sz w:val="20"/>
                <w:szCs w:val="20"/>
                <w:vertAlign w:val="subscript"/>
              </w:rPr>
              <w:t>DAM</w:t>
            </w:r>
          </w:p>
        </w:tc>
        <w:tc>
          <w:tcPr>
            <w:tcW w:w="458" w:type="pct"/>
          </w:tcPr>
          <w:p w14:paraId="1B490EC2" w14:textId="08245FF8" w:rsidR="00DB45F7" w:rsidRPr="00A1178F" w:rsidRDefault="00DB45F7" w:rsidP="00317AF5">
            <w:pPr>
              <w:spacing w:after="60"/>
              <w:rPr>
                <w:iCs/>
                <w:sz w:val="20"/>
                <w:szCs w:val="20"/>
              </w:rPr>
            </w:pPr>
            <w:r w:rsidRPr="00C43BCB">
              <w:rPr>
                <w:iCs/>
                <w:sz w:val="20"/>
                <w:szCs w:val="20"/>
              </w:rPr>
              <w:t>$/MW</w:t>
            </w:r>
            <w:r w:rsidR="00DF726F">
              <w:rPr>
                <w:iCs/>
                <w:sz w:val="20"/>
                <w:szCs w:val="20"/>
              </w:rPr>
              <w:t xml:space="preserve"> per hour</w:t>
            </w:r>
          </w:p>
        </w:tc>
        <w:tc>
          <w:tcPr>
            <w:tcW w:w="3493" w:type="pct"/>
          </w:tcPr>
          <w:p w14:paraId="5CC7E072" w14:textId="77777777" w:rsidR="00DB45F7" w:rsidRPr="00A1178F" w:rsidRDefault="00DB45F7" w:rsidP="00317AF5">
            <w:pPr>
              <w:spacing w:after="60"/>
              <w:rPr>
                <w:iCs/>
                <w:sz w:val="20"/>
                <w:szCs w:val="20"/>
              </w:rPr>
            </w:pPr>
            <w:r w:rsidRPr="00A1178F">
              <w:rPr>
                <w:i/>
                <w:iCs/>
                <w:sz w:val="20"/>
                <w:szCs w:val="20"/>
              </w:rPr>
              <w:t>Market Clearing Price for Capacity for ERCOT Contingency Reserve Service in DAM</w:t>
            </w:r>
            <w:r w:rsidRPr="00A1178F">
              <w:rPr>
                <w:iCs/>
                <w:sz w:val="20"/>
                <w:szCs w:val="20"/>
              </w:rPr>
              <w:t>—The DAM MCPC for ECRS for the hour.</w:t>
            </w:r>
          </w:p>
        </w:tc>
      </w:tr>
      <w:tr w:rsidR="00DB45F7" w:rsidRPr="00782EFB" w14:paraId="6202BE0B" w14:textId="77777777" w:rsidTr="00317AF5">
        <w:tc>
          <w:tcPr>
            <w:tcW w:w="1049" w:type="pct"/>
          </w:tcPr>
          <w:p w14:paraId="73B034E4" w14:textId="77777777" w:rsidR="00DB45F7" w:rsidRPr="00782EFB" w:rsidRDefault="00DB45F7" w:rsidP="00317AF5">
            <w:pPr>
              <w:spacing w:after="60"/>
              <w:rPr>
                <w:i/>
                <w:iCs/>
                <w:sz w:val="20"/>
                <w:szCs w:val="20"/>
              </w:rPr>
            </w:pPr>
            <w:r w:rsidRPr="00782EFB">
              <w:rPr>
                <w:i/>
                <w:iCs/>
                <w:sz w:val="20"/>
                <w:szCs w:val="20"/>
              </w:rPr>
              <w:t>r</w:t>
            </w:r>
          </w:p>
        </w:tc>
        <w:tc>
          <w:tcPr>
            <w:tcW w:w="458" w:type="pct"/>
          </w:tcPr>
          <w:p w14:paraId="49E9F39B" w14:textId="77777777" w:rsidR="00DB45F7" w:rsidRPr="00782EFB" w:rsidRDefault="00DB45F7" w:rsidP="00317AF5">
            <w:pPr>
              <w:spacing w:after="60"/>
              <w:rPr>
                <w:iCs/>
                <w:sz w:val="20"/>
                <w:szCs w:val="20"/>
              </w:rPr>
            </w:pPr>
            <w:r w:rsidRPr="00782EFB">
              <w:rPr>
                <w:iCs/>
                <w:sz w:val="20"/>
                <w:szCs w:val="20"/>
              </w:rPr>
              <w:t>none</w:t>
            </w:r>
          </w:p>
        </w:tc>
        <w:tc>
          <w:tcPr>
            <w:tcW w:w="3493" w:type="pct"/>
          </w:tcPr>
          <w:p w14:paraId="2F3366FD" w14:textId="77777777" w:rsidR="00DB45F7" w:rsidRPr="00782EFB" w:rsidRDefault="00DB45F7" w:rsidP="00317AF5">
            <w:pPr>
              <w:spacing w:after="60"/>
              <w:rPr>
                <w:iCs/>
                <w:sz w:val="20"/>
                <w:szCs w:val="20"/>
              </w:rPr>
            </w:pPr>
            <w:r w:rsidRPr="00782EFB">
              <w:rPr>
                <w:iCs/>
                <w:sz w:val="20"/>
                <w:szCs w:val="20"/>
              </w:rPr>
              <w:t>A Resource.</w:t>
            </w:r>
          </w:p>
        </w:tc>
      </w:tr>
      <w:tr w:rsidR="00DB45F7" w:rsidRPr="00782EFB" w14:paraId="0FC88A68" w14:textId="77777777" w:rsidTr="00317AF5">
        <w:tc>
          <w:tcPr>
            <w:tcW w:w="1049" w:type="pct"/>
          </w:tcPr>
          <w:p w14:paraId="1E418670" w14:textId="77777777" w:rsidR="00DB45F7" w:rsidRPr="00782EFB" w:rsidRDefault="00DB45F7" w:rsidP="00317AF5">
            <w:pPr>
              <w:spacing w:after="60"/>
              <w:rPr>
                <w:i/>
                <w:iCs/>
                <w:sz w:val="20"/>
                <w:szCs w:val="20"/>
              </w:rPr>
            </w:pPr>
            <w:r w:rsidRPr="00782EFB">
              <w:rPr>
                <w:i/>
                <w:iCs/>
                <w:sz w:val="20"/>
                <w:szCs w:val="20"/>
              </w:rPr>
              <w:t>q</w:t>
            </w:r>
          </w:p>
        </w:tc>
        <w:tc>
          <w:tcPr>
            <w:tcW w:w="458" w:type="pct"/>
          </w:tcPr>
          <w:p w14:paraId="52CF3361" w14:textId="77777777" w:rsidR="00DB45F7" w:rsidRPr="00782EFB" w:rsidRDefault="00DB45F7" w:rsidP="00317AF5">
            <w:pPr>
              <w:spacing w:after="60"/>
              <w:rPr>
                <w:iCs/>
                <w:sz w:val="20"/>
                <w:szCs w:val="20"/>
              </w:rPr>
            </w:pPr>
            <w:r w:rsidRPr="00782EFB">
              <w:rPr>
                <w:iCs/>
                <w:sz w:val="20"/>
                <w:szCs w:val="20"/>
              </w:rPr>
              <w:t>none</w:t>
            </w:r>
          </w:p>
        </w:tc>
        <w:tc>
          <w:tcPr>
            <w:tcW w:w="3493" w:type="pct"/>
          </w:tcPr>
          <w:p w14:paraId="71F2EF05" w14:textId="77777777" w:rsidR="00DB45F7" w:rsidRPr="00782EFB" w:rsidRDefault="00DB45F7" w:rsidP="00317AF5">
            <w:pPr>
              <w:spacing w:after="60"/>
              <w:rPr>
                <w:iCs/>
                <w:sz w:val="20"/>
                <w:szCs w:val="20"/>
              </w:rPr>
            </w:pPr>
            <w:r w:rsidRPr="00782EFB">
              <w:rPr>
                <w:iCs/>
                <w:sz w:val="20"/>
                <w:szCs w:val="20"/>
              </w:rPr>
              <w:t>A QSE.</w:t>
            </w:r>
          </w:p>
        </w:tc>
      </w:tr>
    </w:tbl>
    <w:p w14:paraId="00077D50" w14:textId="77777777" w:rsidR="00B117D4" w:rsidRDefault="00B117D4"/>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48"/>
      </w:tblGrid>
      <w:tr w:rsidR="00B117D4" w:rsidRPr="004B32CF" w14:paraId="40548A66" w14:textId="77777777" w:rsidTr="00B117D4">
        <w:trPr>
          <w:trHeight w:val="386"/>
        </w:trPr>
        <w:tc>
          <w:tcPr>
            <w:tcW w:w="5000" w:type="pct"/>
            <w:shd w:val="pct12" w:color="auto" w:fill="auto"/>
          </w:tcPr>
          <w:p w14:paraId="3A5F1FFC" w14:textId="344397D2" w:rsidR="00B117D4" w:rsidRPr="004B32CF" w:rsidRDefault="00B117D4" w:rsidP="00E30EAB">
            <w:pPr>
              <w:spacing w:before="120" w:after="240"/>
              <w:rPr>
                <w:b/>
                <w:i/>
                <w:iCs/>
              </w:rPr>
            </w:pPr>
            <w:bookmarkStart w:id="801" w:name="_Toc109185141"/>
            <w:bookmarkStart w:id="802" w:name="_Toc142108971"/>
            <w:bookmarkStart w:id="803" w:name="_Toc142113816"/>
            <w:bookmarkStart w:id="804" w:name="_Toc402345644"/>
            <w:bookmarkStart w:id="805" w:name="_Toc405383927"/>
            <w:bookmarkStart w:id="806" w:name="_Toc405537030"/>
            <w:bookmarkStart w:id="807" w:name="_Toc440871816"/>
            <w:bookmarkStart w:id="808" w:name="_Toc87758789"/>
            <w:bookmarkStart w:id="809" w:name="_Toc88040354"/>
            <w:bookmarkStart w:id="810" w:name="_Toc90197177"/>
            <w:bookmarkEnd w:id="779"/>
            <w:bookmarkEnd w:id="780"/>
            <w:bookmarkEnd w:id="781"/>
            <w:bookmarkEnd w:id="800"/>
            <w:r>
              <w:rPr>
                <w:b/>
                <w:i/>
                <w:iCs/>
              </w:rPr>
              <w:t>[</w:t>
            </w:r>
            <w:r w:rsidR="00C24CB5">
              <w:rPr>
                <w:b/>
                <w:i/>
                <w:iCs/>
              </w:rPr>
              <w:t>NPRR1008</w:t>
            </w:r>
            <w:r>
              <w:rPr>
                <w:b/>
                <w:i/>
                <w:iCs/>
              </w:rPr>
              <w:t xml:space="preserve">:  </w:t>
            </w:r>
            <w:r w:rsidR="00DB45F7">
              <w:rPr>
                <w:b/>
                <w:i/>
                <w:iCs/>
              </w:rPr>
              <w:t>Replace paragraph (1)</w:t>
            </w:r>
            <w:r w:rsidR="00C43A85">
              <w:rPr>
                <w:b/>
                <w:i/>
                <w:iCs/>
              </w:rPr>
              <w:t xml:space="preserve"> </w:t>
            </w:r>
            <w:r w:rsidR="00DB45F7">
              <w:rPr>
                <w:b/>
                <w:i/>
                <w:iCs/>
              </w:rPr>
              <w:t>above with the following</w:t>
            </w:r>
            <w:r w:rsidR="00C24CB5">
              <w:rPr>
                <w:b/>
                <w:i/>
                <w:iCs/>
              </w:rPr>
              <w:t xml:space="preserve"> upon system implementation of the Real-Time Co-Optimization (RTC) project</w:t>
            </w:r>
            <w:r w:rsidRPr="004B32CF">
              <w:rPr>
                <w:b/>
                <w:i/>
                <w:iCs/>
              </w:rPr>
              <w:t>:]</w:t>
            </w:r>
          </w:p>
          <w:p w14:paraId="2BF81C76" w14:textId="457A6097" w:rsidR="00B117D4" w:rsidRPr="00782EFB" w:rsidRDefault="00B117D4" w:rsidP="00DB45F7">
            <w:pPr>
              <w:spacing w:after="240"/>
              <w:ind w:left="720" w:hanging="720"/>
            </w:pPr>
            <w:r w:rsidRPr="00782EFB">
              <w:t>(1)</w:t>
            </w:r>
            <w:r w:rsidRPr="00782EFB">
              <w:tab/>
              <w:t xml:space="preserve">ERCOT shall pay each QSE whose </w:t>
            </w:r>
            <w:r w:rsidR="00C24CB5">
              <w:t xml:space="preserve">Resource-Specific </w:t>
            </w:r>
            <w:r w:rsidRPr="00782EFB">
              <w:t>Ancillary Service Offers to provide ECRS to ERCOT were cleared in the DAM, for each hour as follows:</w:t>
            </w:r>
          </w:p>
          <w:p w14:paraId="6868A545" w14:textId="684FB78A" w:rsidR="00B117D4" w:rsidRPr="00782EFB" w:rsidRDefault="00B117D4" w:rsidP="00E30EAB">
            <w:pPr>
              <w:pStyle w:val="FormulaBold"/>
            </w:pPr>
            <w:r w:rsidRPr="00782EFB">
              <w:t xml:space="preserve">PCECRAMT </w:t>
            </w:r>
            <w:r w:rsidRPr="00782EFB">
              <w:rPr>
                <w:i/>
                <w:vertAlign w:val="subscript"/>
              </w:rPr>
              <w:t>q</w:t>
            </w:r>
            <w:r w:rsidRPr="00782EFB">
              <w:tab/>
              <w:t>=</w:t>
            </w:r>
            <w:r w:rsidRPr="00782EFB">
              <w:tab/>
              <w:t xml:space="preserve">(-1) * MCPCECR </w:t>
            </w:r>
            <w:r w:rsidRPr="00782EFB">
              <w:rPr>
                <w:i/>
                <w:vertAlign w:val="subscript"/>
              </w:rPr>
              <w:t>DAM</w:t>
            </w:r>
            <w:r w:rsidRPr="00782EFB">
              <w:t xml:space="preserve"> * PCECR </w:t>
            </w:r>
            <w:r w:rsidRPr="00782EFB">
              <w:rPr>
                <w:i/>
                <w:vertAlign w:val="subscript"/>
              </w:rPr>
              <w:t>q</w:t>
            </w:r>
          </w:p>
          <w:p w14:paraId="11993012" w14:textId="77777777" w:rsidR="00B117D4" w:rsidRPr="00782EFB" w:rsidRDefault="00B117D4" w:rsidP="00B117D4">
            <w:pPr>
              <w:spacing w:before="120" w:after="120"/>
              <w:rPr>
                <w:lang w:val="pt-BR"/>
              </w:rPr>
            </w:pPr>
            <w:r w:rsidRPr="00782EFB">
              <w:rPr>
                <w:lang w:val="pt-BR"/>
              </w:rPr>
              <w:t>Where:</w:t>
            </w:r>
          </w:p>
          <w:p w14:paraId="3CD5DA83" w14:textId="247EDDD6" w:rsidR="00B117D4" w:rsidRPr="00782EFB" w:rsidRDefault="00B117D4" w:rsidP="00E30EAB">
            <w:pPr>
              <w:pStyle w:val="FormulaBold"/>
            </w:pPr>
            <w:r w:rsidRPr="00782EFB">
              <w:lastRenderedPageBreak/>
              <w:t xml:space="preserve">PCECR </w:t>
            </w:r>
            <w:r w:rsidRPr="00782EFB">
              <w:rPr>
                <w:i/>
                <w:vertAlign w:val="subscript"/>
              </w:rPr>
              <w:t>q</w:t>
            </w:r>
            <w:r w:rsidRPr="00782EFB">
              <w:tab/>
              <w:t>=</w:t>
            </w:r>
            <w:r w:rsidR="00C43A85">
              <w:tab/>
            </w:r>
            <w:r w:rsidRPr="00782EFB">
              <w:rPr>
                <w:position w:val="-18"/>
              </w:rPr>
              <w:object w:dxaOrig="220" w:dyaOrig="420" w14:anchorId="42F71C77">
                <v:shape id="_x0000_i1044" type="#_x0000_t75" style="width:13.2pt;height:21pt" o:ole="">
                  <v:imagedata r:id="rId40" o:title=""/>
                </v:shape>
                <o:OLEObject Type="Embed" ProgID="Equation.3" ShapeID="_x0000_i1044" DrawAspect="Content" ObjectID="_1775281337" r:id="rId49"/>
              </w:object>
            </w:r>
            <w:r w:rsidRPr="00782EFB">
              <w:t>PCECRR</w:t>
            </w:r>
            <w:r w:rsidRPr="00782EFB">
              <w:rPr>
                <w:i/>
              </w:rPr>
              <w:t xml:space="preserve"> </w:t>
            </w:r>
            <w:r w:rsidRPr="00782EFB">
              <w:rPr>
                <w:i/>
                <w:vertAlign w:val="subscript"/>
              </w:rPr>
              <w:t>r, q, DAM</w:t>
            </w:r>
          </w:p>
          <w:p w14:paraId="68BBF78B" w14:textId="77777777" w:rsidR="00C24CB5" w:rsidRPr="006145CA" w:rsidRDefault="00C24CB5" w:rsidP="00C24CB5">
            <w:pPr>
              <w:pStyle w:val="BodyText"/>
              <w:spacing w:before="240"/>
              <w:ind w:left="720" w:hanging="720"/>
              <w:rPr>
                <w:lang w:val="pt-BR"/>
              </w:rPr>
            </w:pPr>
            <w:r w:rsidRPr="006145CA">
              <w:rPr>
                <w:lang w:val="pt-BR"/>
              </w:rPr>
              <w:t>(2)</w:t>
            </w:r>
            <w:r w:rsidRPr="006145CA">
              <w:rPr>
                <w:lang w:val="pt-BR"/>
              </w:rPr>
              <w:tab/>
            </w:r>
            <w:r w:rsidRPr="006145CA">
              <w:t xml:space="preserve">ERCOT shall pay each QSE whose Ancillary Service Only Offers to provide </w:t>
            </w:r>
            <w:r>
              <w:t>ECRS</w:t>
            </w:r>
            <w:r w:rsidRPr="006145CA">
              <w:t xml:space="preserve"> to ERCOT were cleared in the DAM, for each hour as follows:</w:t>
            </w:r>
          </w:p>
          <w:p w14:paraId="0E1481EB" w14:textId="77777777" w:rsidR="00C24CB5" w:rsidRPr="006145CA" w:rsidRDefault="00C24CB5" w:rsidP="00D46800">
            <w:pPr>
              <w:pStyle w:val="Formula"/>
            </w:pPr>
            <w:r w:rsidRPr="006145CA">
              <w:t xml:space="preserve">DAPCECROAMT </w:t>
            </w:r>
            <w:r w:rsidRPr="006145CA">
              <w:rPr>
                <w:i/>
                <w:vertAlign w:val="subscript"/>
              </w:rPr>
              <w:t>q</w:t>
            </w:r>
            <w:r w:rsidRPr="006145CA">
              <w:t xml:space="preserve"> = (-1) * </w:t>
            </w:r>
            <w:r>
              <w:t>MCPCECR</w:t>
            </w:r>
            <w:r w:rsidRPr="006145CA" w:rsidDel="00977966">
              <w:t xml:space="preserve"> </w:t>
            </w:r>
            <w:r w:rsidRPr="00782EFB">
              <w:rPr>
                <w:i/>
                <w:vertAlign w:val="subscript"/>
              </w:rPr>
              <w:t>DAM</w:t>
            </w:r>
            <w:r w:rsidRPr="006145CA">
              <w:t xml:space="preserve"> </w:t>
            </w:r>
            <w:r w:rsidRPr="006145CA">
              <w:rPr>
                <w:i/>
              </w:rPr>
              <w:t>*</w:t>
            </w:r>
            <w:r w:rsidRPr="006145CA">
              <w:t xml:space="preserve"> DAECROAWD</w:t>
            </w:r>
            <w:r w:rsidRPr="006145CA">
              <w:rPr>
                <w:i/>
                <w:vertAlign w:val="subscript"/>
              </w:rPr>
              <w:t xml:space="preserve"> q</w:t>
            </w:r>
          </w:p>
          <w:p w14:paraId="732CA15D" w14:textId="77777777" w:rsidR="00B117D4" w:rsidRPr="00782EFB" w:rsidRDefault="00B117D4" w:rsidP="00B117D4">
            <w:r w:rsidRPr="00782EFB">
              <w:t>The above variables are defined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1"/>
              <w:gridCol w:w="925"/>
              <w:gridCol w:w="6452"/>
            </w:tblGrid>
            <w:tr w:rsidR="00B117D4" w:rsidRPr="00782EFB" w14:paraId="19741EFD" w14:textId="77777777" w:rsidTr="00B34003">
              <w:tc>
                <w:tcPr>
                  <w:tcW w:w="950" w:type="pct"/>
                </w:tcPr>
                <w:p w14:paraId="12375B75" w14:textId="77777777" w:rsidR="00B117D4" w:rsidRPr="00782EFB" w:rsidRDefault="00B117D4" w:rsidP="00B117D4">
                  <w:pPr>
                    <w:spacing w:after="240"/>
                    <w:rPr>
                      <w:b/>
                      <w:iCs/>
                      <w:sz w:val="20"/>
                      <w:szCs w:val="20"/>
                    </w:rPr>
                  </w:pPr>
                  <w:r w:rsidRPr="00782EFB">
                    <w:rPr>
                      <w:b/>
                      <w:iCs/>
                      <w:sz w:val="20"/>
                      <w:szCs w:val="20"/>
                    </w:rPr>
                    <w:t>Variable</w:t>
                  </w:r>
                </w:p>
              </w:tc>
              <w:tc>
                <w:tcPr>
                  <w:tcW w:w="508" w:type="pct"/>
                </w:tcPr>
                <w:p w14:paraId="70BC55EB" w14:textId="77777777" w:rsidR="00B117D4" w:rsidRPr="00782EFB" w:rsidRDefault="00B117D4" w:rsidP="00B117D4">
                  <w:pPr>
                    <w:spacing w:after="240"/>
                    <w:rPr>
                      <w:b/>
                      <w:iCs/>
                      <w:sz w:val="20"/>
                      <w:szCs w:val="20"/>
                    </w:rPr>
                  </w:pPr>
                  <w:r w:rsidRPr="00782EFB">
                    <w:rPr>
                      <w:b/>
                      <w:iCs/>
                      <w:sz w:val="20"/>
                      <w:szCs w:val="20"/>
                    </w:rPr>
                    <w:t>Unit</w:t>
                  </w:r>
                </w:p>
              </w:tc>
              <w:tc>
                <w:tcPr>
                  <w:tcW w:w="3542" w:type="pct"/>
                </w:tcPr>
                <w:p w14:paraId="0438FDFA" w14:textId="77777777" w:rsidR="00B117D4" w:rsidRPr="00782EFB" w:rsidRDefault="00B117D4" w:rsidP="00B117D4">
                  <w:pPr>
                    <w:spacing w:after="240"/>
                    <w:rPr>
                      <w:b/>
                      <w:iCs/>
                      <w:sz w:val="20"/>
                      <w:szCs w:val="20"/>
                    </w:rPr>
                  </w:pPr>
                  <w:r w:rsidRPr="00782EFB">
                    <w:rPr>
                      <w:b/>
                      <w:iCs/>
                      <w:sz w:val="20"/>
                      <w:szCs w:val="20"/>
                    </w:rPr>
                    <w:t>Definition</w:t>
                  </w:r>
                </w:p>
              </w:tc>
            </w:tr>
            <w:tr w:rsidR="00B117D4" w:rsidRPr="00782EFB" w14:paraId="555EE14F" w14:textId="77777777" w:rsidTr="00B34003">
              <w:tc>
                <w:tcPr>
                  <w:tcW w:w="950" w:type="pct"/>
                </w:tcPr>
                <w:p w14:paraId="16D5881C" w14:textId="77777777" w:rsidR="00B117D4" w:rsidRPr="00782EFB" w:rsidRDefault="00B117D4" w:rsidP="00B117D4">
                  <w:pPr>
                    <w:spacing w:after="60"/>
                    <w:rPr>
                      <w:iCs/>
                      <w:sz w:val="20"/>
                      <w:szCs w:val="20"/>
                    </w:rPr>
                  </w:pPr>
                  <w:r w:rsidRPr="00782EFB">
                    <w:rPr>
                      <w:iCs/>
                      <w:sz w:val="20"/>
                      <w:szCs w:val="20"/>
                    </w:rPr>
                    <w:t xml:space="preserve">PCECRAMT </w:t>
                  </w:r>
                  <w:r w:rsidRPr="00782EFB">
                    <w:rPr>
                      <w:i/>
                      <w:iCs/>
                      <w:sz w:val="20"/>
                      <w:szCs w:val="20"/>
                      <w:vertAlign w:val="subscript"/>
                    </w:rPr>
                    <w:t>q</w:t>
                  </w:r>
                </w:p>
              </w:tc>
              <w:tc>
                <w:tcPr>
                  <w:tcW w:w="508" w:type="pct"/>
                </w:tcPr>
                <w:p w14:paraId="18D3567E" w14:textId="77777777" w:rsidR="00B117D4" w:rsidRPr="00782EFB" w:rsidRDefault="00B117D4" w:rsidP="00B117D4">
                  <w:pPr>
                    <w:spacing w:after="60"/>
                    <w:rPr>
                      <w:iCs/>
                      <w:sz w:val="20"/>
                      <w:szCs w:val="20"/>
                    </w:rPr>
                  </w:pPr>
                  <w:r w:rsidRPr="00782EFB">
                    <w:rPr>
                      <w:iCs/>
                      <w:sz w:val="20"/>
                      <w:szCs w:val="20"/>
                    </w:rPr>
                    <w:t>$</w:t>
                  </w:r>
                </w:p>
              </w:tc>
              <w:tc>
                <w:tcPr>
                  <w:tcW w:w="3542" w:type="pct"/>
                </w:tcPr>
                <w:p w14:paraId="7EA9DBB6" w14:textId="77777777" w:rsidR="00B117D4" w:rsidRPr="00782EFB" w:rsidRDefault="00B117D4" w:rsidP="00B117D4">
                  <w:pPr>
                    <w:spacing w:after="60"/>
                    <w:rPr>
                      <w:iCs/>
                      <w:sz w:val="20"/>
                      <w:szCs w:val="20"/>
                    </w:rPr>
                  </w:pPr>
                  <w:r w:rsidRPr="00782EFB">
                    <w:rPr>
                      <w:i/>
                      <w:iCs/>
                      <w:sz w:val="20"/>
                      <w:szCs w:val="20"/>
                    </w:rPr>
                    <w:t>Procured Capacity for ERCOT Contingency Reserve Service Amount per QSE in DAM</w:t>
                  </w:r>
                  <w:r w:rsidRPr="00782EFB">
                    <w:rPr>
                      <w:iCs/>
                      <w:sz w:val="20"/>
                      <w:szCs w:val="20"/>
                    </w:rPr>
                    <w:t xml:space="preserve">—The DAM ECRS payment for QSE </w:t>
                  </w:r>
                  <w:r w:rsidRPr="00782EFB">
                    <w:rPr>
                      <w:i/>
                      <w:iCs/>
                      <w:sz w:val="20"/>
                      <w:szCs w:val="20"/>
                    </w:rPr>
                    <w:t>q</w:t>
                  </w:r>
                  <w:r w:rsidRPr="00782EFB">
                    <w:rPr>
                      <w:iCs/>
                      <w:sz w:val="20"/>
                      <w:szCs w:val="20"/>
                    </w:rPr>
                    <w:t xml:space="preserve"> for the hour.</w:t>
                  </w:r>
                </w:p>
              </w:tc>
            </w:tr>
            <w:tr w:rsidR="00C24CB5" w:rsidRPr="00782EFB" w14:paraId="6333442D" w14:textId="77777777" w:rsidTr="00B34003">
              <w:tc>
                <w:tcPr>
                  <w:tcW w:w="950" w:type="pct"/>
                </w:tcPr>
                <w:p w14:paraId="09252003" w14:textId="5B2A0C43" w:rsidR="00C24CB5" w:rsidRPr="00782EFB" w:rsidRDefault="00C24CB5" w:rsidP="00C24CB5">
                  <w:pPr>
                    <w:spacing w:after="60"/>
                    <w:rPr>
                      <w:iCs/>
                      <w:sz w:val="20"/>
                      <w:szCs w:val="20"/>
                    </w:rPr>
                  </w:pPr>
                  <w:r w:rsidRPr="005558D4">
                    <w:rPr>
                      <w:sz w:val="20"/>
                      <w:szCs w:val="20"/>
                    </w:rPr>
                    <w:t>DA</w:t>
                  </w:r>
                  <w:r w:rsidRPr="00A1178F">
                    <w:rPr>
                      <w:sz w:val="20"/>
                      <w:szCs w:val="20"/>
                    </w:rPr>
                    <w:t>P</w:t>
                  </w:r>
                  <w:r>
                    <w:rPr>
                      <w:sz w:val="20"/>
                      <w:szCs w:val="20"/>
                    </w:rPr>
                    <w:t>C</w:t>
                  </w:r>
                  <w:r w:rsidRPr="00A1178F">
                    <w:rPr>
                      <w:sz w:val="20"/>
                      <w:szCs w:val="20"/>
                    </w:rPr>
                    <w:t>ECR</w:t>
                  </w:r>
                  <w:r w:rsidRPr="005558D4">
                    <w:rPr>
                      <w:sz w:val="20"/>
                      <w:szCs w:val="20"/>
                    </w:rPr>
                    <w:t>OAMT</w:t>
                  </w:r>
                  <w:r w:rsidRPr="005558D4">
                    <w:rPr>
                      <w:i/>
                      <w:sz w:val="20"/>
                      <w:szCs w:val="20"/>
                    </w:rPr>
                    <w:t xml:space="preserve"> </w:t>
                  </w:r>
                  <w:r w:rsidRPr="005558D4">
                    <w:rPr>
                      <w:i/>
                      <w:sz w:val="20"/>
                      <w:szCs w:val="20"/>
                      <w:vertAlign w:val="subscript"/>
                    </w:rPr>
                    <w:t>q</w:t>
                  </w:r>
                </w:p>
              </w:tc>
              <w:tc>
                <w:tcPr>
                  <w:tcW w:w="508" w:type="pct"/>
                </w:tcPr>
                <w:p w14:paraId="7049B5DB" w14:textId="77255CF3" w:rsidR="00C24CB5" w:rsidRPr="00782EFB" w:rsidRDefault="00C24CB5" w:rsidP="00C24CB5">
                  <w:pPr>
                    <w:spacing w:after="60"/>
                    <w:rPr>
                      <w:iCs/>
                      <w:sz w:val="20"/>
                      <w:szCs w:val="20"/>
                    </w:rPr>
                  </w:pPr>
                  <w:r w:rsidRPr="005558D4">
                    <w:rPr>
                      <w:sz w:val="20"/>
                      <w:szCs w:val="20"/>
                    </w:rPr>
                    <w:t>$</w:t>
                  </w:r>
                </w:p>
              </w:tc>
              <w:tc>
                <w:tcPr>
                  <w:tcW w:w="3542" w:type="pct"/>
                </w:tcPr>
                <w:p w14:paraId="56D27730" w14:textId="6F6BC4B8" w:rsidR="00C24CB5" w:rsidRPr="00782EFB" w:rsidRDefault="00C24CB5" w:rsidP="00C24CB5">
                  <w:pPr>
                    <w:spacing w:after="60"/>
                    <w:rPr>
                      <w:i/>
                      <w:iCs/>
                      <w:sz w:val="20"/>
                      <w:szCs w:val="20"/>
                    </w:rPr>
                  </w:pPr>
                  <w:r w:rsidRPr="005558D4">
                    <w:rPr>
                      <w:i/>
                      <w:sz w:val="20"/>
                      <w:szCs w:val="20"/>
                    </w:rPr>
                    <w:t xml:space="preserve">Day-Ahead Procured Capacity for </w:t>
                  </w:r>
                  <w:r w:rsidRPr="00A1178F">
                    <w:rPr>
                      <w:i/>
                      <w:iCs/>
                      <w:sz w:val="20"/>
                      <w:szCs w:val="20"/>
                    </w:rPr>
                    <w:t>ERCOT Contingency Reserve Service</w:t>
                  </w:r>
                  <w:r w:rsidRPr="005558D4">
                    <w:rPr>
                      <w:i/>
                      <w:sz w:val="20"/>
                      <w:szCs w:val="20"/>
                    </w:rPr>
                    <w:t xml:space="preserve"> Only </w:t>
                  </w:r>
                  <w:r>
                    <w:rPr>
                      <w:i/>
                      <w:sz w:val="20"/>
                      <w:szCs w:val="20"/>
                    </w:rPr>
                    <w:t>Amount</w:t>
                  </w:r>
                  <w:r w:rsidRPr="005558D4">
                    <w:rPr>
                      <w:i/>
                      <w:sz w:val="20"/>
                      <w:szCs w:val="20"/>
                    </w:rPr>
                    <w:t xml:space="preserve"> per QSE</w:t>
                  </w:r>
                  <w:r w:rsidRPr="005558D4">
                    <w:rPr>
                      <w:sz w:val="20"/>
                      <w:szCs w:val="20"/>
                    </w:rPr>
                    <w:t xml:space="preserve">— The payment to QSE </w:t>
                  </w:r>
                  <w:r w:rsidRPr="005558D4">
                    <w:rPr>
                      <w:i/>
                      <w:sz w:val="20"/>
                      <w:szCs w:val="20"/>
                    </w:rPr>
                    <w:t>q</w:t>
                  </w:r>
                  <w:r w:rsidRPr="005558D4">
                    <w:rPr>
                      <w:sz w:val="20"/>
                      <w:szCs w:val="20"/>
                    </w:rPr>
                    <w:t xml:space="preserve"> for all ECRS only awards in DAM for the hour.</w:t>
                  </w:r>
                </w:p>
              </w:tc>
            </w:tr>
            <w:tr w:rsidR="00B117D4" w:rsidRPr="00782EFB" w14:paraId="25A75FE3" w14:textId="77777777" w:rsidTr="00B34003">
              <w:tc>
                <w:tcPr>
                  <w:tcW w:w="950" w:type="pct"/>
                </w:tcPr>
                <w:p w14:paraId="33F667D8" w14:textId="77777777" w:rsidR="00B117D4" w:rsidRPr="00782EFB" w:rsidRDefault="00B117D4" w:rsidP="00B117D4">
                  <w:pPr>
                    <w:spacing w:after="60"/>
                    <w:rPr>
                      <w:iCs/>
                      <w:sz w:val="20"/>
                      <w:szCs w:val="20"/>
                    </w:rPr>
                  </w:pPr>
                  <w:r w:rsidRPr="00782EFB">
                    <w:rPr>
                      <w:iCs/>
                      <w:sz w:val="20"/>
                      <w:szCs w:val="20"/>
                    </w:rPr>
                    <w:t xml:space="preserve">PCECR </w:t>
                  </w:r>
                  <w:r w:rsidRPr="00782EFB">
                    <w:rPr>
                      <w:i/>
                      <w:iCs/>
                      <w:sz w:val="20"/>
                      <w:szCs w:val="20"/>
                      <w:vertAlign w:val="subscript"/>
                    </w:rPr>
                    <w:t>q</w:t>
                  </w:r>
                  <w:r w:rsidRPr="00782EFB">
                    <w:rPr>
                      <w:i/>
                      <w:iCs/>
                      <w:sz w:val="20"/>
                      <w:szCs w:val="20"/>
                    </w:rPr>
                    <w:t xml:space="preserve"> </w:t>
                  </w:r>
                </w:p>
              </w:tc>
              <w:tc>
                <w:tcPr>
                  <w:tcW w:w="508" w:type="pct"/>
                </w:tcPr>
                <w:p w14:paraId="0EFAA2A3" w14:textId="77777777" w:rsidR="00B117D4" w:rsidRPr="00782EFB" w:rsidRDefault="00B117D4" w:rsidP="00B117D4">
                  <w:pPr>
                    <w:spacing w:after="60"/>
                    <w:rPr>
                      <w:iCs/>
                      <w:sz w:val="20"/>
                      <w:szCs w:val="20"/>
                    </w:rPr>
                  </w:pPr>
                  <w:r w:rsidRPr="00782EFB">
                    <w:rPr>
                      <w:iCs/>
                      <w:sz w:val="20"/>
                      <w:szCs w:val="20"/>
                    </w:rPr>
                    <w:t>MW</w:t>
                  </w:r>
                </w:p>
              </w:tc>
              <w:tc>
                <w:tcPr>
                  <w:tcW w:w="3542" w:type="pct"/>
                </w:tcPr>
                <w:p w14:paraId="403E0089" w14:textId="77777777" w:rsidR="00B117D4" w:rsidRPr="00782EFB" w:rsidRDefault="00B117D4" w:rsidP="00B117D4">
                  <w:pPr>
                    <w:spacing w:after="60"/>
                    <w:rPr>
                      <w:iCs/>
                      <w:sz w:val="20"/>
                      <w:szCs w:val="20"/>
                    </w:rPr>
                  </w:pPr>
                  <w:r w:rsidRPr="00782EFB">
                    <w:rPr>
                      <w:i/>
                      <w:iCs/>
                      <w:sz w:val="20"/>
                      <w:szCs w:val="20"/>
                    </w:rPr>
                    <w:t>Procured Capacity for ERCOT Contingency Reserve Service per QSE in DAM</w:t>
                  </w:r>
                  <w:r w:rsidRPr="00782EFB">
                    <w:rPr>
                      <w:iCs/>
                      <w:sz w:val="20"/>
                      <w:szCs w:val="20"/>
                    </w:rPr>
                    <w:t xml:space="preserve">—The total ECRS capacity quantity awarded to QSE </w:t>
                  </w:r>
                  <w:r w:rsidRPr="00782EFB">
                    <w:rPr>
                      <w:i/>
                      <w:iCs/>
                      <w:sz w:val="20"/>
                      <w:szCs w:val="20"/>
                    </w:rPr>
                    <w:t>q</w:t>
                  </w:r>
                  <w:r w:rsidRPr="00782EFB">
                    <w:rPr>
                      <w:iCs/>
                      <w:sz w:val="20"/>
                      <w:szCs w:val="20"/>
                    </w:rPr>
                    <w:t xml:space="preserve"> in the DAM for all the Resources represented by this QSE for the hour.</w:t>
                  </w:r>
                </w:p>
              </w:tc>
            </w:tr>
            <w:tr w:rsidR="00B117D4" w:rsidRPr="00782EFB" w14:paraId="3F4D69A5" w14:textId="77777777" w:rsidTr="00B34003">
              <w:tc>
                <w:tcPr>
                  <w:tcW w:w="950" w:type="pct"/>
                </w:tcPr>
                <w:p w14:paraId="21165252" w14:textId="77777777" w:rsidR="00B117D4" w:rsidRPr="00782EFB" w:rsidRDefault="00B117D4" w:rsidP="00B117D4">
                  <w:pPr>
                    <w:spacing w:after="60"/>
                    <w:rPr>
                      <w:iCs/>
                      <w:sz w:val="20"/>
                      <w:szCs w:val="20"/>
                    </w:rPr>
                  </w:pPr>
                  <w:r w:rsidRPr="00782EFB">
                    <w:rPr>
                      <w:iCs/>
                      <w:sz w:val="20"/>
                      <w:szCs w:val="20"/>
                    </w:rPr>
                    <w:t xml:space="preserve">PCECRR </w:t>
                  </w:r>
                  <w:r w:rsidRPr="00782EFB">
                    <w:rPr>
                      <w:i/>
                      <w:iCs/>
                      <w:sz w:val="20"/>
                      <w:szCs w:val="20"/>
                      <w:vertAlign w:val="subscript"/>
                    </w:rPr>
                    <w:t>r,</w:t>
                  </w:r>
                  <w:r w:rsidRPr="00782EFB">
                    <w:rPr>
                      <w:i/>
                      <w:iCs/>
                      <w:sz w:val="20"/>
                      <w:szCs w:val="20"/>
                    </w:rPr>
                    <w:t xml:space="preserve"> </w:t>
                  </w:r>
                  <w:r w:rsidRPr="00782EFB">
                    <w:rPr>
                      <w:i/>
                      <w:iCs/>
                      <w:sz w:val="20"/>
                      <w:szCs w:val="20"/>
                      <w:vertAlign w:val="subscript"/>
                    </w:rPr>
                    <w:t>q, DAM</w:t>
                  </w:r>
                </w:p>
              </w:tc>
              <w:tc>
                <w:tcPr>
                  <w:tcW w:w="508" w:type="pct"/>
                </w:tcPr>
                <w:p w14:paraId="7060D8DF" w14:textId="77777777" w:rsidR="00B117D4" w:rsidRPr="00782EFB" w:rsidRDefault="00B117D4" w:rsidP="00B117D4">
                  <w:pPr>
                    <w:spacing w:after="60"/>
                    <w:rPr>
                      <w:iCs/>
                      <w:sz w:val="20"/>
                      <w:szCs w:val="20"/>
                    </w:rPr>
                  </w:pPr>
                  <w:r w:rsidRPr="00782EFB">
                    <w:rPr>
                      <w:iCs/>
                      <w:sz w:val="20"/>
                      <w:szCs w:val="20"/>
                    </w:rPr>
                    <w:t>MW</w:t>
                  </w:r>
                </w:p>
              </w:tc>
              <w:tc>
                <w:tcPr>
                  <w:tcW w:w="3542" w:type="pct"/>
                </w:tcPr>
                <w:p w14:paraId="4E6CCEFC" w14:textId="77777777" w:rsidR="00B117D4" w:rsidRPr="00782EFB" w:rsidRDefault="00B117D4" w:rsidP="00B117D4">
                  <w:pPr>
                    <w:spacing w:after="60"/>
                    <w:rPr>
                      <w:iCs/>
                      <w:sz w:val="20"/>
                      <w:szCs w:val="20"/>
                    </w:rPr>
                  </w:pPr>
                  <w:r w:rsidRPr="00782EFB">
                    <w:rPr>
                      <w:i/>
                      <w:iCs/>
                      <w:sz w:val="20"/>
                      <w:szCs w:val="20"/>
                    </w:rPr>
                    <w:t>Procured Capacity for ERCOT Contingency Reserve Service from Resource per Resource per QSE in DAM</w:t>
                  </w:r>
                  <w:r w:rsidRPr="00782EFB">
                    <w:rPr>
                      <w:iCs/>
                      <w:sz w:val="20"/>
                      <w:szCs w:val="20"/>
                    </w:rPr>
                    <w:t xml:space="preserve">—The ECRS capacity quantity awarded to QSE </w:t>
                  </w:r>
                  <w:r w:rsidRPr="00782EFB">
                    <w:rPr>
                      <w:i/>
                      <w:iCs/>
                      <w:sz w:val="20"/>
                      <w:szCs w:val="20"/>
                    </w:rPr>
                    <w:t>q</w:t>
                  </w:r>
                  <w:r w:rsidRPr="00782EFB">
                    <w:rPr>
                      <w:iCs/>
                      <w:sz w:val="20"/>
                      <w:szCs w:val="20"/>
                    </w:rPr>
                    <w:t xml:space="preserve"> in the DAM for Resource </w:t>
                  </w:r>
                  <w:r w:rsidRPr="00782EFB">
                    <w:rPr>
                      <w:i/>
                      <w:iCs/>
                      <w:sz w:val="20"/>
                      <w:szCs w:val="20"/>
                    </w:rPr>
                    <w:t>r</w:t>
                  </w:r>
                  <w:r w:rsidRPr="00782EFB">
                    <w:rPr>
                      <w:iCs/>
                      <w:sz w:val="20"/>
                      <w:szCs w:val="20"/>
                    </w:rPr>
                    <w:t xml:space="preserve"> for the hour.  Where for a Combined Cycle Train, the Resource </w:t>
                  </w:r>
                  <w:r w:rsidRPr="00782EFB">
                    <w:rPr>
                      <w:i/>
                      <w:iCs/>
                      <w:sz w:val="20"/>
                      <w:szCs w:val="20"/>
                    </w:rPr>
                    <w:t xml:space="preserve">r </w:t>
                  </w:r>
                  <w:r w:rsidRPr="00782EFB">
                    <w:rPr>
                      <w:iCs/>
                      <w:sz w:val="20"/>
                      <w:szCs w:val="20"/>
                    </w:rPr>
                    <w:t>is a Combined Cycle Generation Resource within the Combined Cycle Train.</w:t>
                  </w:r>
                </w:p>
              </w:tc>
            </w:tr>
            <w:tr w:rsidR="00B117D4" w:rsidRPr="00782EFB" w14:paraId="002EF98F" w14:textId="77777777" w:rsidTr="00B34003">
              <w:tc>
                <w:tcPr>
                  <w:tcW w:w="950" w:type="pct"/>
                </w:tcPr>
                <w:p w14:paraId="17DABF74" w14:textId="77777777" w:rsidR="00B117D4" w:rsidRPr="00782EFB" w:rsidRDefault="00B117D4" w:rsidP="00B117D4">
                  <w:pPr>
                    <w:spacing w:after="60"/>
                    <w:rPr>
                      <w:iCs/>
                      <w:sz w:val="20"/>
                      <w:szCs w:val="20"/>
                    </w:rPr>
                  </w:pPr>
                  <w:r w:rsidRPr="00782EFB">
                    <w:rPr>
                      <w:iCs/>
                      <w:sz w:val="20"/>
                      <w:szCs w:val="20"/>
                    </w:rPr>
                    <w:t xml:space="preserve">MCPCECR </w:t>
                  </w:r>
                  <w:r w:rsidRPr="00782EFB">
                    <w:rPr>
                      <w:i/>
                      <w:iCs/>
                      <w:sz w:val="20"/>
                      <w:szCs w:val="20"/>
                      <w:vertAlign w:val="subscript"/>
                    </w:rPr>
                    <w:t>DAM</w:t>
                  </w:r>
                </w:p>
              </w:tc>
              <w:tc>
                <w:tcPr>
                  <w:tcW w:w="508" w:type="pct"/>
                </w:tcPr>
                <w:p w14:paraId="3DEF76D2" w14:textId="464DBF61" w:rsidR="00B117D4" w:rsidRPr="00782EFB" w:rsidRDefault="00B117D4" w:rsidP="00B117D4">
                  <w:pPr>
                    <w:spacing w:after="60"/>
                    <w:rPr>
                      <w:iCs/>
                      <w:sz w:val="20"/>
                      <w:szCs w:val="20"/>
                    </w:rPr>
                  </w:pPr>
                  <w:r w:rsidRPr="00782EFB">
                    <w:rPr>
                      <w:iCs/>
                      <w:sz w:val="20"/>
                      <w:szCs w:val="20"/>
                    </w:rPr>
                    <w:t>$/MW</w:t>
                  </w:r>
                </w:p>
              </w:tc>
              <w:tc>
                <w:tcPr>
                  <w:tcW w:w="3542" w:type="pct"/>
                </w:tcPr>
                <w:p w14:paraId="26AE1A2D" w14:textId="77777777" w:rsidR="00B117D4" w:rsidRPr="00782EFB" w:rsidRDefault="00B117D4" w:rsidP="00B117D4">
                  <w:pPr>
                    <w:spacing w:after="60"/>
                    <w:rPr>
                      <w:iCs/>
                      <w:sz w:val="20"/>
                      <w:szCs w:val="20"/>
                    </w:rPr>
                  </w:pPr>
                  <w:r w:rsidRPr="00782EFB">
                    <w:rPr>
                      <w:i/>
                      <w:iCs/>
                      <w:sz w:val="20"/>
                      <w:szCs w:val="20"/>
                    </w:rPr>
                    <w:t>Market Clearing Price for Capacity for ERCOT Contingency Reserve Service in DAM</w:t>
                  </w:r>
                  <w:r w:rsidRPr="00782EFB">
                    <w:rPr>
                      <w:iCs/>
                      <w:sz w:val="20"/>
                      <w:szCs w:val="20"/>
                    </w:rPr>
                    <w:t>—The DAM MCPC for ECRS for the hour.</w:t>
                  </w:r>
                </w:p>
              </w:tc>
            </w:tr>
            <w:tr w:rsidR="00C24CB5" w:rsidRPr="00782EFB" w14:paraId="768566EF" w14:textId="77777777" w:rsidTr="00B34003">
              <w:tc>
                <w:tcPr>
                  <w:tcW w:w="950" w:type="pct"/>
                </w:tcPr>
                <w:p w14:paraId="61818DF5" w14:textId="516493B6" w:rsidR="00C24CB5" w:rsidRPr="00782EFB" w:rsidRDefault="00C24CB5" w:rsidP="00C24CB5">
                  <w:pPr>
                    <w:spacing w:after="60"/>
                    <w:rPr>
                      <w:iCs/>
                      <w:sz w:val="20"/>
                      <w:szCs w:val="20"/>
                    </w:rPr>
                  </w:pPr>
                  <w:r w:rsidRPr="005558D4">
                    <w:rPr>
                      <w:sz w:val="20"/>
                      <w:szCs w:val="20"/>
                    </w:rPr>
                    <w:t>DA</w:t>
                  </w:r>
                  <w:r w:rsidRPr="00A1178F">
                    <w:rPr>
                      <w:sz w:val="20"/>
                      <w:szCs w:val="20"/>
                    </w:rPr>
                    <w:t>ECR</w:t>
                  </w:r>
                  <w:r w:rsidRPr="005558D4">
                    <w:rPr>
                      <w:sz w:val="20"/>
                      <w:szCs w:val="20"/>
                    </w:rPr>
                    <w:t xml:space="preserve">OAWD </w:t>
                  </w:r>
                  <w:r w:rsidRPr="005558D4">
                    <w:rPr>
                      <w:i/>
                      <w:sz w:val="20"/>
                      <w:szCs w:val="20"/>
                      <w:vertAlign w:val="subscript"/>
                    </w:rPr>
                    <w:t>q</w:t>
                  </w:r>
                </w:p>
              </w:tc>
              <w:tc>
                <w:tcPr>
                  <w:tcW w:w="508" w:type="pct"/>
                </w:tcPr>
                <w:p w14:paraId="422FE6FD" w14:textId="1A8391F9" w:rsidR="00C24CB5" w:rsidRPr="00782EFB" w:rsidRDefault="00C24CB5" w:rsidP="00C24CB5">
                  <w:pPr>
                    <w:spacing w:after="60"/>
                    <w:rPr>
                      <w:iCs/>
                      <w:sz w:val="20"/>
                      <w:szCs w:val="20"/>
                    </w:rPr>
                  </w:pPr>
                  <w:r w:rsidRPr="005558D4">
                    <w:rPr>
                      <w:sz w:val="20"/>
                      <w:szCs w:val="20"/>
                    </w:rPr>
                    <w:t>MW</w:t>
                  </w:r>
                </w:p>
              </w:tc>
              <w:tc>
                <w:tcPr>
                  <w:tcW w:w="3542" w:type="pct"/>
                </w:tcPr>
                <w:p w14:paraId="42BD62D5" w14:textId="4483C3AA" w:rsidR="00C24CB5" w:rsidRPr="00782EFB" w:rsidRDefault="00C24CB5" w:rsidP="00C24CB5">
                  <w:pPr>
                    <w:spacing w:after="60"/>
                    <w:rPr>
                      <w:i/>
                      <w:iCs/>
                      <w:sz w:val="20"/>
                      <w:szCs w:val="20"/>
                    </w:rPr>
                  </w:pPr>
                  <w:r w:rsidRPr="005558D4">
                    <w:rPr>
                      <w:i/>
                      <w:sz w:val="20"/>
                      <w:szCs w:val="20"/>
                    </w:rPr>
                    <w:t xml:space="preserve">Day-Ahead </w:t>
                  </w:r>
                  <w:r w:rsidRPr="00A1178F">
                    <w:rPr>
                      <w:i/>
                      <w:iCs/>
                      <w:sz w:val="20"/>
                      <w:szCs w:val="20"/>
                    </w:rPr>
                    <w:t xml:space="preserve">ERCOT Contingency Reserve Service </w:t>
                  </w:r>
                  <w:r w:rsidRPr="005558D4">
                    <w:rPr>
                      <w:i/>
                      <w:sz w:val="20"/>
                      <w:szCs w:val="20"/>
                    </w:rPr>
                    <w:t xml:space="preserve">Only Award </w:t>
                  </w:r>
                  <w:r>
                    <w:rPr>
                      <w:i/>
                      <w:sz w:val="20"/>
                      <w:szCs w:val="20"/>
                    </w:rPr>
                    <w:t>per</w:t>
                  </w:r>
                  <w:r w:rsidRPr="005558D4">
                    <w:rPr>
                      <w:i/>
                      <w:sz w:val="20"/>
                      <w:szCs w:val="20"/>
                    </w:rPr>
                    <w:t xml:space="preserve"> QSE </w:t>
                  </w:r>
                  <w:r w:rsidRPr="005558D4">
                    <w:rPr>
                      <w:sz w:val="20"/>
                      <w:szCs w:val="20"/>
                    </w:rPr>
                    <w:t xml:space="preserve">—The ECRS only capacity quantity awarded in DAM to QSE </w:t>
                  </w:r>
                  <w:r w:rsidRPr="005558D4">
                    <w:rPr>
                      <w:i/>
                      <w:sz w:val="20"/>
                      <w:szCs w:val="20"/>
                    </w:rPr>
                    <w:t>q</w:t>
                  </w:r>
                  <w:r w:rsidRPr="005558D4">
                    <w:rPr>
                      <w:sz w:val="20"/>
                      <w:szCs w:val="20"/>
                    </w:rPr>
                    <w:t xml:space="preserve"> for the hour.</w:t>
                  </w:r>
                </w:p>
              </w:tc>
            </w:tr>
            <w:tr w:rsidR="00B117D4" w:rsidRPr="00782EFB" w14:paraId="54821323" w14:textId="77777777" w:rsidTr="00B34003">
              <w:tc>
                <w:tcPr>
                  <w:tcW w:w="950" w:type="pct"/>
                </w:tcPr>
                <w:p w14:paraId="252881D2" w14:textId="77777777" w:rsidR="00B117D4" w:rsidRPr="00782EFB" w:rsidRDefault="00B117D4" w:rsidP="00B117D4">
                  <w:pPr>
                    <w:spacing w:after="60"/>
                    <w:rPr>
                      <w:i/>
                      <w:iCs/>
                      <w:sz w:val="20"/>
                      <w:szCs w:val="20"/>
                    </w:rPr>
                  </w:pPr>
                  <w:r w:rsidRPr="00782EFB">
                    <w:rPr>
                      <w:i/>
                      <w:iCs/>
                      <w:sz w:val="20"/>
                      <w:szCs w:val="20"/>
                    </w:rPr>
                    <w:t>r</w:t>
                  </w:r>
                </w:p>
              </w:tc>
              <w:tc>
                <w:tcPr>
                  <w:tcW w:w="508" w:type="pct"/>
                </w:tcPr>
                <w:p w14:paraId="1E0928D7" w14:textId="77777777" w:rsidR="00B117D4" w:rsidRPr="00782EFB" w:rsidRDefault="00B117D4" w:rsidP="00B117D4">
                  <w:pPr>
                    <w:spacing w:after="60"/>
                    <w:rPr>
                      <w:iCs/>
                      <w:sz w:val="20"/>
                      <w:szCs w:val="20"/>
                    </w:rPr>
                  </w:pPr>
                  <w:r w:rsidRPr="00782EFB">
                    <w:rPr>
                      <w:iCs/>
                      <w:sz w:val="20"/>
                      <w:szCs w:val="20"/>
                    </w:rPr>
                    <w:t>none</w:t>
                  </w:r>
                </w:p>
              </w:tc>
              <w:tc>
                <w:tcPr>
                  <w:tcW w:w="3542" w:type="pct"/>
                </w:tcPr>
                <w:p w14:paraId="60706FE8" w14:textId="77777777" w:rsidR="00B117D4" w:rsidRPr="00782EFB" w:rsidRDefault="00B117D4" w:rsidP="00B117D4">
                  <w:pPr>
                    <w:spacing w:after="60"/>
                    <w:rPr>
                      <w:iCs/>
                      <w:sz w:val="20"/>
                      <w:szCs w:val="20"/>
                    </w:rPr>
                  </w:pPr>
                  <w:r w:rsidRPr="00782EFB">
                    <w:rPr>
                      <w:iCs/>
                      <w:sz w:val="20"/>
                      <w:szCs w:val="20"/>
                    </w:rPr>
                    <w:t>A Resource.</w:t>
                  </w:r>
                </w:p>
              </w:tc>
            </w:tr>
            <w:tr w:rsidR="00B117D4" w:rsidRPr="00782EFB" w14:paraId="430B9388" w14:textId="77777777" w:rsidTr="00B34003">
              <w:tc>
                <w:tcPr>
                  <w:tcW w:w="950" w:type="pct"/>
                </w:tcPr>
                <w:p w14:paraId="1D250939" w14:textId="77777777" w:rsidR="00B117D4" w:rsidRPr="00782EFB" w:rsidRDefault="00B117D4" w:rsidP="00B117D4">
                  <w:pPr>
                    <w:spacing w:after="60"/>
                    <w:rPr>
                      <w:i/>
                      <w:iCs/>
                      <w:sz w:val="20"/>
                      <w:szCs w:val="20"/>
                    </w:rPr>
                  </w:pPr>
                  <w:r w:rsidRPr="00782EFB">
                    <w:rPr>
                      <w:i/>
                      <w:iCs/>
                      <w:sz w:val="20"/>
                      <w:szCs w:val="20"/>
                    </w:rPr>
                    <w:t>q</w:t>
                  </w:r>
                </w:p>
              </w:tc>
              <w:tc>
                <w:tcPr>
                  <w:tcW w:w="508" w:type="pct"/>
                </w:tcPr>
                <w:p w14:paraId="30DF8B93" w14:textId="77777777" w:rsidR="00B117D4" w:rsidRPr="00782EFB" w:rsidRDefault="00B117D4" w:rsidP="00B117D4">
                  <w:pPr>
                    <w:spacing w:after="60"/>
                    <w:rPr>
                      <w:iCs/>
                      <w:sz w:val="20"/>
                      <w:szCs w:val="20"/>
                    </w:rPr>
                  </w:pPr>
                  <w:r w:rsidRPr="00782EFB">
                    <w:rPr>
                      <w:iCs/>
                      <w:sz w:val="20"/>
                      <w:szCs w:val="20"/>
                    </w:rPr>
                    <w:t>none</w:t>
                  </w:r>
                </w:p>
              </w:tc>
              <w:tc>
                <w:tcPr>
                  <w:tcW w:w="3542" w:type="pct"/>
                </w:tcPr>
                <w:p w14:paraId="0AFA6544" w14:textId="77777777" w:rsidR="00B117D4" w:rsidRPr="00782EFB" w:rsidRDefault="00B117D4" w:rsidP="00B117D4">
                  <w:pPr>
                    <w:spacing w:after="60"/>
                    <w:rPr>
                      <w:iCs/>
                      <w:sz w:val="20"/>
                      <w:szCs w:val="20"/>
                    </w:rPr>
                  </w:pPr>
                  <w:r w:rsidRPr="00782EFB">
                    <w:rPr>
                      <w:iCs/>
                      <w:sz w:val="20"/>
                      <w:szCs w:val="20"/>
                    </w:rPr>
                    <w:t>A QSE.</w:t>
                  </w:r>
                </w:p>
              </w:tc>
            </w:tr>
          </w:tbl>
          <w:p w14:paraId="2E279A3B" w14:textId="77777777" w:rsidR="00B117D4" w:rsidRPr="00FC44CB" w:rsidRDefault="00B117D4" w:rsidP="00B34003">
            <w:pPr>
              <w:spacing w:after="240"/>
            </w:pPr>
          </w:p>
        </w:tc>
      </w:tr>
    </w:tbl>
    <w:p w14:paraId="064E310B" w14:textId="77777777" w:rsidR="00FF2129" w:rsidRDefault="00482EF3" w:rsidP="00003B06">
      <w:pPr>
        <w:pStyle w:val="H4"/>
        <w:spacing w:before="480"/>
      </w:pPr>
      <w:bookmarkStart w:id="811" w:name="_Toc135990698"/>
      <w:r>
        <w:lastRenderedPageBreak/>
        <w:t>4.6.4.2</w:t>
      </w:r>
      <w:r>
        <w:tab/>
        <w:t>Charges for Ancillary Services Procurement in the DAM</w:t>
      </w:r>
      <w:bookmarkEnd w:id="801"/>
      <w:bookmarkEnd w:id="802"/>
      <w:bookmarkEnd w:id="803"/>
      <w:bookmarkEnd w:id="804"/>
      <w:bookmarkEnd w:id="805"/>
      <w:bookmarkEnd w:id="806"/>
      <w:bookmarkEnd w:id="807"/>
      <w:bookmarkEnd w:id="811"/>
      <w:r>
        <w:t xml:space="preserve">  </w:t>
      </w:r>
    </w:p>
    <w:p w14:paraId="00BC1924" w14:textId="77777777" w:rsidR="00FF2129" w:rsidRDefault="00482EF3" w:rsidP="00003B06">
      <w:pPr>
        <w:pStyle w:val="H5"/>
        <w:spacing w:before="480"/>
      </w:pPr>
      <w:bookmarkStart w:id="812" w:name="_Toc87758792"/>
      <w:bookmarkStart w:id="813" w:name="_Toc88040357"/>
      <w:bookmarkStart w:id="814" w:name="_Toc90197180"/>
      <w:bookmarkStart w:id="815" w:name="_Toc109185142"/>
      <w:bookmarkStart w:id="816" w:name="_Toc142108972"/>
      <w:bookmarkStart w:id="817" w:name="_Toc142113817"/>
      <w:bookmarkStart w:id="818" w:name="_Toc402345645"/>
      <w:bookmarkStart w:id="819" w:name="_Toc405383928"/>
      <w:bookmarkStart w:id="820" w:name="_Toc405537031"/>
      <w:bookmarkStart w:id="821" w:name="_Toc440871817"/>
      <w:bookmarkStart w:id="822" w:name="_Toc135990699"/>
      <w:bookmarkEnd w:id="808"/>
      <w:bookmarkEnd w:id="809"/>
      <w:bookmarkEnd w:id="810"/>
      <w:r>
        <w:t>4.6.4.2.1</w:t>
      </w:r>
      <w:r>
        <w:tab/>
        <w:t>Regulation Up Service Charge</w:t>
      </w:r>
      <w:bookmarkEnd w:id="812"/>
      <w:bookmarkEnd w:id="813"/>
      <w:bookmarkEnd w:id="814"/>
      <w:bookmarkEnd w:id="815"/>
      <w:bookmarkEnd w:id="816"/>
      <w:bookmarkEnd w:id="817"/>
      <w:bookmarkEnd w:id="818"/>
      <w:bookmarkEnd w:id="819"/>
      <w:bookmarkEnd w:id="820"/>
      <w:bookmarkEnd w:id="821"/>
      <w:bookmarkEnd w:id="822"/>
    </w:p>
    <w:p w14:paraId="4B1D18A6" w14:textId="77777777" w:rsidR="002E4A30" w:rsidRDefault="00EE47EB" w:rsidP="00FA6269">
      <w:pPr>
        <w:pStyle w:val="BodyText"/>
        <w:ind w:left="720" w:hanging="720"/>
      </w:pPr>
      <w:r>
        <w:t>(1)</w:t>
      </w:r>
      <w:r>
        <w:tab/>
      </w:r>
      <w:r w:rsidR="002E4A30">
        <w:t>Each QSE shall pay to ERCOT or be paid by ERCOT a Reg-Up Service charge for each hour as follows:</w:t>
      </w:r>
    </w:p>
    <w:p w14:paraId="36477657" w14:textId="77777777" w:rsidR="002E4A30" w:rsidRPr="0053389B" w:rsidRDefault="002E4A30" w:rsidP="00D46800">
      <w:pPr>
        <w:pStyle w:val="Formula"/>
      </w:pPr>
      <w:r w:rsidRPr="0053389B">
        <w:t xml:space="preserve">DARUAMT </w:t>
      </w:r>
      <w:r w:rsidRPr="0053389B">
        <w:rPr>
          <w:i/>
          <w:vertAlign w:val="subscript"/>
        </w:rPr>
        <w:t>q</w:t>
      </w:r>
      <w:r w:rsidRPr="0053389B">
        <w:tab/>
        <w:t>=</w:t>
      </w:r>
      <w:r w:rsidRPr="0053389B">
        <w:tab/>
      </w:r>
      <w:r w:rsidRPr="0053389B">
        <w:rPr>
          <w:lang w:val="pt-BR"/>
        </w:rPr>
        <w:t>DARUPR</w:t>
      </w:r>
      <w:r w:rsidRPr="0053389B">
        <w:t xml:space="preserve"> * DARUQ </w:t>
      </w:r>
      <w:r w:rsidRPr="0053389B">
        <w:rPr>
          <w:i/>
          <w:vertAlign w:val="subscript"/>
        </w:rPr>
        <w:t>q</w:t>
      </w:r>
    </w:p>
    <w:p w14:paraId="6E93CB55" w14:textId="77777777" w:rsidR="002E4A30" w:rsidRDefault="002E4A30" w:rsidP="002E4A30">
      <w:pPr>
        <w:pStyle w:val="BodyText"/>
        <w:rPr>
          <w:lang w:val="pt-BR"/>
        </w:rPr>
      </w:pPr>
      <w:r>
        <w:rPr>
          <w:lang w:val="pt-BR"/>
        </w:rPr>
        <w:t>Where:</w:t>
      </w:r>
    </w:p>
    <w:p w14:paraId="36EC7304" w14:textId="77777777" w:rsidR="002E4A30" w:rsidRDefault="002E4A30" w:rsidP="00D46800">
      <w:pPr>
        <w:pStyle w:val="Formula"/>
      </w:pPr>
      <w:r>
        <w:t>DARUPR</w:t>
      </w:r>
      <w:r>
        <w:tab/>
        <w:t xml:space="preserve">= </w:t>
      </w:r>
      <w:r>
        <w:tab/>
        <w:t>(-1) * PCRUAMTTOT / DARUQTOT</w:t>
      </w:r>
    </w:p>
    <w:p w14:paraId="2805331A" w14:textId="77777777" w:rsidR="002E4A30" w:rsidRDefault="002E4A30" w:rsidP="00D46800">
      <w:pPr>
        <w:pStyle w:val="Formula"/>
      </w:pPr>
      <w:r>
        <w:t>PCRUAMTTOT</w:t>
      </w:r>
      <w:r>
        <w:tab/>
        <w:t>=</w:t>
      </w:r>
      <w:r>
        <w:tab/>
      </w:r>
      <w:r w:rsidRPr="00FF2129">
        <w:rPr>
          <w:position w:val="-22"/>
        </w:rPr>
        <w:object w:dxaOrig="220" w:dyaOrig="460" w14:anchorId="1D0BCB7D">
          <v:shape id="_x0000_i1045" type="#_x0000_t75" style="width:13.2pt;height:21pt" o:ole="">
            <v:imagedata r:id="rId50" o:title=""/>
          </v:shape>
          <o:OLEObject Type="Embed" ProgID="Equation.3" ShapeID="_x0000_i1045" DrawAspect="Content" ObjectID="_1775281338" r:id="rId51"/>
        </w:object>
      </w:r>
      <w:r>
        <w:t xml:space="preserve">PCRUAMT </w:t>
      </w:r>
      <w:r>
        <w:rPr>
          <w:i/>
          <w:vertAlign w:val="subscript"/>
        </w:rPr>
        <w:t>q</w:t>
      </w:r>
    </w:p>
    <w:p w14:paraId="6A862D55" w14:textId="77777777" w:rsidR="002E4A30" w:rsidRDefault="002E4A30" w:rsidP="00D46800">
      <w:pPr>
        <w:pStyle w:val="Formula"/>
        <w:rPr>
          <w:lang w:val="pt-BR"/>
        </w:rPr>
      </w:pPr>
      <w:r>
        <w:rPr>
          <w:lang w:val="pt-BR"/>
        </w:rPr>
        <w:lastRenderedPageBreak/>
        <w:t>DARUQTOT</w:t>
      </w:r>
      <w:r>
        <w:rPr>
          <w:lang w:val="pt-BR"/>
        </w:rPr>
        <w:tab/>
        <w:t>=</w:t>
      </w:r>
      <w:r>
        <w:rPr>
          <w:lang w:val="pt-BR"/>
        </w:rPr>
        <w:tab/>
      </w:r>
      <w:r w:rsidRPr="00FF2129">
        <w:rPr>
          <w:position w:val="-22"/>
        </w:rPr>
        <w:object w:dxaOrig="220" w:dyaOrig="460" w14:anchorId="688A2E1C">
          <v:shape id="_x0000_i1046" type="#_x0000_t75" style="width:13.2pt;height:21pt" o:ole="">
            <v:imagedata r:id="rId50" o:title=""/>
          </v:shape>
          <o:OLEObject Type="Embed" ProgID="Equation.3" ShapeID="_x0000_i1046" DrawAspect="Content" ObjectID="_1775281339" r:id="rId52"/>
        </w:object>
      </w:r>
      <w:r>
        <w:rPr>
          <w:lang w:val="pt-BR"/>
        </w:rPr>
        <w:t xml:space="preserve">DARUQ </w:t>
      </w:r>
      <w:r>
        <w:rPr>
          <w:i/>
          <w:vertAlign w:val="subscript"/>
          <w:lang w:val="pt-BR"/>
        </w:rPr>
        <w:t>q</w:t>
      </w:r>
    </w:p>
    <w:p w14:paraId="3885FB42" w14:textId="77777777" w:rsidR="002E4A30" w:rsidRDefault="002E4A30" w:rsidP="00D46800">
      <w:pPr>
        <w:pStyle w:val="Formula"/>
      </w:pPr>
      <w:r>
        <w:t xml:space="preserve">DARUQ </w:t>
      </w:r>
      <w:r>
        <w:rPr>
          <w:i/>
          <w:vertAlign w:val="subscript"/>
        </w:rPr>
        <w:t>q</w:t>
      </w:r>
      <w:r>
        <w:tab/>
        <w:t>=</w:t>
      </w:r>
      <w:r>
        <w:tab/>
        <w:t xml:space="preserve">DARUO </w:t>
      </w:r>
      <w:r>
        <w:rPr>
          <w:i/>
          <w:vertAlign w:val="subscript"/>
        </w:rPr>
        <w:t>q</w:t>
      </w:r>
      <w:r>
        <w:t xml:space="preserve"> – DASARUQ </w:t>
      </w:r>
      <w:r>
        <w:rPr>
          <w:i/>
          <w:vertAlign w:val="subscript"/>
        </w:rPr>
        <w:t>q</w:t>
      </w:r>
    </w:p>
    <w:p w14:paraId="0704E39A" w14:textId="77777777" w:rsidR="002E4A30" w:rsidRDefault="002E4A30" w:rsidP="002E4A30">
      <w:r>
        <w:t xml:space="preserve">The above variables are defined as follows: </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81"/>
        <w:gridCol w:w="967"/>
        <w:gridCol w:w="6204"/>
      </w:tblGrid>
      <w:tr w:rsidR="002E4A30" w14:paraId="41FA41F1" w14:textId="77777777" w:rsidTr="0053389B">
        <w:trPr>
          <w:tblHeader/>
        </w:trPr>
        <w:tc>
          <w:tcPr>
            <w:tcW w:w="1166" w:type="pct"/>
          </w:tcPr>
          <w:p w14:paraId="619C4F81" w14:textId="77777777" w:rsidR="002E4A30" w:rsidRDefault="002E4A30" w:rsidP="0053389B">
            <w:pPr>
              <w:pStyle w:val="TableHead"/>
            </w:pPr>
            <w:r>
              <w:t>Variable</w:t>
            </w:r>
          </w:p>
        </w:tc>
        <w:tc>
          <w:tcPr>
            <w:tcW w:w="517" w:type="pct"/>
          </w:tcPr>
          <w:p w14:paraId="44A2E96C" w14:textId="77777777" w:rsidR="002E4A30" w:rsidRDefault="002E4A30" w:rsidP="0053389B">
            <w:pPr>
              <w:pStyle w:val="TableHead"/>
            </w:pPr>
            <w:r>
              <w:t>Unit</w:t>
            </w:r>
          </w:p>
        </w:tc>
        <w:tc>
          <w:tcPr>
            <w:tcW w:w="3317" w:type="pct"/>
          </w:tcPr>
          <w:p w14:paraId="38E19ABE" w14:textId="77777777" w:rsidR="002E4A30" w:rsidRDefault="002E4A30" w:rsidP="0053389B">
            <w:pPr>
              <w:pStyle w:val="TableHead"/>
            </w:pPr>
            <w:r>
              <w:t>Definition</w:t>
            </w:r>
          </w:p>
        </w:tc>
      </w:tr>
      <w:tr w:rsidR="002E4A30" w14:paraId="6EFAA2BB" w14:textId="77777777" w:rsidTr="0053389B">
        <w:tc>
          <w:tcPr>
            <w:tcW w:w="1166" w:type="pct"/>
          </w:tcPr>
          <w:p w14:paraId="38C08900" w14:textId="77777777" w:rsidR="002E4A30" w:rsidRDefault="002E4A30" w:rsidP="0053389B">
            <w:pPr>
              <w:pStyle w:val="TableBody"/>
            </w:pPr>
            <w:r>
              <w:t xml:space="preserve">DARUAMT </w:t>
            </w:r>
            <w:r w:rsidRPr="00BF1248">
              <w:rPr>
                <w:i/>
                <w:vertAlign w:val="subscript"/>
              </w:rPr>
              <w:t>q</w:t>
            </w:r>
          </w:p>
        </w:tc>
        <w:tc>
          <w:tcPr>
            <w:tcW w:w="517" w:type="pct"/>
          </w:tcPr>
          <w:p w14:paraId="4D54A5A8" w14:textId="77777777" w:rsidR="002E4A30" w:rsidRDefault="002E4A30" w:rsidP="0053389B">
            <w:pPr>
              <w:pStyle w:val="TableBody"/>
            </w:pPr>
            <w:r>
              <w:t>$</w:t>
            </w:r>
          </w:p>
        </w:tc>
        <w:tc>
          <w:tcPr>
            <w:tcW w:w="3317" w:type="pct"/>
          </w:tcPr>
          <w:p w14:paraId="43640402" w14:textId="77777777" w:rsidR="002E4A30" w:rsidRDefault="002E4A30" w:rsidP="0053389B">
            <w:pPr>
              <w:pStyle w:val="TableBody"/>
            </w:pPr>
            <w:r>
              <w:rPr>
                <w:i/>
              </w:rPr>
              <w:t>Day-Ahead Reg-Up Amount per QSE</w:t>
            </w:r>
            <w:r>
              <w:t xml:space="preserve">—QSE </w:t>
            </w:r>
            <w:r>
              <w:rPr>
                <w:i/>
              </w:rPr>
              <w:t>q</w:t>
            </w:r>
            <w:r>
              <w:t>’s share of the DAM cost for Reg-Up, for the hour.</w:t>
            </w:r>
          </w:p>
        </w:tc>
      </w:tr>
      <w:tr w:rsidR="002E4A30" w14:paraId="027EF331" w14:textId="77777777" w:rsidTr="0053389B">
        <w:tc>
          <w:tcPr>
            <w:tcW w:w="1166" w:type="pct"/>
          </w:tcPr>
          <w:p w14:paraId="2041D041" w14:textId="77777777" w:rsidR="002E4A30" w:rsidRDefault="002E4A30" w:rsidP="0053389B">
            <w:pPr>
              <w:pStyle w:val="TableBody"/>
            </w:pPr>
            <w:r>
              <w:t>DARUPR</w:t>
            </w:r>
          </w:p>
        </w:tc>
        <w:tc>
          <w:tcPr>
            <w:tcW w:w="517" w:type="pct"/>
          </w:tcPr>
          <w:p w14:paraId="17DF0BE2" w14:textId="77777777" w:rsidR="002E4A30" w:rsidRDefault="002E4A30" w:rsidP="0053389B">
            <w:pPr>
              <w:pStyle w:val="TableBody"/>
            </w:pPr>
            <w:r>
              <w:t>$/MW per hour</w:t>
            </w:r>
          </w:p>
        </w:tc>
        <w:tc>
          <w:tcPr>
            <w:tcW w:w="3317" w:type="pct"/>
          </w:tcPr>
          <w:p w14:paraId="62D78E67" w14:textId="77777777" w:rsidR="002E4A30" w:rsidRDefault="002E4A30" w:rsidP="0053389B">
            <w:pPr>
              <w:pStyle w:val="TableBody"/>
            </w:pPr>
            <w:r>
              <w:rPr>
                <w:i/>
              </w:rPr>
              <w:t>Day-Ahead Reg-Up Price</w:t>
            </w:r>
            <w:r>
              <w:t>—The Day-Ahead Reg-Up price for the hour.</w:t>
            </w:r>
          </w:p>
        </w:tc>
      </w:tr>
      <w:tr w:rsidR="002E4A30" w14:paraId="558E6208" w14:textId="77777777" w:rsidTr="0053389B">
        <w:tc>
          <w:tcPr>
            <w:tcW w:w="1166" w:type="pct"/>
          </w:tcPr>
          <w:p w14:paraId="5B44563F" w14:textId="77777777" w:rsidR="002E4A30" w:rsidRDefault="002E4A30" w:rsidP="0053389B">
            <w:pPr>
              <w:pStyle w:val="TableBody"/>
            </w:pPr>
            <w:r>
              <w:t xml:space="preserve">DARUQ </w:t>
            </w:r>
            <w:r w:rsidRPr="00BF1248">
              <w:rPr>
                <w:i/>
                <w:vertAlign w:val="subscript"/>
              </w:rPr>
              <w:t>q</w:t>
            </w:r>
          </w:p>
        </w:tc>
        <w:tc>
          <w:tcPr>
            <w:tcW w:w="517" w:type="pct"/>
          </w:tcPr>
          <w:p w14:paraId="67AD989C" w14:textId="77777777" w:rsidR="002E4A30" w:rsidRDefault="002E4A30" w:rsidP="0053389B">
            <w:pPr>
              <w:pStyle w:val="TableBody"/>
            </w:pPr>
            <w:r>
              <w:t>MW</w:t>
            </w:r>
          </w:p>
        </w:tc>
        <w:tc>
          <w:tcPr>
            <w:tcW w:w="3317" w:type="pct"/>
          </w:tcPr>
          <w:p w14:paraId="09C494D5" w14:textId="77777777" w:rsidR="002E4A30" w:rsidRDefault="002E4A30" w:rsidP="0053389B">
            <w:pPr>
              <w:pStyle w:val="TableBody"/>
              <w:rPr>
                <w:i/>
              </w:rPr>
            </w:pPr>
            <w:r>
              <w:rPr>
                <w:i/>
              </w:rPr>
              <w:t>Day-Ahead Reg-Up Quantity per QSE</w:t>
            </w:r>
            <w:r>
              <w:t xml:space="preserve">—The QSE </w:t>
            </w:r>
            <w:r>
              <w:rPr>
                <w:i/>
              </w:rPr>
              <w:t>q</w:t>
            </w:r>
            <w:r>
              <w:t>’s Day-Ahead Ancillary Service Obligation minus its self-arranged Reg-Up quantity for the hour.</w:t>
            </w:r>
          </w:p>
        </w:tc>
      </w:tr>
      <w:tr w:rsidR="002E4A30" w14:paraId="4B4FDF82" w14:textId="77777777" w:rsidTr="0053389B">
        <w:tc>
          <w:tcPr>
            <w:tcW w:w="1166" w:type="pct"/>
          </w:tcPr>
          <w:p w14:paraId="52539EA7" w14:textId="77777777" w:rsidR="002E4A30" w:rsidRDefault="002E4A30" w:rsidP="0053389B">
            <w:pPr>
              <w:pStyle w:val="TableBody"/>
            </w:pPr>
            <w:r>
              <w:t xml:space="preserve">PCRUAMTTOT </w:t>
            </w:r>
          </w:p>
        </w:tc>
        <w:tc>
          <w:tcPr>
            <w:tcW w:w="517" w:type="pct"/>
          </w:tcPr>
          <w:p w14:paraId="6CFA4D06" w14:textId="77777777" w:rsidR="002E4A30" w:rsidRDefault="002E4A30" w:rsidP="0053389B">
            <w:pPr>
              <w:pStyle w:val="TableBody"/>
            </w:pPr>
            <w:r>
              <w:t>$</w:t>
            </w:r>
          </w:p>
        </w:tc>
        <w:tc>
          <w:tcPr>
            <w:tcW w:w="3317" w:type="pct"/>
          </w:tcPr>
          <w:p w14:paraId="5969CFA5" w14:textId="77777777" w:rsidR="002E4A30" w:rsidRDefault="002E4A30" w:rsidP="0053389B">
            <w:pPr>
              <w:pStyle w:val="TableBody"/>
              <w:rPr>
                <w:i/>
              </w:rPr>
            </w:pPr>
            <w:r>
              <w:rPr>
                <w:i/>
              </w:rPr>
              <w:t>Procured Capacity for Reg-Up Amount Total in DAM</w:t>
            </w:r>
            <w:r>
              <w:t>—The total of the DAM Reg-Up payments for all QSEs for the hour.</w:t>
            </w:r>
          </w:p>
        </w:tc>
      </w:tr>
      <w:tr w:rsidR="002E4A30" w14:paraId="3DC5AFC0" w14:textId="77777777" w:rsidTr="0053389B">
        <w:tc>
          <w:tcPr>
            <w:tcW w:w="1166" w:type="pct"/>
          </w:tcPr>
          <w:p w14:paraId="523E4DA6" w14:textId="77777777" w:rsidR="002E4A30" w:rsidRDefault="002E4A30" w:rsidP="0053389B">
            <w:pPr>
              <w:pStyle w:val="TableBody"/>
            </w:pPr>
            <w:r>
              <w:t xml:space="preserve">PCRUAMT </w:t>
            </w:r>
            <w:r w:rsidRPr="00BF1248">
              <w:rPr>
                <w:i/>
                <w:vertAlign w:val="subscript"/>
              </w:rPr>
              <w:t>q</w:t>
            </w:r>
          </w:p>
        </w:tc>
        <w:tc>
          <w:tcPr>
            <w:tcW w:w="517" w:type="pct"/>
          </w:tcPr>
          <w:p w14:paraId="3B35C7D3" w14:textId="77777777" w:rsidR="002E4A30" w:rsidRDefault="002E4A30" w:rsidP="0053389B">
            <w:pPr>
              <w:pStyle w:val="TableBody"/>
            </w:pPr>
            <w:r>
              <w:t>$</w:t>
            </w:r>
          </w:p>
        </w:tc>
        <w:tc>
          <w:tcPr>
            <w:tcW w:w="3317" w:type="pct"/>
          </w:tcPr>
          <w:p w14:paraId="193FC06C" w14:textId="77777777" w:rsidR="002E4A30" w:rsidRDefault="002E4A30" w:rsidP="0053389B">
            <w:pPr>
              <w:pStyle w:val="TableBody"/>
              <w:rPr>
                <w:i/>
              </w:rPr>
            </w:pPr>
            <w:r>
              <w:rPr>
                <w:i/>
              </w:rPr>
              <w:t>Procured Capacity for Reg-Up Amount per QSE in DAM</w:t>
            </w:r>
            <w:r>
              <w:t xml:space="preserve">—The DAM Reg-Up payment for QSE </w:t>
            </w:r>
            <w:r>
              <w:rPr>
                <w:i/>
              </w:rPr>
              <w:t>q</w:t>
            </w:r>
            <w:r>
              <w:t xml:space="preserve"> for the hour.</w:t>
            </w:r>
          </w:p>
        </w:tc>
      </w:tr>
      <w:tr w:rsidR="002E4A30" w14:paraId="5637C17D" w14:textId="77777777" w:rsidTr="0053389B">
        <w:tc>
          <w:tcPr>
            <w:tcW w:w="1166" w:type="pct"/>
          </w:tcPr>
          <w:p w14:paraId="63F41B49" w14:textId="77777777" w:rsidR="002E4A30" w:rsidRDefault="002E4A30" w:rsidP="0053389B">
            <w:pPr>
              <w:pStyle w:val="TableBody"/>
            </w:pPr>
            <w:r>
              <w:t>DARUQTOT</w:t>
            </w:r>
          </w:p>
        </w:tc>
        <w:tc>
          <w:tcPr>
            <w:tcW w:w="517" w:type="pct"/>
          </w:tcPr>
          <w:p w14:paraId="26C7A4C0" w14:textId="77777777" w:rsidR="002E4A30" w:rsidRDefault="002E4A30" w:rsidP="0053389B">
            <w:pPr>
              <w:pStyle w:val="TableBody"/>
            </w:pPr>
            <w:r>
              <w:t>MW</w:t>
            </w:r>
          </w:p>
        </w:tc>
        <w:tc>
          <w:tcPr>
            <w:tcW w:w="3317" w:type="pct"/>
          </w:tcPr>
          <w:p w14:paraId="54081C6F" w14:textId="77777777" w:rsidR="002E4A30" w:rsidRDefault="002E4A30" w:rsidP="0053389B">
            <w:pPr>
              <w:pStyle w:val="TableBody"/>
              <w:rPr>
                <w:i/>
              </w:rPr>
            </w:pPr>
            <w:r>
              <w:rPr>
                <w:i/>
              </w:rPr>
              <w:t>Day-Ahead Reg-Up Quantity Total</w:t>
            </w:r>
            <w:r>
              <w:t>—The sum of every QSE’s Day-Ahead Ancillary Service Obligation minus its</w:t>
            </w:r>
            <w:r w:rsidRPr="004B2810">
              <w:t xml:space="preserve"> self-arranged</w:t>
            </w:r>
            <w:r>
              <w:t xml:space="preserve"> Reg-Up quantity for the hour.</w:t>
            </w:r>
          </w:p>
        </w:tc>
      </w:tr>
      <w:tr w:rsidR="002E4A30" w14:paraId="3309D9B6" w14:textId="77777777" w:rsidTr="0053389B">
        <w:tc>
          <w:tcPr>
            <w:tcW w:w="1166" w:type="pct"/>
          </w:tcPr>
          <w:p w14:paraId="3406B938" w14:textId="77777777" w:rsidR="002E4A30" w:rsidRDefault="002E4A30" w:rsidP="0053389B">
            <w:pPr>
              <w:pStyle w:val="TableBody"/>
            </w:pPr>
            <w:r>
              <w:t>DARUO</w:t>
            </w:r>
            <w:r w:rsidRPr="00BF1248">
              <w:rPr>
                <w:i/>
              </w:rPr>
              <w:t xml:space="preserve"> </w:t>
            </w:r>
            <w:r w:rsidRPr="00BF1248">
              <w:rPr>
                <w:i/>
                <w:vertAlign w:val="subscript"/>
              </w:rPr>
              <w:t>q</w:t>
            </w:r>
          </w:p>
        </w:tc>
        <w:tc>
          <w:tcPr>
            <w:tcW w:w="517" w:type="pct"/>
          </w:tcPr>
          <w:p w14:paraId="00FC66E6" w14:textId="77777777" w:rsidR="002E4A30" w:rsidRDefault="002E4A30" w:rsidP="0053389B">
            <w:pPr>
              <w:pStyle w:val="TableBody"/>
            </w:pPr>
            <w:r>
              <w:t>MW</w:t>
            </w:r>
          </w:p>
        </w:tc>
        <w:tc>
          <w:tcPr>
            <w:tcW w:w="3317" w:type="pct"/>
          </w:tcPr>
          <w:p w14:paraId="6E0438F4" w14:textId="77777777" w:rsidR="002E4A30" w:rsidRDefault="002E4A30" w:rsidP="0053389B">
            <w:pPr>
              <w:pStyle w:val="TableBody"/>
              <w:rPr>
                <w:i/>
              </w:rPr>
            </w:pPr>
            <w:r>
              <w:rPr>
                <w:i/>
              </w:rPr>
              <w:t>Day-Ahead Reg-Up Obligation per QSE</w:t>
            </w:r>
            <w:r>
              <w:t xml:space="preserve">—The Reg-Up capacity obligation for QSE </w:t>
            </w:r>
            <w:r>
              <w:rPr>
                <w:i/>
              </w:rPr>
              <w:t>q</w:t>
            </w:r>
            <w:r>
              <w:t xml:space="preserve"> for the DAM for the hour. </w:t>
            </w:r>
          </w:p>
        </w:tc>
      </w:tr>
      <w:tr w:rsidR="002E4A30" w14:paraId="5364EDEF" w14:textId="77777777" w:rsidTr="0053389B">
        <w:tc>
          <w:tcPr>
            <w:tcW w:w="1166" w:type="pct"/>
          </w:tcPr>
          <w:p w14:paraId="1BF1DDE1" w14:textId="77777777" w:rsidR="002E4A30" w:rsidRDefault="002E4A30" w:rsidP="0053389B">
            <w:pPr>
              <w:pStyle w:val="TableBody"/>
            </w:pPr>
            <w:r>
              <w:t xml:space="preserve">DASARUQ </w:t>
            </w:r>
            <w:r w:rsidRPr="00BF1248">
              <w:rPr>
                <w:i/>
                <w:vertAlign w:val="subscript"/>
              </w:rPr>
              <w:t>q</w:t>
            </w:r>
          </w:p>
        </w:tc>
        <w:tc>
          <w:tcPr>
            <w:tcW w:w="517" w:type="pct"/>
          </w:tcPr>
          <w:p w14:paraId="28D9D483" w14:textId="77777777" w:rsidR="002E4A30" w:rsidRDefault="002E4A30" w:rsidP="0053389B">
            <w:pPr>
              <w:pStyle w:val="TableBody"/>
            </w:pPr>
            <w:r>
              <w:t>MW</w:t>
            </w:r>
          </w:p>
        </w:tc>
        <w:tc>
          <w:tcPr>
            <w:tcW w:w="3317" w:type="pct"/>
          </w:tcPr>
          <w:p w14:paraId="47BA5BEA" w14:textId="77777777" w:rsidR="002E4A30" w:rsidRDefault="002E4A30" w:rsidP="0053389B">
            <w:pPr>
              <w:pStyle w:val="TableBody"/>
              <w:rPr>
                <w:i/>
              </w:rPr>
            </w:pPr>
            <w:r>
              <w:rPr>
                <w:i/>
              </w:rPr>
              <w:t>Day-Ahead Self-Arranged Reg-Up Quantity per QSE</w:t>
            </w:r>
            <w:r>
              <w:t xml:space="preserve">—The self-arranged Reg-Up quantity submitted by QSE </w:t>
            </w:r>
            <w:r>
              <w:rPr>
                <w:i/>
              </w:rPr>
              <w:t>q</w:t>
            </w:r>
            <w:r>
              <w:t xml:space="preserve"> before 1000 in the Day-Ahead.</w:t>
            </w:r>
          </w:p>
        </w:tc>
      </w:tr>
      <w:tr w:rsidR="002E4A30" w14:paraId="3804D430" w14:textId="77777777" w:rsidTr="0053389B">
        <w:tc>
          <w:tcPr>
            <w:tcW w:w="1166" w:type="pct"/>
          </w:tcPr>
          <w:p w14:paraId="6208C011" w14:textId="77777777" w:rsidR="002E4A30" w:rsidRPr="00BF1248" w:rsidRDefault="002E4A30" w:rsidP="0053389B">
            <w:pPr>
              <w:pStyle w:val="TableBody"/>
              <w:rPr>
                <w:i/>
              </w:rPr>
            </w:pPr>
            <w:r w:rsidRPr="00BF1248">
              <w:rPr>
                <w:i/>
              </w:rPr>
              <w:t>q</w:t>
            </w:r>
          </w:p>
        </w:tc>
        <w:tc>
          <w:tcPr>
            <w:tcW w:w="517" w:type="pct"/>
          </w:tcPr>
          <w:p w14:paraId="04BD28A4" w14:textId="77777777" w:rsidR="002E4A30" w:rsidRDefault="002E4A30" w:rsidP="0053389B">
            <w:pPr>
              <w:pStyle w:val="TableBody"/>
            </w:pPr>
            <w:r>
              <w:t>none</w:t>
            </w:r>
          </w:p>
        </w:tc>
        <w:tc>
          <w:tcPr>
            <w:tcW w:w="3317" w:type="pct"/>
          </w:tcPr>
          <w:p w14:paraId="67CCD499" w14:textId="77777777" w:rsidR="002E4A30" w:rsidRDefault="002E4A30" w:rsidP="0053389B">
            <w:pPr>
              <w:pStyle w:val="TableBody"/>
            </w:pPr>
            <w:r>
              <w:t>A QSE.</w:t>
            </w:r>
          </w:p>
        </w:tc>
      </w:tr>
    </w:tbl>
    <w:p w14:paraId="55472371" w14:textId="77777777" w:rsidR="00C24CB5" w:rsidRPr="000A2386" w:rsidRDefault="00C24CB5" w:rsidP="00C24CB5">
      <w:pPr>
        <w:pStyle w:val="BodyText"/>
        <w:spacing w:after="0"/>
      </w:pPr>
      <w:bookmarkStart w:id="823" w:name="_Toc109185143"/>
      <w:bookmarkStart w:id="824" w:name="_Toc142108973"/>
      <w:bookmarkStart w:id="825" w:name="_Toc142113818"/>
      <w:bookmarkStart w:id="826" w:name="_Toc402345646"/>
      <w:bookmarkStart w:id="827" w:name="_Toc405383929"/>
      <w:bookmarkStart w:id="828" w:name="_Toc405537032"/>
      <w:bookmarkStart w:id="829" w:name="_Toc440871818"/>
      <w:bookmarkEnd w:id="745"/>
      <w:bookmarkEnd w:id="746"/>
      <w:bookmarkEnd w:id="747"/>
      <w:bookmarkEnd w:id="748"/>
      <w:bookmarkEnd w:id="749"/>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4CB5" w:rsidRPr="004B32CF" w14:paraId="6412C753" w14:textId="77777777" w:rsidTr="007258B7">
        <w:trPr>
          <w:trHeight w:val="386"/>
        </w:trPr>
        <w:tc>
          <w:tcPr>
            <w:tcW w:w="9350" w:type="dxa"/>
            <w:shd w:val="pct12" w:color="auto" w:fill="auto"/>
          </w:tcPr>
          <w:p w14:paraId="25279386" w14:textId="77777777" w:rsidR="00C24CB5" w:rsidRPr="004B32CF" w:rsidRDefault="00C24CB5" w:rsidP="007258B7">
            <w:pPr>
              <w:spacing w:before="120" w:after="240"/>
              <w:rPr>
                <w:b/>
                <w:i/>
                <w:iCs/>
              </w:rPr>
            </w:pPr>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11B8AD09" w14:textId="77777777" w:rsidR="00C24CB5" w:rsidRPr="006145CA" w:rsidRDefault="00C24CB5" w:rsidP="00C24CB5">
            <w:pPr>
              <w:pStyle w:val="BodyText"/>
              <w:ind w:left="720" w:hanging="720"/>
            </w:pPr>
            <w:r w:rsidRPr="006145CA">
              <w:t>(1)</w:t>
            </w:r>
            <w:r w:rsidRPr="006145CA">
              <w:tab/>
              <w:t>Each QSE shall pay to ERCOT or be paid by ERCOT a Reg-Up Service charge for each hour as follows:</w:t>
            </w:r>
          </w:p>
          <w:p w14:paraId="74D2F6D3" w14:textId="77777777" w:rsidR="00C24CB5" w:rsidRPr="006145CA" w:rsidRDefault="00C24CB5" w:rsidP="00D46800">
            <w:pPr>
              <w:pStyle w:val="Formula"/>
            </w:pPr>
            <w:r w:rsidRPr="006145CA">
              <w:t xml:space="preserve">DARUAMT </w:t>
            </w:r>
            <w:r w:rsidRPr="006145CA">
              <w:rPr>
                <w:i/>
                <w:vertAlign w:val="subscript"/>
              </w:rPr>
              <w:t>q</w:t>
            </w:r>
            <w:r w:rsidRPr="006145CA">
              <w:tab/>
              <w:t>=</w:t>
            </w:r>
            <w:r w:rsidRPr="006145CA">
              <w:tab/>
            </w:r>
            <w:r w:rsidRPr="006145CA">
              <w:rPr>
                <w:lang w:val="pt-BR"/>
              </w:rPr>
              <w:t>DARUPR</w:t>
            </w:r>
            <w:r w:rsidRPr="006145CA">
              <w:t xml:space="preserve"> * DARUQ </w:t>
            </w:r>
            <w:r w:rsidRPr="006145CA">
              <w:rPr>
                <w:i/>
                <w:vertAlign w:val="subscript"/>
              </w:rPr>
              <w:t>q</w:t>
            </w:r>
          </w:p>
          <w:p w14:paraId="5C540492" w14:textId="77777777" w:rsidR="00C24CB5" w:rsidRPr="006145CA" w:rsidRDefault="00C24CB5" w:rsidP="00C24CB5">
            <w:pPr>
              <w:pStyle w:val="BodyText"/>
              <w:rPr>
                <w:lang w:val="pt-BR"/>
              </w:rPr>
            </w:pPr>
            <w:r w:rsidRPr="006145CA">
              <w:rPr>
                <w:lang w:val="pt-BR"/>
              </w:rPr>
              <w:t>Where:</w:t>
            </w:r>
          </w:p>
          <w:p w14:paraId="1E404210" w14:textId="77777777" w:rsidR="00C24CB5" w:rsidRPr="006145CA" w:rsidRDefault="00C24CB5" w:rsidP="00D46800">
            <w:pPr>
              <w:pStyle w:val="Formula"/>
            </w:pPr>
            <w:r w:rsidRPr="006145CA">
              <w:t>DARUPR</w:t>
            </w:r>
            <w:r w:rsidRPr="006145CA">
              <w:tab/>
              <w:t xml:space="preserve">= </w:t>
            </w:r>
            <w:r w:rsidRPr="006145CA">
              <w:tab/>
              <w:t>(-1) * DAPCRUAMTTOT / DARUQTOT</w:t>
            </w:r>
          </w:p>
          <w:p w14:paraId="22331E4E" w14:textId="77777777" w:rsidR="00C24CB5" w:rsidRPr="006145CA" w:rsidRDefault="00C24CB5" w:rsidP="00D46800">
            <w:pPr>
              <w:pStyle w:val="Formula"/>
            </w:pPr>
            <w:r>
              <w:t>DA</w:t>
            </w:r>
            <w:r w:rsidRPr="006145CA">
              <w:t>PCRUAMTTOT</w:t>
            </w:r>
            <w:r w:rsidRPr="006145CA">
              <w:tab/>
              <w:t>=</w:t>
            </w:r>
            <w:r w:rsidRPr="006145CA">
              <w:tab/>
            </w:r>
            <w:r w:rsidRPr="006145CA">
              <w:rPr>
                <w:position w:val="-22"/>
              </w:rPr>
              <w:object w:dxaOrig="288" w:dyaOrig="438" w14:anchorId="44B19BE0">
                <v:shape id="_x0000_i1047" type="#_x0000_t75" style="width:13.8pt;height:21.6pt" o:ole="">
                  <v:imagedata r:id="rId50" o:title=""/>
                </v:shape>
                <o:OLEObject Type="Embed" ProgID="Equation.3" ShapeID="_x0000_i1047" DrawAspect="Content" ObjectID="_1775281340" r:id="rId53"/>
              </w:object>
            </w:r>
            <w:r>
              <w:t>(</w:t>
            </w:r>
            <w:r w:rsidRPr="006145CA">
              <w:t xml:space="preserve">PCRUAMT </w:t>
            </w:r>
            <w:r w:rsidRPr="006145CA">
              <w:rPr>
                <w:i/>
                <w:vertAlign w:val="subscript"/>
              </w:rPr>
              <w:t>q</w:t>
            </w:r>
            <w:r w:rsidRPr="006145CA">
              <w:t xml:space="preserve"> + DAPCRUOAMT </w:t>
            </w:r>
            <w:r w:rsidRPr="006145CA">
              <w:rPr>
                <w:i/>
                <w:vertAlign w:val="subscript"/>
              </w:rPr>
              <w:t>q</w:t>
            </w:r>
            <w:r w:rsidRPr="006145CA">
              <w:t>)</w:t>
            </w:r>
          </w:p>
          <w:p w14:paraId="1E1E5C8C" w14:textId="77777777" w:rsidR="00C24CB5" w:rsidRPr="006145CA" w:rsidRDefault="00C24CB5" w:rsidP="00D46800">
            <w:pPr>
              <w:pStyle w:val="Formula"/>
              <w:rPr>
                <w:lang w:val="pt-BR"/>
              </w:rPr>
            </w:pPr>
            <w:r w:rsidRPr="006145CA">
              <w:rPr>
                <w:lang w:val="pt-BR"/>
              </w:rPr>
              <w:t>DARUQTOT</w:t>
            </w:r>
            <w:r w:rsidRPr="006145CA">
              <w:rPr>
                <w:lang w:val="pt-BR"/>
              </w:rPr>
              <w:tab/>
              <w:t>=</w:t>
            </w:r>
            <w:r w:rsidRPr="006145CA">
              <w:rPr>
                <w:lang w:val="pt-BR"/>
              </w:rPr>
              <w:tab/>
            </w:r>
            <w:r w:rsidRPr="006145CA">
              <w:rPr>
                <w:position w:val="-22"/>
              </w:rPr>
              <w:object w:dxaOrig="288" w:dyaOrig="438" w14:anchorId="6CB5B39E">
                <v:shape id="_x0000_i1048" type="#_x0000_t75" style="width:13.8pt;height:21.6pt" o:ole="">
                  <v:imagedata r:id="rId50" o:title=""/>
                </v:shape>
                <o:OLEObject Type="Embed" ProgID="Equation.3" ShapeID="_x0000_i1048" DrawAspect="Content" ObjectID="_1775281341" r:id="rId54"/>
              </w:object>
            </w:r>
            <w:r w:rsidRPr="006145CA">
              <w:rPr>
                <w:lang w:val="pt-BR"/>
              </w:rPr>
              <w:t xml:space="preserve">DARUQ </w:t>
            </w:r>
            <w:r w:rsidRPr="006145CA">
              <w:rPr>
                <w:i/>
                <w:vertAlign w:val="subscript"/>
                <w:lang w:val="pt-BR"/>
              </w:rPr>
              <w:t>q</w:t>
            </w:r>
          </w:p>
          <w:p w14:paraId="0DD121E8" w14:textId="77777777" w:rsidR="00C24CB5" w:rsidRPr="006145CA" w:rsidRDefault="00C24CB5" w:rsidP="00D46800">
            <w:pPr>
              <w:pStyle w:val="Formula"/>
            </w:pPr>
            <w:r w:rsidRPr="006145CA">
              <w:t xml:space="preserve">DARUQ </w:t>
            </w:r>
            <w:r w:rsidRPr="006145CA">
              <w:rPr>
                <w:i/>
                <w:vertAlign w:val="subscript"/>
              </w:rPr>
              <w:t>q</w:t>
            </w:r>
            <w:r w:rsidRPr="006145CA">
              <w:tab/>
              <w:t>=</w:t>
            </w:r>
            <w:r w:rsidRPr="006145CA">
              <w:tab/>
              <w:t xml:space="preserve">DARUO </w:t>
            </w:r>
            <w:r w:rsidRPr="006145CA">
              <w:rPr>
                <w:i/>
                <w:vertAlign w:val="subscript"/>
              </w:rPr>
              <w:t>q</w:t>
            </w:r>
            <w:r w:rsidRPr="006145CA">
              <w:t xml:space="preserve"> – DASARUQ </w:t>
            </w:r>
            <w:r w:rsidRPr="006145CA">
              <w:rPr>
                <w:i/>
                <w:vertAlign w:val="subscript"/>
              </w:rPr>
              <w:t>q</w:t>
            </w:r>
          </w:p>
          <w:p w14:paraId="2B0E79DB" w14:textId="77777777" w:rsidR="00C24CB5" w:rsidRPr="006145CA" w:rsidRDefault="00C24CB5" w:rsidP="00C24CB5">
            <w:r w:rsidRPr="006145CA">
              <w:t xml:space="preserve">The above variables are defined as follows: </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5"/>
              <w:gridCol w:w="942"/>
              <w:gridCol w:w="6045"/>
            </w:tblGrid>
            <w:tr w:rsidR="00C24CB5" w:rsidRPr="006145CA" w14:paraId="0414E42E" w14:textId="77777777" w:rsidTr="007258B7">
              <w:trPr>
                <w:tblHeader/>
              </w:trPr>
              <w:tc>
                <w:tcPr>
                  <w:tcW w:w="1166" w:type="pct"/>
                </w:tcPr>
                <w:p w14:paraId="65657F5A" w14:textId="77777777" w:rsidR="00C24CB5" w:rsidRPr="006145CA" w:rsidRDefault="00C24CB5" w:rsidP="00C24CB5">
                  <w:pPr>
                    <w:pStyle w:val="TableHead"/>
                  </w:pPr>
                  <w:r w:rsidRPr="006145CA">
                    <w:lastRenderedPageBreak/>
                    <w:t>Variable</w:t>
                  </w:r>
                </w:p>
              </w:tc>
              <w:tc>
                <w:tcPr>
                  <w:tcW w:w="517" w:type="pct"/>
                </w:tcPr>
                <w:p w14:paraId="01D393C3" w14:textId="77777777" w:rsidR="00C24CB5" w:rsidRPr="006145CA" w:rsidRDefault="00C24CB5" w:rsidP="00C24CB5">
                  <w:pPr>
                    <w:pStyle w:val="TableHead"/>
                  </w:pPr>
                  <w:r w:rsidRPr="006145CA">
                    <w:t>Unit</w:t>
                  </w:r>
                </w:p>
              </w:tc>
              <w:tc>
                <w:tcPr>
                  <w:tcW w:w="3317" w:type="pct"/>
                </w:tcPr>
                <w:p w14:paraId="2CD8612E" w14:textId="77777777" w:rsidR="00C24CB5" w:rsidRPr="006145CA" w:rsidRDefault="00C24CB5" w:rsidP="00C24CB5">
                  <w:pPr>
                    <w:pStyle w:val="TableHead"/>
                  </w:pPr>
                  <w:r w:rsidRPr="006145CA">
                    <w:t>Definition</w:t>
                  </w:r>
                </w:p>
              </w:tc>
            </w:tr>
            <w:tr w:rsidR="00C24CB5" w:rsidRPr="006145CA" w14:paraId="37491AEF" w14:textId="77777777" w:rsidTr="007258B7">
              <w:tc>
                <w:tcPr>
                  <w:tcW w:w="1166" w:type="pct"/>
                </w:tcPr>
                <w:p w14:paraId="30826140" w14:textId="77777777" w:rsidR="00C24CB5" w:rsidRPr="006145CA" w:rsidRDefault="00C24CB5" w:rsidP="00C24CB5">
                  <w:pPr>
                    <w:pStyle w:val="TableBody"/>
                  </w:pPr>
                  <w:r w:rsidRPr="006145CA">
                    <w:t xml:space="preserve">DARUAMT </w:t>
                  </w:r>
                  <w:r w:rsidRPr="006145CA">
                    <w:rPr>
                      <w:i/>
                      <w:vertAlign w:val="subscript"/>
                    </w:rPr>
                    <w:t>q</w:t>
                  </w:r>
                </w:p>
              </w:tc>
              <w:tc>
                <w:tcPr>
                  <w:tcW w:w="517" w:type="pct"/>
                </w:tcPr>
                <w:p w14:paraId="14D991FE" w14:textId="77777777" w:rsidR="00C24CB5" w:rsidRPr="006145CA" w:rsidRDefault="00C24CB5" w:rsidP="00C24CB5">
                  <w:pPr>
                    <w:pStyle w:val="TableBody"/>
                  </w:pPr>
                  <w:r w:rsidRPr="006145CA">
                    <w:t>$</w:t>
                  </w:r>
                </w:p>
              </w:tc>
              <w:tc>
                <w:tcPr>
                  <w:tcW w:w="3317" w:type="pct"/>
                </w:tcPr>
                <w:p w14:paraId="79C28A85" w14:textId="77777777" w:rsidR="00C24CB5" w:rsidRPr="006145CA" w:rsidRDefault="00C24CB5" w:rsidP="00C24CB5">
                  <w:pPr>
                    <w:pStyle w:val="TableBody"/>
                  </w:pPr>
                  <w:r w:rsidRPr="006145CA">
                    <w:rPr>
                      <w:i/>
                    </w:rPr>
                    <w:t>Day-Ahead Reg-Up Amount per QSE</w:t>
                  </w:r>
                  <w:r w:rsidRPr="006145CA">
                    <w:t xml:space="preserve">—QSE </w:t>
                  </w:r>
                  <w:r w:rsidRPr="006145CA">
                    <w:rPr>
                      <w:i/>
                    </w:rPr>
                    <w:t>q</w:t>
                  </w:r>
                  <w:r w:rsidRPr="006145CA">
                    <w:t>’s share of the DAM cost for Reg-Up, for the hour.</w:t>
                  </w:r>
                </w:p>
              </w:tc>
            </w:tr>
            <w:tr w:rsidR="00C24CB5" w:rsidRPr="006145CA" w14:paraId="13ADDF0E" w14:textId="77777777" w:rsidTr="007258B7">
              <w:tc>
                <w:tcPr>
                  <w:tcW w:w="1166" w:type="pct"/>
                </w:tcPr>
                <w:p w14:paraId="0A9B1E2A" w14:textId="77777777" w:rsidR="00C24CB5" w:rsidRPr="006145CA" w:rsidRDefault="00C24CB5" w:rsidP="00C24CB5">
                  <w:pPr>
                    <w:pStyle w:val="TableBody"/>
                  </w:pPr>
                  <w:r w:rsidRPr="006145CA">
                    <w:t>DARUPR</w:t>
                  </w:r>
                </w:p>
              </w:tc>
              <w:tc>
                <w:tcPr>
                  <w:tcW w:w="517" w:type="pct"/>
                </w:tcPr>
                <w:p w14:paraId="7BE0F4D7" w14:textId="77777777" w:rsidR="00C24CB5" w:rsidRPr="006145CA" w:rsidRDefault="00C24CB5" w:rsidP="00C24CB5">
                  <w:pPr>
                    <w:pStyle w:val="TableBody"/>
                  </w:pPr>
                  <w:r w:rsidRPr="006145CA">
                    <w:t xml:space="preserve">$/MW </w:t>
                  </w:r>
                </w:p>
              </w:tc>
              <w:tc>
                <w:tcPr>
                  <w:tcW w:w="3317" w:type="pct"/>
                </w:tcPr>
                <w:p w14:paraId="001DD62B" w14:textId="77777777" w:rsidR="00C24CB5" w:rsidRPr="006145CA" w:rsidRDefault="00C24CB5" w:rsidP="00C24CB5">
                  <w:pPr>
                    <w:pStyle w:val="TableBody"/>
                  </w:pPr>
                  <w:r w:rsidRPr="006145CA">
                    <w:rPr>
                      <w:i/>
                    </w:rPr>
                    <w:t>Day-Ahead Reg-Up Price</w:t>
                  </w:r>
                  <w:r w:rsidRPr="006145CA">
                    <w:t>—The Day-Ahead Reg-Up price for the hour.</w:t>
                  </w:r>
                </w:p>
              </w:tc>
            </w:tr>
            <w:tr w:rsidR="00C24CB5" w:rsidRPr="006145CA" w14:paraId="229A27BD" w14:textId="77777777" w:rsidTr="007258B7">
              <w:tc>
                <w:tcPr>
                  <w:tcW w:w="1166" w:type="pct"/>
                </w:tcPr>
                <w:p w14:paraId="1052CEBE" w14:textId="77777777" w:rsidR="00C24CB5" w:rsidRPr="006145CA" w:rsidRDefault="00C24CB5" w:rsidP="00C24CB5">
                  <w:pPr>
                    <w:pStyle w:val="TableBody"/>
                  </w:pPr>
                  <w:r w:rsidRPr="006145CA">
                    <w:t xml:space="preserve">DARUQ </w:t>
                  </w:r>
                  <w:r w:rsidRPr="006145CA">
                    <w:rPr>
                      <w:i/>
                      <w:vertAlign w:val="subscript"/>
                    </w:rPr>
                    <w:t>q</w:t>
                  </w:r>
                </w:p>
              </w:tc>
              <w:tc>
                <w:tcPr>
                  <w:tcW w:w="517" w:type="pct"/>
                </w:tcPr>
                <w:p w14:paraId="53D208C6" w14:textId="77777777" w:rsidR="00C24CB5" w:rsidRPr="006145CA" w:rsidRDefault="00C24CB5" w:rsidP="00C24CB5">
                  <w:pPr>
                    <w:pStyle w:val="TableBody"/>
                  </w:pPr>
                  <w:r w:rsidRPr="006145CA">
                    <w:t>MW</w:t>
                  </w:r>
                </w:p>
              </w:tc>
              <w:tc>
                <w:tcPr>
                  <w:tcW w:w="3317" w:type="pct"/>
                </w:tcPr>
                <w:p w14:paraId="3BA77757" w14:textId="77777777" w:rsidR="00C24CB5" w:rsidRPr="006145CA" w:rsidRDefault="00C24CB5" w:rsidP="00C24CB5">
                  <w:pPr>
                    <w:pStyle w:val="TableBody"/>
                    <w:rPr>
                      <w:i/>
                    </w:rPr>
                  </w:pPr>
                  <w:r w:rsidRPr="006145CA">
                    <w:rPr>
                      <w:i/>
                    </w:rPr>
                    <w:t>Day-Ahead Reg-Up Quantity per QSE</w:t>
                  </w:r>
                  <w:r w:rsidRPr="006145CA">
                    <w:t xml:space="preserve">—The QSE </w:t>
                  </w:r>
                  <w:r w:rsidRPr="006145CA">
                    <w:rPr>
                      <w:i/>
                    </w:rPr>
                    <w:t>q</w:t>
                  </w:r>
                  <w:r w:rsidRPr="006145CA">
                    <w:t>’s Day-Ahead Ancillary Service Obligation minus its self-arranged Reg-Up quantity for the hour.</w:t>
                  </w:r>
                </w:p>
              </w:tc>
            </w:tr>
            <w:tr w:rsidR="00C24CB5" w:rsidRPr="006145CA" w14:paraId="4F8F5986" w14:textId="77777777" w:rsidTr="007258B7">
              <w:tc>
                <w:tcPr>
                  <w:tcW w:w="1166" w:type="pct"/>
                </w:tcPr>
                <w:p w14:paraId="0EF33D0E" w14:textId="77777777" w:rsidR="00C24CB5" w:rsidRPr="006145CA" w:rsidRDefault="00C24CB5" w:rsidP="00C24CB5">
                  <w:pPr>
                    <w:pStyle w:val="TableBody"/>
                  </w:pPr>
                  <w:r w:rsidRPr="006145CA">
                    <w:t xml:space="preserve">DAPCRUAMTTOT </w:t>
                  </w:r>
                </w:p>
              </w:tc>
              <w:tc>
                <w:tcPr>
                  <w:tcW w:w="517" w:type="pct"/>
                </w:tcPr>
                <w:p w14:paraId="2479E8D3" w14:textId="77777777" w:rsidR="00C24CB5" w:rsidRPr="006145CA" w:rsidRDefault="00C24CB5" w:rsidP="00C24CB5">
                  <w:pPr>
                    <w:pStyle w:val="TableBody"/>
                  </w:pPr>
                  <w:r w:rsidRPr="006145CA">
                    <w:t>$</w:t>
                  </w:r>
                </w:p>
              </w:tc>
              <w:tc>
                <w:tcPr>
                  <w:tcW w:w="3317" w:type="pct"/>
                </w:tcPr>
                <w:p w14:paraId="73E5BCF8" w14:textId="77777777" w:rsidR="00C24CB5" w:rsidRPr="006145CA" w:rsidRDefault="00C24CB5" w:rsidP="00C24CB5">
                  <w:pPr>
                    <w:pStyle w:val="TableBody"/>
                    <w:rPr>
                      <w:i/>
                    </w:rPr>
                  </w:pPr>
                  <w:r>
                    <w:rPr>
                      <w:i/>
                    </w:rPr>
                    <w:t xml:space="preserve">Day-Ahead </w:t>
                  </w:r>
                  <w:r w:rsidRPr="006145CA">
                    <w:rPr>
                      <w:i/>
                    </w:rPr>
                    <w:t xml:space="preserve">Procured Capacity for Reg-Up Amount Total </w:t>
                  </w:r>
                  <w:r w:rsidRPr="006145CA">
                    <w:t>—The total of the DAM Reg-Up payments for all QSEs for the hour.</w:t>
                  </w:r>
                </w:p>
              </w:tc>
            </w:tr>
            <w:tr w:rsidR="00C24CB5" w:rsidRPr="006145CA" w14:paraId="6E95B940" w14:textId="77777777" w:rsidTr="007258B7">
              <w:tc>
                <w:tcPr>
                  <w:tcW w:w="1166" w:type="pct"/>
                </w:tcPr>
                <w:p w14:paraId="496A4504" w14:textId="77777777" w:rsidR="00C24CB5" w:rsidRPr="006145CA" w:rsidRDefault="00C24CB5" w:rsidP="00C24CB5">
                  <w:pPr>
                    <w:pStyle w:val="TableBody"/>
                  </w:pPr>
                  <w:r w:rsidRPr="006145CA">
                    <w:t xml:space="preserve">PCRUAMT </w:t>
                  </w:r>
                  <w:r w:rsidRPr="006145CA">
                    <w:rPr>
                      <w:i/>
                      <w:vertAlign w:val="subscript"/>
                    </w:rPr>
                    <w:t>q</w:t>
                  </w:r>
                </w:p>
              </w:tc>
              <w:tc>
                <w:tcPr>
                  <w:tcW w:w="517" w:type="pct"/>
                </w:tcPr>
                <w:p w14:paraId="0CE69468" w14:textId="77777777" w:rsidR="00C24CB5" w:rsidRPr="006145CA" w:rsidRDefault="00C24CB5" w:rsidP="00C24CB5">
                  <w:pPr>
                    <w:pStyle w:val="TableBody"/>
                  </w:pPr>
                  <w:r w:rsidRPr="006145CA">
                    <w:t>$</w:t>
                  </w:r>
                </w:p>
              </w:tc>
              <w:tc>
                <w:tcPr>
                  <w:tcW w:w="3317" w:type="pct"/>
                </w:tcPr>
                <w:p w14:paraId="04D8071E" w14:textId="77777777" w:rsidR="00C24CB5" w:rsidRPr="006145CA" w:rsidRDefault="00C24CB5" w:rsidP="00C24CB5">
                  <w:pPr>
                    <w:pStyle w:val="TableBody"/>
                    <w:rPr>
                      <w:i/>
                    </w:rPr>
                  </w:pPr>
                  <w:r w:rsidRPr="006145CA">
                    <w:rPr>
                      <w:i/>
                    </w:rPr>
                    <w:t>Procured Capacity for Reg-Up Amount per QSE in DAM</w:t>
                  </w:r>
                  <w:r w:rsidRPr="006145CA">
                    <w:t xml:space="preserve">—The DAM Reg-Up payment for QSE </w:t>
                  </w:r>
                  <w:r w:rsidRPr="006145CA">
                    <w:rPr>
                      <w:i/>
                    </w:rPr>
                    <w:t>q</w:t>
                  </w:r>
                  <w:r w:rsidRPr="006145CA">
                    <w:t xml:space="preserve"> for the hour.</w:t>
                  </w:r>
                </w:p>
              </w:tc>
            </w:tr>
            <w:tr w:rsidR="00C24CB5" w:rsidRPr="006145CA" w14:paraId="057DBA2D" w14:textId="77777777" w:rsidTr="007258B7">
              <w:tc>
                <w:tcPr>
                  <w:tcW w:w="1166" w:type="pct"/>
                </w:tcPr>
                <w:p w14:paraId="00F0C4AA" w14:textId="77777777" w:rsidR="00C24CB5" w:rsidRPr="006145CA" w:rsidRDefault="00C24CB5" w:rsidP="00C24CB5">
                  <w:pPr>
                    <w:pStyle w:val="TableBody"/>
                  </w:pPr>
                  <w:r>
                    <w:t>DAPCRUO</w:t>
                  </w:r>
                  <w:r w:rsidRPr="006145CA">
                    <w:t>AMT</w:t>
                  </w:r>
                  <w:r w:rsidRPr="006145CA">
                    <w:rPr>
                      <w:i/>
                    </w:rPr>
                    <w:t xml:space="preserve"> </w:t>
                  </w:r>
                  <w:r w:rsidRPr="006145CA">
                    <w:rPr>
                      <w:i/>
                      <w:vertAlign w:val="subscript"/>
                    </w:rPr>
                    <w:t>q</w:t>
                  </w:r>
                </w:p>
              </w:tc>
              <w:tc>
                <w:tcPr>
                  <w:tcW w:w="517" w:type="pct"/>
                </w:tcPr>
                <w:p w14:paraId="2FB55D57" w14:textId="77777777" w:rsidR="00C24CB5" w:rsidRPr="006145CA" w:rsidRDefault="00C24CB5" w:rsidP="00C24CB5">
                  <w:pPr>
                    <w:pStyle w:val="TableBody"/>
                  </w:pPr>
                  <w:r w:rsidRPr="006145CA">
                    <w:t>$</w:t>
                  </w:r>
                </w:p>
              </w:tc>
              <w:tc>
                <w:tcPr>
                  <w:tcW w:w="3317" w:type="pct"/>
                </w:tcPr>
                <w:p w14:paraId="5BCA9332" w14:textId="77777777" w:rsidR="00C24CB5" w:rsidRPr="006145CA" w:rsidRDefault="00C24CB5" w:rsidP="00C24CB5">
                  <w:pPr>
                    <w:pStyle w:val="TableBody"/>
                    <w:rPr>
                      <w:i/>
                    </w:rPr>
                  </w:pPr>
                  <w:r>
                    <w:rPr>
                      <w:i/>
                    </w:rPr>
                    <w:t xml:space="preserve">Day-Ahead </w:t>
                  </w:r>
                  <w:r w:rsidRPr="006145CA">
                    <w:rPr>
                      <w:i/>
                    </w:rPr>
                    <w:t>Procured Capacity for Reg-</w:t>
                  </w:r>
                  <w:r>
                    <w:rPr>
                      <w:i/>
                    </w:rPr>
                    <w:t>Up Only Amount per QSE</w:t>
                  </w:r>
                  <w:r w:rsidRPr="006145CA">
                    <w:t xml:space="preserve">—The payment to QSE </w:t>
                  </w:r>
                  <w:r w:rsidRPr="006145CA">
                    <w:rPr>
                      <w:i/>
                    </w:rPr>
                    <w:t>q</w:t>
                  </w:r>
                  <w:r w:rsidRPr="006145CA">
                    <w:t xml:space="preserve"> </w:t>
                  </w:r>
                  <w:r>
                    <w:t>f</w:t>
                  </w:r>
                  <w:r w:rsidRPr="006145CA">
                    <w:t>or all Reg-</w:t>
                  </w:r>
                  <w:r>
                    <w:t>Up</w:t>
                  </w:r>
                  <w:r w:rsidRPr="006145CA">
                    <w:t xml:space="preserve"> only awards </w:t>
                  </w:r>
                  <w:r>
                    <w:t xml:space="preserve">in DAM </w:t>
                  </w:r>
                  <w:r w:rsidRPr="006145CA">
                    <w:t>for the hour.</w:t>
                  </w:r>
                </w:p>
              </w:tc>
            </w:tr>
            <w:tr w:rsidR="00C24CB5" w:rsidRPr="006145CA" w14:paraId="42968A51" w14:textId="77777777" w:rsidTr="007258B7">
              <w:tc>
                <w:tcPr>
                  <w:tcW w:w="1166" w:type="pct"/>
                </w:tcPr>
                <w:p w14:paraId="435BF36A" w14:textId="77777777" w:rsidR="00C24CB5" w:rsidRPr="006145CA" w:rsidRDefault="00C24CB5" w:rsidP="00C24CB5">
                  <w:pPr>
                    <w:pStyle w:val="TableBody"/>
                  </w:pPr>
                  <w:r w:rsidRPr="006145CA">
                    <w:t>DARUQTOT</w:t>
                  </w:r>
                </w:p>
              </w:tc>
              <w:tc>
                <w:tcPr>
                  <w:tcW w:w="517" w:type="pct"/>
                </w:tcPr>
                <w:p w14:paraId="399603A6" w14:textId="77777777" w:rsidR="00C24CB5" w:rsidRPr="006145CA" w:rsidRDefault="00C24CB5" w:rsidP="00C24CB5">
                  <w:pPr>
                    <w:pStyle w:val="TableBody"/>
                  </w:pPr>
                  <w:r w:rsidRPr="006145CA">
                    <w:t>MW</w:t>
                  </w:r>
                </w:p>
              </w:tc>
              <w:tc>
                <w:tcPr>
                  <w:tcW w:w="3317" w:type="pct"/>
                </w:tcPr>
                <w:p w14:paraId="4B16BE7C" w14:textId="77777777" w:rsidR="00C24CB5" w:rsidRPr="006145CA" w:rsidRDefault="00C24CB5" w:rsidP="00C24CB5">
                  <w:pPr>
                    <w:pStyle w:val="TableBody"/>
                    <w:rPr>
                      <w:i/>
                    </w:rPr>
                  </w:pPr>
                  <w:r w:rsidRPr="006145CA">
                    <w:rPr>
                      <w:i/>
                    </w:rPr>
                    <w:t>Day-Ahead Reg-Up Quantity Total</w:t>
                  </w:r>
                  <w:r w:rsidRPr="006145CA">
                    <w:t>—The sum of every QSE’s Day-Ahead Ancillary Service Obligation minus its self-arranged Reg-Up quantity for the hour.</w:t>
                  </w:r>
                </w:p>
              </w:tc>
            </w:tr>
            <w:tr w:rsidR="00C24CB5" w:rsidRPr="006145CA" w14:paraId="43C1AC8E" w14:textId="77777777" w:rsidTr="007258B7">
              <w:tc>
                <w:tcPr>
                  <w:tcW w:w="1166" w:type="pct"/>
                </w:tcPr>
                <w:p w14:paraId="24451527" w14:textId="77777777" w:rsidR="00C24CB5" w:rsidRPr="006145CA" w:rsidRDefault="00C24CB5" w:rsidP="00C24CB5">
                  <w:pPr>
                    <w:pStyle w:val="TableBody"/>
                  </w:pPr>
                  <w:r w:rsidRPr="006145CA">
                    <w:t>DARUO</w:t>
                  </w:r>
                  <w:r w:rsidRPr="006145CA">
                    <w:rPr>
                      <w:i/>
                    </w:rPr>
                    <w:t xml:space="preserve"> </w:t>
                  </w:r>
                  <w:r w:rsidRPr="006145CA">
                    <w:rPr>
                      <w:i/>
                      <w:vertAlign w:val="subscript"/>
                    </w:rPr>
                    <w:t>q</w:t>
                  </w:r>
                </w:p>
              </w:tc>
              <w:tc>
                <w:tcPr>
                  <w:tcW w:w="517" w:type="pct"/>
                </w:tcPr>
                <w:p w14:paraId="094936D6" w14:textId="77777777" w:rsidR="00C24CB5" w:rsidRPr="006145CA" w:rsidRDefault="00C24CB5" w:rsidP="00C24CB5">
                  <w:pPr>
                    <w:pStyle w:val="TableBody"/>
                  </w:pPr>
                  <w:r w:rsidRPr="006145CA">
                    <w:t>MW</w:t>
                  </w:r>
                </w:p>
              </w:tc>
              <w:tc>
                <w:tcPr>
                  <w:tcW w:w="3317" w:type="pct"/>
                </w:tcPr>
                <w:p w14:paraId="58C97606" w14:textId="77777777" w:rsidR="00C24CB5" w:rsidRPr="006145CA" w:rsidRDefault="00C24CB5" w:rsidP="00C24CB5">
                  <w:pPr>
                    <w:pStyle w:val="TableBody"/>
                    <w:rPr>
                      <w:i/>
                    </w:rPr>
                  </w:pPr>
                  <w:r w:rsidRPr="006145CA">
                    <w:rPr>
                      <w:i/>
                    </w:rPr>
                    <w:t>Day-Ahead Reg-Up Obligation per QSE</w:t>
                  </w:r>
                  <w:r w:rsidRPr="006145CA">
                    <w:t xml:space="preserve">—The Reg-Up capacity obligation for QSE </w:t>
                  </w:r>
                  <w:r w:rsidRPr="006145CA">
                    <w:rPr>
                      <w:i/>
                    </w:rPr>
                    <w:t>q</w:t>
                  </w:r>
                  <w:r w:rsidRPr="006145CA">
                    <w:t xml:space="preserve"> for the DAM for the hour. </w:t>
                  </w:r>
                </w:p>
              </w:tc>
            </w:tr>
            <w:tr w:rsidR="00C24CB5" w:rsidRPr="006145CA" w14:paraId="1900693D" w14:textId="77777777" w:rsidTr="007258B7">
              <w:tc>
                <w:tcPr>
                  <w:tcW w:w="1166" w:type="pct"/>
                </w:tcPr>
                <w:p w14:paraId="78059E65" w14:textId="77777777" w:rsidR="00C24CB5" w:rsidRPr="006145CA" w:rsidRDefault="00C24CB5" w:rsidP="00C24CB5">
                  <w:pPr>
                    <w:pStyle w:val="TableBody"/>
                  </w:pPr>
                  <w:r w:rsidRPr="006145CA">
                    <w:t xml:space="preserve">DASARUQ </w:t>
                  </w:r>
                  <w:r w:rsidRPr="006145CA">
                    <w:rPr>
                      <w:i/>
                      <w:vertAlign w:val="subscript"/>
                    </w:rPr>
                    <w:t>q</w:t>
                  </w:r>
                </w:p>
              </w:tc>
              <w:tc>
                <w:tcPr>
                  <w:tcW w:w="517" w:type="pct"/>
                </w:tcPr>
                <w:p w14:paraId="0A9A8E98" w14:textId="77777777" w:rsidR="00C24CB5" w:rsidRPr="006145CA" w:rsidRDefault="00C24CB5" w:rsidP="00C24CB5">
                  <w:pPr>
                    <w:pStyle w:val="TableBody"/>
                  </w:pPr>
                  <w:r w:rsidRPr="006145CA">
                    <w:t>MW</w:t>
                  </w:r>
                </w:p>
              </w:tc>
              <w:tc>
                <w:tcPr>
                  <w:tcW w:w="3317" w:type="pct"/>
                </w:tcPr>
                <w:p w14:paraId="665D011B" w14:textId="77777777" w:rsidR="00C24CB5" w:rsidRPr="006145CA" w:rsidRDefault="00C24CB5" w:rsidP="00C24CB5">
                  <w:pPr>
                    <w:pStyle w:val="TableBody"/>
                    <w:rPr>
                      <w:i/>
                    </w:rPr>
                  </w:pPr>
                  <w:r w:rsidRPr="006145CA">
                    <w:rPr>
                      <w:i/>
                    </w:rPr>
                    <w:t>Day-Ahead Self-Arranged Reg-Up Quantity per QSE</w:t>
                  </w:r>
                  <w:r w:rsidRPr="006145CA">
                    <w:t xml:space="preserve">—The self-arranged Reg-Up quantity submitted by QSE </w:t>
                  </w:r>
                  <w:r w:rsidRPr="006145CA">
                    <w:rPr>
                      <w:i/>
                    </w:rPr>
                    <w:t>q</w:t>
                  </w:r>
                  <w:r w:rsidRPr="006145CA">
                    <w:t xml:space="preserve"> before 1000 in the Day-Ahead.</w:t>
                  </w:r>
                </w:p>
              </w:tc>
            </w:tr>
            <w:tr w:rsidR="00C24CB5" w:rsidRPr="006145CA" w14:paraId="31ACC555" w14:textId="77777777" w:rsidTr="007258B7">
              <w:tc>
                <w:tcPr>
                  <w:tcW w:w="1166" w:type="pct"/>
                </w:tcPr>
                <w:p w14:paraId="3FD20960" w14:textId="77777777" w:rsidR="00C24CB5" w:rsidRPr="006145CA" w:rsidRDefault="00C24CB5" w:rsidP="00C24CB5">
                  <w:pPr>
                    <w:pStyle w:val="TableBody"/>
                    <w:rPr>
                      <w:i/>
                    </w:rPr>
                  </w:pPr>
                  <w:r w:rsidRPr="006145CA">
                    <w:rPr>
                      <w:i/>
                    </w:rPr>
                    <w:t>q</w:t>
                  </w:r>
                </w:p>
              </w:tc>
              <w:tc>
                <w:tcPr>
                  <w:tcW w:w="517" w:type="pct"/>
                </w:tcPr>
                <w:p w14:paraId="77BE74E6" w14:textId="77777777" w:rsidR="00C24CB5" w:rsidRPr="006145CA" w:rsidRDefault="00C24CB5" w:rsidP="00C24CB5">
                  <w:pPr>
                    <w:pStyle w:val="TableBody"/>
                  </w:pPr>
                  <w:r w:rsidRPr="006145CA">
                    <w:t>none</w:t>
                  </w:r>
                </w:p>
              </w:tc>
              <w:tc>
                <w:tcPr>
                  <w:tcW w:w="3317" w:type="pct"/>
                </w:tcPr>
                <w:p w14:paraId="60979144" w14:textId="77777777" w:rsidR="00C24CB5" w:rsidRPr="006145CA" w:rsidRDefault="00C24CB5" w:rsidP="00C24CB5">
                  <w:pPr>
                    <w:pStyle w:val="TableBody"/>
                  </w:pPr>
                  <w:r w:rsidRPr="006145CA">
                    <w:t>A QSE.</w:t>
                  </w:r>
                </w:p>
              </w:tc>
            </w:tr>
          </w:tbl>
          <w:p w14:paraId="361523FF" w14:textId="77777777" w:rsidR="00C24CB5" w:rsidRPr="004B32CF" w:rsidRDefault="00C24CB5" w:rsidP="007258B7">
            <w:pPr>
              <w:pStyle w:val="BodyTextNumbered"/>
            </w:pPr>
          </w:p>
        </w:tc>
      </w:tr>
    </w:tbl>
    <w:p w14:paraId="2C4D10C7" w14:textId="11E66D50" w:rsidR="00FF2129" w:rsidRDefault="00482EF3" w:rsidP="00003B06">
      <w:pPr>
        <w:pStyle w:val="H5"/>
        <w:spacing w:before="480"/>
        <w:ind w:left="1627" w:hanging="1627"/>
      </w:pPr>
      <w:bookmarkStart w:id="830" w:name="_Toc135990700"/>
      <w:r>
        <w:lastRenderedPageBreak/>
        <w:t>4.6.4.2.2</w:t>
      </w:r>
      <w:r>
        <w:tab/>
        <w:t>Regulation Down Service Charge</w:t>
      </w:r>
      <w:bookmarkEnd w:id="823"/>
      <w:bookmarkEnd w:id="824"/>
      <w:bookmarkEnd w:id="825"/>
      <w:bookmarkEnd w:id="826"/>
      <w:bookmarkEnd w:id="827"/>
      <w:bookmarkEnd w:id="828"/>
      <w:bookmarkEnd w:id="829"/>
      <w:bookmarkEnd w:id="830"/>
    </w:p>
    <w:p w14:paraId="238965E1" w14:textId="77777777" w:rsidR="002E4A30" w:rsidRDefault="00EE47EB" w:rsidP="00FA6269">
      <w:pPr>
        <w:pStyle w:val="BodyText"/>
        <w:ind w:left="720" w:hanging="720"/>
      </w:pPr>
      <w:r>
        <w:t>(1)</w:t>
      </w:r>
      <w:r>
        <w:tab/>
      </w:r>
      <w:r w:rsidR="002E4A30">
        <w:t>Each QSE shall pay to ERCOT or be paid by ERCOT a Reg-Down Service charge for each hour as follows:</w:t>
      </w:r>
    </w:p>
    <w:p w14:paraId="69163C6E" w14:textId="77777777" w:rsidR="002E4A30" w:rsidRPr="0053389B" w:rsidRDefault="002E4A30" w:rsidP="00D46800">
      <w:pPr>
        <w:pStyle w:val="Formula"/>
      </w:pPr>
      <w:r w:rsidRPr="0053389B">
        <w:t xml:space="preserve">DARDAMT </w:t>
      </w:r>
      <w:r w:rsidRPr="0053389B">
        <w:rPr>
          <w:i/>
          <w:vertAlign w:val="subscript"/>
        </w:rPr>
        <w:t>q</w:t>
      </w:r>
      <w:r w:rsidRPr="0053389B">
        <w:tab/>
        <w:t>=</w:t>
      </w:r>
      <w:r w:rsidRPr="0053389B">
        <w:tab/>
        <w:t xml:space="preserve">DARDPR * DARDQ </w:t>
      </w:r>
      <w:r w:rsidRPr="0053389B">
        <w:rPr>
          <w:i/>
          <w:vertAlign w:val="subscript"/>
        </w:rPr>
        <w:t>q</w:t>
      </w:r>
    </w:p>
    <w:p w14:paraId="1519440C" w14:textId="77777777" w:rsidR="002E4A30" w:rsidRDefault="002E4A30" w:rsidP="002E4A30">
      <w:pPr>
        <w:pStyle w:val="BodyText"/>
      </w:pPr>
      <w:r>
        <w:t>Where:</w:t>
      </w:r>
    </w:p>
    <w:p w14:paraId="05542C0C" w14:textId="77777777" w:rsidR="002E4A30" w:rsidRDefault="002E4A30" w:rsidP="00D46800">
      <w:pPr>
        <w:pStyle w:val="Formula"/>
      </w:pPr>
      <w:r>
        <w:t>DARDPR</w:t>
      </w:r>
      <w:r>
        <w:tab/>
        <w:t xml:space="preserve">= </w:t>
      </w:r>
      <w:r>
        <w:tab/>
        <w:t>(-1) * PCRDAMTTOT / DARDQTOT</w:t>
      </w:r>
    </w:p>
    <w:p w14:paraId="092A77DE" w14:textId="77777777" w:rsidR="002E4A30" w:rsidRDefault="002E4A30" w:rsidP="00D46800">
      <w:pPr>
        <w:pStyle w:val="Formula"/>
      </w:pPr>
      <w:r>
        <w:t>PCRDAMTTOT</w:t>
      </w:r>
      <w:r>
        <w:tab/>
        <w:t>=</w:t>
      </w:r>
      <w:r>
        <w:tab/>
      </w:r>
      <w:r w:rsidRPr="00FF2129">
        <w:rPr>
          <w:position w:val="-22"/>
        </w:rPr>
        <w:object w:dxaOrig="220" w:dyaOrig="460" w14:anchorId="1817CEC0">
          <v:shape id="_x0000_i1049" type="#_x0000_t75" style="width:13.2pt;height:21pt" o:ole="">
            <v:imagedata r:id="rId50" o:title=""/>
          </v:shape>
          <o:OLEObject Type="Embed" ProgID="Equation.3" ShapeID="_x0000_i1049" DrawAspect="Content" ObjectID="_1775281342" r:id="rId55"/>
        </w:object>
      </w:r>
      <w:r>
        <w:t xml:space="preserve">PCRDAMT </w:t>
      </w:r>
      <w:r>
        <w:rPr>
          <w:i/>
          <w:vertAlign w:val="subscript"/>
        </w:rPr>
        <w:t>q</w:t>
      </w:r>
    </w:p>
    <w:p w14:paraId="3D453945" w14:textId="77777777" w:rsidR="002E4A30" w:rsidRDefault="002E4A30" w:rsidP="00D46800">
      <w:pPr>
        <w:pStyle w:val="Formula"/>
      </w:pPr>
      <w:r>
        <w:t>DARDQTOT</w:t>
      </w:r>
      <w:r>
        <w:tab/>
        <w:t>=</w:t>
      </w:r>
      <w:r>
        <w:tab/>
      </w:r>
      <w:r w:rsidRPr="00FF2129">
        <w:rPr>
          <w:position w:val="-22"/>
        </w:rPr>
        <w:object w:dxaOrig="220" w:dyaOrig="460" w14:anchorId="646368C6">
          <v:shape id="_x0000_i1050" type="#_x0000_t75" style="width:13.2pt;height:21pt" o:ole="">
            <v:imagedata r:id="rId50" o:title=""/>
          </v:shape>
          <o:OLEObject Type="Embed" ProgID="Equation.3" ShapeID="_x0000_i1050" DrawAspect="Content" ObjectID="_1775281343" r:id="rId56"/>
        </w:object>
      </w:r>
      <w:r>
        <w:t xml:space="preserve">DARDQ </w:t>
      </w:r>
      <w:r>
        <w:rPr>
          <w:i/>
          <w:vertAlign w:val="subscript"/>
        </w:rPr>
        <w:t>q</w:t>
      </w:r>
    </w:p>
    <w:p w14:paraId="23B2D9B2" w14:textId="77777777" w:rsidR="002E4A30" w:rsidRDefault="002E4A30" w:rsidP="00D46800">
      <w:pPr>
        <w:pStyle w:val="Formula"/>
      </w:pPr>
      <w:r w:rsidRPr="00DF3AC4">
        <w:t xml:space="preserve">DARDQ </w:t>
      </w:r>
      <w:r w:rsidRPr="00DF3AC4">
        <w:rPr>
          <w:i/>
          <w:vertAlign w:val="subscript"/>
        </w:rPr>
        <w:t>q</w:t>
      </w:r>
      <w:r w:rsidRPr="00DF3AC4">
        <w:tab/>
        <w:t>=</w:t>
      </w:r>
      <w:r w:rsidRPr="00DF3AC4">
        <w:tab/>
        <w:t xml:space="preserve">DARDO </w:t>
      </w:r>
      <w:r w:rsidRPr="00DF3AC4">
        <w:rPr>
          <w:i/>
          <w:vertAlign w:val="subscript"/>
        </w:rPr>
        <w:t>q</w:t>
      </w:r>
      <w:r w:rsidRPr="00DF3AC4">
        <w:t xml:space="preserve"> – DASARDQ </w:t>
      </w:r>
      <w:r w:rsidRPr="00DF3AC4">
        <w:rPr>
          <w:i/>
          <w:vertAlign w:val="subscript"/>
        </w:rPr>
        <w:t>q</w:t>
      </w:r>
    </w:p>
    <w:p w14:paraId="1F563C09" w14:textId="77777777" w:rsidR="002E4A30" w:rsidRDefault="002E4A30" w:rsidP="002E4A30">
      <w:r>
        <w:t xml:space="preserve">The above variables are defined as follows: </w:t>
      </w:r>
    </w:p>
    <w:tbl>
      <w:tblPr>
        <w:tblW w:w="9345"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76"/>
        <w:gridCol w:w="964"/>
        <w:gridCol w:w="6205"/>
      </w:tblGrid>
      <w:tr w:rsidR="002E4A30" w:rsidRPr="00FD35A6" w14:paraId="5D649309" w14:textId="77777777" w:rsidTr="00F539C2">
        <w:trPr>
          <w:tblHeader/>
        </w:trPr>
        <w:tc>
          <w:tcPr>
            <w:tcW w:w="1164" w:type="pct"/>
          </w:tcPr>
          <w:p w14:paraId="4A49EBDA" w14:textId="77777777" w:rsidR="002E4A30" w:rsidRPr="00FD35A6" w:rsidRDefault="002E4A30" w:rsidP="0053389B">
            <w:pPr>
              <w:pStyle w:val="TableHead"/>
            </w:pPr>
            <w:r w:rsidRPr="00FD35A6">
              <w:t>Variable</w:t>
            </w:r>
          </w:p>
        </w:tc>
        <w:tc>
          <w:tcPr>
            <w:tcW w:w="516" w:type="pct"/>
          </w:tcPr>
          <w:p w14:paraId="10E9E815" w14:textId="77777777" w:rsidR="002E4A30" w:rsidRPr="00FD35A6" w:rsidRDefault="002E4A30" w:rsidP="0053389B">
            <w:pPr>
              <w:pStyle w:val="TableHead"/>
            </w:pPr>
            <w:r w:rsidRPr="00FD35A6">
              <w:t>Unit</w:t>
            </w:r>
          </w:p>
        </w:tc>
        <w:tc>
          <w:tcPr>
            <w:tcW w:w="3319" w:type="pct"/>
          </w:tcPr>
          <w:p w14:paraId="787937F4" w14:textId="77777777" w:rsidR="002E4A30" w:rsidRPr="00FD35A6" w:rsidRDefault="002E4A30" w:rsidP="0053389B">
            <w:pPr>
              <w:pStyle w:val="TableHead"/>
            </w:pPr>
            <w:r w:rsidRPr="00FD35A6">
              <w:t>Definition</w:t>
            </w:r>
          </w:p>
        </w:tc>
      </w:tr>
      <w:tr w:rsidR="002E4A30" w:rsidRPr="00FD35A6" w14:paraId="7A513568" w14:textId="77777777" w:rsidTr="00F539C2">
        <w:tc>
          <w:tcPr>
            <w:tcW w:w="1164" w:type="pct"/>
          </w:tcPr>
          <w:p w14:paraId="7669A2CC" w14:textId="77777777" w:rsidR="002E4A30" w:rsidRPr="00FD35A6" w:rsidRDefault="002E4A30" w:rsidP="0053389B">
            <w:pPr>
              <w:pStyle w:val="TableBody"/>
            </w:pPr>
            <w:r w:rsidRPr="00FD35A6">
              <w:t xml:space="preserve">DARDAMT </w:t>
            </w:r>
            <w:r w:rsidRPr="00BF1248">
              <w:rPr>
                <w:i/>
                <w:vertAlign w:val="subscript"/>
              </w:rPr>
              <w:t>q</w:t>
            </w:r>
          </w:p>
        </w:tc>
        <w:tc>
          <w:tcPr>
            <w:tcW w:w="516" w:type="pct"/>
          </w:tcPr>
          <w:p w14:paraId="4D9766D7" w14:textId="77777777" w:rsidR="002E4A30" w:rsidRPr="00FD35A6" w:rsidRDefault="002E4A30" w:rsidP="0053389B">
            <w:pPr>
              <w:pStyle w:val="TableBody"/>
            </w:pPr>
            <w:r w:rsidRPr="00FD35A6">
              <w:t>$</w:t>
            </w:r>
          </w:p>
        </w:tc>
        <w:tc>
          <w:tcPr>
            <w:tcW w:w="3319" w:type="pct"/>
          </w:tcPr>
          <w:p w14:paraId="44513453" w14:textId="77777777" w:rsidR="002E4A30" w:rsidRPr="00FD35A6" w:rsidRDefault="002E4A30" w:rsidP="0053389B">
            <w:pPr>
              <w:pStyle w:val="TableBody"/>
            </w:pPr>
            <w:r w:rsidRPr="00FD35A6">
              <w:rPr>
                <w:i/>
              </w:rPr>
              <w:t>Day-Ahead Reg-Down Amount per QSE</w:t>
            </w:r>
            <w:r w:rsidRPr="00FD35A6">
              <w:t xml:space="preserve">—QSE </w:t>
            </w:r>
            <w:r w:rsidRPr="00FD35A6">
              <w:rPr>
                <w:i/>
              </w:rPr>
              <w:t>q</w:t>
            </w:r>
            <w:r w:rsidRPr="00FD35A6">
              <w:t>’s share of the DAM cost for Reg-Down, for the hour.</w:t>
            </w:r>
          </w:p>
        </w:tc>
      </w:tr>
      <w:tr w:rsidR="002E4A30" w:rsidRPr="00FD35A6" w14:paraId="3355C07D" w14:textId="77777777" w:rsidTr="00F539C2">
        <w:tc>
          <w:tcPr>
            <w:tcW w:w="1164" w:type="pct"/>
          </w:tcPr>
          <w:p w14:paraId="187ACE25" w14:textId="77777777" w:rsidR="002E4A30" w:rsidRPr="00FD35A6" w:rsidRDefault="002E4A30" w:rsidP="0053389B">
            <w:pPr>
              <w:pStyle w:val="TableBody"/>
            </w:pPr>
            <w:r w:rsidRPr="00FD35A6">
              <w:lastRenderedPageBreak/>
              <w:t>DARDPR</w:t>
            </w:r>
          </w:p>
        </w:tc>
        <w:tc>
          <w:tcPr>
            <w:tcW w:w="516" w:type="pct"/>
          </w:tcPr>
          <w:p w14:paraId="3A43228E" w14:textId="77777777" w:rsidR="002E4A30" w:rsidRPr="00FD35A6" w:rsidRDefault="002E4A30" w:rsidP="0053389B">
            <w:pPr>
              <w:pStyle w:val="TableBody"/>
            </w:pPr>
            <w:r w:rsidRPr="00FD35A6">
              <w:t>$/MW per hour</w:t>
            </w:r>
          </w:p>
        </w:tc>
        <w:tc>
          <w:tcPr>
            <w:tcW w:w="3319" w:type="pct"/>
          </w:tcPr>
          <w:p w14:paraId="3C917582" w14:textId="77777777" w:rsidR="002E4A30" w:rsidRPr="00FD35A6" w:rsidRDefault="002E4A30" w:rsidP="0053389B">
            <w:pPr>
              <w:pStyle w:val="TableBody"/>
            </w:pPr>
            <w:r w:rsidRPr="00FD35A6">
              <w:rPr>
                <w:i/>
              </w:rPr>
              <w:t>Day-Ahead Reg-Down Price</w:t>
            </w:r>
            <w:r w:rsidRPr="00FD35A6">
              <w:t>—The Day-Ahead Reg-Down price for the hour.</w:t>
            </w:r>
          </w:p>
        </w:tc>
      </w:tr>
      <w:tr w:rsidR="002E4A30" w:rsidRPr="00FD35A6" w14:paraId="00397F41" w14:textId="77777777" w:rsidTr="00F539C2">
        <w:tc>
          <w:tcPr>
            <w:tcW w:w="1164" w:type="pct"/>
          </w:tcPr>
          <w:p w14:paraId="7BC64117" w14:textId="77777777" w:rsidR="002E4A30" w:rsidRPr="00FD35A6" w:rsidRDefault="002E4A30" w:rsidP="0053389B">
            <w:pPr>
              <w:pStyle w:val="TableBody"/>
            </w:pPr>
            <w:r w:rsidRPr="00FD35A6">
              <w:t xml:space="preserve">DARDQ </w:t>
            </w:r>
            <w:r w:rsidRPr="00BF1248">
              <w:rPr>
                <w:i/>
                <w:vertAlign w:val="subscript"/>
              </w:rPr>
              <w:t>q</w:t>
            </w:r>
          </w:p>
        </w:tc>
        <w:tc>
          <w:tcPr>
            <w:tcW w:w="516" w:type="pct"/>
          </w:tcPr>
          <w:p w14:paraId="7FBC0CB5" w14:textId="77777777" w:rsidR="002E4A30" w:rsidRPr="00FD35A6" w:rsidRDefault="002E4A30" w:rsidP="0053389B">
            <w:pPr>
              <w:pStyle w:val="TableBody"/>
            </w:pPr>
            <w:r w:rsidRPr="00FD35A6">
              <w:t>MW</w:t>
            </w:r>
          </w:p>
        </w:tc>
        <w:tc>
          <w:tcPr>
            <w:tcW w:w="3319" w:type="pct"/>
          </w:tcPr>
          <w:p w14:paraId="6C40779C" w14:textId="77777777" w:rsidR="002E4A30" w:rsidRPr="00FD35A6" w:rsidRDefault="002E4A30" w:rsidP="0053389B">
            <w:pPr>
              <w:pStyle w:val="TableBody"/>
              <w:rPr>
                <w:i/>
              </w:rPr>
            </w:pPr>
            <w:r w:rsidRPr="00FD35A6">
              <w:rPr>
                <w:i/>
              </w:rPr>
              <w:t>Day-Ahead Reg-Down Quantity per QSE</w:t>
            </w:r>
            <w:r w:rsidRPr="00FD35A6">
              <w:t xml:space="preserve">—The QSE </w:t>
            </w:r>
            <w:r w:rsidRPr="00FD35A6">
              <w:rPr>
                <w:i/>
              </w:rPr>
              <w:t>q</w:t>
            </w:r>
            <w:r w:rsidRPr="00FD35A6">
              <w:t xml:space="preserve">’s Day-Ahead Ancillary Service </w:t>
            </w:r>
            <w:r>
              <w:t>O</w:t>
            </w:r>
            <w:r w:rsidRPr="00FD35A6">
              <w:t xml:space="preserve">bligation </w:t>
            </w:r>
            <w:r>
              <w:t>minus its</w:t>
            </w:r>
            <w:r w:rsidRPr="00FD35A6">
              <w:t xml:space="preserve"> self-arranged</w:t>
            </w:r>
            <w:r>
              <w:t xml:space="preserve"> Reg-Down quantity</w:t>
            </w:r>
            <w:r w:rsidRPr="00FD35A6">
              <w:t xml:space="preserve"> for the hour.</w:t>
            </w:r>
          </w:p>
        </w:tc>
      </w:tr>
      <w:tr w:rsidR="002E4A30" w:rsidRPr="00FD35A6" w14:paraId="0A8688FE" w14:textId="77777777" w:rsidTr="00F539C2">
        <w:tc>
          <w:tcPr>
            <w:tcW w:w="1164" w:type="pct"/>
          </w:tcPr>
          <w:p w14:paraId="38D3A386" w14:textId="77777777" w:rsidR="002E4A30" w:rsidRPr="00FD35A6" w:rsidRDefault="002E4A30" w:rsidP="0053389B">
            <w:pPr>
              <w:pStyle w:val="TableBody"/>
            </w:pPr>
            <w:r w:rsidRPr="00FD35A6">
              <w:t>PCRDAMTTOT</w:t>
            </w:r>
          </w:p>
        </w:tc>
        <w:tc>
          <w:tcPr>
            <w:tcW w:w="516" w:type="pct"/>
          </w:tcPr>
          <w:p w14:paraId="2A352D64" w14:textId="77777777" w:rsidR="002E4A30" w:rsidRPr="00FD35A6" w:rsidRDefault="002E4A30" w:rsidP="0053389B">
            <w:pPr>
              <w:pStyle w:val="TableBody"/>
            </w:pPr>
            <w:r w:rsidRPr="00FD35A6">
              <w:t>$</w:t>
            </w:r>
          </w:p>
        </w:tc>
        <w:tc>
          <w:tcPr>
            <w:tcW w:w="3319" w:type="pct"/>
          </w:tcPr>
          <w:p w14:paraId="551B11CB" w14:textId="77777777" w:rsidR="002E4A30" w:rsidRPr="00FD35A6" w:rsidRDefault="002E4A30" w:rsidP="0053389B">
            <w:pPr>
              <w:pStyle w:val="TableBody"/>
              <w:rPr>
                <w:i/>
              </w:rPr>
            </w:pPr>
            <w:r w:rsidRPr="00FD35A6">
              <w:rPr>
                <w:i/>
              </w:rPr>
              <w:t>Procured Capacity for Reg-Down Amount Total in DAM</w:t>
            </w:r>
            <w:r w:rsidRPr="00FD35A6">
              <w:t>—The total of the DAM Reg-Down payments for all QSEs for the hour.</w:t>
            </w:r>
          </w:p>
        </w:tc>
      </w:tr>
      <w:tr w:rsidR="002E4A30" w:rsidRPr="00FD35A6" w14:paraId="3BCDC07D" w14:textId="77777777" w:rsidTr="00F539C2">
        <w:tc>
          <w:tcPr>
            <w:tcW w:w="1164" w:type="pct"/>
          </w:tcPr>
          <w:p w14:paraId="66422F7E" w14:textId="77777777" w:rsidR="002E4A30" w:rsidRPr="00FD35A6" w:rsidRDefault="002E4A30" w:rsidP="0053389B">
            <w:pPr>
              <w:pStyle w:val="TableBody"/>
            </w:pPr>
            <w:r w:rsidRPr="00FD35A6">
              <w:t xml:space="preserve">PCRDAMT </w:t>
            </w:r>
            <w:r w:rsidRPr="00BF1248">
              <w:rPr>
                <w:i/>
                <w:vertAlign w:val="subscript"/>
              </w:rPr>
              <w:t>q</w:t>
            </w:r>
          </w:p>
        </w:tc>
        <w:tc>
          <w:tcPr>
            <w:tcW w:w="516" w:type="pct"/>
          </w:tcPr>
          <w:p w14:paraId="1424EFF5" w14:textId="77777777" w:rsidR="002E4A30" w:rsidRPr="00FD35A6" w:rsidRDefault="002E4A30" w:rsidP="0053389B">
            <w:pPr>
              <w:pStyle w:val="TableBody"/>
            </w:pPr>
            <w:r w:rsidRPr="00FD35A6">
              <w:t>$</w:t>
            </w:r>
          </w:p>
        </w:tc>
        <w:tc>
          <w:tcPr>
            <w:tcW w:w="3319" w:type="pct"/>
          </w:tcPr>
          <w:p w14:paraId="68165528" w14:textId="77777777" w:rsidR="002E4A30" w:rsidRPr="00FD35A6" w:rsidRDefault="002E4A30" w:rsidP="0053389B">
            <w:pPr>
              <w:pStyle w:val="TableBody"/>
              <w:rPr>
                <w:i/>
              </w:rPr>
            </w:pPr>
            <w:r w:rsidRPr="00FD35A6">
              <w:rPr>
                <w:i/>
              </w:rPr>
              <w:t>Procured Capacity for Reg-Down Amount per QSE in DAM</w:t>
            </w:r>
            <w:r w:rsidRPr="00FD35A6">
              <w:t xml:space="preserve">—The DAM Reg-Down payment for QSE </w:t>
            </w:r>
            <w:r w:rsidRPr="00FD35A6">
              <w:rPr>
                <w:i/>
              </w:rPr>
              <w:t>q</w:t>
            </w:r>
            <w:r w:rsidRPr="00FD35A6">
              <w:t xml:space="preserve"> for the hour.</w:t>
            </w:r>
          </w:p>
        </w:tc>
      </w:tr>
      <w:tr w:rsidR="002E4A30" w:rsidRPr="00FD35A6" w14:paraId="71EDCA4F" w14:textId="77777777" w:rsidTr="00F539C2">
        <w:tc>
          <w:tcPr>
            <w:tcW w:w="1164" w:type="pct"/>
          </w:tcPr>
          <w:p w14:paraId="5F5E56E5" w14:textId="77777777" w:rsidR="002E4A30" w:rsidRPr="00FD35A6" w:rsidRDefault="002E4A30" w:rsidP="0053389B">
            <w:pPr>
              <w:pStyle w:val="TableBody"/>
            </w:pPr>
            <w:r w:rsidRPr="00FD35A6">
              <w:t>DARDQTOT</w:t>
            </w:r>
          </w:p>
        </w:tc>
        <w:tc>
          <w:tcPr>
            <w:tcW w:w="516" w:type="pct"/>
          </w:tcPr>
          <w:p w14:paraId="41388714" w14:textId="77777777" w:rsidR="002E4A30" w:rsidRPr="00FD35A6" w:rsidRDefault="002E4A30" w:rsidP="0053389B">
            <w:pPr>
              <w:pStyle w:val="TableBody"/>
            </w:pPr>
            <w:r w:rsidRPr="00FD35A6">
              <w:t>MW</w:t>
            </w:r>
          </w:p>
        </w:tc>
        <w:tc>
          <w:tcPr>
            <w:tcW w:w="3319" w:type="pct"/>
          </w:tcPr>
          <w:p w14:paraId="30A2D5B8" w14:textId="77777777" w:rsidR="002E4A30" w:rsidRPr="00FD35A6" w:rsidRDefault="002E4A30" w:rsidP="0053389B">
            <w:pPr>
              <w:pStyle w:val="TableBody"/>
              <w:rPr>
                <w:i/>
              </w:rPr>
            </w:pPr>
            <w:r w:rsidRPr="00FD35A6">
              <w:rPr>
                <w:i/>
              </w:rPr>
              <w:t>Day-Ahead Reg-Down Quantity Total</w:t>
            </w:r>
            <w:r w:rsidRPr="00FD35A6">
              <w:t xml:space="preserve">—The sum of every QSE’s Day-Ahead Ancillary Service </w:t>
            </w:r>
            <w:r>
              <w:t>O</w:t>
            </w:r>
            <w:r w:rsidRPr="00FD35A6">
              <w:t xml:space="preserve">bligation </w:t>
            </w:r>
            <w:r>
              <w:t>minus its</w:t>
            </w:r>
            <w:r w:rsidRPr="004B2810">
              <w:t xml:space="preserve"> self-arranged</w:t>
            </w:r>
            <w:r>
              <w:t xml:space="preserve"> Reg-Down quantity</w:t>
            </w:r>
            <w:r w:rsidRPr="004B2810">
              <w:t xml:space="preserve"> for the hour.</w:t>
            </w:r>
          </w:p>
        </w:tc>
      </w:tr>
      <w:tr w:rsidR="002E4A30" w:rsidRPr="00FD35A6" w14:paraId="0A9B31DC" w14:textId="77777777" w:rsidTr="00F539C2">
        <w:tc>
          <w:tcPr>
            <w:tcW w:w="1164" w:type="pct"/>
          </w:tcPr>
          <w:p w14:paraId="4A772A11" w14:textId="77777777" w:rsidR="002E4A30" w:rsidRPr="00FD35A6" w:rsidRDefault="002E4A30" w:rsidP="0053389B">
            <w:pPr>
              <w:pStyle w:val="TableBody"/>
            </w:pPr>
            <w:r w:rsidRPr="00FD35A6">
              <w:t xml:space="preserve">DARDO </w:t>
            </w:r>
            <w:r w:rsidRPr="00BF1248">
              <w:rPr>
                <w:i/>
                <w:vertAlign w:val="subscript"/>
              </w:rPr>
              <w:t>q</w:t>
            </w:r>
          </w:p>
        </w:tc>
        <w:tc>
          <w:tcPr>
            <w:tcW w:w="516" w:type="pct"/>
          </w:tcPr>
          <w:p w14:paraId="5895A145" w14:textId="77777777" w:rsidR="002E4A30" w:rsidRPr="00FD35A6" w:rsidRDefault="002E4A30" w:rsidP="0053389B">
            <w:pPr>
              <w:pStyle w:val="TableBody"/>
            </w:pPr>
            <w:r w:rsidRPr="00FD35A6">
              <w:t>MW</w:t>
            </w:r>
          </w:p>
        </w:tc>
        <w:tc>
          <w:tcPr>
            <w:tcW w:w="3319" w:type="pct"/>
          </w:tcPr>
          <w:p w14:paraId="7F58BEC3" w14:textId="77777777" w:rsidR="002E4A30" w:rsidRPr="00FD35A6" w:rsidRDefault="002E4A30" w:rsidP="0053389B">
            <w:pPr>
              <w:pStyle w:val="TableBody"/>
              <w:rPr>
                <w:i/>
              </w:rPr>
            </w:pPr>
            <w:r w:rsidRPr="00FD35A6">
              <w:rPr>
                <w:i/>
              </w:rPr>
              <w:t>Day-Ahead Reg-Down Obligation per QSE</w:t>
            </w:r>
            <w:r w:rsidRPr="00FD35A6">
              <w:t xml:space="preserve">—The Reg-Down capacity obligation for QSE </w:t>
            </w:r>
            <w:r w:rsidRPr="00FD35A6">
              <w:rPr>
                <w:i/>
              </w:rPr>
              <w:t>q</w:t>
            </w:r>
            <w:r w:rsidRPr="00FD35A6">
              <w:t xml:space="preserve"> for the DAM for the hour. </w:t>
            </w:r>
          </w:p>
        </w:tc>
      </w:tr>
      <w:tr w:rsidR="002E4A30" w:rsidRPr="00FD35A6" w14:paraId="230E32AE" w14:textId="77777777" w:rsidTr="00F539C2">
        <w:tc>
          <w:tcPr>
            <w:tcW w:w="1164" w:type="pct"/>
          </w:tcPr>
          <w:p w14:paraId="7ED47180" w14:textId="77777777" w:rsidR="002E4A30" w:rsidRPr="00FD35A6" w:rsidRDefault="002E4A30" w:rsidP="0053389B">
            <w:pPr>
              <w:pStyle w:val="TableBody"/>
            </w:pPr>
            <w:r w:rsidRPr="00FD35A6">
              <w:t xml:space="preserve">DASARDQ </w:t>
            </w:r>
            <w:r w:rsidRPr="00BF1248">
              <w:rPr>
                <w:i/>
                <w:vertAlign w:val="subscript"/>
              </w:rPr>
              <w:t>q</w:t>
            </w:r>
          </w:p>
        </w:tc>
        <w:tc>
          <w:tcPr>
            <w:tcW w:w="516" w:type="pct"/>
          </w:tcPr>
          <w:p w14:paraId="37133EA0" w14:textId="77777777" w:rsidR="002E4A30" w:rsidRPr="00FD35A6" w:rsidRDefault="002E4A30" w:rsidP="0053389B">
            <w:pPr>
              <w:pStyle w:val="TableBody"/>
            </w:pPr>
            <w:r w:rsidRPr="00FD35A6">
              <w:t>MW</w:t>
            </w:r>
          </w:p>
        </w:tc>
        <w:tc>
          <w:tcPr>
            <w:tcW w:w="3319" w:type="pct"/>
          </w:tcPr>
          <w:p w14:paraId="7856552A" w14:textId="77777777" w:rsidR="002E4A30" w:rsidRPr="00FD35A6" w:rsidRDefault="002E4A30" w:rsidP="0053389B">
            <w:pPr>
              <w:pStyle w:val="TableBody"/>
              <w:rPr>
                <w:i/>
              </w:rPr>
            </w:pPr>
            <w:r w:rsidRPr="00FD35A6">
              <w:rPr>
                <w:i/>
              </w:rPr>
              <w:t>Day-Ahead Self-Arranged Reg-Down Quantity per QSE</w:t>
            </w:r>
            <w:r w:rsidRPr="00FD35A6">
              <w:t xml:space="preserve">—The </w:t>
            </w:r>
            <w:r>
              <w:t>s</w:t>
            </w:r>
            <w:r w:rsidRPr="00FD35A6">
              <w:t>elf-</w:t>
            </w:r>
            <w:r>
              <w:t>a</w:t>
            </w:r>
            <w:r w:rsidRPr="00FD35A6">
              <w:t xml:space="preserve">rranged Reg-Down </w:t>
            </w:r>
            <w:r>
              <w:t>q</w:t>
            </w:r>
            <w:r w:rsidRPr="00FD35A6">
              <w:t xml:space="preserve">uantity submitted by QSE </w:t>
            </w:r>
            <w:r w:rsidRPr="00FD35A6">
              <w:rPr>
                <w:i/>
              </w:rPr>
              <w:t>q</w:t>
            </w:r>
            <w:r w:rsidRPr="00FD35A6">
              <w:t xml:space="preserve"> before 1000 in the Day-Ahead.</w:t>
            </w:r>
          </w:p>
        </w:tc>
      </w:tr>
      <w:tr w:rsidR="002E4A30" w14:paraId="794E48CE" w14:textId="77777777" w:rsidTr="00F539C2">
        <w:tc>
          <w:tcPr>
            <w:tcW w:w="1164" w:type="pct"/>
          </w:tcPr>
          <w:p w14:paraId="72BB11F4" w14:textId="77777777" w:rsidR="002E4A30" w:rsidRPr="00BF1248" w:rsidRDefault="002E4A30" w:rsidP="0053389B">
            <w:pPr>
              <w:pStyle w:val="TableBody"/>
              <w:rPr>
                <w:i/>
              </w:rPr>
            </w:pPr>
            <w:r w:rsidRPr="00BF1248">
              <w:rPr>
                <w:i/>
              </w:rPr>
              <w:t>q</w:t>
            </w:r>
          </w:p>
        </w:tc>
        <w:tc>
          <w:tcPr>
            <w:tcW w:w="516" w:type="pct"/>
          </w:tcPr>
          <w:p w14:paraId="0DACA831" w14:textId="77777777" w:rsidR="002E4A30" w:rsidRPr="00FD35A6" w:rsidRDefault="002E4A30" w:rsidP="0053389B">
            <w:pPr>
              <w:pStyle w:val="TableBody"/>
            </w:pPr>
            <w:r w:rsidRPr="00FD35A6">
              <w:t>none</w:t>
            </w:r>
          </w:p>
        </w:tc>
        <w:tc>
          <w:tcPr>
            <w:tcW w:w="3319" w:type="pct"/>
          </w:tcPr>
          <w:p w14:paraId="33BD1EAB" w14:textId="77777777" w:rsidR="002E4A30" w:rsidRDefault="002E4A30" w:rsidP="0053389B">
            <w:pPr>
              <w:pStyle w:val="TableBody"/>
            </w:pPr>
            <w:r w:rsidRPr="00FD35A6">
              <w:t>A QSE.</w:t>
            </w:r>
          </w:p>
        </w:tc>
      </w:tr>
    </w:tbl>
    <w:p w14:paraId="0CCF0226" w14:textId="77777777" w:rsidR="00C24CB5" w:rsidRDefault="00C24CB5"/>
    <w:tbl>
      <w:tblPr>
        <w:tblW w:w="9349"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445"/>
      </w:tblGrid>
      <w:tr w:rsidR="00C24CB5" w:rsidRPr="004B32CF" w14:paraId="7B254461" w14:textId="77777777" w:rsidTr="00C24CB5">
        <w:trPr>
          <w:trHeight w:val="386"/>
        </w:trPr>
        <w:tc>
          <w:tcPr>
            <w:tcW w:w="5000" w:type="pct"/>
            <w:shd w:val="pct12" w:color="auto" w:fill="auto"/>
          </w:tcPr>
          <w:p w14:paraId="6D6E4C8A" w14:textId="77777777" w:rsidR="00C24CB5" w:rsidRPr="004B32CF" w:rsidRDefault="00C24CB5" w:rsidP="007258B7">
            <w:pPr>
              <w:spacing w:before="120" w:after="240"/>
              <w:rPr>
                <w:b/>
                <w:i/>
                <w:iCs/>
              </w:rPr>
            </w:pPr>
            <w:bookmarkStart w:id="831" w:name="_Toc109185144"/>
            <w:bookmarkStart w:id="832" w:name="_Toc142108974"/>
            <w:bookmarkStart w:id="833" w:name="_Toc142113819"/>
            <w:bookmarkStart w:id="834" w:name="_Toc402345647"/>
            <w:bookmarkStart w:id="835" w:name="_Toc405383930"/>
            <w:bookmarkStart w:id="836" w:name="_Toc405537033"/>
            <w:bookmarkStart w:id="837" w:name="_Toc440871819"/>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54DC00D3" w14:textId="77777777" w:rsidR="00C24CB5" w:rsidRPr="006145CA" w:rsidRDefault="00C24CB5" w:rsidP="00C24CB5">
            <w:pPr>
              <w:pStyle w:val="BodyText"/>
              <w:ind w:left="720" w:hanging="720"/>
            </w:pPr>
            <w:r w:rsidRPr="006145CA">
              <w:t>(1)</w:t>
            </w:r>
            <w:r w:rsidRPr="006145CA">
              <w:tab/>
              <w:t>Each QSE shall pay to ERCOT or be paid by ERCOT a Reg-Down Service charge for each hour as follows:</w:t>
            </w:r>
          </w:p>
          <w:p w14:paraId="171888E7" w14:textId="77777777" w:rsidR="00C24CB5" w:rsidRPr="006145CA" w:rsidRDefault="00C24CB5" w:rsidP="00D46800">
            <w:pPr>
              <w:pStyle w:val="Formula"/>
            </w:pPr>
            <w:r w:rsidRPr="006145CA">
              <w:t xml:space="preserve">DARDAMT </w:t>
            </w:r>
            <w:r w:rsidRPr="006145CA">
              <w:rPr>
                <w:i/>
                <w:vertAlign w:val="subscript"/>
              </w:rPr>
              <w:t>q</w:t>
            </w:r>
            <w:r w:rsidRPr="006145CA">
              <w:tab/>
              <w:t>=</w:t>
            </w:r>
            <w:r w:rsidRPr="006145CA">
              <w:tab/>
              <w:t xml:space="preserve">DARDPR * DARDQ </w:t>
            </w:r>
            <w:r w:rsidRPr="006145CA">
              <w:rPr>
                <w:i/>
                <w:vertAlign w:val="subscript"/>
              </w:rPr>
              <w:t>q</w:t>
            </w:r>
          </w:p>
          <w:p w14:paraId="2348CF20" w14:textId="77777777" w:rsidR="00C24CB5" w:rsidRPr="006145CA" w:rsidRDefault="00C24CB5" w:rsidP="00C24CB5">
            <w:pPr>
              <w:pStyle w:val="BodyText"/>
            </w:pPr>
            <w:r w:rsidRPr="006145CA">
              <w:t>Where:</w:t>
            </w:r>
          </w:p>
          <w:p w14:paraId="3B3EC3DC" w14:textId="77777777" w:rsidR="00C24CB5" w:rsidRPr="006145CA" w:rsidRDefault="00C24CB5" w:rsidP="00D46800">
            <w:pPr>
              <w:pStyle w:val="Formula"/>
            </w:pPr>
            <w:r w:rsidRPr="006145CA">
              <w:t>DARDPR</w:t>
            </w:r>
            <w:r w:rsidRPr="006145CA">
              <w:tab/>
              <w:t xml:space="preserve">= </w:t>
            </w:r>
            <w:r w:rsidRPr="006145CA">
              <w:tab/>
              <w:t>(-1) * DAPCRDAMTTOT / DARDQTOT</w:t>
            </w:r>
          </w:p>
          <w:p w14:paraId="71ECA277" w14:textId="77777777" w:rsidR="00C24CB5" w:rsidRPr="006145CA" w:rsidRDefault="00C24CB5" w:rsidP="00D46800">
            <w:pPr>
              <w:pStyle w:val="Formula"/>
            </w:pPr>
            <w:r w:rsidRPr="006145CA">
              <w:fldChar w:fldCharType="begin"/>
            </w:r>
            <w:r w:rsidRPr="006145CA">
              <w:fldChar w:fldCharType="end"/>
            </w:r>
            <w:r>
              <w:t>DA</w:t>
            </w:r>
            <w:r w:rsidRPr="006145CA">
              <w:t>PCRDAMTTOT</w:t>
            </w:r>
            <w:r w:rsidRPr="006145CA">
              <w:tab/>
              <w:t>=</w:t>
            </w:r>
            <w:r w:rsidRPr="006145CA">
              <w:tab/>
            </w:r>
            <w:r w:rsidRPr="006145CA">
              <w:rPr>
                <w:position w:val="-22"/>
              </w:rPr>
              <w:object w:dxaOrig="288" w:dyaOrig="438" w14:anchorId="70349AB9">
                <v:shape id="_x0000_i1051" type="#_x0000_t75" style="width:13.8pt;height:21.6pt" o:ole="">
                  <v:imagedata r:id="rId50" o:title=""/>
                </v:shape>
                <o:OLEObject Type="Embed" ProgID="Equation.3" ShapeID="_x0000_i1051" DrawAspect="Content" ObjectID="_1775281344" r:id="rId57"/>
              </w:object>
            </w:r>
            <w:r>
              <w:t>(</w:t>
            </w:r>
            <w:r w:rsidRPr="006145CA">
              <w:t xml:space="preserve">PCRDAMT </w:t>
            </w:r>
            <w:r w:rsidRPr="006145CA">
              <w:rPr>
                <w:i/>
                <w:vertAlign w:val="subscript"/>
              </w:rPr>
              <w:t>q</w:t>
            </w:r>
            <w:r w:rsidRPr="006145CA">
              <w:t xml:space="preserve">+ DAPCRDOAMT </w:t>
            </w:r>
            <w:r w:rsidRPr="006145CA">
              <w:rPr>
                <w:i/>
                <w:vertAlign w:val="subscript"/>
              </w:rPr>
              <w:t>q</w:t>
            </w:r>
            <w:r w:rsidRPr="006145CA">
              <w:t>)</w:t>
            </w:r>
          </w:p>
          <w:p w14:paraId="1E219D61" w14:textId="77777777" w:rsidR="00C24CB5" w:rsidRPr="006145CA" w:rsidRDefault="00C24CB5" w:rsidP="00D46800">
            <w:pPr>
              <w:pStyle w:val="Formula"/>
            </w:pPr>
            <w:r w:rsidRPr="006145CA">
              <w:t>DARDQTOT</w:t>
            </w:r>
            <w:r w:rsidRPr="006145CA">
              <w:tab/>
              <w:t>=</w:t>
            </w:r>
            <w:r w:rsidRPr="006145CA">
              <w:tab/>
            </w:r>
            <w:r w:rsidRPr="006145CA">
              <w:rPr>
                <w:position w:val="-22"/>
              </w:rPr>
              <w:object w:dxaOrig="288" w:dyaOrig="438" w14:anchorId="2D208D5D">
                <v:shape id="_x0000_i1052" type="#_x0000_t75" style="width:13.8pt;height:21.6pt" o:ole="">
                  <v:imagedata r:id="rId50" o:title=""/>
                </v:shape>
                <o:OLEObject Type="Embed" ProgID="Equation.3" ShapeID="_x0000_i1052" DrawAspect="Content" ObjectID="_1775281345" r:id="rId58"/>
              </w:object>
            </w:r>
            <w:r w:rsidRPr="006145CA">
              <w:t xml:space="preserve">DARDQ </w:t>
            </w:r>
            <w:r w:rsidRPr="006145CA">
              <w:rPr>
                <w:i/>
                <w:vertAlign w:val="subscript"/>
              </w:rPr>
              <w:t>q</w:t>
            </w:r>
          </w:p>
          <w:p w14:paraId="0A9F4651" w14:textId="77777777" w:rsidR="00C24CB5" w:rsidRPr="006145CA" w:rsidRDefault="00C24CB5" w:rsidP="00D46800">
            <w:pPr>
              <w:pStyle w:val="Formula"/>
            </w:pPr>
            <w:r w:rsidRPr="006145CA">
              <w:t xml:space="preserve">DARDQ </w:t>
            </w:r>
            <w:r w:rsidRPr="006145CA">
              <w:rPr>
                <w:i/>
                <w:vertAlign w:val="subscript"/>
              </w:rPr>
              <w:t>q</w:t>
            </w:r>
            <w:r w:rsidRPr="006145CA">
              <w:tab/>
              <w:t>=</w:t>
            </w:r>
            <w:r w:rsidRPr="006145CA">
              <w:tab/>
              <w:t xml:space="preserve">DARDO </w:t>
            </w:r>
            <w:r w:rsidRPr="006145CA">
              <w:rPr>
                <w:i/>
                <w:vertAlign w:val="subscript"/>
              </w:rPr>
              <w:t>q</w:t>
            </w:r>
            <w:r w:rsidRPr="006145CA">
              <w:t xml:space="preserve"> – DASARDQ </w:t>
            </w:r>
            <w:r w:rsidRPr="006145CA">
              <w:rPr>
                <w:i/>
                <w:vertAlign w:val="subscript"/>
              </w:rPr>
              <w:t>q</w:t>
            </w:r>
          </w:p>
          <w:p w14:paraId="1B594E1F" w14:textId="77777777" w:rsidR="00C24CB5" w:rsidRPr="006145CA" w:rsidRDefault="00C24CB5" w:rsidP="00C24CB5">
            <w:r w:rsidRPr="006145CA">
              <w:t xml:space="preserve">The above variables are defined as follows: </w:t>
            </w:r>
          </w:p>
          <w:tbl>
            <w:tblPr>
              <w:tblW w:w="912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76"/>
              <w:gridCol w:w="964"/>
              <w:gridCol w:w="5987"/>
            </w:tblGrid>
            <w:tr w:rsidR="00C24CB5" w:rsidRPr="006145CA" w14:paraId="4695FAAD" w14:textId="77777777" w:rsidTr="00C24CB5">
              <w:trPr>
                <w:tblHeader/>
              </w:trPr>
              <w:tc>
                <w:tcPr>
                  <w:tcW w:w="1192" w:type="pct"/>
                </w:tcPr>
                <w:p w14:paraId="4C16B3AF" w14:textId="77777777" w:rsidR="00C24CB5" w:rsidRPr="006145CA" w:rsidRDefault="00C24CB5" w:rsidP="00C24CB5">
                  <w:pPr>
                    <w:pStyle w:val="TableHead"/>
                  </w:pPr>
                  <w:r w:rsidRPr="006145CA">
                    <w:t>Variable</w:t>
                  </w:r>
                </w:p>
              </w:tc>
              <w:tc>
                <w:tcPr>
                  <w:tcW w:w="528" w:type="pct"/>
                </w:tcPr>
                <w:p w14:paraId="1DF811CD" w14:textId="77777777" w:rsidR="00C24CB5" w:rsidRPr="006145CA" w:rsidRDefault="00C24CB5" w:rsidP="00C24CB5">
                  <w:pPr>
                    <w:pStyle w:val="TableHead"/>
                  </w:pPr>
                  <w:r w:rsidRPr="006145CA">
                    <w:t>Unit</w:t>
                  </w:r>
                </w:p>
              </w:tc>
              <w:tc>
                <w:tcPr>
                  <w:tcW w:w="3280" w:type="pct"/>
                </w:tcPr>
                <w:p w14:paraId="50CF950D" w14:textId="77777777" w:rsidR="00C24CB5" w:rsidRPr="006145CA" w:rsidRDefault="00C24CB5" w:rsidP="00C24CB5">
                  <w:pPr>
                    <w:pStyle w:val="TableHead"/>
                  </w:pPr>
                  <w:r w:rsidRPr="006145CA">
                    <w:t>Definition</w:t>
                  </w:r>
                </w:p>
              </w:tc>
            </w:tr>
            <w:tr w:rsidR="00C24CB5" w:rsidRPr="006145CA" w14:paraId="154381D7" w14:textId="77777777" w:rsidTr="00C24CB5">
              <w:tc>
                <w:tcPr>
                  <w:tcW w:w="1192" w:type="pct"/>
                </w:tcPr>
                <w:p w14:paraId="02BE885B" w14:textId="77777777" w:rsidR="00C24CB5" w:rsidRPr="006145CA" w:rsidRDefault="00C24CB5" w:rsidP="00C24CB5">
                  <w:pPr>
                    <w:pStyle w:val="TableBody"/>
                  </w:pPr>
                  <w:r w:rsidRPr="006145CA">
                    <w:t xml:space="preserve">DARDAMT </w:t>
                  </w:r>
                  <w:r w:rsidRPr="006145CA">
                    <w:rPr>
                      <w:i/>
                      <w:vertAlign w:val="subscript"/>
                    </w:rPr>
                    <w:t>q</w:t>
                  </w:r>
                </w:p>
              </w:tc>
              <w:tc>
                <w:tcPr>
                  <w:tcW w:w="528" w:type="pct"/>
                </w:tcPr>
                <w:p w14:paraId="6281C5CD" w14:textId="77777777" w:rsidR="00C24CB5" w:rsidRPr="006145CA" w:rsidRDefault="00C24CB5" w:rsidP="00C24CB5">
                  <w:pPr>
                    <w:pStyle w:val="TableBody"/>
                  </w:pPr>
                  <w:r w:rsidRPr="006145CA">
                    <w:t>$</w:t>
                  </w:r>
                </w:p>
              </w:tc>
              <w:tc>
                <w:tcPr>
                  <w:tcW w:w="3280" w:type="pct"/>
                </w:tcPr>
                <w:p w14:paraId="278E32E7" w14:textId="77777777" w:rsidR="00C24CB5" w:rsidRPr="006145CA" w:rsidRDefault="00C24CB5" w:rsidP="00C24CB5">
                  <w:pPr>
                    <w:pStyle w:val="TableBody"/>
                  </w:pPr>
                  <w:r w:rsidRPr="006145CA">
                    <w:rPr>
                      <w:i/>
                    </w:rPr>
                    <w:t>Day-Ahead Reg-Down Amount per QSE</w:t>
                  </w:r>
                  <w:r w:rsidRPr="006145CA">
                    <w:t xml:space="preserve">—QSE </w:t>
                  </w:r>
                  <w:r w:rsidRPr="006145CA">
                    <w:rPr>
                      <w:i/>
                    </w:rPr>
                    <w:t>q</w:t>
                  </w:r>
                  <w:r w:rsidRPr="006145CA">
                    <w:t>’s share of the DAM cost for Reg-Down, for the hour.</w:t>
                  </w:r>
                </w:p>
              </w:tc>
            </w:tr>
            <w:tr w:rsidR="00C24CB5" w:rsidRPr="006145CA" w14:paraId="743A0909" w14:textId="77777777" w:rsidTr="00C24CB5">
              <w:tc>
                <w:tcPr>
                  <w:tcW w:w="1192" w:type="pct"/>
                </w:tcPr>
                <w:p w14:paraId="59D8D83D" w14:textId="77777777" w:rsidR="00C24CB5" w:rsidRPr="006145CA" w:rsidRDefault="00C24CB5" w:rsidP="00C24CB5">
                  <w:pPr>
                    <w:pStyle w:val="TableBody"/>
                  </w:pPr>
                  <w:r w:rsidRPr="006145CA">
                    <w:t>DARDPR</w:t>
                  </w:r>
                </w:p>
              </w:tc>
              <w:tc>
                <w:tcPr>
                  <w:tcW w:w="528" w:type="pct"/>
                </w:tcPr>
                <w:p w14:paraId="6EEC92C5" w14:textId="77777777" w:rsidR="00C24CB5" w:rsidRPr="006145CA" w:rsidRDefault="00C24CB5" w:rsidP="00C24CB5">
                  <w:pPr>
                    <w:pStyle w:val="TableBody"/>
                  </w:pPr>
                  <w:r w:rsidRPr="006145CA">
                    <w:t xml:space="preserve">$/MW </w:t>
                  </w:r>
                </w:p>
              </w:tc>
              <w:tc>
                <w:tcPr>
                  <w:tcW w:w="3280" w:type="pct"/>
                </w:tcPr>
                <w:p w14:paraId="04C77E04" w14:textId="77777777" w:rsidR="00C24CB5" w:rsidRPr="006145CA" w:rsidRDefault="00C24CB5" w:rsidP="00C24CB5">
                  <w:pPr>
                    <w:pStyle w:val="TableBody"/>
                  </w:pPr>
                  <w:r w:rsidRPr="006145CA">
                    <w:rPr>
                      <w:i/>
                    </w:rPr>
                    <w:t>Day-Ahead Reg-Down Price</w:t>
                  </w:r>
                  <w:r w:rsidRPr="006145CA">
                    <w:t>—The Day-Ahead Reg-Down price for the hour.</w:t>
                  </w:r>
                </w:p>
              </w:tc>
            </w:tr>
            <w:tr w:rsidR="00C24CB5" w:rsidRPr="006145CA" w14:paraId="77BC2BF2" w14:textId="77777777" w:rsidTr="00C24CB5">
              <w:tc>
                <w:tcPr>
                  <w:tcW w:w="1192" w:type="pct"/>
                </w:tcPr>
                <w:p w14:paraId="71799733" w14:textId="77777777" w:rsidR="00C24CB5" w:rsidRPr="006145CA" w:rsidRDefault="00C24CB5" w:rsidP="00C24CB5">
                  <w:pPr>
                    <w:pStyle w:val="TableBody"/>
                  </w:pPr>
                  <w:r w:rsidRPr="006145CA">
                    <w:lastRenderedPageBreak/>
                    <w:t xml:space="preserve">DARDQ </w:t>
                  </w:r>
                  <w:r w:rsidRPr="006145CA">
                    <w:rPr>
                      <w:i/>
                      <w:vertAlign w:val="subscript"/>
                    </w:rPr>
                    <w:t>q</w:t>
                  </w:r>
                </w:p>
              </w:tc>
              <w:tc>
                <w:tcPr>
                  <w:tcW w:w="528" w:type="pct"/>
                </w:tcPr>
                <w:p w14:paraId="60AA8652" w14:textId="77777777" w:rsidR="00C24CB5" w:rsidRPr="006145CA" w:rsidRDefault="00C24CB5" w:rsidP="00C24CB5">
                  <w:pPr>
                    <w:pStyle w:val="TableBody"/>
                  </w:pPr>
                  <w:r w:rsidRPr="006145CA">
                    <w:t>MW</w:t>
                  </w:r>
                </w:p>
              </w:tc>
              <w:tc>
                <w:tcPr>
                  <w:tcW w:w="3280" w:type="pct"/>
                </w:tcPr>
                <w:p w14:paraId="08EFEF4E" w14:textId="77777777" w:rsidR="00C24CB5" w:rsidRPr="006145CA" w:rsidRDefault="00C24CB5" w:rsidP="00C24CB5">
                  <w:pPr>
                    <w:pStyle w:val="TableBody"/>
                    <w:rPr>
                      <w:i/>
                    </w:rPr>
                  </w:pPr>
                  <w:r w:rsidRPr="006145CA">
                    <w:rPr>
                      <w:i/>
                    </w:rPr>
                    <w:t>Day-Ahead Reg-Down Quantity per QSE</w:t>
                  </w:r>
                  <w:r w:rsidRPr="006145CA">
                    <w:t xml:space="preserve">—The QSE </w:t>
                  </w:r>
                  <w:r w:rsidRPr="006145CA">
                    <w:rPr>
                      <w:i/>
                    </w:rPr>
                    <w:t>q</w:t>
                  </w:r>
                  <w:r w:rsidRPr="006145CA">
                    <w:t>’s Day-Ahead Ancillary Service Obligation minus its self-arranged Reg-Down quantity for the hour.</w:t>
                  </w:r>
                </w:p>
              </w:tc>
            </w:tr>
            <w:tr w:rsidR="00C24CB5" w:rsidRPr="006145CA" w14:paraId="0A372BE6" w14:textId="77777777" w:rsidTr="00C24CB5">
              <w:tc>
                <w:tcPr>
                  <w:tcW w:w="1192" w:type="pct"/>
                </w:tcPr>
                <w:p w14:paraId="08EECDFE" w14:textId="77777777" w:rsidR="00C24CB5" w:rsidRPr="006145CA" w:rsidRDefault="00C24CB5" w:rsidP="00C24CB5">
                  <w:pPr>
                    <w:pStyle w:val="TableBody"/>
                  </w:pPr>
                  <w:r w:rsidRPr="006145CA">
                    <w:t>DAPCRDAMTTOT</w:t>
                  </w:r>
                </w:p>
              </w:tc>
              <w:tc>
                <w:tcPr>
                  <w:tcW w:w="528" w:type="pct"/>
                </w:tcPr>
                <w:p w14:paraId="4C612C1D" w14:textId="77777777" w:rsidR="00C24CB5" w:rsidRPr="006145CA" w:rsidRDefault="00C24CB5" w:rsidP="00C24CB5">
                  <w:pPr>
                    <w:pStyle w:val="TableBody"/>
                  </w:pPr>
                  <w:r w:rsidRPr="006145CA">
                    <w:t>$</w:t>
                  </w:r>
                </w:p>
              </w:tc>
              <w:tc>
                <w:tcPr>
                  <w:tcW w:w="3280" w:type="pct"/>
                </w:tcPr>
                <w:p w14:paraId="46E64022" w14:textId="77777777" w:rsidR="00C24CB5" w:rsidRPr="006145CA" w:rsidRDefault="00C24CB5" w:rsidP="00C24CB5">
                  <w:pPr>
                    <w:pStyle w:val="TableBody"/>
                    <w:rPr>
                      <w:i/>
                    </w:rPr>
                  </w:pPr>
                  <w:r>
                    <w:rPr>
                      <w:i/>
                    </w:rPr>
                    <w:t xml:space="preserve">Day-Ahead </w:t>
                  </w:r>
                  <w:r w:rsidRPr="006145CA">
                    <w:rPr>
                      <w:i/>
                    </w:rPr>
                    <w:t>Procured Capacity for Reg-Down Amount Total</w:t>
                  </w:r>
                  <w:r w:rsidRPr="006145CA">
                    <w:t>—The total of the DAM Reg-Down payments for all QSEs for the hour.</w:t>
                  </w:r>
                </w:p>
              </w:tc>
            </w:tr>
            <w:tr w:rsidR="00C24CB5" w:rsidRPr="006145CA" w14:paraId="766F602B" w14:textId="77777777" w:rsidTr="00C24CB5">
              <w:tc>
                <w:tcPr>
                  <w:tcW w:w="1192" w:type="pct"/>
                </w:tcPr>
                <w:p w14:paraId="019BDE57" w14:textId="77777777" w:rsidR="00C24CB5" w:rsidRPr="006145CA" w:rsidRDefault="00C24CB5" w:rsidP="00C24CB5">
                  <w:pPr>
                    <w:pStyle w:val="TableBody"/>
                  </w:pPr>
                  <w:r w:rsidRPr="006145CA">
                    <w:t xml:space="preserve">PCRDAMT </w:t>
                  </w:r>
                  <w:r w:rsidRPr="006145CA">
                    <w:rPr>
                      <w:i/>
                      <w:vertAlign w:val="subscript"/>
                    </w:rPr>
                    <w:t>q</w:t>
                  </w:r>
                </w:p>
              </w:tc>
              <w:tc>
                <w:tcPr>
                  <w:tcW w:w="528" w:type="pct"/>
                </w:tcPr>
                <w:p w14:paraId="53AD6388" w14:textId="77777777" w:rsidR="00C24CB5" w:rsidRPr="006145CA" w:rsidRDefault="00C24CB5" w:rsidP="00C24CB5">
                  <w:pPr>
                    <w:pStyle w:val="TableBody"/>
                  </w:pPr>
                  <w:r w:rsidRPr="006145CA">
                    <w:t>$</w:t>
                  </w:r>
                </w:p>
              </w:tc>
              <w:tc>
                <w:tcPr>
                  <w:tcW w:w="3280" w:type="pct"/>
                </w:tcPr>
                <w:p w14:paraId="3DD02D87" w14:textId="77777777" w:rsidR="00C24CB5" w:rsidRPr="006145CA" w:rsidRDefault="00C24CB5" w:rsidP="00C24CB5">
                  <w:pPr>
                    <w:pStyle w:val="TableBody"/>
                    <w:rPr>
                      <w:i/>
                    </w:rPr>
                  </w:pPr>
                  <w:r w:rsidRPr="006145CA">
                    <w:rPr>
                      <w:i/>
                    </w:rPr>
                    <w:t>Procured Capacity for Reg-Down Amount per QSE in DAM</w:t>
                  </w:r>
                  <w:r w:rsidRPr="006145CA">
                    <w:t xml:space="preserve">—The DAM Reg-Down payment for QSE </w:t>
                  </w:r>
                  <w:r w:rsidRPr="006145CA">
                    <w:rPr>
                      <w:i/>
                    </w:rPr>
                    <w:t>q</w:t>
                  </w:r>
                  <w:r w:rsidRPr="006145CA">
                    <w:t xml:space="preserve"> for the hour.</w:t>
                  </w:r>
                </w:p>
              </w:tc>
            </w:tr>
            <w:tr w:rsidR="00C24CB5" w:rsidRPr="006145CA" w14:paraId="350F6792" w14:textId="77777777" w:rsidTr="00C24CB5">
              <w:tc>
                <w:tcPr>
                  <w:tcW w:w="1192" w:type="pct"/>
                </w:tcPr>
                <w:p w14:paraId="29C94071" w14:textId="77777777" w:rsidR="00C24CB5" w:rsidRPr="006145CA" w:rsidDel="00C77732" w:rsidRDefault="00C24CB5" w:rsidP="00C24CB5">
                  <w:pPr>
                    <w:pStyle w:val="TableBody"/>
                  </w:pPr>
                  <w:r w:rsidRPr="006145CA">
                    <w:t>DAPCRDOAMT</w:t>
                  </w:r>
                  <w:r w:rsidRPr="006145CA">
                    <w:rPr>
                      <w:i/>
                    </w:rPr>
                    <w:t xml:space="preserve"> </w:t>
                  </w:r>
                  <w:r w:rsidRPr="006145CA">
                    <w:rPr>
                      <w:i/>
                      <w:vertAlign w:val="subscript"/>
                    </w:rPr>
                    <w:t>q</w:t>
                  </w:r>
                </w:p>
              </w:tc>
              <w:tc>
                <w:tcPr>
                  <w:tcW w:w="528" w:type="pct"/>
                </w:tcPr>
                <w:p w14:paraId="28B9FB68" w14:textId="77777777" w:rsidR="00C24CB5" w:rsidRPr="006145CA" w:rsidDel="00C77732" w:rsidRDefault="00C24CB5" w:rsidP="00C24CB5">
                  <w:pPr>
                    <w:pStyle w:val="TableBody"/>
                  </w:pPr>
                  <w:r w:rsidRPr="006145CA">
                    <w:t>$</w:t>
                  </w:r>
                </w:p>
              </w:tc>
              <w:tc>
                <w:tcPr>
                  <w:tcW w:w="3280" w:type="pct"/>
                </w:tcPr>
                <w:p w14:paraId="01EE7BC8" w14:textId="77777777" w:rsidR="00C24CB5" w:rsidRPr="006145CA" w:rsidDel="00C77732" w:rsidRDefault="00C24CB5" w:rsidP="00C24CB5">
                  <w:pPr>
                    <w:pStyle w:val="TableBody"/>
                    <w:rPr>
                      <w:i/>
                    </w:rPr>
                  </w:pPr>
                  <w:r>
                    <w:rPr>
                      <w:i/>
                    </w:rPr>
                    <w:t xml:space="preserve">Day-Ahead </w:t>
                  </w:r>
                  <w:r w:rsidRPr="006145CA">
                    <w:rPr>
                      <w:i/>
                    </w:rPr>
                    <w:t xml:space="preserve">Procured Capacity for Reg-Down Only </w:t>
                  </w:r>
                  <w:r>
                    <w:rPr>
                      <w:i/>
                    </w:rPr>
                    <w:t>Amount</w:t>
                  </w:r>
                  <w:r w:rsidRPr="006145CA">
                    <w:rPr>
                      <w:i/>
                    </w:rPr>
                    <w:t xml:space="preserve"> per QSE</w:t>
                  </w:r>
                  <w:r w:rsidRPr="006145CA">
                    <w:t xml:space="preserve">— The payment to QSE </w:t>
                  </w:r>
                  <w:r w:rsidRPr="006145CA">
                    <w:rPr>
                      <w:i/>
                    </w:rPr>
                    <w:t>q</w:t>
                  </w:r>
                  <w:r w:rsidRPr="006145CA">
                    <w:t xml:space="preserve"> </w:t>
                  </w:r>
                  <w:r>
                    <w:t>f</w:t>
                  </w:r>
                  <w:r w:rsidRPr="006145CA">
                    <w:t>or all Reg-</w:t>
                  </w:r>
                  <w:r>
                    <w:t>Down</w:t>
                  </w:r>
                  <w:r w:rsidRPr="006145CA">
                    <w:t xml:space="preserve"> only awards </w:t>
                  </w:r>
                  <w:r>
                    <w:t xml:space="preserve">in DAM </w:t>
                  </w:r>
                  <w:r w:rsidRPr="006145CA">
                    <w:t>for the hour.</w:t>
                  </w:r>
                </w:p>
              </w:tc>
            </w:tr>
            <w:tr w:rsidR="00C24CB5" w:rsidRPr="006145CA" w14:paraId="4F850738" w14:textId="77777777" w:rsidTr="00C24CB5">
              <w:tc>
                <w:tcPr>
                  <w:tcW w:w="1192" w:type="pct"/>
                </w:tcPr>
                <w:p w14:paraId="2B05238F" w14:textId="77777777" w:rsidR="00C24CB5" w:rsidRPr="006145CA" w:rsidRDefault="00C24CB5" w:rsidP="00C24CB5">
                  <w:pPr>
                    <w:pStyle w:val="TableBody"/>
                  </w:pPr>
                  <w:r w:rsidRPr="006145CA">
                    <w:t>DARDQTOT</w:t>
                  </w:r>
                </w:p>
              </w:tc>
              <w:tc>
                <w:tcPr>
                  <w:tcW w:w="528" w:type="pct"/>
                </w:tcPr>
                <w:p w14:paraId="7F31F56B" w14:textId="77777777" w:rsidR="00C24CB5" w:rsidRPr="006145CA" w:rsidRDefault="00C24CB5" w:rsidP="00C24CB5">
                  <w:pPr>
                    <w:pStyle w:val="TableBody"/>
                  </w:pPr>
                  <w:r w:rsidRPr="006145CA">
                    <w:t>MW</w:t>
                  </w:r>
                </w:p>
              </w:tc>
              <w:tc>
                <w:tcPr>
                  <w:tcW w:w="3280" w:type="pct"/>
                </w:tcPr>
                <w:p w14:paraId="3AA10D39" w14:textId="77777777" w:rsidR="00C24CB5" w:rsidRPr="006145CA" w:rsidRDefault="00C24CB5" w:rsidP="00C24CB5">
                  <w:pPr>
                    <w:pStyle w:val="TableBody"/>
                    <w:rPr>
                      <w:i/>
                    </w:rPr>
                  </w:pPr>
                  <w:r w:rsidRPr="006145CA">
                    <w:rPr>
                      <w:i/>
                    </w:rPr>
                    <w:t>Day-Ahead Reg-Down Quantity Total</w:t>
                  </w:r>
                  <w:r w:rsidRPr="006145CA">
                    <w:t>—The sum of every QSE’s Day-Ahead Ancillary Service Obligation minus its self-arranged Reg-Down quantity for the hour.</w:t>
                  </w:r>
                </w:p>
              </w:tc>
            </w:tr>
            <w:tr w:rsidR="00C24CB5" w:rsidRPr="006145CA" w14:paraId="7B2A0E2E" w14:textId="77777777" w:rsidTr="00C24CB5">
              <w:tc>
                <w:tcPr>
                  <w:tcW w:w="1192" w:type="pct"/>
                </w:tcPr>
                <w:p w14:paraId="3D72BC12" w14:textId="77777777" w:rsidR="00C24CB5" w:rsidRPr="006145CA" w:rsidRDefault="00C24CB5" w:rsidP="00C24CB5">
                  <w:pPr>
                    <w:pStyle w:val="TableBody"/>
                  </w:pPr>
                  <w:r w:rsidRPr="006145CA">
                    <w:t xml:space="preserve">DARDO </w:t>
                  </w:r>
                  <w:r w:rsidRPr="006145CA">
                    <w:rPr>
                      <w:i/>
                      <w:vertAlign w:val="subscript"/>
                    </w:rPr>
                    <w:t>q</w:t>
                  </w:r>
                </w:p>
              </w:tc>
              <w:tc>
                <w:tcPr>
                  <w:tcW w:w="528" w:type="pct"/>
                </w:tcPr>
                <w:p w14:paraId="75A5D860" w14:textId="77777777" w:rsidR="00C24CB5" w:rsidRPr="006145CA" w:rsidRDefault="00C24CB5" w:rsidP="00C24CB5">
                  <w:pPr>
                    <w:pStyle w:val="TableBody"/>
                  </w:pPr>
                  <w:r w:rsidRPr="006145CA">
                    <w:t>MW</w:t>
                  </w:r>
                </w:p>
              </w:tc>
              <w:tc>
                <w:tcPr>
                  <w:tcW w:w="3280" w:type="pct"/>
                </w:tcPr>
                <w:p w14:paraId="766AD2E8" w14:textId="77777777" w:rsidR="00C24CB5" w:rsidRPr="006145CA" w:rsidRDefault="00C24CB5" w:rsidP="00C24CB5">
                  <w:pPr>
                    <w:pStyle w:val="TableBody"/>
                    <w:rPr>
                      <w:i/>
                    </w:rPr>
                  </w:pPr>
                  <w:r w:rsidRPr="006145CA">
                    <w:rPr>
                      <w:i/>
                    </w:rPr>
                    <w:t>Day-Ahead Reg-Down Obligation per QSE</w:t>
                  </w:r>
                  <w:r w:rsidRPr="006145CA">
                    <w:t xml:space="preserve">—The Reg-Down capacity obligation for QSE </w:t>
                  </w:r>
                  <w:r w:rsidRPr="006145CA">
                    <w:rPr>
                      <w:i/>
                    </w:rPr>
                    <w:t>q</w:t>
                  </w:r>
                  <w:r w:rsidRPr="006145CA">
                    <w:t xml:space="preserve"> for the DAM for the hour. </w:t>
                  </w:r>
                </w:p>
              </w:tc>
            </w:tr>
            <w:tr w:rsidR="00C24CB5" w:rsidRPr="006145CA" w14:paraId="1E0D628D" w14:textId="77777777" w:rsidTr="00C24CB5">
              <w:tc>
                <w:tcPr>
                  <w:tcW w:w="1192" w:type="pct"/>
                </w:tcPr>
                <w:p w14:paraId="176EFD50" w14:textId="77777777" w:rsidR="00C24CB5" w:rsidRPr="006145CA" w:rsidRDefault="00C24CB5" w:rsidP="00C24CB5">
                  <w:pPr>
                    <w:pStyle w:val="TableBody"/>
                  </w:pPr>
                  <w:r w:rsidRPr="006145CA">
                    <w:t xml:space="preserve">DASARDQ </w:t>
                  </w:r>
                  <w:r w:rsidRPr="006145CA">
                    <w:rPr>
                      <w:i/>
                      <w:vertAlign w:val="subscript"/>
                    </w:rPr>
                    <w:t>q</w:t>
                  </w:r>
                </w:p>
              </w:tc>
              <w:tc>
                <w:tcPr>
                  <w:tcW w:w="528" w:type="pct"/>
                </w:tcPr>
                <w:p w14:paraId="17F8B09E" w14:textId="77777777" w:rsidR="00C24CB5" w:rsidRPr="006145CA" w:rsidRDefault="00C24CB5" w:rsidP="00C24CB5">
                  <w:pPr>
                    <w:pStyle w:val="TableBody"/>
                  </w:pPr>
                  <w:r w:rsidRPr="006145CA">
                    <w:t>MW</w:t>
                  </w:r>
                </w:p>
              </w:tc>
              <w:tc>
                <w:tcPr>
                  <w:tcW w:w="3280" w:type="pct"/>
                </w:tcPr>
                <w:p w14:paraId="3A9C6CF9" w14:textId="77777777" w:rsidR="00C24CB5" w:rsidRPr="006145CA" w:rsidRDefault="00C24CB5" w:rsidP="00C24CB5">
                  <w:pPr>
                    <w:pStyle w:val="TableBody"/>
                    <w:rPr>
                      <w:i/>
                    </w:rPr>
                  </w:pPr>
                  <w:r w:rsidRPr="006145CA">
                    <w:rPr>
                      <w:i/>
                    </w:rPr>
                    <w:t>Day-Ahead Self-Arranged Reg-Down Quantity per QSE</w:t>
                  </w:r>
                  <w:r w:rsidRPr="006145CA">
                    <w:t xml:space="preserve">—The self-arranged Reg-Down quantity submitted by QSE </w:t>
                  </w:r>
                  <w:r w:rsidRPr="006145CA">
                    <w:rPr>
                      <w:i/>
                    </w:rPr>
                    <w:t>q</w:t>
                  </w:r>
                  <w:r w:rsidRPr="006145CA">
                    <w:t xml:space="preserve"> before 1000 in the Day-Ahead.</w:t>
                  </w:r>
                </w:p>
              </w:tc>
            </w:tr>
            <w:tr w:rsidR="00C24CB5" w:rsidRPr="006145CA" w14:paraId="51836D4C" w14:textId="77777777" w:rsidTr="00C24CB5">
              <w:tc>
                <w:tcPr>
                  <w:tcW w:w="1192" w:type="pct"/>
                </w:tcPr>
                <w:p w14:paraId="028A89C0" w14:textId="77777777" w:rsidR="00C24CB5" w:rsidRPr="006145CA" w:rsidRDefault="00C24CB5" w:rsidP="00C24CB5">
                  <w:pPr>
                    <w:pStyle w:val="TableBody"/>
                    <w:rPr>
                      <w:i/>
                    </w:rPr>
                  </w:pPr>
                  <w:r w:rsidRPr="006145CA">
                    <w:rPr>
                      <w:i/>
                    </w:rPr>
                    <w:t>q</w:t>
                  </w:r>
                </w:p>
              </w:tc>
              <w:tc>
                <w:tcPr>
                  <w:tcW w:w="528" w:type="pct"/>
                </w:tcPr>
                <w:p w14:paraId="17D34C04" w14:textId="77777777" w:rsidR="00C24CB5" w:rsidRPr="006145CA" w:rsidRDefault="00C24CB5" w:rsidP="00C24CB5">
                  <w:pPr>
                    <w:pStyle w:val="TableBody"/>
                  </w:pPr>
                  <w:r w:rsidRPr="006145CA">
                    <w:t>none</w:t>
                  </w:r>
                </w:p>
              </w:tc>
              <w:tc>
                <w:tcPr>
                  <w:tcW w:w="3280" w:type="pct"/>
                </w:tcPr>
                <w:p w14:paraId="2017F0F3" w14:textId="77777777" w:rsidR="00C24CB5" w:rsidRPr="006145CA" w:rsidRDefault="00C24CB5" w:rsidP="00C24CB5">
                  <w:pPr>
                    <w:pStyle w:val="TableBody"/>
                  </w:pPr>
                  <w:r w:rsidRPr="006145CA">
                    <w:t>A QSE.</w:t>
                  </w:r>
                </w:p>
              </w:tc>
            </w:tr>
          </w:tbl>
          <w:p w14:paraId="274AC99D" w14:textId="77777777" w:rsidR="00C24CB5" w:rsidRPr="004B32CF" w:rsidRDefault="00C24CB5" w:rsidP="007258B7">
            <w:pPr>
              <w:pStyle w:val="BodyTextNumbered"/>
            </w:pPr>
          </w:p>
        </w:tc>
      </w:tr>
    </w:tbl>
    <w:p w14:paraId="4B4BFA00" w14:textId="02A72B26" w:rsidR="00FF2129" w:rsidRDefault="00482EF3" w:rsidP="00003B06">
      <w:pPr>
        <w:pStyle w:val="H5"/>
        <w:spacing w:before="480"/>
        <w:ind w:left="1627" w:hanging="1627"/>
      </w:pPr>
      <w:bookmarkStart w:id="838" w:name="_Toc135990701"/>
      <w:r>
        <w:lastRenderedPageBreak/>
        <w:t>4.6.4.2.3</w:t>
      </w:r>
      <w:r>
        <w:tab/>
        <w:t>Responsive Reserve Charge</w:t>
      </w:r>
      <w:bookmarkEnd w:id="831"/>
      <w:bookmarkEnd w:id="832"/>
      <w:bookmarkEnd w:id="833"/>
      <w:bookmarkEnd w:id="834"/>
      <w:bookmarkEnd w:id="835"/>
      <w:bookmarkEnd w:id="836"/>
      <w:bookmarkEnd w:id="837"/>
      <w:bookmarkEnd w:id="838"/>
    </w:p>
    <w:p w14:paraId="5B42B02D" w14:textId="77777777" w:rsidR="00056084" w:rsidRPr="00782EFB" w:rsidRDefault="00056084" w:rsidP="00056084">
      <w:pPr>
        <w:spacing w:after="240"/>
        <w:ind w:left="720" w:hanging="720"/>
        <w:rPr>
          <w:iCs/>
        </w:rPr>
      </w:pPr>
      <w:r w:rsidRPr="00782EFB">
        <w:rPr>
          <w:iCs/>
        </w:rPr>
        <w:t>(1)</w:t>
      </w:r>
      <w:r w:rsidRPr="00782EFB">
        <w:rPr>
          <w:iCs/>
        </w:rPr>
        <w:tab/>
        <w:t>Each QSE shall pay to ERCOT or be paid by ERCOT a</w:t>
      </w:r>
      <w:r>
        <w:rPr>
          <w:iCs/>
        </w:rPr>
        <w:t>n</w:t>
      </w:r>
      <w:r w:rsidRPr="00782EFB">
        <w:rPr>
          <w:iCs/>
        </w:rPr>
        <w:t xml:space="preserve"> RRS charge for each hour as follows:</w:t>
      </w:r>
    </w:p>
    <w:p w14:paraId="286D85DE" w14:textId="77777777" w:rsidR="00056084" w:rsidRPr="00782EFB" w:rsidRDefault="00056084" w:rsidP="00056084">
      <w:pPr>
        <w:tabs>
          <w:tab w:val="left" w:pos="2340"/>
          <w:tab w:val="left" w:pos="2700"/>
        </w:tabs>
        <w:spacing w:after="240"/>
        <w:ind w:left="3060" w:hanging="2340"/>
        <w:rPr>
          <w:bCs/>
          <w:lang w:val="x-none" w:eastAsia="x-none"/>
        </w:rPr>
      </w:pPr>
      <w:r w:rsidRPr="00782EFB">
        <w:rPr>
          <w:bCs/>
          <w:lang w:val="x-none" w:eastAsia="x-none"/>
        </w:rPr>
        <w:t>DA</w:t>
      </w:r>
      <w:r w:rsidRPr="00782EFB">
        <w:rPr>
          <w:bCs/>
          <w:lang w:eastAsia="x-none"/>
        </w:rPr>
        <w:t>R</w:t>
      </w:r>
      <w:r w:rsidRPr="00782EFB">
        <w:rPr>
          <w:bCs/>
          <w:lang w:val="x-none" w:eastAsia="x-none"/>
        </w:rPr>
        <w:t xml:space="preserve">RAMT </w:t>
      </w:r>
      <w:r w:rsidRPr="00782EFB">
        <w:rPr>
          <w:bCs/>
          <w:i/>
          <w:vertAlign w:val="subscript"/>
          <w:lang w:val="x-none" w:eastAsia="x-none"/>
        </w:rPr>
        <w:t>q</w:t>
      </w:r>
      <w:r w:rsidRPr="00782EFB">
        <w:rPr>
          <w:bCs/>
          <w:lang w:val="x-none" w:eastAsia="x-none"/>
        </w:rPr>
        <w:tab/>
        <w:t>=</w:t>
      </w:r>
      <w:r w:rsidRPr="00782EFB">
        <w:rPr>
          <w:bCs/>
          <w:lang w:eastAsia="x-none"/>
        </w:rPr>
        <w:tab/>
      </w:r>
      <w:r w:rsidRPr="00782EFB">
        <w:rPr>
          <w:bCs/>
          <w:lang w:val="pt-BR" w:eastAsia="x-none"/>
        </w:rPr>
        <w:t>DARRPR</w:t>
      </w:r>
      <w:r w:rsidRPr="00782EFB">
        <w:rPr>
          <w:bCs/>
          <w:lang w:val="x-none" w:eastAsia="x-none"/>
        </w:rPr>
        <w:t xml:space="preserve"> * DA</w:t>
      </w:r>
      <w:r w:rsidRPr="00782EFB">
        <w:rPr>
          <w:bCs/>
          <w:lang w:eastAsia="x-none"/>
        </w:rPr>
        <w:t>R</w:t>
      </w:r>
      <w:r w:rsidRPr="00782EFB">
        <w:rPr>
          <w:bCs/>
          <w:lang w:val="x-none" w:eastAsia="x-none"/>
        </w:rPr>
        <w:t xml:space="preserve">RQ </w:t>
      </w:r>
      <w:r w:rsidRPr="00782EFB">
        <w:rPr>
          <w:bCs/>
          <w:i/>
          <w:vertAlign w:val="subscript"/>
          <w:lang w:val="x-none" w:eastAsia="x-none"/>
        </w:rPr>
        <w:t>q</w:t>
      </w:r>
    </w:p>
    <w:p w14:paraId="0CB54F1F" w14:textId="77777777" w:rsidR="00056084" w:rsidRPr="00782EFB" w:rsidRDefault="00056084" w:rsidP="00056084">
      <w:pPr>
        <w:spacing w:after="240"/>
        <w:rPr>
          <w:iCs/>
          <w:lang w:val="pt-BR"/>
        </w:rPr>
      </w:pPr>
      <w:r w:rsidRPr="00782EFB">
        <w:rPr>
          <w:iCs/>
          <w:lang w:val="pt-BR"/>
        </w:rPr>
        <w:t>Where:</w:t>
      </w:r>
    </w:p>
    <w:p w14:paraId="22A917F4" w14:textId="77777777" w:rsidR="00056084" w:rsidRPr="00782EFB" w:rsidRDefault="00056084" w:rsidP="00056084">
      <w:pPr>
        <w:tabs>
          <w:tab w:val="left" w:pos="2340"/>
          <w:tab w:val="left" w:pos="2700"/>
        </w:tabs>
        <w:spacing w:after="240"/>
        <w:ind w:left="3060" w:hanging="2340"/>
        <w:rPr>
          <w:bCs/>
          <w:lang w:val="x-none" w:eastAsia="x-none"/>
        </w:rPr>
      </w:pPr>
      <w:r w:rsidRPr="00782EFB">
        <w:rPr>
          <w:bCs/>
          <w:lang w:val="x-none" w:eastAsia="x-none"/>
        </w:rPr>
        <w:t>DA</w:t>
      </w:r>
      <w:r w:rsidRPr="00782EFB">
        <w:rPr>
          <w:bCs/>
          <w:lang w:eastAsia="x-none"/>
        </w:rPr>
        <w:t>R</w:t>
      </w:r>
      <w:r w:rsidRPr="00782EFB">
        <w:rPr>
          <w:bCs/>
          <w:lang w:val="x-none" w:eastAsia="x-none"/>
        </w:rPr>
        <w:t>RPR</w:t>
      </w:r>
      <w:r w:rsidRPr="00782EFB">
        <w:rPr>
          <w:bCs/>
          <w:lang w:val="x-none" w:eastAsia="x-none"/>
        </w:rPr>
        <w:tab/>
        <w:t xml:space="preserve">= </w:t>
      </w:r>
      <w:r w:rsidRPr="00782EFB">
        <w:rPr>
          <w:bCs/>
          <w:lang w:val="x-none" w:eastAsia="x-none"/>
        </w:rPr>
        <w:tab/>
        <w:t>(-1) * PC</w:t>
      </w:r>
      <w:r w:rsidRPr="00782EFB">
        <w:rPr>
          <w:bCs/>
          <w:lang w:eastAsia="x-none"/>
        </w:rPr>
        <w:t>R</w:t>
      </w:r>
      <w:r w:rsidRPr="00782EFB">
        <w:rPr>
          <w:bCs/>
          <w:lang w:val="x-none" w:eastAsia="x-none"/>
        </w:rPr>
        <w:t>RAMTTOT / DA</w:t>
      </w:r>
      <w:r w:rsidRPr="00782EFB">
        <w:rPr>
          <w:bCs/>
          <w:lang w:eastAsia="x-none"/>
        </w:rPr>
        <w:t>R</w:t>
      </w:r>
      <w:r w:rsidRPr="00782EFB">
        <w:rPr>
          <w:bCs/>
          <w:lang w:val="x-none" w:eastAsia="x-none"/>
        </w:rPr>
        <w:t>RQTOT</w:t>
      </w:r>
    </w:p>
    <w:p w14:paraId="4C08AE40" w14:textId="77777777" w:rsidR="00056084" w:rsidRPr="00782EFB" w:rsidRDefault="00056084" w:rsidP="00056084">
      <w:pPr>
        <w:tabs>
          <w:tab w:val="left" w:pos="2340"/>
          <w:tab w:val="left" w:pos="2700"/>
        </w:tabs>
        <w:spacing w:after="240"/>
        <w:ind w:left="3060" w:hanging="2340"/>
        <w:rPr>
          <w:bCs/>
          <w:lang w:val="x-none" w:eastAsia="x-none"/>
        </w:rPr>
      </w:pPr>
      <w:r w:rsidRPr="00782EFB">
        <w:rPr>
          <w:bCs/>
          <w:lang w:val="x-none" w:eastAsia="x-none"/>
        </w:rPr>
        <w:t>PC</w:t>
      </w:r>
      <w:r w:rsidRPr="00782EFB">
        <w:rPr>
          <w:bCs/>
          <w:lang w:eastAsia="x-none"/>
        </w:rPr>
        <w:t>R</w:t>
      </w:r>
      <w:r w:rsidRPr="00782EFB">
        <w:rPr>
          <w:bCs/>
          <w:lang w:val="x-none" w:eastAsia="x-none"/>
        </w:rPr>
        <w:t>RAMTTOT</w:t>
      </w:r>
      <w:r w:rsidRPr="00782EFB">
        <w:rPr>
          <w:bCs/>
          <w:lang w:val="x-none" w:eastAsia="x-none"/>
        </w:rPr>
        <w:tab/>
        <w:t>=</w:t>
      </w:r>
      <w:r w:rsidRPr="00782EFB">
        <w:rPr>
          <w:bCs/>
          <w:lang w:val="x-none" w:eastAsia="x-none"/>
        </w:rPr>
        <w:tab/>
      </w:r>
      <w:r>
        <w:rPr>
          <w:noProof/>
          <w:position w:val="-22"/>
        </w:rPr>
        <w:drawing>
          <wp:inline distT="0" distB="0" distL="0" distR="0" wp14:anchorId="170A6073" wp14:editId="0422D0AE">
            <wp:extent cx="142875" cy="295275"/>
            <wp:effectExtent l="0" t="0" r="9525" b="9525"/>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2875" cy="295275"/>
                    </a:xfrm>
                    <a:prstGeom prst="rect">
                      <a:avLst/>
                    </a:prstGeom>
                    <a:noFill/>
                    <a:ln>
                      <a:noFill/>
                    </a:ln>
                  </pic:spPr>
                </pic:pic>
              </a:graphicData>
            </a:graphic>
          </wp:inline>
        </w:drawing>
      </w:r>
      <w:r w:rsidRPr="00782EFB">
        <w:rPr>
          <w:bCs/>
          <w:lang w:val="x-none" w:eastAsia="x-none"/>
        </w:rPr>
        <w:t>PC</w:t>
      </w:r>
      <w:r w:rsidRPr="00782EFB">
        <w:rPr>
          <w:bCs/>
          <w:lang w:eastAsia="x-none"/>
        </w:rPr>
        <w:t>R</w:t>
      </w:r>
      <w:r w:rsidRPr="00782EFB">
        <w:rPr>
          <w:bCs/>
          <w:lang w:val="x-none" w:eastAsia="x-none"/>
        </w:rPr>
        <w:t xml:space="preserve">RAMT </w:t>
      </w:r>
      <w:r w:rsidRPr="00782EFB">
        <w:rPr>
          <w:bCs/>
          <w:i/>
          <w:vertAlign w:val="subscript"/>
          <w:lang w:val="x-none" w:eastAsia="x-none"/>
        </w:rPr>
        <w:t>q</w:t>
      </w:r>
    </w:p>
    <w:p w14:paraId="0411B973" w14:textId="77777777" w:rsidR="00056084" w:rsidRPr="00782EFB" w:rsidRDefault="00056084" w:rsidP="00056084">
      <w:pPr>
        <w:tabs>
          <w:tab w:val="left" w:pos="2340"/>
          <w:tab w:val="left" w:pos="2700"/>
        </w:tabs>
        <w:spacing w:after="240"/>
        <w:ind w:left="3060" w:hanging="2340"/>
        <w:rPr>
          <w:bCs/>
          <w:lang w:val="pt-BR" w:eastAsia="x-none"/>
        </w:rPr>
      </w:pPr>
      <w:r w:rsidRPr="00782EFB">
        <w:rPr>
          <w:bCs/>
          <w:lang w:val="pt-BR" w:eastAsia="x-none"/>
        </w:rPr>
        <w:t>DARRQTOT</w:t>
      </w:r>
      <w:r w:rsidRPr="00782EFB">
        <w:rPr>
          <w:bCs/>
          <w:lang w:val="pt-BR" w:eastAsia="x-none"/>
        </w:rPr>
        <w:tab/>
        <w:t>=</w:t>
      </w:r>
      <w:r w:rsidRPr="00782EFB">
        <w:rPr>
          <w:bCs/>
          <w:lang w:val="pt-BR" w:eastAsia="x-none"/>
        </w:rPr>
        <w:tab/>
      </w:r>
      <w:r>
        <w:rPr>
          <w:noProof/>
          <w:position w:val="-22"/>
        </w:rPr>
        <w:drawing>
          <wp:inline distT="0" distB="0" distL="0" distR="0" wp14:anchorId="46AC5FD4" wp14:editId="5DE51FD5">
            <wp:extent cx="142875" cy="2952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2875" cy="295275"/>
                    </a:xfrm>
                    <a:prstGeom prst="rect">
                      <a:avLst/>
                    </a:prstGeom>
                    <a:noFill/>
                    <a:ln>
                      <a:noFill/>
                    </a:ln>
                  </pic:spPr>
                </pic:pic>
              </a:graphicData>
            </a:graphic>
          </wp:inline>
        </w:drawing>
      </w:r>
      <w:r w:rsidRPr="00782EFB">
        <w:rPr>
          <w:bCs/>
          <w:lang w:val="pt-BR" w:eastAsia="x-none"/>
        </w:rPr>
        <w:t xml:space="preserve">DARRQ </w:t>
      </w:r>
      <w:r w:rsidRPr="00782EFB">
        <w:rPr>
          <w:bCs/>
          <w:i/>
          <w:vertAlign w:val="subscript"/>
          <w:lang w:val="pt-BR" w:eastAsia="x-none"/>
        </w:rPr>
        <w:t>q</w:t>
      </w:r>
    </w:p>
    <w:p w14:paraId="37042F58" w14:textId="77777777" w:rsidR="00056084" w:rsidRPr="00782EFB" w:rsidRDefault="00056084" w:rsidP="00056084">
      <w:pPr>
        <w:tabs>
          <w:tab w:val="left" w:pos="2340"/>
          <w:tab w:val="left" w:pos="2700"/>
        </w:tabs>
        <w:spacing w:after="240"/>
        <w:ind w:left="3060" w:hanging="2340"/>
        <w:rPr>
          <w:bCs/>
          <w:lang w:val="x-none" w:eastAsia="x-none"/>
        </w:rPr>
      </w:pPr>
      <w:r w:rsidRPr="00782EFB">
        <w:rPr>
          <w:bCs/>
          <w:lang w:val="x-none" w:eastAsia="x-none"/>
        </w:rPr>
        <w:t>DA</w:t>
      </w:r>
      <w:r w:rsidRPr="00782EFB">
        <w:rPr>
          <w:bCs/>
          <w:lang w:eastAsia="x-none"/>
        </w:rPr>
        <w:t>R</w:t>
      </w:r>
      <w:r w:rsidRPr="00782EFB">
        <w:rPr>
          <w:bCs/>
          <w:lang w:val="x-none" w:eastAsia="x-none"/>
        </w:rPr>
        <w:t xml:space="preserve">RQ </w:t>
      </w:r>
      <w:r w:rsidRPr="00782EFB">
        <w:rPr>
          <w:bCs/>
          <w:i/>
          <w:vertAlign w:val="subscript"/>
          <w:lang w:val="x-none" w:eastAsia="x-none"/>
        </w:rPr>
        <w:t>q</w:t>
      </w:r>
      <w:r w:rsidRPr="00782EFB">
        <w:rPr>
          <w:bCs/>
          <w:lang w:val="x-none" w:eastAsia="x-none"/>
        </w:rPr>
        <w:tab/>
        <w:t>=</w:t>
      </w:r>
      <w:r w:rsidRPr="00782EFB">
        <w:rPr>
          <w:bCs/>
          <w:lang w:val="x-none" w:eastAsia="x-none"/>
        </w:rPr>
        <w:tab/>
        <w:t>DA</w:t>
      </w:r>
      <w:r w:rsidRPr="00782EFB">
        <w:rPr>
          <w:bCs/>
          <w:lang w:eastAsia="x-none"/>
        </w:rPr>
        <w:t>R</w:t>
      </w:r>
      <w:r w:rsidRPr="00782EFB">
        <w:rPr>
          <w:bCs/>
          <w:lang w:val="x-none" w:eastAsia="x-none"/>
        </w:rPr>
        <w:t xml:space="preserve">RO </w:t>
      </w:r>
      <w:r w:rsidRPr="00782EFB">
        <w:rPr>
          <w:bCs/>
          <w:i/>
          <w:vertAlign w:val="subscript"/>
          <w:lang w:val="x-none" w:eastAsia="x-none"/>
        </w:rPr>
        <w:t>q</w:t>
      </w:r>
      <w:r w:rsidRPr="00782EFB">
        <w:rPr>
          <w:bCs/>
          <w:lang w:val="x-none" w:eastAsia="x-none"/>
        </w:rPr>
        <w:t xml:space="preserve"> – DASA</w:t>
      </w:r>
      <w:r w:rsidRPr="00782EFB">
        <w:rPr>
          <w:bCs/>
          <w:lang w:eastAsia="x-none"/>
        </w:rPr>
        <w:t>R</w:t>
      </w:r>
      <w:r w:rsidRPr="00782EFB">
        <w:rPr>
          <w:bCs/>
          <w:lang w:val="x-none" w:eastAsia="x-none"/>
        </w:rPr>
        <w:t xml:space="preserve">RQ </w:t>
      </w:r>
      <w:r w:rsidRPr="00782EFB">
        <w:rPr>
          <w:bCs/>
          <w:i/>
          <w:vertAlign w:val="subscript"/>
          <w:lang w:val="x-none" w:eastAsia="x-none"/>
        </w:rPr>
        <w:t>q</w:t>
      </w:r>
    </w:p>
    <w:p w14:paraId="36991025" w14:textId="77777777" w:rsidR="00056084" w:rsidRPr="00782EFB" w:rsidRDefault="00056084" w:rsidP="00056084">
      <w:r w:rsidRPr="00782EFB">
        <w:t xml:space="preserve">The above variables are defined as follows: </w:t>
      </w:r>
    </w:p>
    <w:tbl>
      <w:tblPr>
        <w:tblW w:w="4922" w:type="pc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06"/>
        <w:gridCol w:w="957"/>
        <w:gridCol w:w="6141"/>
      </w:tblGrid>
      <w:tr w:rsidR="00056084" w:rsidRPr="00782EFB" w14:paraId="571DEF68" w14:textId="77777777" w:rsidTr="00F539C2">
        <w:trPr>
          <w:tblHeader/>
        </w:trPr>
        <w:tc>
          <w:tcPr>
            <w:tcW w:w="1144" w:type="pct"/>
          </w:tcPr>
          <w:p w14:paraId="290D38BB" w14:textId="77777777" w:rsidR="00056084" w:rsidRPr="00782EFB" w:rsidRDefault="00056084" w:rsidP="00EE28DA">
            <w:pPr>
              <w:spacing w:after="120"/>
              <w:rPr>
                <w:b/>
                <w:iCs/>
                <w:sz w:val="20"/>
                <w:szCs w:val="20"/>
              </w:rPr>
            </w:pPr>
            <w:r w:rsidRPr="00782EFB">
              <w:rPr>
                <w:b/>
                <w:iCs/>
                <w:sz w:val="20"/>
                <w:szCs w:val="20"/>
              </w:rPr>
              <w:t>Variable</w:t>
            </w:r>
          </w:p>
        </w:tc>
        <w:tc>
          <w:tcPr>
            <w:tcW w:w="520" w:type="pct"/>
          </w:tcPr>
          <w:p w14:paraId="7B4616E0" w14:textId="77777777" w:rsidR="00056084" w:rsidRPr="00782EFB" w:rsidRDefault="00056084" w:rsidP="00EE28DA">
            <w:pPr>
              <w:spacing w:after="120"/>
              <w:rPr>
                <w:b/>
                <w:iCs/>
                <w:sz w:val="20"/>
                <w:szCs w:val="20"/>
              </w:rPr>
            </w:pPr>
            <w:r w:rsidRPr="00782EFB">
              <w:rPr>
                <w:b/>
                <w:iCs/>
                <w:sz w:val="20"/>
                <w:szCs w:val="20"/>
              </w:rPr>
              <w:t>Unit</w:t>
            </w:r>
          </w:p>
        </w:tc>
        <w:tc>
          <w:tcPr>
            <w:tcW w:w="3336" w:type="pct"/>
          </w:tcPr>
          <w:p w14:paraId="4AE89160" w14:textId="77777777" w:rsidR="00056084" w:rsidRPr="00782EFB" w:rsidRDefault="00056084" w:rsidP="00EE28DA">
            <w:pPr>
              <w:spacing w:after="120"/>
              <w:rPr>
                <w:b/>
                <w:iCs/>
                <w:sz w:val="20"/>
                <w:szCs w:val="20"/>
              </w:rPr>
            </w:pPr>
            <w:r w:rsidRPr="00782EFB">
              <w:rPr>
                <w:b/>
                <w:iCs/>
                <w:sz w:val="20"/>
                <w:szCs w:val="20"/>
              </w:rPr>
              <w:t>Definition</w:t>
            </w:r>
          </w:p>
        </w:tc>
      </w:tr>
      <w:tr w:rsidR="00056084" w:rsidRPr="00782EFB" w14:paraId="7AE8AE24" w14:textId="77777777" w:rsidTr="00F539C2">
        <w:tc>
          <w:tcPr>
            <w:tcW w:w="1144" w:type="pct"/>
          </w:tcPr>
          <w:p w14:paraId="32765953" w14:textId="77777777" w:rsidR="00056084" w:rsidRPr="00782EFB" w:rsidRDefault="00056084" w:rsidP="00EE28DA">
            <w:pPr>
              <w:spacing w:after="60"/>
              <w:rPr>
                <w:iCs/>
                <w:sz w:val="20"/>
                <w:szCs w:val="20"/>
              </w:rPr>
            </w:pPr>
            <w:r w:rsidRPr="00782EFB">
              <w:rPr>
                <w:iCs/>
                <w:sz w:val="20"/>
                <w:szCs w:val="20"/>
              </w:rPr>
              <w:t xml:space="preserve">DARRAMT </w:t>
            </w:r>
            <w:r w:rsidRPr="00782EFB">
              <w:rPr>
                <w:i/>
                <w:iCs/>
                <w:sz w:val="20"/>
                <w:szCs w:val="20"/>
                <w:vertAlign w:val="subscript"/>
              </w:rPr>
              <w:t>q</w:t>
            </w:r>
          </w:p>
        </w:tc>
        <w:tc>
          <w:tcPr>
            <w:tcW w:w="520" w:type="pct"/>
          </w:tcPr>
          <w:p w14:paraId="014D9841" w14:textId="77777777" w:rsidR="00056084" w:rsidRPr="00782EFB" w:rsidRDefault="00056084" w:rsidP="00EE28DA">
            <w:pPr>
              <w:spacing w:after="60"/>
              <w:rPr>
                <w:iCs/>
                <w:sz w:val="20"/>
                <w:szCs w:val="20"/>
              </w:rPr>
            </w:pPr>
            <w:r w:rsidRPr="00782EFB">
              <w:rPr>
                <w:iCs/>
                <w:sz w:val="20"/>
                <w:szCs w:val="20"/>
              </w:rPr>
              <w:t>$</w:t>
            </w:r>
          </w:p>
        </w:tc>
        <w:tc>
          <w:tcPr>
            <w:tcW w:w="3336" w:type="pct"/>
          </w:tcPr>
          <w:p w14:paraId="18D69396" w14:textId="77777777" w:rsidR="00056084" w:rsidRPr="00782EFB" w:rsidRDefault="00056084" w:rsidP="00EE28DA">
            <w:pPr>
              <w:spacing w:after="60"/>
              <w:rPr>
                <w:iCs/>
                <w:sz w:val="20"/>
                <w:szCs w:val="20"/>
              </w:rPr>
            </w:pPr>
            <w:r w:rsidRPr="00782EFB">
              <w:rPr>
                <w:i/>
                <w:iCs/>
                <w:sz w:val="20"/>
                <w:szCs w:val="20"/>
              </w:rPr>
              <w:t>Day-Ahead Responsive Reserve Amount per QSE</w:t>
            </w:r>
            <w:r w:rsidRPr="00782EFB">
              <w:rPr>
                <w:iCs/>
                <w:sz w:val="20"/>
                <w:szCs w:val="20"/>
              </w:rPr>
              <w:t xml:space="preserve">—QSE </w:t>
            </w:r>
            <w:r w:rsidRPr="00782EFB">
              <w:rPr>
                <w:i/>
                <w:iCs/>
                <w:sz w:val="20"/>
                <w:szCs w:val="20"/>
              </w:rPr>
              <w:t>q</w:t>
            </w:r>
            <w:r w:rsidRPr="00782EFB">
              <w:rPr>
                <w:iCs/>
                <w:sz w:val="20"/>
                <w:szCs w:val="20"/>
              </w:rPr>
              <w:t>’s share of the DAM cost for RRS, for the hour.</w:t>
            </w:r>
          </w:p>
        </w:tc>
      </w:tr>
      <w:tr w:rsidR="00056084" w:rsidRPr="00782EFB" w14:paraId="0BA5AD39" w14:textId="77777777" w:rsidTr="00F539C2">
        <w:tc>
          <w:tcPr>
            <w:tcW w:w="1144" w:type="pct"/>
          </w:tcPr>
          <w:p w14:paraId="4B6D9FD0" w14:textId="77777777" w:rsidR="00056084" w:rsidRPr="00782EFB" w:rsidRDefault="00056084" w:rsidP="00EE28DA">
            <w:pPr>
              <w:spacing w:after="60"/>
              <w:rPr>
                <w:iCs/>
                <w:sz w:val="20"/>
                <w:szCs w:val="20"/>
              </w:rPr>
            </w:pPr>
            <w:r w:rsidRPr="00782EFB">
              <w:rPr>
                <w:iCs/>
                <w:sz w:val="20"/>
                <w:szCs w:val="20"/>
              </w:rPr>
              <w:t>DARRPR</w:t>
            </w:r>
          </w:p>
        </w:tc>
        <w:tc>
          <w:tcPr>
            <w:tcW w:w="520" w:type="pct"/>
          </w:tcPr>
          <w:p w14:paraId="4798D30B" w14:textId="77777777" w:rsidR="00056084" w:rsidRPr="00782EFB" w:rsidRDefault="00056084" w:rsidP="00EE28DA">
            <w:pPr>
              <w:spacing w:after="60"/>
              <w:rPr>
                <w:iCs/>
                <w:sz w:val="20"/>
                <w:szCs w:val="20"/>
              </w:rPr>
            </w:pPr>
            <w:r w:rsidRPr="00782EFB">
              <w:rPr>
                <w:iCs/>
                <w:sz w:val="20"/>
                <w:szCs w:val="20"/>
              </w:rPr>
              <w:t>$/MW per hour</w:t>
            </w:r>
          </w:p>
        </w:tc>
        <w:tc>
          <w:tcPr>
            <w:tcW w:w="3336" w:type="pct"/>
          </w:tcPr>
          <w:p w14:paraId="4CE516BA" w14:textId="77777777" w:rsidR="00056084" w:rsidRPr="00782EFB" w:rsidRDefault="00056084" w:rsidP="00EE28DA">
            <w:pPr>
              <w:spacing w:after="60"/>
              <w:rPr>
                <w:iCs/>
                <w:sz w:val="20"/>
                <w:szCs w:val="20"/>
              </w:rPr>
            </w:pPr>
            <w:r w:rsidRPr="00782EFB">
              <w:rPr>
                <w:i/>
                <w:iCs/>
                <w:sz w:val="20"/>
                <w:szCs w:val="20"/>
              </w:rPr>
              <w:t>Day-Ahead Responsive Reserve Price</w:t>
            </w:r>
            <w:r w:rsidRPr="00782EFB">
              <w:rPr>
                <w:iCs/>
                <w:sz w:val="20"/>
                <w:szCs w:val="20"/>
              </w:rPr>
              <w:t>—The Day-Ahead RRS price for the hour.</w:t>
            </w:r>
          </w:p>
        </w:tc>
      </w:tr>
      <w:tr w:rsidR="00056084" w:rsidRPr="00782EFB" w14:paraId="439AC01C" w14:textId="77777777" w:rsidTr="00F539C2">
        <w:tc>
          <w:tcPr>
            <w:tcW w:w="1144" w:type="pct"/>
          </w:tcPr>
          <w:p w14:paraId="6DF31A67" w14:textId="77777777" w:rsidR="00056084" w:rsidRPr="00782EFB" w:rsidRDefault="00056084" w:rsidP="00EE28DA">
            <w:pPr>
              <w:spacing w:after="60"/>
              <w:rPr>
                <w:iCs/>
                <w:sz w:val="20"/>
                <w:szCs w:val="20"/>
              </w:rPr>
            </w:pPr>
            <w:r w:rsidRPr="00782EFB">
              <w:rPr>
                <w:iCs/>
                <w:sz w:val="20"/>
                <w:szCs w:val="20"/>
              </w:rPr>
              <w:t xml:space="preserve">DARRQ </w:t>
            </w:r>
            <w:r w:rsidRPr="00782EFB">
              <w:rPr>
                <w:i/>
                <w:iCs/>
                <w:sz w:val="20"/>
                <w:szCs w:val="20"/>
                <w:vertAlign w:val="subscript"/>
              </w:rPr>
              <w:t>q</w:t>
            </w:r>
          </w:p>
        </w:tc>
        <w:tc>
          <w:tcPr>
            <w:tcW w:w="520" w:type="pct"/>
          </w:tcPr>
          <w:p w14:paraId="2248D230" w14:textId="77777777" w:rsidR="00056084" w:rsidRPr="00782EFB" w:rsidRDefault="00056084" w:rsidP="00EE28DA">
            <w:pPr>
              <w:spacing w:after="60"/>
              <w:rPr>
                <w:iCs/>
                <w:sz w:val="20"/>
                <w:szCs w:val="20"/>
              </w:rPr>
            </w:pPr>
            <w:r w:rsidRPr="00782EFB">
              <w:rPr>
                <w:iCs/>
                <w:sz w:val="20"/>
                <w:szCs w:val="20"/>
              </w:rPr>
              <w:t>MW</w:t>
            </w:r>
          </w:p>
        </w:tc>
        <w:tc>
          <w:tcPr>
            <w:tcW w:w="3336" w:type="pct"/>
          </w:tcPr>
          <w:p w14:paraId="5EB43D26" w14:textId="77777777" w:rsidR="00056084" w:rsidRPr="00782EFB" w:rsidRDefault="00056084" w:rsidP="00EE28DA">
            <w:pPr>
              <w:spacing w:after="60"/>
              <w:rPr>
                <w:i/>
                <w:iCs/>
                <w:sz w:val="20"/>
                <w:szCs w:val="20"/>
              </w:rPr>
            </w:pPr>
            <w:r w:rsidRPr="00782EFB">
              <w:rPr>
                <w:i/>
                <w:iCs/>
                <w:sz w:val="20"/>
                <w:szCs w:val="20"/>
              </w:rPr>
              <w:t>Day-Ahead Responsive Reserve Quantity per QSE</w:t>
            </w:r>
            <w:r w:rsidRPr="00782EFB">
              <w:rPr>
                <w:iCs/>
                <w:sz w:val="20"/>
                <w:szCs w:val="20"/>
              </w:rPr>
              <w:t xml:space="preserve">—The QSE </w:t>
            </w:r>
            <w:r w:rsidRPr="00782EFB">
              <w:rPr>
                <w:i/>
                <w:iCs/>
                <w:sz w:val="20"/>
                <w:szCs w:val="20"/>
              </w:rPr>
              <w:t>q</w:t>
            </w:r>
            <w:r w:rsidRPr="00782EFB">
              <w:rPr>
                <w:iCs/>
                <w:sz w:val="20"/>
                <w:szCs w:val="20"/>
              </w:rPr>
              <w:t>’s Day-Ahead Ancillary Service Obligation minus its self-arranged RRS quantity for the hour.</w:t>
            </w:r>
          </w:p>
        </w:tc>
      </w:tr>
      <w:tr w:rsidR="00056084" w:rsidRPr="00782EFB" w14:paraId="6590E3DC" w14:textId="77777777" w:rsidTr="00F539C2">
        <w:tc>
          <w:tcPr>
            <w:tcW w:w="1144" w:type="pct"/>
          </w:tcPr>
          <w:p w14:paraId="22C8BBD4" w14:textId="77777777" w:rsidR="00056084" w:rsidRPr="00782EFB" w:rsidRDefault="00056084" w:rsidP="00EE28DA">
            <w:pPr>
              <w:spacing w:after="60"/>
              <w:rPr>
                <w:iCs/>
                <w:sz w:val="20"/>
                <w:szCs w:val="20"/>
              </w:rPr>
            </w:pPr>
            <w:r w:rsidRPr="00782EFB">
              <w:rPr>
                <w:iCs/>
                <w:sz w:val="20"/>
                <w:szCs w:val="20"/>
              </w:rPr>
              <w:lastRenderedPageBreak/>
              <w:t xml:space="preserve">PCRRAMTTOT </w:t>
            </w:r>
          </w:p>
        </w:tc>
        <w:tc>
          <w:tcPr>
            <w:tcW w:w="520" w:type="pct"/>
          </w:tcPr>
          <w:p w14:paraId="09DA7CB3" w14:textId="77777777" w:rsidR="00056084" w:rsidRPr="00782EFB" w:rsidRDefault="00056084" w:rsidP="00EE28DA">
            <w:pPr>
              <w:spacing w:after="60"/>
              <w:rPr>
                <w:iCs/>
                <w:sz w:val="20"/>
                <w:szCs w:val="20"/>
              </w:rPr>
            </w:pPr>
            <w:r w:rsidRPr="00782EFB">
              <w:rPr>
                <w:iCs/>
                <w:sz w:val="20"/>
                <w:szCs w:val="20"/>
              </w:rPr>
              <w:t>$</w:t>
            </w:r>
          </w:p>
        </w:tc>
        <w:tc>
          <w:tcPr>
            <w:tcW w:w="3336" w:type="pct"/>
          </w:tcPr>
          <w:p w14:paraId="1DEE99D9" w14:textId="77777777" w:rsidR="00056084" w:rsidRPr="00782EFB" w:rsidRDefault="00056084" w:rsidP="00EE28DA">
            <w:pPr>
              <w:spacing w:after="60"/>
              <w:rPr>
                <w:i/>
                <w:iCs/>
                <w:sz w:val="20"/>
                <w:szCs w:val="20"/>
              </w:rPr>
            </w:pPr>
            <w:r w:rsidRPr="00782EFB">
              <w:rPr>
                <w:i/>
                <w:iCs/>
                <w:sz w:val="20"/>
                <w:szCs w:val="20"/>
              </w:rPr>
              <w:t>Procured Capacity for Responsive Reserve Amount Total in DAM</w:t>
            </w:r>
            <w:r w:rsidRPr="00782EFB">
              <w:rPr>
                <w:iCs/>
                <w:sz w:val="20"/>
                <w:szCs w:val="20"/>
              </w:rPr>
              <w:t>—The total of the DAM RRS payments for all QSEs for the hour.</w:t>
            </w:r>
          </w:p>
        </w:tc>
      </w:tr>
      <w:tr w:rsidR="00056084" w:rsidRPr="00782EFB" w14:paraId="52A40644" w14:textId="77777777" w:rsidTr="00F539C2">
        <w:tc>
          <w:tcPr>
            <w:tcW w:w="1144" w:type="pct"/>
          </w:tcPr>
          <w:p w14:paraId="02825A73" w14:textId="77777777" w:rsidR="00056084" w:rsidRPr="00782EFB" w:rsidRDefault="00056084" w:rsidP="00EE28DA">
            <w:pPr>
              <w:spacing w:after="60"/>
              <w:rPr>
                <w:iCs/>
                <w:sz w:val="20"/>
                <w:szCs w:val="20"/>
              </w:rPr>
            </w:pPr>
            <w:r w:rsidRPr="00782EFB">
              <w:rPr>
                <w:iCs/>
                <w:sz w:val="20"/>
                <w:szCs w:val="20"/>
              </w:rPr>
              <w:t>PCRRAMT</w:t>
            </w:r>
            <w:r w:rsidRPr="00782EFB">
              <w:rPr>
                <w:i/>
                <w:iCs/>
                <w:sz w:val="20"/>
                <w:szCs w:val="20"/>
              </w:rPr>
              <w:t xml:space="preserve"> </w:t>
            </w:r>
            <w:r w:rsidRPr="00782EFB">
              <w:rPr>
                <w:i/>
                <w:iCs/>
                <w:sz w:val="20"/>
                <w:szCs w:val="20"/>
                <w:vertAlign w:val="subscript"/>
              </w:rPr>
              <w:t>q</w:t>
            </w:r>
          </w:p>
        </w:tc>
        <w:tc>
          <w:tcPr>
            <w:tcW w:w="520" w:type="pct"/>
          </w:tcPr>
          <w:p w14:paraId="5DD493FD" w14:textId="77777777" w:rsidR="00056084" w:rsidRPr="00782EFB" w:rsidRDefault="00056084" w:rsidP="00EE28DA">
            <w:pPr>
              <w:spacing w:after="60"/>
              <w:rPr>
                <w:iCs/>
                <w:sz w:val="20"/>
                <w:szCs w:val="20"/>
              </w:rPr>
            </w:pPr>
            <w:r w:rsidRPr="00782EFB">
              <w:rPr>
                <w:iCs/>
                <w:sz w:val="20"/>
                <w:szCs w:val="20"/>
              </w:rPr>
              <w:t>$</w:t>
            </w:r>
          </w:p>
        </w:tc>
        <w:tc>
          <w:tcPr>
            <w:tcW w:w="3336" w:type="pct"/>
          </w:tcPr>
          <w:p w14:paraId="3F3E432E" w14:textId="77777777" w:rsidR="00056084" w:rsidRPr="00782EFB" w:rsidRDefault="00056084" w:rsidP="00EE28DA">
            <w:pPr>
              <w:spacing w:after="60"/>
              <w:rPr>
                <w:i/>
                <w:iCs/>
                <w:sz w:val="20"/>
                <w:szCs w:val="20"/>
              </w:rPr>
            </w:pPr>
            <w:r w:rsidRPr="00782EFB">
              <w:rPr>
                <w:i/>
                <w:iCs/>
                <w:sz w:val="20"/>
                <w:szCs w:val="20"/>
              </w:rPr>
              <w:t>Procured Capacity for Responsive Reserve Amount per QSE for DAM</w:t>
            </w:r>
            <w:r w:rsidRPr="00782EFB">
              <w:rPr>
                <w:iCs/>
                <w:sz w:val="20"/>
                <w:szCs w:val="20"/>
              </w:rPr>
              <w:t xml:space="preserve">—The DAM RRS payment for QSE </w:t>
            </w:r>
            <w:r w:rsidRPr="00782EFB">
              <w:rPr>
                <w:i/>
                <w:iCs/>
                <w:sz w:val="20"/>
                <w:szCs w:val="20"/>
              </w:rPr>
              <w:t>q</w:t>
            </w:r>
            <w:r w:rsidRPr="00782EFB">
              <w:rPr>
                <w:iCs/>
                <w:sz w:val="20"/>
                <w:szCs w:val="20"/>
              </w:rPr>
              <w:t xml:space="preserve"> for the hour.</w:t>
            </w:r>
          </w:p>
        </w:tc>
      </w:tr>
      <w:tr w:rsidR="00056084" w:rsidRPr="00782EFB" w14:paraId="04ECE269" w14:textId="77777777" w:rsidTr="00F539C2">
        <w:tc>
          <w:tcPr>
            <w:tcW w:w="1144" w:type="pct"/>
          </w:tcPr>
          <w:p w14:paraId="79912E46" w14:textId="77777777" w:rsidR="00056084" w:rsidRPr="00782EFB" w:rsidRDefault="00056084" w:rsidP="00EE28DA">
            <w:pPr>
              <w:spacing w:after="60"/>
              <w:rPr>
                <w:iCs/>
                <w:sz w:val="20"/>
                <w:szCs w:val="20"/>
              </w:rPr>
            </w:pPr>
            <w:r w:rsidRPr="00782EFB">
              <w:rPr>
                <w:iCs/>
                <w:sz w:val="20"/>
                <w:szCs w:val="20"/>
              </w:rPr>
              <w:t>DARRQTOT</w:t>
            </w:r>
          </w:p>
        </w:tc>
        <w:tc>
          <w:tcPr>
            <w:tcW w:w="520" w:type="pct"/>
          </w:tcPr>
          <w:p w14:paraId="51A92FE3" w14:textId="77777777" w:rsidR="00056084" w:rsidRPr="00782EFB" w:rsidRDefault="00056084" w:rsidP="00EE28DA">
            <w:pPr>
              <w:spacing w:after="60"/>
              <w:rPr>
                <w:iCs/>
                <w:sz w:val="20"/>
                <w:szCs w:val="20"/>
              </w:rPr>
            </w:pPr>
            <w:r w:rsidRPr="00782EFB">
              <w:rPr>
                <w:iCs/>
                <w:sz w:val="20"/>
                <w:szCs w:val="20"/>
              </w:rPr>
              <w:t>MW</w:t>
            </w:r>
          </w:p>
        </w:tc>
        <w:tc>
          <w:tcPr>
            <w:tcW w:w="3336" w:type="pct"/>
          </w:tcPr>
          <w:p w14:paraId="629EE610" w14:textId="77777777" w:rsidR="00056084" w:rsidRPr="00782EFB" w:rsidRDefault="00056084" w:rsidP="00EE28DA">
            <w:pPr>
              <w:spacing w:after="60"/>
              <w:rPr>
                <w:i/>
                <w:iCs/>
                <w:sz w:val="20"/>
                <w:szCs w:val="20"/>
              </w:rPr>
            </w:pPr>
            <w:r w:rsidRPr="00782EFB">
              <w:rPr>
                <w:i/>
                <w:iCs/>
                <w:sz w:val="20"/>
                <w:szCs w:val="20"/>
              </w:rPr>
              <w:t>Day-Ahead Responsive Reserve Quantity Total</w:t>
            </w:r>
            <w:r w:rsidRPr="00782EFB">
              <w:rPr>
                <w:iCs/>
                <w:sz w:val="20"/>
                <w:szCs w:val="20"/>
              </w:rPr>
              <w:t>—The sum of every QSE’s Day-Ahead Ancillary Service Obligation minus its self-arranged RRS quantity for the hour.</w:t>
            </w:r>
          </w:p>
        </w:tc>
      </w:tr>
      <w:tr w:rsidR="00056084" w:rsidRPr="00782EFB" w14:paraId="48CF6E40" w14:textId="77777777" w:rsidTr="00F539C2">
        <w:tc>
          <w:tcPr>
            <w:tcW w:w="1144" w:type="pct"/>
          </w:tcPr>
          <w:p w14:paraId="0EB68D85" w14:textId="77777777" w:rsidR="00056084" w:rsidRPr="00782EFB" w:rsidRDefault="00056084" w:rsidP="00EE28DA">
            <w:pPr>
              <w:spacing w:after="60"/>
              <w:rPr>
                <w:iCs/>
                <w:sz w:val="20"/>
                <w:szCs w:val="20"/>
              </w:rPr>
            </w:pPr>
            <w:r w:rsidRPr="00782EFB">
              <w:rPr>
                <w:iCs/>
                <w:sz w:val="20"/>
                <w:szCs w:val="20"/>
              </w:rPr>
              <w:t xml:space="preserve">DARRO </w:t>
            </w:r>
            <w:r w:rsidRPr="00782EFB">
              <w:rPr>
                <w:i/>
                <w:iCs/>
                <w:sz w:val="20"/>
                <w:szCs w:val="20"/>
                <w:vertAlign w:val="subscript"/>
              </w:rPr>
              <w:t>q</w:t>
            </w:r>
          </w:p>
        </w:tc>
        <w:tc>
          <w:tcPr>
            <w:tcW w:w="520" w:type="pct"/>
          </w:tcPr>
          <w:p w14:paraId="0C5FE3B6" w14:textId="77777777" w:rsidR="00056084" w:rsidRPr="00782EFB" w:rsidRDefault="00056084" w:rsidP="00EE28DA">
            <w:pPr>
              <w:spacing w:after="60"/>
              <w:rPr>
                <w:iCs/>
                <w:sz w:val="20"/>
                <w:szCs w:val="20"/>
              </w:rPr>
            </w:pPr>
            <w:r w:rsidRPr="00782EFB">
              <w:rPr>
                <w:iCs/>
                <w:sz w:val="20"/>
                <w:szCs w:val="20"/>
              </w:rPr>
              <w:t>MW</w:t>
            </w:r>
          </w:p>
        </w:tc>
        <w:tc>
          <w:tcPr>
            <w:tcW w:w="3336" w:type="pct"/>
          </w:tcPr>
          <w:p w14:paraId="55AF8007" w14:textId="77777777" w:rsidR="00056084" w:rsidRPr="00782EFB" w:rsidRDefault="00056084" w:rsidP="00EE28DA">
            <w:pPr>
              <w:spacing w:after="60"/>
              <w:rPr>
                <w:i/>
                <w:iCs/>
                <w:sz w:val="20"/>
                <w:szCs w:val="20"/>
              </w:rPr>
            </w:pPr>
            <w:r w:rsidRPr="00782EFB">
              <w:rPr>
                <w:i/>
                <w:iCs/>
                <w:sz w:val="20"/>
                <w:szCs w:val="20"/>
              </w:rPr>
              <w:t>Day-Ahead Responsive Reserve Obligation per QSE</w:t>
            </w:r>
            <w:r w:rsidRPr="00782EFB">
              <w:rPr>
                <w:iCs/>
                <w:sz w:val="20"/>
                <w:szCs w:val="20"/>
              </w:rPr>
              <w:t xml:space="preserve">—The RRS capacity obligation for QSE </w:t>
            </w:r>
            <w:r w:rsidRPr="00782EFB">
              <w:rPr>
                <w:i/>
                <w:iCs/>
                <w:sz w:val="20"/>
                <w:szCs w:val="20"/>
              </w:rPr>
              <w:t>q</w:t>
            </w:r>
            <w:r w:rsidRPr="00782EFB">
              <w:rPr>
                <w:iCs/>
                <w:sz w:val="20"/>
                <w:szCs w:val="20"/>
              </w:rPr>
              <w:t xml:space="preserve"> for the DAM for the hour. </w:t>
            </w:r>
          </w:p>
        </w:tc>
      </w:tr>
      <w:tr w:rsidR="00056084" w:rsidRPr="00782EFB" w14:paraId="6910A873" w14:textId="77777777" w:rsidTr="00F539C2">
        <w:tc>
          <w:tcPr>
            <w:tcW w:w="1144" w:type="pct"/>
          </w:tcPr>
          <w:p w14:paraId="58C561B1" w14:textId="77777777" w:rsidR="00056084" w:rsidRPr="00782EFB" w:rsidRDefault="00056084" w:rsidP="00EE28DA">
            <w:pPr>
              <w:spacing w:after="60"/>
              <w:rPr>
                <w:iCs/>
                <w:sz w:val="20"/>
                <w:szCs w:val="20"/>
              </w:rPr>
            </w:pPr>
            <w:r w:rsidRPr="00782EFB">
              <w:rPr>
                <w:iCs/>
                <w:sz w:val="20"/>
                <w:szCs w:val="20"/>
              </w:rPr>
              <w:t xml:space="preserve">DASARRQ </w:t>
            </w:r>
            <w:r w:rsidRPr="00782EFB">
              <w:rPr>
                <w:i/>
                <w:iCs/>
                <w:sz w:val="20"/>
                <w:szCs w:val="20"/>
                <w:vertAlign w:val="subscript"/>
              </w:rPr>
              <w:t>q</w:t>
            </w:r>
          </w:p>
        </w:tc>
        <w:tc>
          <w:tcPr>
            <w:tcW w:w="520" w:type="pct"/>
          </w:tcPr>
          <w:p w14:paraId="2741B857" w14:textId="77777777" w:rsidR="00056084" w:rsidRPr="00782EFB" w:rsidRDefault="00056084" w:rsidP="00EE28DA">
            <w:pPr>
              <w:spacing w:after="60"/>
              <w:rPr>
                <w:iCs/>
                <w:sz w:val="20"/>
                <w:szCs w:val="20"/>
              </w:rPr>
            </w:pPr>
            <w:r w:rsidRPr="00782EFB">
              <w:rPr>
                <w:iCs/>
                <w:sz w:val="20"/>
                <w:szCs w:val="20"/>
              </w:rPr>
              <w:t>MW</w:t>
            </w:r>
          </w:p>
        </w:tc>
        <w:tc>
          <w:tcPr>
            <w:tcW w:w="3336" w:type="pct"/>
          </w:tcPr>
          <w:p w14:paraId="1F49B0CF" w14:textId="77777777" w:rsidR="00056084" w:rsidRPr="00782EFB" w:rsidRDefault="00056084" w:rsidP="00EE28DA">
            <w:pPr>
              <w:spacing w:after="60"/>
              <w:rPr>
                <w:i/>
                <w:iCs/>
                <w:sz w:val="20"/>
                <w:szCs w:val="20"/>
              </w:rPr>
            </w:pPr>
            <w:r w:rsidRPr="00782EFB">
              <w:rPr>
                <w:i/>
                <w:iCs/>
                <w:sz w:val="20"/>
                <w:szCs w:val="20"/>
              </w:rPr>
              <w:t>Day-Ahead Self-Arranged Responsive Reserve Quantity per QSE</w:t>
            </w:r>
            <w:r w:rsidRPr="00782EFB">
              <w:rPr>
                <w:iCs/>
                <w:sz w:val="20"/>
                <w:szCs w:val="20"/>
              </w:rPr>
              <w:t xml:space="preserve">—The self-arranged RRS quantity submitted by QSE </w:t>
            </w:r>
            <w:r w:rsidRPr="00782EFB">
              <w:rPr>
                <w:i/>
                <w:iCs/>
                <w:sz w:val="20"/>
                <w:szCs w:val="20"/>
              </w:rPr>
              <w:t>q</w:t>
            </w:r>
            <w:r w:rsidRPr="00782EFB">
              <w:rPr>
                <w:iCs/>
                <w:sz w:val="20"/>
                <w:szCs w:val="20"/>
              </w:rPr>
              <w:t xml:space="preserve"> before 1000 in the Day-Ahead.</w:t>
            </w:r>
          </w:p>
        </w:tc>
      </w:tr>
      <w:tr w:rsidR="00056084" w:rsidRPr="00782EFB" w14:paraId="2B0918D5" w14:textId="77777777" w:rsidTr="00F539C2">
        <w:tc>
          <w:tcPr>
            <w:tcW w:w="1144" w:type="pct"/>
          </w:tcPr>
          <w:p w14:paraId="3F1B26E8" w14:textId="77777777" w:rsidR="00056084" w:rsidRPr="00782EFB" w:rsidRDefault="00056084" w:rsidP="00EE28DA">
            <w:pPr>
              <w:spacing w:after="60"/>
              <w:rPr>
                <w:i/>
                <w:iCs/>
                <w:sz w:val="20"/>
                <w:szCs w:val="20"/>
              </w:rPr>
            </w:pPr>
            <w:r w:rsidRPr="00782EFB">
              <w:rPr>
                <w:i/>
                <w:iCs/>
                <w:sz w:val="20"/>
                <w:szCs w:val="20"/>
              </w:rPr>
              <w:t>q</w:t>
            </w:r>
          </w:p>
        </w:tc>
        <w:tc>
          <w:tcPr>
            <w:tcW w:w="520" w:type="pct"/>
          </w:tcPr>
          <w:p w14:paraId="0FB0780A" w14:textId="77777777" w:rsidR="00056084" w:rsidRPr="00782EFB" w:rsidRDefault="00056084" w:rsidP="00EE28DA">
            <w:pPr>
              <w:spacing w:after="60"/>
              <w:rPr>
                <w:iCs/>
                <w:sz w:val="20"/>
                <w:szCs w:val="20"/>
              </w:rPr>
            </w:pPr>
            <w:r w:rsidRPr="00782EFB">
              <w:rPr>
                <w:iCs/>
                <w:sz w:val="20"/>
                <w:szCs w:val="20"/>
              </w:rPr>
              <w:t>none</w:t>
            </w:r>
          </w:p>
        </w:tc>
        <w:tc>
          <w:tcPr>
            <w:tcW w:w="3336" w:type="pct"/>
          </w:tcPr>
          <w:p w14:paraId="7FF9BE5E" w14:textId="77777777" w:rsidR="00056084" w:rsidRPr="00782EFB" w:rsidRDefault="00056084" w:rsidP="00EE28DA">
            <w:pPr>
              <w:spacing w:after="60"/>
              <w:rPr>
                <w:iCs/>
                <w:sz w:val="20"/>
                <w:szCs w:val="20"/>
              </w:rPr>
            </w:pPr>
            <w:r w:rsidRPr="00782EFB">
              <w:rPr>
                <w:iCs/>
                <w:sz w:val="20"/>
                <w:szCs w:val="20"/>
              </w:rPr>
              <w:t>A QSE.</w:t>
            </w:r>
          </w:p>
        </w:tc>
      </w:tr>
    </w:tbl>
    <w:p w14:paraId="131D6EAB" w14:textId="77777777" w:rsidR="00C24CB5" w:rsidRDefault="00C24CB5"/>
    <w:tbl>
      <w:tblPr>
        <w:tblW w:w="5000"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4CB5" w:rsidRPr="004B32CF" w14:paraId="7E08217B" w14:textId="77777777" w:rsidTr="00C24CB5">
        <w:trPr>
          <w:trHeight w:val="386"/>
        </w:trPr>
        <w:tc>
          <w:tcPr>
            <w:tcW w:w="5000" w:type="pct"/>
            <w:shd w:val="pct12" w:color="auto" w:fill="auto"/>
          </w:tcPr>
          <w:p w14:paraId="6CE4B1AF" w14:textId="77777777" w:rsidR="00C24CB5" w:rsidRPr="004B32CF" w:rsidRDefault="00C24CB5" w:rsidP="007258B7">
            <w:pPr>
              <w:spacing w:before="120" w:after="240"/>
              <w:rPr>
                <w:b/>
                <w:i/>
                <w:iCs/>
              </w:rPr>
            </w:pPr>
            <w:bookmarkStart w:id="839" w:name="_Toc109185145"/>
            <w:bookmarkStart w:id="840" w:name="_Toc142108975"/>
            <w:bookmarkStart w:id="841" w:name="_Toc142113820"/>
            <w:bookmarkStart w:id="842" w:name="_Toc402345648"/>
            <w:bookmarkStart w:id="843" w:name="_Toc405383931"/>
            <w:bookmarkStart w:id="844" w:name="_Toc405537034"/>
            <w:bookmarkStart w:id="845" w:name="_Toc440871820"/>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77A28861" w14:textId="77777777" w:rsidR="00C24CB5" w:rsidRPr="006145CA" w:rsidRDefault="00C24CB5" w:rsidP="00C24CB5">
            <w:pPr>
              <w:spacing w:after="240"/>
              <w:ind w:left="720" w:hanging="720"/>
              <w:rPr>
                <w:iCs/>
              </w:rPr>
            </w:pPr>
            <w:r w:rsidRPr="006145CA">
              <w:rPr>
                <w:iCs/>
              </w:rPr>
              <w:t>(1)</w:t>
            </w:r>
            <w:r w:rsidRPr="006145CA">
              <w:rPr>
                <w:iCs/>
              </w:rPr>
              <w:tab/>
              <w:t>Each QSE shall pay to ERCOT or be paid by ERCOT an RRS charge for each hour as follows:</w:t>
            </w:r>
          </w:p>
          <w:p w14:paraId="3156F9AF" w14:textId="77777777" w:rsidR="00C24CB5" w:rsidRPr="006145CA" w:rsidRDefault="00C24CB5" w:rsidP="00C24CB5">
            <w:pPr>
              <w:tabs>
                <w:tab w:val="left" w:pos="2340"/>
                <w:tab w:val="left" w:pos="2700"/>
              </w:tabs>
              <w:spacing w:after="240"/>
              <w:ind w:left="3060" w:hanging="2340"/>
              <w:rPr>
                <w:bCs/>
              </w:rPr>
            </w:pPr>
            <w:r w:rsidRPr="006145CA">
              <w:rPr>
                <w:bCs/>
              </w:rPr>
              <w:t xml:space="preserve">DARRAMT </w:t>
            </w:r>
            <w:r w:rsidRPr="006145CA">
              <w:rPr>
                <w:bCs/>
                <w:i/>
                <w:vertAlign w:val="subscript"/>
              </w:rPr>
              <w:t>q</w:t>
            </w:r>
            <w:r w:rsidRPr="006145CA">
              <w:rPr>
                <w:bCs/>
              </w:rPr>
              <w:tab/>
              <w:t>=</w:t>
            </w:r>
            <w:r w:rsidRPr="006145CA">
              <w:rPr>
                <w:bCs/>
              </w:rPr>
              <w:tab/>
            </w:r>
            <w:r w:rsidRPr="006145CA">
              <w:rPr>
                <w:bCs/>
                <w:lang w:val="pt-BR"/>
              </w:rPr>
              <w:t>DARRPR</w:t>
            </w:r>
            <w:r w:rsidRPr="006145CA">
              <w:rPr>
                <w:bCs/>
              </w:rPr>
              <w:t xml:space="preserve"> * DARRQ </w:t>
            </w:r>
            <w:r w:rsidRPr="006145CA">
              <w:rPr>
                <w:bCs/>
                <w:i/>
                <w:vertAlign w:val="subscript"/>
              </w:rPr>
              <w:t>q</w:t>
            </w:r>
          </w:p>
          <w:p w14:paraId="70B57F92" w14:textId="77777777" w:rsidR="00C24CB5" w:rsidRPr="006145CA" w:rsidRDefault="00C24CB5" w:rsidP="00C24CB5">
            <w:pPr>
              <w:spacing w:after="240"/>
              <w:rPr>
                <w:iCs/>
                <w:lang w:val="pt-BR"/>
              </w:rPr>
            </w:pPr>
            <w:r w:rsidRPr="006145CA">
              <w:rPr>
                <w:iCs/>
                <w:lang w:val="pt-BR"/>
              </w:rPr>
              <w:t>Where:</w:t>
            </w:r>
          </w:p>
          <w:p w14:paraId="7DEBEB70" w14:textId="77777777" w:rsidR="00C24CB5" w:rsidRPr="006145CA" w:rsidRDefault="00C24CB5" w:rsidP="00C24CB5">
            <w:pPr>
              <w:tabs>
                <w:tab w:val="left" w:pos="2340"/>
                <w:tab w:val="left" w:pos="2700"/>
              </w:tabs>
              <w:spacing w:after="240"/>
              <w:ind w:left="3060" w:hanging="2340"/>
              <w:rPr>
                <w:bCs/>
              </w:rPr>
            </w:pPr>
            <w:r w:rsidRPr="006145CA">
              <w:rPr>
                <w:bCs/>
              </w:rPr>
              <w:t>DARRPR</w:t>
            </w:r>
            <w:r w:rsidRPr="006145CA">
              <w:rPr>
                <w:bCs/>
              </w:rPr>
              <w:tab/>
              <w:t xml:space="preserve">= </w:t>
            </w:r>
            <w:r w:rsidRPr="006145CA">
              <w:rPr>
                <w:bCs/>
              </w:rPr>
              <w:tab/>
              <w:t>(-1) * DAPCRRAMTTOT / DARRQTOT</w:t>
            </w:r>
          </w:p>
          <w:p w14:paraId="5EB41B00" w14:textId="77777777" w:rsidR="00C24CB5" w:rsidRPr="006145CA" w:rsidRDefault="00C24CB5" w:rsidP="00C24CB5">
            <w:pPr>
              <w:tabs>
                <w:tab w:val="left" w:pos="2340"/>
                <w:tab w:val="left" w:pos="2700"/>
              </w:tabs>
              <w:spacing w:after="240"/>
              <w:ind w:left="3060" w:hanging="2340"/>
              <w:rPr>
                <w:bCs/>
              </w:rPr>
            </w:pPr>
            <w:r w:rsidRPr="006145CA">
              <w:fldChar w:fldCharType="begin"/>
            </w:r>
            <w:r w:rsidRPr="006145CA">
              <w:fldChar w:fldCharType="end"/>
            </w:r>
            <w:r>
              <w:rPr>
                <w:bCs/>
              </w:rPr>
              <w:t>DA</w:t>
            </w:r>
            <w:r w:rsidRPr="006145CA">
              <w:rPr>
                <w:bCs/>
              </w:rPr>
              <w:t>PCRRAMTTOT</w:t>
            </w:r>
            <w:r w:rsidRPr="006145CA">
              <w:rPr>
                <w:bCs/>
              </w:rPr>
              <w:tab/>
              <w:t>=</w:t>
            </w:r>
            <w:r w:rsidRPr="006145CA">
              <w:rPr>
                <w:bCs/>
              </w:rPr>
              <w:tab/>
            </w:r>
            <w:r w:rsidRPr="00C92160">
              <w:rPr>
                <w:noProof/>
                <w:position w:val="-22"/>
              </w:rPr>
              <w:drawing>
                <wp:inline distT="0" distB="0" distL="0" distR="0" wp14:anchorId="13CE2CE6" wp14:editId="679D2BC0">
                  <wp:extent cx="142875" cy="294005"/>
                  <wp:effectExtent l="0" t="0" r="9525"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2875" cy="294005"/>
                          </a:xfrm>
                          <a:prstGeom prst="rect">
                            <a:avLst/>
                          </a:prstGeom>
                          <a:noFill/>
                          <a:ln>
                            <a:noFill/>
                          </a:ln>
                        </pic:spPr>
                      </pic:pic>
                    </a:graphicData>
                  </a:graphic>
                </wp:inline>
              </w:drawing>
            </w:r>
            <w:r>
              <w:rPr>
                <w:bCs/>
              </w:rPr>
              <w:t>(</w:t>
            </w:r>
            <w:r w:rsidRPr="006145CA">
              <w:rPr>
                <w:bCs/>
              </w:rPr>
              <w:t xml:space="preserve">PCRRAMT </w:t>
            </w:r>
            <w:r w:rsidRPr="006145CA">
              <w:rPr>
                <w:bCs/>
                <w:i/>
                <w:vertAlign w:val="subscript"/>
              </w:rPr>
              <w:t>q</w:t>
            </w:r>
            <w:r w:rsidRPr="006145CA">
              <w:t xml:space="preserve"> + DAPCRROAMT </w:t>
            </w:r>
            <w:r w:rsidRPr="006145CA">
              <w:rPr>
                <w:i/>
                <w:vertAlign w:val="subscript"/>
              </w:rPr>
              <w:t>q</w:t>
            </w:r>
            <w:r w:rsidRPr="006145CA">
              <w:t>)</w:t>
            </w:r>
          </w:p>
          <w:p w14:paraId="3E7CBDD2" w14:textId="77777777" w:rsidR="00C24CB5" w:rsidRPr="006145CA" w:rsidRDefault="00C24CB5" w:rsidP="00C24CB5">
            <w:pPr>
              <w:tabs>
                <w:tab w:val="left" w:pos="2340"/>
                <w:tab w:val="left" w:pos="2700"/>
              </w:tabs>
              <w:spacing w:after="240"/>
              <w:ind w:left="3060" w:hanging="2340"/>
              <w:rPr>
                <w:bCs/>
                <w:lang w:val="pt-BR"/>
              </w:rPr>
            </w:pPr>
            <w:r w:rsidRPr="006145CA">
              <w:rPr>
                <w:bCs/>
                <w:lang w:val="pt-BR"/>
              </w:rPr>
              <w:t>DARRQTOT</w:t>
            </w:r>
            <w:r w:rsidRPr="006145CA">
              <w:rPr>
                <w:bCs/>
                <w:lang w:val="pt-BR"/>
              </w:rPr>
              <w:tab/>
              <w:t>=</w:t>
            </w:r>
            <w:r w:rsidRPr="006145CA">
              <w:rPr>
                <w:bCs/>
                <w:lang w:val="pt-BR"/>
              </w:rPr>
              <w:tab/>
            </w:r>
            <w:r w:rsidRPr="00C92160">
              <w:rPr>
                <w:noProof/>
                <w:position w:val="-22"/>
              </w:rPr>
              <w:drawing>
                <wp:inline distT="0" distB="0" distL="0" distR="0" wp14:anchorId="13A4476F" wp14:editId="20552945">
                  <wp:extent cx="142875" cy="294005"/>
                  <wp:effectExtent l="0" t="0" r="9525" b="0"/>
                  <wp:docPr id="5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2875" cy="294005"/>
                          </a:xfrm>
                          <a:prstGeom prst="rect">
                            <a:avLst/>
                          </a:prstGeom>
                          <a:noFill/>
                          <a:ln>
                            <a:noFill/>
                          </a:ln>
                        </pic:spPr>
                      </pic:pic>
                    </a:graphicData>
                  </a:graphic>
                </wp:inline>
              </w:drawing>
            </w:r>
            <w:r w:rsidRPr="006145CA">
              <w:rPr>
                <w:bCs/>
                <w:lang w:val="pt-BR"/>
              </w:rPr>
              <w:t xml:space="preserve">DARRQ </w:t>
            </w:r>
            <w:r w:rsidRPr="006145CA">
              <w:rPr>
                <w:bCs/>
                <w:i/>
                <w:vertAlign w:val="subscript"/>
                <w:lang w:val="pt-BR"/>
              </w:rPr>
              <w:t>q</w:t>
            </w:r>
          </w:p>
          <w:p w14:paraId="528AED91" w14:textId="77777777" w:rsidR="00C24CB5" w:rsidRPr="006145CA" w:rsidRDefault="00C24CB5" w:rsidP="00C24CB5">
            <w:pPr>
              <w:tabs>
                <w:tab w:val="left" w:pos="2340"/>
                <w:tab w:val="left" w:pos="2700"/>
              </w:tabs>
              <w:spacing w:after="240"/>
              <w:ind w:left="3060" w:hanging="2340"/>
              <w:rPr>
                <w:bCs/>
              </w:rPr>
            </w:pPr>
            <w:r w:rsidRPr="006145CA">
              <w:rPr>
                <w:bCs/>
              </w:rPr>
              <w:t xml:space="preserve">DARRQ </w:t>
            </w:r>
            <w:r w:rsidRPr="006145CA">
              <w:rPr>
                <w:bCs/>
                <w:i/>
                <w:vertAlign w:val="subscript"/>
              </w:rPr>
              <w:t>q</w:t>
            </w:r>
            <w:r w:rsidRPr="006145CA">
              <w:rPr>
                <w:bCs/>
              </w:rPr>
              <w:tab/>
              <w:t>=</w:t>
            </w:r>
            <w:r w:rsidRPr="006145CA">
              <w:rPr>
                <w:bCs/>
              </w:rPr>
              <w:tab/>
              <w:t xml:space="preserve">DARRO </w:t>
            </w:r>
            <w:r w:rsidRPr="006145CA">
              <w:rPr>
                <w:bCs/>
                <w:i/>
                <w:vertAlign w:val="subscript"/>
              </w:rPr>
              <w:t>q</w:t>
            </w:r>
            <w:r w:rsidRPr="006145CA">
              <w:rPr>
                <w:bCs/>
              </w:rPr>
              <w:t xml:space="preserve"> – DASARRQ </w:t>
            </w:r>
            <w:r w:rsidRPr="006145CA">
              <w:rPr>
                <w:bCs/>
                <w:i/>
                <w:vertAlign w:val="subscript"/>
              </w:rPr>
              <w:t>q</w:t>
            </w:r>
          </w:p>
          <w:p w14:paraId="36C8AA12" w14:textId="77777777" w:rsidR="00C24CB5" w:rsidRPr="006145CA" w:rsidRDefault="00C24CB5" w:rsidP="00C24CB5">
            <w:r w:rsidRPr="006145CA">
              <w:t xml:space="preserve">The above variables are defined as follows: </w:t>
            </w:r>
          </w:p>
          <w:tbl>
            <w:tblPr>
              <w:tblW w:w="497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73"/>
              <w:gridCol w:w="942"/>
              <w:gridCol w:w="6044"/>
            </w:tblGrid>
            <w:tr w:rsidR="00C24CB5" w:rsidRPr="006145CA" w14:paraId="3993607E" w14:textId="77777777" w:rsidTr="007258B7">
              <w:trPr>
                <w:tblHeader/>
              </w:trPr>
              <w:tc>
                <w:tcPr>
                  <w:tcW w:w="1144" w:type="pct"/>
                </w:tcPr>
                <w:p w14:paraId="4B313893" w14:textId="77777777" w:rsidR="00C24CB5" w:rsidRPr="006145CA" w:rsidRDefault="00C24CB5" w:rsidP="00C24CB5">
                  <w:pPr>
                    <w:spacing w:after="120"/>
                    <w:rPr>
                      <w:b/>
                      <w:iCs/>
                      <w:sz w:val="20"/>
                      <w:szCs w:val="20"/>
                    </w:rPr>
                  </w:pPr>
                  <w:r w:rsidRPr="006145CA">
                    <w:rPr>
                      <w:b/>
                      <w:iCs/>
                      <w:sz w:val="20"/>
                      <w:szCs w:val="20"/>
                    </w:rPr>
                    <w:t>Variable</w:t>
                  </w:r>
                </w:p>
              </w:tc>
              <w:tc>
                <w:tcPr>
                  <w:tcW w:w="520" w:type="pct"/>
                </w:tcPr>
                <w:p w14:paraId="3A54368B" w14:textId="77777777" w:rsidR="00C24CB5" w:rsidRPr="006145CA" w:rsidRDefault="00C24CB5" w:rsidP="00C24CB5">
                  <w:pPr>
                    <w:spacing w:after="120"/>
                    <w:rPr>
                      <w:b/>
                      <w:iCs/>
                      <w:sz w:val="20"/>
                      <w:szCs w:val="20"/>
                    </w:rPr>
                  </w:pPr>
                  <w:r w:rsidRPr="006145CA">
                    <w:rPr>
                      <w:b/>
                      <w:iCs/>
                      <w:sz w:val="20"/>
                      <w:szCs w:val="20"/>
                    </w:rPr>
                    <w:t>Unit</w:t>
                  </w:r>
                </w:p>
              </w:tc>
              <w:tc>
                <w:tcPr>
                  <w:tcW w:w="3336" w:type="pct"/>
                </w:tcPr>
                <w:p w14:paraId="4BBD55DA" w14:textId="77777777" w:rsidR="00C24CB5" w:rsidRPr="006145CA" w:rsidRDefault="00C24CB5" w:rsidP="00C24CB5">
                  <w:pPr>
                    <w:spacing w:after="120"/>
                    <w:rPr>
                      <w:b/>
                      <w:iCs/>
                      <w:sz w:val="20"/>
                      <w:szCs w:val="20"/>
                    </w:rPr>
                  </w:pPr>
                  <w:r w:rsidRPr="006145CA">
                    <w:rPr>
                      <w:b/>
                      <w:iCs/>
                      <w:sz w:val="20"/>
                      <w:szCs w:val="20"/>
                    </w:rPr>
                    <w:t>Definition</w:t>
                  </w:r>
                </w:p>
              </w:tc>
            </w:tr>
            <w:tr w:rsidR="00C24CB5" w:rsidRPr="006145CA" w14:paraId="22D9F9BE" w14:textId="77777777" w:rsidTr="007258B7">
              <w:tc>
                <w:tcPr>
                  <w:tcW w:w="1144" w:type="pct"/>
                </w:tcPr>
                <w:p w14:paraId="65E98282" w14:textId="77777777" w:rsidR="00C24CB5" w:rsidRPr="006145CA" w:rsidRDefault="00C24CB5" w:rsidP="00C24CB5">
                  <w:pPr>
                    <w:spacing w:after="60"/>
                    <w:rPr>
                      <w:iCs/>
                      <w:sz w:val="20"/>
                      <w:szCs w:val="20"/>
                    </w:rPr>
                  </w:pPr>
                  <w:r w:rsidRPr="006145CA">
                    <w:rPr>
                      <w:iCs/>
                      <w:sz w:val="20"/>
                      <w:szCs w:val="20"/>
                    </w:rPr>
                    <w:t xml:space="preserve">DARRAMT </w:t>
                  </w:r>
                  <w:r w:rsidRPr="006145CA">
                    <w:rPr>
                      <w:i/>
                      <w:iCs/>
                      <w:sz w:val="20"/>
                      <w:szCs w:val="20"/>
                      <w:vertAlign w:val="subscript"/>
                    </w:rPr>
                    <w:t>q</w:t>
                  </w:r>
                </w:p>
              </w:tc>
              <w:tc>
                <w:tcPr>
                  <w:tcW w:w="520" w:type="pct"/>
                </w:tcPr>
                <w:p w14:paraId="4A40B308" w14:textId="77777777" w:rsidR="00C24CB5" w:rsidRPr="006145CA" w:rsidRDefault="00C24CB5" w:rsidP="00C24CB5">
                  <w:pPr>
                    <w:spacing w:after="60"/>
                    <w:rPr>
                      <w:iCs/>
                      <w:sz w:val="20"/>
                      <w:szCs w:val="20"/>
                    </w:rPr>
                  </w:pPr>
                  <w:r w:rsidRPr="006145CA">
                    <w:rPr>
                      <w:iCs/>
                      <w:sz w:val="20"/>
                      <w:szCs w:val="20"/>
                    </w:rPr>
                    <w:t>$</w:t>
                  </w:r>
                </w:p>
              </w:tc>
              <w:tc>
                <w:tcPr>
                  <w:tcW w:w="3336" w:type="pct"/>
                </w:tcPr>
                <w:p w14:paraId="2F2112C6" w14:textId="77777777" w:rsidR="00C24CB5" w:rsidRPr="006145CA" w:rsidRDefault="00C24CB5" w:rsidP="00C24CB5">
                  <w:pPr>
                    <w:spacing w:after="60"/>
                    <w:rPr>
                      <w:iCs/>
                      <w:sz w:val="20"/>
                      <w:szCs w:val="20"/>
                    </w:rPr>
                  </w:pPr>
                  <w:r w:rsidRPr="006145CA">
                    <w:rPr>
                      <w:i/>
                      <w:iCs/>
                      <w:sz w:val="20"/>
                      <w:szCs w:val="20"/>
                    </w:rPr>
                    <w:t>Day-Ahead Responsive Reserve Amount per QSE</w:t>
                  </w:r>
                  <w:r w:rsidRPr="006145CA">
                    <w:rPr>
                      <w:iCs/>
                      <w:sz w:val="20"/>
                      <w:szCs w:val="20"/>
                    </w:rPr>
                    <w:t xml:space="preserve">—QSE </w:t>
                  </w:r>
                  <w:r w:rsidRPr="006145CA">
                    <w:rPr>
                      <w:i/>
                      <w:iCs/>
                      <w:sz w:val="20"/>
                      <w:szCs w:val="20"/>
                    </w:rPr>
                    <w:t>q</w:t>
                  </w:r>
                  <w:r w:rsidRPr="006145CA">
                    <w:rPr>
                      <w:iCs/>
                      <w:sz w:val="20"/>
                      <w:szCs w:val="20"/>
                    </w:rPr>
                    <w:t>’s share of the DAM cost for RRS, for the hour.</w:t>
                  </w:r>
                </w:p>
              </w:tc>
            </w:tr>
            <w:tr w:rsidR="00C24CB5" w:rsidRPr="006145CA" w14:paraId="071C1B0D" w14:textId="77777777" w:rsidTr="007258B7">
              <w:tc>
                <w:tcPr>
                  <w:tcW w:w="1144" w:type="pct"/>
                </w:tcPr>
                <w:p w14:paraId="1F4EB043" w14:textId="77777777" w:rsidR="00C24CB5" w:rsidRPr="006145CA" w:rsidRDefault="00C24CB5" w:rsidP="00C24CB5">
                  <w:pPr>
                    <w:spacing w:after="60"/>
                    <w:rPr>
                      <w:iCs/>
                      <w:sz w:val="20"/>
                      <w:szCs w:val="20"/>
                    </w:rPr>
                  </w:pPr>
                  <w:r w:rsidRPr="006145CA">
                    <w:rPr>
                      <w:iCs/>
                      <w:sz w:val="20"/>
                      <w:szCs w:val="20"/>
                    </w:rPr>
                    <w:t>DARRPR</w:t>
                  </w:r>
                </w:p>
              </w:tc>
              <w:tc>
                <w:tcPr>
                  <w:tcW w:w="520" w:type="pct"/>
                </w:tcPr>
                <w:p w14:paraId="28CCC3B2" w14:textId="77777777" w:rsidR="00C24CB5" w:rsidRPr="006145CA" w:rsidRDefault="00C24CB5" w:rsidP="00C24CB5">
                  <w:pPr>
                    <w:spacing w:after="60"/>
                    <w:rPr>
                      <w:iCs/>
                      <w:sz w:val="20"/>
                      <w:szCs w:val="20"/>
                    </w:rPr>
                  </w:pPr>
                  <w:r w:rsidRPr="006145CA">
                    <w:rPr>
                      <w:iCs/>
                      <w:sz w:val="20"/>
                      <w:szCs w:val="20"/>
                    </w:rPr>
                    <w:t xml:space="preserve">$/MW </w:t>
                  </w:r>
                </w:p>
              </w:tc>
              <w:tc>
                <w:tcPr>
                  <w:tcW w:w="3336" w:type="pct"/>
                </w:tcPr>
                <w:p w14:paraId="527C56D5" w14:textId="77777777" w:rsidR="00C24CB5" w:rsidRPr="006145CA" w:rsidRDefault="00C24CB5" w:rsidP="00C24CB5">
                  <w:pPr>
                    <w:spacing w:after="60"/>
                    <w:rPr>
                      <w:iCs/>
                      <w:sz w:val="20"/>
                      <w:szCs w:val="20"/>
                    </w:rPr>
                  </w:pPr>
                  <w:r w:rsidRPr="006145CA">
                    <w:rPr>
                      <w:i/>
                      <w:iCs/>
                      <w:sz w:val="20"/>
                      <w:szCs w:val="20"/>
                    </w:rPr>
                    <w:t>Day-Ahead Responsive Reserve Price</w:t>
                  </w:r>
                  <w:r w:rsidRPr="006145CA">
                    <w:rPr>
                      <w:iCs/>
                      <w:sz w:val="20"/>
                      <w:szCs w:val="20"/>
                    </w:rPr>
                    <w:t>—The Day-Ahead RRS price for the hour.</w:t>
                  </w:r>
                </w:p>
              </w:tc>
            </w:tr>
            <w:tr w:rsidR="00C24CB5" w:rsidRPr="006145CA" w14:paraId="3249FEC2" w14:textId="77777777" w:rsidTr="007258B7">
              <w:tc>
                <w:tcPr>
                  <w:tcW w:w="1144" w:type="pct"/>
                </w:tcPr>
                <w:p w14:paraId="5C4663E3" w14:textId="77777777" w:rsidR="00C24CB5" w:rsidRPr="006145CA" w:rsidRDefault="00C24CB5" w:rsidP="00C24CB5">
                  <w:pPr>
                    <w:spacing w:after="60"/>
                    <w:rPr>
                      <w:iCs/>
                      <w:sz w:val="20"/>
                      <w:szCs w:val="20"/>
                    </w:rPr>
                  </w:pPr>
                  <w:r w:rsidRPr="006145CA">
                    <w:rPr>
                      <w:iCs/>
                      <w:sz w:val="20"/>
                      <w:szCs w:val="20"/>
                    </w:rPr>
                    <w:t xml:space="preserve">DARRQ </w:t>
                  </w:r>
                  <w:r w:rsidRPr="006145CA">
                    <w:rPr>
                      <w:i/>
                      <w:iCs/>
                      <w:sz w:val="20"/>
                      <w:szCs w:val="20"/>
                      <w:vertAlign w:val="subscript"/>
                    </w:rPr>
                    <w:t>q</w:t>
                  </w:r>
                </w:p>
              </w:tc>
              <w:tc>
                <w:tcPr>
                  <w:tcW w:w="520" w:type="pct"/>
                </w:tcPr>
                <w:p w14:paraId="1372F514" w14:textId="77777777" w:rsidR="00C24CB5" w:rsidRPr="006145CA" w:rsidRDefault="00C24CB5" w:rsidP="00C24CB5">
                  <w:pPr>
                    <w:spacing w:after="60"/>
                    <w:rPr>
                      <w:iCs/>
                      <w:sz w:val="20"/>
                      <w:szCs w:val="20"/>
                    </w:rPr>
                  </w:pPr>
                  <w:r w:rsidRPr="006145CA">
                    <w:rPr>
                      <w:iCs/>
                      <w:sz w:val="20"/>
                      <w:szCs w:val="20"/>
                    </w:rPr>
                    <w:t>MW</w:t>
                  </w:r>
                </w:p>
              </w:tc>
              <w:tc>
                <w:tcPr>
                  <w:tcW w:w="3336" w:type="pct"/>
                </w:tcPr>
                <w:p w14:paraId="3C30AC2D" w14:textId="77777777" w:rsidR="00C24CB5" w:rsidRPr="006145CA" w:rsidRDefault="00C24CB5" w:rsidP="00C24CB5">
                  <w:pPr>
                    <w:spacing w:after="60"/>
                    <w:rPr>
                      <w:i/>
                      <w:iCs/>
                      <w:sz w:val="20"/>
                      <w:szCs w:val="20"/>
                    </w:rPr>
                  </w:pPr>
                  <w:r w:rsidRPr="006145CA">
                    <w:rPr>
                      <w:i/>
                      <w:iCs/>
                      <w:sz w:val="20"/>
                      <w:szCs w:val="20"/>
                    </w:rPr>
                    <w:t>Day-Ahead Responsive Reserve Quantity per QSE</w:t>
                  </w:r>
                  <w:r w:rsidRPr="006145CA">
                    <w:rPr>
                      <w:iCs/>
                      <w:sz w:val="20"/>
                      <w:szCs w:val="20"/>
                    </w:rPr>
                    <w:t xml:space="preserve">—The QSE </w:t>
                  </w:r>
                  <w:r w:rsidRPr="006145CA">
                    <w:rPr>
                      <w:i/>
                      <w:iCs/>
                      <w:sz w:val="20"/>
                      <w:szCs w:val="20"/>
                    </w:rPr>
                    <w:t>q</w:t>
                  </w:r>
                  <w:r w:rsidRPr="006145CA">
                    <w:rPr>
                      <w:iCs/>
                      <w:sz w:val="20"/>
                      <w:szCs w:val="20"/>
                    </w:rPr>
                    <w:t>’s Day-Ahead Ancillary Service Obligation minus its self-arranged RRS quantity for the hour.</w:t>
                  </w:r>
                </w:p>
              </w:tc>
            </w:tr>
            <w:tr w:rsidR="00C24CB5" w:rsidRPr="006145CA" w14:paraId="333D7E5B" w14:textId="77777777" w:rsidTr="007258B7">
              <w:tc>
                <w:tcPr>
                  <w:tcW w:w="1144" w:type="pct"/>
                </w:tcPr>
                <w:p w14:paraId="5BBF2C18" w14:textId="77777777" w:rsidR="00C24CB5" w:rsidRPr="006145CA" w:rsidRDefault="00C24CB5" w:rsidP="00C24CB5">
                  <w:pPr>
                    <w:spacing w:after="60"/>
                    <w:rPr>
                      <w:iCs/>
                      <w:sz w:val="20"/>
                      <w:szCs w:val="20"/>
                    </w:rPr>
                  </w:pPr>
                  <w:r w:rsidRPr="006145CA">
                    <w:rPr>
                      <w:iCs/>
                      <w:sz w:val="20"/>
                      <w:szCs w:val="20"/>
                    </w:rPr>
                    <w:t xml:space="preserve">DAPCRRAMTTOT </w:t>
                  </w:r>
                </w:p>
              </w:tc>
              <w:tc>
                <w:tcPr>
                  <w:tcW w:w="520" w:type="pct"/>
                </w:tcPr>
                <w:p w14:paraId="500B89D5" w14:textId="77777777" w:rsidR="00C24CB5" w:rsidRPr="006145CA" w:rsidRDefault="00C24CB5" w:rsidP="00C24CB5">
                  <w:pPr>
                    <w:spacing w:after="60"/>
                    <w:rPr>
                      <w:iCs/>
                      <w:sz w:val="20"/>
                      <w:szCs w:val="20"/>
                    </w:rPr>
                  </w:pPr>
                  <w:r w:rsidRPr="006145CA">
                    <w:rPr>
                      <w:iCs/>
                      <w:sz w:val="20"/>
                      <w:szCs w:val="20"/>
                    </w:rPr>
                    <w:t>$</w:t>
                  </w:r>
                </w:p>
              </w:tc>
              <w:tc>
                <w:tcPr>
                  <w:tcW w:w="3336" w:type="pct"/>
                </w:tcPr>
                <w:p w14:paraId="65B3868B" w14:textId="77777777" w:rsidR="00C24CB5" w:rsidRPr="006145CA" w:rsidRDefault="00C24CB5" w:rsidP="00C24CB5">
                  <w:pPr>
                    <w:spacing w:after="60"/>
                    <w:rPr>
                      <w:i/>
                      <w:iCs/>
                      <w:sz w:val="20"/>
                      <w:szCs w:val="20"/>
                    </w:rPr>
                  </w:pPr>
                  <w:r>
                    <w:rPr>
                      <w:i/>
                      <w:iCs/>
                      <w:sz w:val="20"/>
                      <w:szCs w:val="20"/>
                    </w:rPr>
                    <w:t xml:space="preserve">Day-Ahead </w:t>
                  </w:r>
                  <w:r w:rsidRPr="006145CA">
                    <w:rPr>
                      <w:i/>
                      <w:iCs/>
                      <w:sz w:val="20"/>
                      <w:szCs w:val="20"/>
                    </w:rPr>
                    <w:t>Procured Capacity for Responsive Reserve Amount Total</w:t>
                  </w:r>
                  <w:r w:rsidRPr="006145CA">
                    <w:rPr>
                      <w:iCs/>
                      <w:sz w:val="20"/>
                      <w:szCs w:val="20"/>
                    </w:rPr>
                    <w:t>—The total of the DAM RRS payments for all QSEs for the hour.</w:t>
                  </w:r>
                </w:p>
              </w:tc>
            </w:tr>
            <w:tr w:rsidR="00C24CB5" w:rsidRPr="006145CA" w14:paraId="2C913C6F" w14:textId="77777777" w:rsidTr="007258B7">
              <w:tc>
                <w:tcPr>
                  <w:tcW w:w="1144" w:type="pct"/>
                </w:tcPr>
                <w:p w14:paraId="59252633" w14:textId="77777777" w:rsidR="00C24CB5" w:rsidRPr="006145CA" w:rsidRDefault="00C24CB5" w:rsidP="00C24CB5">
                  <w:pPr>
                    <w:spacing w:after="60"/>
                    <w:rPr>
                      <w:iCs/>
                      <w:sz w:val="20"/>
                      <w:szCs w:val="20"/>
                    </w:rPr>
                  </w:pPr>
                  <w:r w:rsidRPr="006145CA">
                    <w:rPr>
                      <w:iCs/>
                      <w:sz w:val="20"/>
                      <w:szCs w:val="20"/>
                    </w:rPr>
                    <w:t>PCRRAMT</w:t>
                  </w:r>
                  <w:r w:rsidRPr="006145CA">
                    <w:rPr>
                      <w:i/>
                      <w:iCs/>
                      <w:sz w:val="20"/>
                      <w:szCs w:val="20"/>
                    </w:rPr>
                    <w:t xml:space="preserve"> </w:t>
                  </w:r>
                  <w:r w:rsidRPr="006145CA">
                    <w:rPr>
                      <w:i/>
                      <w:iCs/>
                      <w:sz w:val="20"/>
                      <w:szCs w:val="20"/>
                      <w:vertAlign w:val="subscript"/>
                    </w:rPr>
                    <w:t>q</w:t>
                  </w:r>
                </w:p>
              </w:tc>
              <w:tc>
                <w:tcPr>
                  <w:tcW w:w="520" w:type="pct"/>
                </w:tcPr>
                <w:p w14:paraId="013754C3" w14:textId="77777777" w:rsidR="00C24CB5" w:rsidRPr="006145CA" w:rsidRDefault="00C24CB5" w:rsidP="00C24CB5">
                  <w:pPr>
                    <w:spacing w:after="60"/>
                    <w:rPr>
                      <w:iCs/>
                      <w:sz w:val="20"/>
                      <w:szCs w:val="20"/>
                    </w:rPr>
                  </w:pPr>
                  <w:r w:rsidRPr="006145CA">
                    <w:rPr>
                      <w:iCs/>
                      <w:sz w:val="20"/>
                      <w:szCs w:val="20"/>
                    </w:rPr>
                    <w:t>$</w:t>
                  </w:r>
                </w:p>
              </w:tc>
              <w:tc>
                <w:tcPr>
                  <w:tcW w:w="3336" w:type="pct"/>
                </w:tcPr>
                <w:p w14:paraId="42BB7556" w14:textId="77777777" w:rsidR="00C24CB5" w:rsidRPr="006145CA" w:rsidRDefault="00C24CB5" w:rsidP="00C24CB5">
                  <w:pPr>
                    <w:spacing w:after="60"/>
                    <w:rPr>
                      <w:i/>
                      <w:iCs/>
                      <w:sz w:val="20"/>
                      <w:szCs w:val="20"/>
                    </w:rPr>
                  </w:pPr>
                  <w:r w:rsidRPr="006145CA">
                    <w:rPr>
                      <w:i/>
                      <w:iCs/>
                      <w:sz w:val="20"/>
                      <w:szCs w:val="20"/>
                    </w:rPr>
                    <w:t>Procured Capacity for Responsive Reserve Amount per QSE for DAM</w:t>
                  </w:r>
                  <w:r w:rsidRPr="006145CA">
                    <w:rPr>
                      <w:iCs/>
                      <w:sz w:val="20"/>
                      <w:szCs w:val="20"/>
                    </w:rPr>
                    <w:t xml:space="preserve">—The DAM RRS payment for QSE </w:t>
                  </w:r>
                  <w:r w:rsidRPr="006145CA">
                    <w:rPr>
                      <w:i/>
                      <w:iCs/>
                      <w:sz w:val="20"/>
                      <w:szCs w:val="20"/>
                    </w:rPr>
                    <w:t>q</w:t>
                  </w:r>
                  <w:r w:rsidRPr="006145CA">
                    <w:rPr>
                      <w:iCs/>
                      <w:sz w:val="20"/>
                      <w:szCs w:val="20"/>
                    </w:rPr>
                    <w:t xml:space="preserve"> for the hour.</w:t>
                  </w:r>
                </w:p>
              </w:tc>
            </w:tr>
            <w:tr w:rsidR="00C24CB5" w:rsidRPr="006145CA" w14:paraId="1ECBDDC0" w14:textId="77777777" w:rsidTr="007258B7">
              <w:tc>
                <w:tcPr>
                  <w:tcW w:w="1144" w:type="pct"/>
                </w:tcPr>
                <w:p w14:paraId="5AC84B9C" w14:textId="77777777" w:rsidR="00C24CB5" w:rsidRPr="00302DCD" w:rsidDel="0023057D" w:rsidRDefault="00C24CB5" w:rsidP="00C24CB5">
                  <w:pPr>
                    <w:spacing w:after="60"/>
                    <w:rPr>
                      <w:iCs/>
                      <w:sz w:val="20"/>
                      <w:szCs w:val="20"/>
                    </w:rPr>
                  </w:pPr>
                  <w:r w:rsidRPr="00302DCD">
                    <w:rPr>
                      <w:sz w:val="20"/>
                      <w:szCs w:val="20"/>
                    </w:rPr>
                    <w:lastRenderedPageBreak/>
                    <w:t xml:space="preserve">DAPCRROAMT </w:t>
                  </w:r>
                  <w:r w:rsidRPr="00302DCD">
                    <w:rPr>
                      <w:i/>
                      <w:sz w:val="20"/>
                      <w:szCs w:val="20"/>
                      <w:vertAlign w:val="subscript"/>
                    </w:rPr>
                    <w:t>q</w:t>
                  </w:r>
                  <w:r w:rsidRPr="00302DCD">
                    <w:rPr>
                      <w:i/>
                      <w:sz w:val="20"/>
                      <w:szCs w:val="20"/>
                    </w:rPr>
                    <w:t xml:space="preserve"> </w:t>
                  </w:r>
                </w:p>
              </w:tc>
              <w:tc>
                <w:tcPr>
                  <w:tcW w:w="520" w:type="pct"/>
                </w:tcPr>
                <w:p w14:paraId="51097EFB" w14:textId="77777777" w:rsidR="00C24CB5" w:rsidRPr="00302DCD" w:rsidDel="0023057D" w:rsidRDefault="00C24CB5" w:rsidP="00C24CB5">
                  <w:pPr>
                    <w:spacing w:after="60"/>
                    <w:rPr>
                      <w:iCs/>
                      <w:sz w:val="20"/>
                      <w:szCs w:val="20"/>
                    </w:rPr>
                  </w:pPr>
                  <w:r w:rsidRPr="00302DCD">
                    <w:rPr>
                      <w:sz w:val="20"/>
                      <w:szCs w:val="20"/>
                    </w:rPr>
                    <w:t>$</w:t>
                  </w:r>
                </w:p>
              </w:tc>
              <w:tc>
                <w:tcPr>
                  <w:tcW w:w="3336" w:type="pct"/>
                </w:tcPr>
                <w:p w14:paraId="74593ED1" w14:textId="77777777" w:rsidR="00C24CB5" w:rsidRPr="00302DCD" w:rsidDel="0023057D" w:rsidRDefault="00C24CB5" w:rsidP="00C24CB5">
                  <w:pPr>
                    <w:spacing w:after="60"/>
                    <w:rPr>
                      <w:i/>
                      <w:iCs/>
                      <w:sz w:val="20"/>
                      <w:szCs w:val="20"/>
                    </w:rPr>
                  </w:pPr>
                  <w:r w:rsidRPr="00302DCD">
                    <w:rPr>
                      <w:i/>
                      <w:sz w:val="20"/>
                      <w:szCs w:val="20"/>
                    </w:rPr>
                    <w:t xml:space="preserve">Day-Ahead Procured Capacity for Responsive Reserve Only </w:t>
                  </w:r>
                  <w:r>
                    <w:rPr>
                      <w:i/>
                      <w:sz w:val="20"/>
                      <w:szCs w:val="20"/>
                    </w:rPr>
                    <w:t>Amount</w:t>
                  </w:r>
                  <w:r w:rsidRPr="00302DCD">
                    <w:rPr>
                      <w:i/>
                      <w:sz w:val="20"/>
                      <w:szCs w:val="20"/>
                    </w:rPr>
                    <w:t xml:space="preserve"> per QSE</w:t>
                  </w:r>
                  <w:r w:rsidRPr="00302DCD">
                    <w:rPr>
                      <w:sz w:val="20"/>
                      <w:szCs w:val="20"/>
                    </w:rPr>
                    <w:t xml:space="preserve">— The payment to QSE </w:t>
                  </w:r>
                  <w:r w:rsidRPr="00302DCD">
                    <w:rPr>
                      <w:i/>
                      <w:sz w:val="20"/>
                      <w:szCs w:val="20"/>
                    </w:rPr>
                    <w:t>q</w:t>
                  </w:r>
                  <w:r w:rsidRPr="00302DCD">
                    <w:rPr>
                      <w:sz w:val="20"/>
                      <w:szCs w:val="20"/>
                    </w:rPr>
                    <w:t xml:space="preserve"> for all RRS only awards in DAM for the hour.</w:t>
                  </w:r>
                </w:p>
              </w:tc>
            </w:tr>
            <w:tr w:rsidR="00C24CB5" w:rsidRPr="006145CA" w14:paraId="6D0CC1B8" w14:textId="77777777" w:rsidTr="007258B7">
              <w:tc>
                <w:tcPr>
                  <w:tcW w:w="1144" w:type="pct"/>
                </w:tcPr>
                <w:p w14:paraId="0E06D21D" w14:textId="77777777" w:rsidR="00C24CB5" w:rsidRPr="006145CA" w:rsidRDefault="00C24CB5" w:rsidP="00C24CB5">
                  <w:pPr>
                    <w:spacing w:after="60"/>
                    <w:rPr>
                      <w:iCs/>
                      <w:sz w:val="20"/>
                      <w:szCs w:val="20"/>
                    </w:rPr>
                  </w:pPr>
                  <w:r w:rsidRPr="006145CA">
                    <w:rPr>
                      <w:iCs/>
                      <w:sz w:val="20"/>
                      <w:szCs w:val="20"/>
                    </w:rPr>
                    <w:t>DARRQTOT</w:t>
                  </w:r>
                </w:p>
              </w:tc>
              <w:tc>
                <w:tcPr>
                  <w:tcW w:w="520" w:type="pct"/>
                </w:tcPr>
                <w:p w14:paraId="36B76153" w14:textId="77777777" w:rsidR="00C24CB5" w:rsidRPr="006145CA" w:rsidRDefault="00C24CB5" w:rsidP="00C24CB5">
                  <w:pPr>
                    <w:spacing w:after="60"/>
                    <w:rPr>
                      <w:iCs/>
                      <w:sz w:val="20"/>
                      <w:szCs w:val="20"/>
                    </w:rPr>
                  </w:pPr>
                  <w:r w:rsidRPr="006145CA">
                    <w:rPr>
                      <w:iCs/>
                      <w:sz w:val="20"/>
                      <w:szCs w:val="20"/>
                    </w:rPr>
                    <w:t>MW</w:t>
                  </w:r>
                </w:p>
              </w:tc>
              <w:tc>
                <w:tcPr>
                  <w:tcW w:w="3336" w:type="pct"/>
                </w:tcPr>
                <w:p w14:paraId="341D8F3C" w14:textId="77777777" w:rsidR="00C24CB5" w:rsidRPr="006145CA" w:rsidRDefault="00C24CB5" w:rsidP="00C24CB5">
                  <w:pPr>
                    <w:spacing w:after="60"/>
                    <w:rPr>
                      <w:i/>
                      <w:iCs/>
                      <w:sz w:val="20"/>
                      <w:szCs w:val="20"/>
                    </w:rPr>
                  </w:pPr>
                  <w:r w:rsidRPr="006145CA">
                    <w:rPr>
                      <w:i/>
                      <w:iCs/>
                      <w:sz w:val="20"/>
                      <w:szCs w:val="20"/>
                    </w:rPr>
                    <w:t>Day-Ahead Responsive Reserve Quantity Total</w:t>
                  </w:r>
                  <w:r w:rsidRPr="006145CA">
                    <w:rPr>
                      <w:iCs/>
                      <w:sz w:val="20"/>
                      <w:szCs w:val="20"/>
                    </w:rPr>
                    <w:t>—The sum of every QSE’s Day-Ahead Ancillary Service Obligation minus its self-arranged RRS quantity for the hour.</w:t>
                  </w:r>
                </w:p>
              </w:tc>
            </w:tr>
            <w:tr w:rsidR="00C24CB5" w:rsidRPr="006145CA" w14:paraId="14AF9FC2" w14:textId="77777777" w:rsidTr="007258B7">
              <w:tc>
                <w:tcPr>
                  <w:tcW w:w="1144" w:type="pct"/>
                </w:tcPr>
                <w:p w14:paraId="1D709047" w14:textId="77777777" w:rsidR="00C24CB5" w:rsidRPr="006145CA" w:rsidRDefault="00C24CB5" w:rsidP="00C24CB5">
                  <w:pPr>
                    <w:spacing w:after="60"/>
                    <w:rPr>
                      <w:iCs/>
                      <w:sz w:val="20"/>
                      <w:szCs w:val="20"/>
                    </w:rPr>
                  </w:pPr>
                  <w:r w:rsidRPr="006145CA">
                    <w:rPr>
                      <w:iCs/>
                      <w:sz w:val="20"/>
                      <w:szCs w:val="20"/>
                    </w:rPr>
                    <w:t xml:space="preserve">DARRO </w:t>
                  </w:r>
                  <w:r w:rsidRPr="006145CA">
                    <w:rPr>
                      <w:i/>
                      <w:iCs/>
                      <w:sz w:val="20"/>
                      <w:szCs w:val="20"/>
                      <w:vertAlign w:val="subscript"/>
                    </w:rPr>
                    <w:t>q</w:t>
                  </w:r>
                </w:p>
              </w:tc>
              <w:tc>
                <w:tcPr>
                  <w:tcW w:w="520" w:type="pct"/>
                </w:tcPr>
                <w:p w14:paraId="025BC4F2" w14:textId="77777777" w:rsidR="00C24CB5" w:rsidRPr="006145CA" w:rsidRDefault="00C24CB5" w:rsidP="00C24CB5">
                  <w:pPr>
                    <w:spacing w:after="60"/>
                    <w:rPr>
                      <w:iCs/>
                      <w:sz w:val="20"/>
                      <w:szCs w:val="20"/>
                    </w:rPr>
                  </w:pPr>
                  <w:r w:rsidRPr="006145CA">
                    <w:rPr>
                      <w:iCs/>
                      <w:sz w:val="20"/>
                      <w:szCs w:val="20"/>
                    </w:rPr>
                    <w:t>MW</w:t>
                  </w:r>
                </w:p>
              </w:tc>
              <w:tc>
                <w:tcPr>
                  <w:tcW w:w="3336" w:type="pct"/>
                </w:tcPr>
                <w:p w14:paraId="159F2087" w14:textId="77777777" w:rsidR="00C24CB5" w:rsidRPr="006145CA" w:rsidRDefault="00C24CB5" w:rsidP="00C24CB5">
                  <w:pPr>
                    <w:spacing w:after="60"/>
                    <w:rPr>
                      <w:i/>
                      <w:iCs/>
                      <w:sz w:val="20"/>
                      <w:szCs w:val="20"/>
                    </w:rPr>
                  </w:pPr>
                  <w:r w:rsidRPr="006145CA">
                    <w:rPr>
                      <w:i/>
                      <w:iCs/>
                      <w:sz w:val="20"/>
                      <w:szCs w:val="20"/>
                    </w:rPr>
                    <w:t>Day-Ahead Responsive Reserve Obligation per QSE</w:t>
                  </w:r>
                  <w:r w:rsidRPr="006145CA">
                    <w:rPr>
                      <w:iCs/>
                      <w:sz w:val="20"/>
                      <w:szCs w:val="20"/>
                    </w:rPr>
                    <w:t xml:space="preserve">—The RRS capacity obligation for QSE </w:t>
                  </w:r>
                  <w:r w:rsidRPr="006145CA">
                    <w:rPr>
                      <w:i/>
                      <w:iCs/>
                      <w:sz w:val="20"/>
                      <w:szCs w:val="20"/>
                    </w:rPr>
                    <w:t>q</w:t>
                  </w:r>
                  <w:r w:rsidRPr="006145CA">
                    <w:rPr>
                      <w:iCs/>
                      <w:sz w:val="20"/>
                      <w:szCs w:val="20"/>
                    </w:rPr>
                    <w:t xml:space="preserve"> for the DAM for the hour. </w:t>
                  </w:r>
                </w:p>
              </w:tc>
            </w:tr>
            <w:tr w:rsidR="00C24CB5" w:rsidRPr="006145CA" w14:paraId="1A24D967" w14:textId="77777777" w:rsidTr="007258B7">
              <w:tc>
                <w:tcPr>
                  <w:tcW w:w="1144" w:type="pct"/>
                </w:tcPr>
                <w:p w14:paraId="30908F3F" w14:textId="77777777" w:rsidR="00C24CB5" w:rsidRPr="006145CA" w:rsidRDefault="00C24CB5" w:rsidP="00C24CB5">
                  <w:pPr>
                    <w:spacing w:after="60"/>
                    <w:rPr>
                      <w:iCs/>
                      <w:sz w:val="20"/>
                      <w:szCs w:val="20"/>
                    </w:rPr>
                  </w:pPr>
                  <w:r w:rsidRPr="006145CA">
                    <w:rPr>
                      <w:iCs/>
                      <w:sz w:val="20"/>
                      <w:szCs w:val="20"/>
                    </w:rPr>
                    <w:t xml:space="preserve">DASARRQ </w:t>
                  </w:r>
                  <w:r w:rsidRPr="006145CA">
                    <w:rPr>
                      <w:i/>
                      <w:iCs/>
                      <w:sz w:val="20"/>
                      <w:szCs w:val="20"/>
                      <w:vertAlign w:val="subscript"/>
                    </w:rPr>
                    <w:t>q</w:t>
                  </w:r>
                </w:p>
              </w:tc>
              <w:tc>
                <w:tcPr>
                  <w:tcW w:w="520" w:type="pct"/>
                </w:tcPr>
                <w:p w14:paraId="34D43F73" w14:textId="77777777" w:rsidR="00C24CB5" w:rsidRPr="006145CA" w:rsidRDefault="00C24CB5" w:rsidP="00C24CB5">
                  <w:pPr>
                    <w:spacing w:after="60"/>
                    <w:rPr>
                      <w:iCs/>
                      <w:sz w:val="20"/>
                      <w:szCs w:val="20"/>
                    </w:rPr>
                  </w:pPr>
                  <w:r w:rsidRPr="006145CA">
                    <w:rPr>
                      <w:iCs/>
                      <w:sz w:val="20"/>
                      <w:szCs w:val="20"/>
                    </w:rPr>
                    <w:t>MW</w:t>
                  </w:r>
                </w:p>
              </w:tc>
              <w:tc>
                <w:tcPr>
                  <w:tcW w:w="3336" w:type="pct"/>
                </w:tcPr>
                <w:p w14:paraId="4D92F744" w14:textId="77777777" w:rsidR="00C24CB5" w:rsidRPr="006145CA" w:rsidRDefault="00C24CB5" w:rsidP="00C24CB5">
                  <w:pPr>
                    <w:spacing w:after="60"/>
                    <w:rPr>
                      <w:i/>
                      <w:iCs/>
                      <w:sz w:val="20"/>
                      <w:szCs w:val="20"/>
                    </w:rPr>
                  </w:pPr>
                  <w:r w:rsidRPr="006145CA">
                    <w:rPr>
                      <w:i/>
                      <w:iCs/>
                      <w:sz w:val="20"/>
                      <w:szCs w:val="20"/>
                    </w:rPr>
                    <w:t>Day-Ahead Self-Arranged Responsive Reserve Quantity per QSE</w:t>
                  </w:r>
                  <w:r w:rsidRPr="006145CA">
                    <w:rPr>
                      <w:iCs/>
                      <w:sz w:val="20"/>
                      <w:szCs w:val="20"/>
                    </w:rPr>
                    <w:t xml:space="preserve">—The self-arranged RRS quantity submitted by QSE </w:t>
                  </w:r>
                  <w:r w:rsidRPr="006145CA">
                    <w:rPr>
                      <w:i/>
                      <w:iCs/>
                      <w:sz w:val="20"/>
                      <w:szCs w:val="20"/>
                    </w:rPr>
                    <w:t>q</w:t>
                  </w:r>
                  <w:r w:rsidRPr="006145CA">
                    <w:rPr>
                      <w:iCs/>
                      <w:sz w:val="20"/>
                      <w:szCs w:val="20"/>
                    </w:rPr>
                    <w:t xml:space="preserve"> before 1000 in the Day-Ahead.</w:t>
                  </w:r>
                </w:p>
              </w:tc>
            </w:tr>
            <w:tr w:rsidR="00C24CB5" w:rsidRPr="006145CA" w14:paraId="1F3372F7" w14:textId="77777777" w:rsidTr="007258B7">
              <w:tc>
                <w:tcPr>
                  <w:tcW w:w="1144" w:type="pct"/>
                </w:tcPr>
                <w:p w14:paraId="12B4F4E6" w14:textId="77777777" w:rsidR="00C24CB5" w:rsidRPr="006145CA" w:rsidRDefault="00C24CB5" w:rsidP="00C24CB5">
                  <w:pPr>
                    <w:spacing w:after="60"/>
                    <w:rPr>
                      <w:i/>
                      <w:iCs/>
                      <w:sz w:val="20"/>
                      <w:szCs w:val="20"/>
                    </w:rPr>
                  </w:pPr>
                  <w:r w:rsidRPr="006145CA">
                    <w:rPr>
                      <w:i/>
                      <w:iCs/>
                      <w:sz w:val="20"/>
                      <w:szCs w:val="20"/>
                    </w:rPr>
                    <w:t>q</w:t>
                  </w:r>
                </w:p>
              </w:tc>
              <w:tc>
                <w:tcPr>
                  <w:tcW w:w="520" w:type="pct"/>
                </w:tcPr>
                <w:p w14:paraId="4323E309" w14:textId="77777777" w:rsidR="00C24CB5" w:rsidRPr="006145CA" w:rsidRDefault="00C24CB5" w:rsidP="00C24CB5">
                  <w:pPr>
                    <w:spacing w:after="60"/>
                    <w:rPr>
                      <w:iCs/>
                      <w:sz w:val="20"/>
                      <w:szCs w:val="20"/>
                    </w:rPr>
                  </w:pPr>
                  <w:r w:rsidRPr="006145CA">
                    <w:rPr>
                      <w:iCs/>
                      <w:sz w:val="20"/>
                      <w:szCs w:val="20"/>
                    </w:rPr>
                    <w:t>none</w:t>
                  </w:r>
                </w:p>
              </w:tc>
              <w:tc>
                <w:tcPr>
                  <w:tcW w:w="3336" w:type="pct"/>
                </w:tcPr>
                <w:p w14:paraId="52C9B50C" w14:textId="77777777" w:rsidR="00C24CB5" w:rsidRPr="006145CA" w:rsidRDefault="00C24CB5" w:rsidP="00C24CB5">
                  <w:pPr>
                    <w:spacing w:after="60"/>
                    <w:rPr>
                      <w:iCs/>
                      <w:sz w:val="20"/>
                      <w:szCs w:val="20"/>
                    </w:rPr>
                  </w:pPr>
                  <w:r w:rsidRPr="006145CA">
                    <w:rPr>
                      <w:iCs/>
                      <w:sz w:val="20"/>
                      <w:szCs w:val="20"/>
                    </w:rPr>
                    <w:t>A QSE.</w:t>
                  </w:r>
                </w:p>
              </w:tc>
            </w:tr>
          </w:tbl>
          <w:p w14:paraId="649688BA" w14:textId="60FA2677" w:rsidR="00C24CB5" w:rsidRPr="004B32CF" w:rsidRDefault="00C24CB5" w:rsidP="00C24CB5">
            <w:pPr>
              <w:pStyle w:val="BodyText"/>
              <w:ind w:left="720" w:hanging="720"/>
            </w:pPr>
          </w:p>
        </w:tc>
      </w:tr>
    </w:tbl>
    <w:p w14:paraId="61E92C32" w14:textId="77777777" w:rsidR="00FF2129" w:rsidRDefault="00482EF3" w:rsidP="00003B06">
      <w:pPr>
        <w:pStyle w:val="H5"/>
        <w:spacing w:before="480"/>
        <w:ind w:left="1627" w:hanging="1627"/>
      </w:pPr>
      <w:bookmarkStart w:id="846" w:name="_Toc135990702"/>
      <w:r>
        <w:lastRenderedPageBreak/>
        <w:t>4.6.4.2.4</w:t>
      </w:r>
      <w:r>
        <w:tab/>
        <w:t>Non-Spinning Reserve Service Charge</w:t>
      </w:r>
      <w:bookmarkEnd w:id="839"/>
      <w:bookmarkEnd w:id="840"/>
      <w:bookmarkEnd w:id="841"/>
      <w:bookmarkEnd w:id="842"/>
      <w:bookmarkEnd w:id="843"/>
      <w:bookmarkEnd w:id="844"/>
      <w:bookmarkEnd w:id="845"/>
      <w:bookmarkEnd w:id="846"/>
    </w:p>
    <w:p w14:paraId="49516BE8" w14:textId="77777777" w:rsidR="0053389B" w:rsidRDefault="00EE47EB" w:rsidP="00FA6269">
      <w:pPr>
        <w:pStyle w:val="BodyText"/>
        <w:ind w:left="720" w:hanging="720"/>
      </w:pPr>
      <w:r>
        <w:t>(1)</w:t>
      </w:r>
      <w:r>
        <w:tab/>
      </w:r>
      <w:r w:rsidR="0053389B">
        <w:t>Each QSE shall pay to ERCOT or be paid by ERCOT a Non-Spin Service charge for each hour as follows:</w:t>
      </w:r>
    </w:p>
    <w:p w14:paraId="53A572C7" w14:textId="77777777" w:rsidR="0053389B" w:rsidRPr="0053389B" w:rsidRDefault="0053389B" w:rsidP="00D46800">
      <w:pPr>
        <w:pStyle w:val="Formula"/>
      </w:pPr>
      <w:r w:rsidRPr="0053389B">
        <w:t xml:space="preserve">DANSAMT </w:t>
      </w:r>
      <w:r w:rsidRPr="0053389B">
        <w:rPr>
          <w:i/>
          <w:vertAlign w:val="subscript"/>
        </w:rPr>
        <w:t>q</w:t>
      </w:r>
      <w:r w:rsidRPr="0053389B">
        <w:tab/>
        <w:t>=</w:t>
      </w:r>
      <w:r w:rsidRPr="0053389B">
        <w:tab/>
      </w:r>
      <w:r w:rsidRPr="0053389B">
        <w:rPr>
          <w:lang w:val="fr-FR"/>
        </w:rPr>
        <w:t>DANSPR</w:t>
      </w:r>
      <w:r w:rsidRPr="0053389B">
        <w:t xml:space="preserve"> * DANSQ </w:t>
      </w:r>
      <w:r w:rsidRPr="0053389B">
        <w:rPr>
          <w:i/>
          <w:vertAlign w:val="subscript"/>
        </w:rPr>
        <w:t>q</w:t>
      </w:r>
    </w:p>
    <w:p w14:paraId="0D3131C9" w14:textId="77777777" w:rsidR="0053389B" w:rsidRDefault="0053389B" w:rsidP="0053389B">
      <w:pPr>
        <w:pStyle w:val="BodyText"/>
        <w:rPr>
          <w:lang w:val="fr-FR"/>
        </w:rPr>
      </w:pPr>
      <w:r>
        <w:rPr>
          <w:lang w:val="fr-FR"/>
        </w:rPr>
        <w:t>Where:</w:t>
      </w:r>
    </w:p>
    <w:p w14:paraId="334F984E" w14:textId="77777777" w:rsidR="0053389B" w:rsidRDefault="0053389B" w:rsidP="00D46800">
      <w:pPr>
        <w:pStyle w:val="Formula"/>
      </w:pPr>
      <w:r>
        <w:t>DANSPR</w:t>
      </w:r>
      <w:r>
        <w:tab/>
        <w:t xml:space="preserve">= </w:t>
      </w:r>
      <w:r>
        <w:tab/>
        <w:t>(-1) * PCNSAMTTOT / DANSQTOT</w:t>
      </w:r>
    </w:p>
    <w:p w14:paraId="0F92A93A" w14:textId="77777777" w:rsidR="0053389B" w:rsidRDefault="0053389B" w:rsidP="00D46800">
      <w:pPr>
        <w:pStyle w:val="Formula"/>
      </w:pPr>
      <w:r>
        <w:t>PCNSAMTTOT</w:t>
      </w:r>
      <w:r>
        <w:tab/>
        <w:t>=</w:t>
      </w:r>
      <w:r>
        <w:tab/>
      </w:r>
      <w:r w:rsidRPr="00FF2129">
        <w:rPr>
          <w:position w:val="-22"/>
        </w:rPr>
        <w:object w:dxaOrig="220" w:dyaOrig="460" w14:anchorId="1E69E9F2">
          <v:shape id="_x0000_i1053" type="#_x0000_t75" style="width:13.2pt;height:21pt" o:ole="">
            <v:imagedata r:id="rId50" o:title=""/>
          </v:shape>
          <o:OLEObject Type="Embed" ProgID="Equation.3" ShapeID="_x0000_i1053" DrawAspect="Content" ObjectID="_1775281346" r:id="rId60"/>
        </w:object>
      </w:r>
      <w:r>
        <w:t xml:space="preserve">PCNSAMT </w:t>
      </w:r>
      <w:r>
        <w:rPr>
          <w:i/>
          <w:vertAlign w:val="subscript"/>
        </w:rPr>
        <w:t>q</w:t>
      </w:r>
    </w:p>
    <w:p w14:paraId="0872D517" w14:textId="77777777" w:rsidR="0053389B" w:rsidRDefault="0053389B" w:rsidP="00D46800">
      <w:pPr>
        <w:pStyle w:val="Formula"/>
        <w:rPr>
          <w:lang w:val="fr-FR"/>
        </w:rPr>
      </w:pPr>
      <w:r>
        <w:rPr>
          <w:lang w:val="fr-FR"/>
        </w:rPr>
        <w:t>DANSQTOT</w:t>
      </w:r>
      <w:r>
        <w:rPr>
          <w:lang w:val="fr-FR"/>
        </w:rPr>
        <w:tab/>
        <w:t>=</w:t>
      </w:r>
      <w:r>
        <w:rPr>
          <w:lang w:val="fr-FR"/>
        </w:rPr>
        <w:tab/>
      </w:r>
      <w:r w:rsidRPr="00FF2129">
        <w:rPr>
          <w:position w:val="-22"/>
        </w:rPr>
        <w:object w:dxaOrig="220" w:dyaOrig="460" w14:anchorId="6040A109">
          <v:shape id="_x0000_i1054" type="#_x0000_t75" style="width:13.2pt;height:21pt" o:ole="">
            <v:imagedata r:id="rId50" o:title=""/>
          </v:shape>
          <o:OLEObject Type="Embed" ProgID="Equation.3" ShapeID="_x0000_i1054" DrawAspect="Content" ObjectID="_1775281347" r:id="rId61"/>
        </w:object>
      </w:r>
      <w:r>
        <w:rPr>
          <w:lang w:val="fr-FR"/>
        </w:rPr>
        <w:t xml:space="preserve">DANSQ </w:t>
      </w:r>
      <w:r>
        <w:rPr>
          <w:i/>
          <w:vertAlign w:val="subscript"/>
          <w:lang w:val="fr-FR"/>
        </w:rPr>
        <w:t>q</w:t>
      </w:r>
    </w:p>
    <w:p w14:paraId="38657D9E" w14:textId="77777777" w:rsidR="0053389B" w:rsidRDefault="0053389B" w:rsidP="00D46800">
      <w:pPr>
        <w:pStyle w:val="Formula"/>
      </w:pPr>
      <w:r>
        <w:t xml:space="preserve">DANSQ </w:t>
      </w:r>
      <w:r>
        <w:rPr>
          <w:i/>
          <w:vertAlign w:val="subscript"/>
        </w:rPr>
        <w:t>q</w:t>
      </w:r>
      <w:r>
        <w:tab/>
        <w:t>=</w:t>
      </w:r>
      <w:r>
        <w:tab/>
        <w:t xml:space="preserve">DANSO </w:t>
      </w:r>
      <w:r>
        <w:rPr>
          <w:i/>
          <w:vertAlign w:val="subscript"/>
        </w:rPr>
        <w:t>q</w:t>
      </w:r>
      <w:r>
        <w:t xml:space="preserve"> – DASANSQ </w:t>
      </w:r>
      <w:r>
        <w:rPr>
          <w:i/>
          <w:vertAlign w:val="subscript"/>
        </w:rPr>
        <w:t>q</w:t>
      </w:r>
    </w:p>
    <w:p w14:paraId="2890DAF6" w14:textId="77777777" w:rsidR="0053389B" w:rsidRDefault="0053389B" w:rsidP="0053389B">
      <w:r>
        <w:t xml:space="preserve">The above variables are defined as follows: </w:t>
      </w:r>
    </w:p>
    <w:tbl>
      <w:tblPr>
        <w:tblW w:w="5002" w:type="pc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82"/>
        <w:gridCol w:w="965"/>
        <w:gridCol w:w="6207"/>
      </w:tblGrid>
      <w:tr w:rsidR="0053389B" w14:paraId="13020EB5" w14:textId="77777777" w:rsidTr="00FF1649">
        <w:tc>
          <w:tcPr>
            <w:tcW w:w="1166" w:type="pct"/>
          </w:tcPr>
          <w:p w14:paraId="582CCA8F" w14:textId="77777777" w:rsidR="0053389B" w:rsidRDefault="0053389B" w:rsidP="0053389B">
            <w:pPr>
              <w:pStyle w:val="TableHead"/>
            </w:pPr>
            <w:r>
              <w:t>Variable</w:t>
            </w:r>
          </w:p>
        </w:tc>
        <w:tc>
          <w:tcPr>
            <w:tcW w:w="516" w:type="pct"/>
          </w:tcPr>
          <w:p w14:paraId="4963BCD2" w14:textId="77777777" w:rsidR="0053389B" w:rsidRDefault="0053389B" w:rsidP="0053389B">
            <w:pPr>
              <w:pStyle w:val="TableHead"/>
            </w:pPr>
            <w:r>
              <w:t>Unit</w:t>
            </w:r>
          </w:p>
        </w:tc>
        <w:tc>
          <w:tcPr>
            <w:tcW w:w="3318" w:type="pct"/>
          </w:tcPr>
          <w:p w14:paraId="124F9B36" w14:textId="77777777" w:rsidR="0053389B" w:rsidRDefault="0053389B" w:rsidP="0053389B">
            <w:pPr>
              <w:pStyle w:val="TableHead"/>
            </w:pPr>
            <w:r>
              <w:t>Definition</w:t>
            </w:r>
          </w:p>
        </w:tc>
      </w:tr>
      <w:tr w:rsidR="0053389B" w14:paraId="1D0B6435" w14:textId="77777777" w:rsidTr="00FF1649">
        <w:tc>
          <w:tcPr>
            <w:tcW w:w="1166" w:type="pct"/>
          </w:tcPr>
          <w:p w14:paraId="50FAF00C" w14:textId="77777777" w:rsidR="0053389B" w:rsidRDefault="0053389B" w:rsidP="0053389B">
            <w:pPr>
              <w:pStyle w:val="TableBody"/>
            </w:pPr>
            <w:r>
              <w:t xml:space="preserve">DANSAMT </w:t>
            </w:r>
            <w:r w:rsidRPr="00BF1248">
              <w:rPr>
                <w:i/>
                <w:vertAlign w:val="subscript"/>
              </w:rPr>
              <w:t>q</w:t>
            </w:r>
          </w:p>
        </w:tc>
        <w:tc>
          <w:tcPr>
            <w:tcW w:w="516" w:type="pct"/>
          </w:tcPr>
          <w:p w14:paraId="45D7E256" w14:textId="77777777" w:rsidR="0053389B" w:rsidRDefault="0053389B" w:rsidP="0053389B">
            <w:pPr>
              <w:pStyle w:val="TableBody"/>
            </w:pPr>
            <w:r>
              <w:t>$</w:t>
            </w:r>
          </w:p>
        </w:tc>
        <w:tc>
          <w:tcPr>
            <w:tcW w:w="3318" w:type="pct"/>
          </w:tcPr>
          <w:p w14:paraId="0612DF41" w14:textId="77777777" w:rsidR="0053389B" w:rsidRDefault="0053389B" w:rsidP="0053389B">
            <w:pPr>
              <w:pStyle w:val="TableBody"/>
            </w:pPr>
            <w:r>
              <w:rPr>
                <w:i/>
              </w:rPr>
              <w:t>Day-Ahead Non-Spin Amount per QSE</w:t>
            </w:r>
            <w:r>
              <w:t xml:space="preserve">—QSE </w:t>
            </w:r>
            <w:r>
              <w:rPr>
                <w:i/>
              </w:rPr>
              <w:t>q</w:t>
            </w:r>
            <w:r>
              <w:t>’s share of the DAM cost for Non-Spin, for the hour.</w:t>
            </w:r>
          </w:p>
        </w:tc>
      </w:tr>
      <w:tr w:rsidR="0053389B" w14:paraId="2B90FC40" w14:textId="77777777" w:rsidTr="00FF1649">
        <w:tc>
          <w:tcPr>
            <w:tcW w:w="1166" w:type="pct"/>
          </w:tcPr>
          <w:p w14:paraId="59100371" w14:textId="77777777" w:rsidR="0053389B" w:rsidRDefault="0053389B" w:rsidP="0053389B">
            <w:pPr>
              <w:pStyle w:val="TableBody"/>
            </w:pPr>
            <w:r>
              <w:t>DANSPR</w:t>
            </w:r>
          </w:p>
        </w:tc>
        <w:tc>
          <w:tcPr>
            <w:tcW w:w="516" w:type="pct"/>
          </w:tcPr>
          <w:p w14:paraId="5660FD1C" w14:textId="77777777" w:rsidR="0053389B" w:rsidRDefault="0053389B" w:rsidP="0053389B">
            <w:pPr>
              <w:pStyle w:val="TableBody"/>
            </w:pPr>
            <w:r>
              <w:t>$/MW per hour</w:t>
            </w:r>
          </w:p>
        </w:tc>
        <w:tc>
          <w:tcPr>
            <w:tcW w:w="3318" w:type="pct"/>
          </w:tcPr>
          <w:p w14:paraId="61DB0D10" w14:textId="77777777" w:rsidR="0053389B" w:rsidRDefault="0053389B" w:rsidP="0053389B">
            <w:pPr>
              <w:pStyle w:val="TableBody"/>
            </w:pPr>
            <w:r>
              <w:rPr>
                <w:i/>
              </w:rPr>
              <w:t>Day-Ahead Non-Spin Price</w:t>
            </w:r>
            <w:r>
              <w:t>—The Day-Ahead Non-Spin price for the hour.</w:t>
            </w:r>
          </w:p>
        </w:tc>
      </w:tr>
      <w:tr w:rsidR="0053389B" w14:paraId="5445C19F" w14:textId="77777777" w:rsidTr="00FF1649">
        <w:tc>
          <w:tcPr>
            <w:tcW w:w="1166" w:type="pct"/>
          </w:tcPr>
          <w:p w14:paraId="7429EA21" w14:textId="77777777" w:rsidR="0053389B" w:rsidRDefault="0053389B" w:rsidP="0053389B">
            <w:pPr>
              <w:pStyle w:val="TableBody"/>
            </w:pPr>
            <w:r>
              <w:t xml:space="preserve">DANSQ </w:t>
            </w:r>
            <w:r w:rsidRPr="00BF1248">
              <w:rPr>
                <w:i/>
                <w:vertAlign w:val="subscript"/>
              </w:rPr>
              <w:t>q</w:t>
            </w:r>
          </w:p>
        </w:tc>
        <w:tc>
          <w:tcPr>
            <w:tcW w:w="516" w:type="pct"/>
          </w:tcPr>
          <w:p w14:paraId="0707EDC0" w14:textId="77777777" w:rsidR="0053389B" w:rsidRDefault="0053389B" w:rsidP="0053389B">
            <w:pPr>
              <w:pStyle w:val="TableBody"/>
            </w:pPr>
            <w:r>
              <w:t>MW</w:t>
            </w:r>
          </w:p>
        </w:tc>
        <w:tc>
          <w:tcPr>
            <w:tcW w:w="3318" w:type="pct"/>
          </w:tcPr>
          <w:p w14:paraId="563898AB" w14:textId="77777777" w:rsidR="0053389B" w:rsidRDefault="0053389B" w:rsidP="0053389B">
            <w:pPr>
              <w:pStyle w:val="TableBody"/>
              <w:rPr>
                <w:i/>
              </w:rPr>
            </w:pPr>
            <w:r>
              <w:rPr>
                <w:i/>
              </w:rPr>
              <w:t>Day-Ahead Non-Spin Quantity per QSE</w:t>
            </w:r>
            <w:r>
              <w:t xml:space="preserve">—The QSE </w:t>
            </w:r>
            <w:r>
              <w:rPr>
                <w:i/>
              </w:rPr>
              <w:t>q</w:t>
            </w:r>
            <w:r>
              <w:t>’s Day-Ahead Ancillary Service Obligation minus its self-arranged Non-Spin quantity for the hour.</w:t>
            </w:r>
          </w:p>
        </w:tc>
      </w:tr>
      <w:tr w:rsidR="0053389B" w14:paraId="2AE466A8" w14:textId="77777777" w:rsidTr="00FF1649">
        <w:tc>
          <w:tcPr>
            <w:tcW w:w="1166" w:type="pct"/>
          </w:tcPr>
          <w:p w14:paraId="1321C103" w14:textId="77777777" w:rsidR="0053389B" w:rsidRDefault="0053389B" w:rsidP="0053389B">
            <w:pPr>
              <w:pStyle w:val="TableBody"/>
            </w:pPr>
            <w:r>
              <w:t xml:space="preserve">PCNSAMTTOT </w:t>
            </w:r>
          </w:p>
        </w:tc>
        <w:tc>
          <w:tcPr>
            <w:tcW w:w="516" w:type="pct"/>
          </w:tcPr>
          <w:p w14:paraId="10F6582D" w14:textId="77777777" w:rsidR="0053389B" w:rsidRDefault="0053389B" w:rsidP="0053389B">
            <w:pPr>
              <w:pStyle w:val="TableBody"/>
            </w:pPr>
            <w:r>
              <w:t>$</w:t>
            </w:r>
          </w:p>
        </w:tc>
        <w:tc>
          <w:tcPr>
            <w:tcW w:w="3318" w:type="pct"/>
          </w:tcPr>
          <w:p w14:paraId="55A15FC8" w14:textId="77777777" w:rsidR="0053389B" w:rsidRDefault="0053389B" w:rsidP="0053389B">
            <w:pPr>
              <w:pStyle w:val="TableBody"/>
              <w:rPr>
                <w:i/>
              </w:rPr>
            </w:pPr>
            <w:r>
              <w:rPr>
                <w:i/>
              </w:rPr>
              <w:t>Procured Capacity for Non-Spin Amount Total in DAM</w:t>
            </w:r>
            <w:r>
              <w:t>—The total of the DAM Non-Spin payments for all QSEs for the hour.</w:t>
            </w:r>
          </w:p>
        </w:tc>
      </w:tr>
      <w:tr w:rsidR="0053389B" w14:paraId="4864DBF5" w14:textId="77777777" w:rsidTr="00FF1649">
        <w:tc>
          <w:tcPr>
            <w:tcW w:w="1166" w:type="pct"/>
          </w:tcPr>
          <w:p w14:paraId="1742FD32" w14:textId="77777777" w:rsidR="0053389B" w:rsidRDefault="0053389B" w:rsidP="0053389B">
            <w:pPr>
              <w:pStyle w:val="TableBody"/>
            </w:pPr>
            <w:r>
              <w:t xml:space="preserve">PCNSAMT </w:t>
            </w:r>
            <w:r w:rsidRPr="00BF1248">
              <w:rPr>
                <w:i/>
                <w:vertAlign w:val="subscript"/>
              </w:rPr>
              <w:t>q</w:t>
            </w:r>
          </w:p>
        </w:tc>
        <w:tc>
          <w:tcPr>
            <w:tcW w:w="516" w:type="pct"/>
          </w:tcPr>
          <w:p w14:paraId="7FF8298C" w14:textId="77777777" w:rsidR="0053389B" w:rsidRDefault="0053389B" w:rsidP="0053389B">
            <w:pPr>
              <w:pStyle w:val="TableBody"/>
            </w:pPr>
            <w:r>
              <w:t>$</w:t>
            </w:r>
          </w:p>
        </w:tc>
        <w:tc>
          <w:tcPr>
            <w:tcW w:w="3318" w:type="pct"/>
          </w:tcPr>
          <w:p w14:paraId="6E5EDD83" w14:textId="77777777" w:rsidR="0053389B" w:rsidRDefault="0053389B" w:rsidP="0053389B">
            <w:pPr>
              <w:pStyle w:val="TableBody"/>
              <w:rPr>
                <w:i/>
              </w:rPr>
            </w:pPr>
            <w:r>
              <w:rPr>
                <w:i/>
              </w:rPr>
              <w:t>Procured Capacity for Non-Spin Amount per QSE in DAM</w:t>
            </w:r>
            <w:r>
              <w:t xml:space="preserve">—The DAM Non-Spin payment for QSE </w:t>
            </w:r>
            <w:r>
              <w:rPr>
                <w:i/>
              </w:rPr>
              <w:t>q</w:t>
            </w:r>
            <w:r>
              <w:t xml:space="preserve"> for the hour.</w:t>
            </w:r>
          </w:p>
        </w:tc>
      </w:tr>
      <w:tr w:rsidR="0053389B" w14:paraId="7EF56891" w14:textId="77777777" w:rsidTr="00FF1649">
        <w:tc>
          <w:tcPr>
            <w:tcW w:w="1166" w:type="pct"/>
          </w:tcPr>
          <w:p w14:paraId="60571919" w14:textId="77777777" w:rsidR="0053389B" w:rsidRDefault="0053389B" w:rsidP="0053389B">
            <w:pPr>
              <w:pStyle w:val="TableBody"/>
            </w:pPr>
            <w:r>
              <w:t>DANSQTOT</w:t>
            </w:r>
          </w:p>
        </w:tc>
        <w:tc>
          <w:tcPr>
            <w:tcW w:w="516" w:type="pct"/>
          </w:tcPr>
          <w:p w14:paraId="086ABEC9" w14:textId="77777777" w:rsidR="0053389B" w:rsidRDefault="0053389B" w:rsidP="0053389B">
            <w:pPr>
              <w:pStyle w:val="TableBody"/>
            </w:pPr>
            <w:r>
              <w:t>MW</w:t>
            </w:r>
          </w:p>
        </w:tc>
        <w:tc>
          <w:tcPr>
            <w:tcW w:w="3318" w:type="pct"/>
          </w:tcPr>
          <w:p w14:paraId="0225CB50" w14:textId="77777777" w:rsidR="0053389B" w:rsidRDefault="0053389B" w:rsidP="0053389B">
            <w:pPr>
              <w:pStyle w:val="TableBody"/>
              <w:rPr>
                <w:i/>
              </w:rPr>
            </w:pPr>
            <w:r>
              <w:rPr>
                <w:i/>
              </w:rPr>
              <w:t>Day-Ahead Non-Spin Quantity Total</w:t>
            </w:r>
            <w:r>
              <w:t>—The sum of every QSE’s Day-Ahead Ancillary Service Obligation minus its</w:t>
            </w:r>
            <w:r w:rsidRPr="004B2810">
              <w:t xml:space="preserve"> self-arranged</w:t>
            </w:r>
            <w:r>
              <w:t xml:space="preserve"> Non-Spin quantity</w:t>
            </w:r>
            <w:r w:rsidRPr="004B2810">
              <w:t xml:space="preserve"> for the hour.</w:t>
            </w:r>
          </w:p>
        </w:tc>
      </w:tr>
      <w:tr w:rsidR="0053389B" w14:paraId="02D7A37C" w14:textId="77777777" w:rsidTr="00FF1649">
        <w:trPr>
          <w:trHeight w:val="476"/>
        </w:trPr>
        <w:tc>
          <w:tcPr>
            <w:tcW w:w="1166" w:type="pct"/>
          </w:tcPr>
          <w:p w14:paraId="27B97ED6" w14:textId="77777777" w:rsidR="0053389B" w:rsidRDefault="0053389B" w:rsidP="0053389B">
            <w:pPr>
              <w:pStyle w:val="TableBody"/>
            </w:pPr>
            <w:r>
              <w:lastRenderedPageBreak/>
              <w:t xml:space="preserve">DANSO </w:t>
            </w:r>
            <w:r w:rsidRPr="00BF1248">
              <w:rPr>
                <w:i/>
                <w:vertAlign w:val="subscript"/>
              </w:rPr>
              <w:t>q</w:t>
            </w:r>
          </w:p>
        </w:tc>
        <w:tc>
          <w:tcPr>
            <w:tcW w:w="516" w:type="pct"/>
          </w:tcPr>
          <w:p w14:paraId="1243A166" w14:textId="77777777" w:rsidR="0053389B" w:rsidRDefault="0053389B" w:rsidP="0053389B">
            <w:pPr>
              <w:pStyle w:val="TableBody"/>
            </w:pPr>
            <w:r>
              <w:t>MW</w:t>
            </w:r>
          </w:p>
        </w:tc>
        <w:tc>
          <w:tcPr>
            <w:tcW w:w="3318" w:type="pct"/>
          </w:tcPr>
          <w:p w14:paraId="47938EBC" w14:textId="77777777" w:rsidR="0053389B" w:rsidRDefault="0053389B" w:rsidP="0053389B">
            <w:pPr>
              <w:pStyle w:val="TableBody"/>
              <w:rPr>
                <w:i/>
              </w:rPr>
            </w:pPr>
            <w:r>
              <w:rPr>
                <w:i/>
              </w:rPr>
              <w:t>Day-Ahead Non-Spin Obligation per QSE</w:t>
            </w:r>
            <w:r>
              <w:t xml:space="preserve">—The Non-Spin capacity obligation for QSE </w:t>
            </w:r>
            <w:r>
              <w:rPr>
                <w:i/>
              </w:rPr>
              <w:t>q</w:t>
            </w:r>
            <w:r>
              <w:t xml:space="preserve"> for the DAM for the hour. </w:t>
            </w:r>
          </w:p>
        </w:tc>
      </w:tr>
      <w:tr w:rsidR="0053389B" w14:paraId="1D11C6BC" w14:textId="77777777" w:rsidTr="00FF1649">
        <w:tc>
          <w:tcPr>
            <w:tcW w:w="1166" w:type="pct"/>
          </w:tcPr>
          <w:p w14:paraId="25A76FB7" w14:textId="77777777" w:rsidR="0053389B" w:rsidRDefault="0053389B" w:rsidP="0053389B">
            <w:pPr>
              <w:pStyle w:val="TableBody"/>
            </w:pPr>
            <w:r>
              <w:t xml:space="preserve">DASANSQ </w:t>
            </w:r>
            <w:r w:rsidRPr="00BF1248">
              <w:rPr>
                <w:i/>
                <w:vertAlign w:val="subscript"/>
              </w:rPr>
              <w:t>q</w:t>
            </w:r>
          </w:p>
        </w:tc>
        <w:tc>
          <w:tcPr>
            <w:tcW w:w="516" w:type="pct"/>
          </w:tcPr>
          <w:p w14:paraId="237584A5" w14:textId="77777777" w:rsidR="0053389B" w:rsidRDefault="0053389B" w:rsidP="0053389B">
            <w:pPr>
              <w:pStyle w:val="TableBody"/>
            </w:pPr>
            <w:r>
              <w:t>MW</w:t>
            </w:r>
          </w:p>
        </w:tc>
        <w:tc>
          <w:tcPr>
            <w:tcW w:w="3318" w:type="pct"/>
          </w:tcPr>
          <w:p w14:paraId="6E6E6B28" w14:textId="77777777" w:rsidR="0053389B" w:rsidRDefault="0053389B" w:rsidP="0053389B">
            <w:pPr>
              <w:pStyle w:val="TableBody"/>
              <w:rPr>
                <w:i/>
              </w:rPr>
            </w:pPr>
            <w:r>
              <w:rPr>
                <w:i/>
              </w:rPr>
              <w:t>Day-Ahead Self-Arranged Non-Spin Quantity per QSE</w:t>
            </w:r>
            <w:r>
              <w:t xml:space="preserve">—The self-arranged Non-Spin quantity submitted by QSE </w:t>
            </w:r>
            <w:r>
              <w:rPr>
                <w:i/>
              </w:rPr>
              <w:t>q</w:t>
            </w:r>
            <w:r>
              <w:t xml:space="preserve"> before 1000 in the Day-Ahead.</w:t>
            </w:r>
          </w:p>
        </w:tc>
      </w:tr>
      <w:tr w:rsidR="0053389B" w14:paraId="4EBEB2E6" w14:textId="77777777" w:rsidTr="00FF1649">
        <w:tc>
          <w:tcPr>
            <w:tcW w:w="1166" w:type="pct"/>
          </w:tcPr>
          <w:p w14:paraId="4E01CEAC" w14:textId="77777777" w:rsidR="0053389B" w:rsidRPr="00BF1248" w:rsidRDefault="0053389B" w:rsidP="0053389B">
            <w:pPr>
              <w:pStyle w:val="TableBody"/>
              <w:rPr>
                <w:i/>
              </w:rPr>
            </w:pPr>
            <w:r w:rsidRPr="00BF1248">
              <w:rPr>
                <w:i/>
              </w:rPr>
              <w:t>q</w:t>
            </w:r>
          </w:p>
        </w:tc>
        <w:tc>
          <w:tcPr>
            <w:tcW w:w="516" w:type="pct"/>
          </w:tcPr>
          <w:p w14:paraId="3662750D" w14:textId="77777777" w:rsidR="0053389B" w:rsidRDefault="0053389B" w:rsidP="0053389B">
            <w:pPr>
              <w:pStyle w:val="TableBody"/>
              <w:rPr>
                <w:i/>
              </w:rPr>
            </w:pPr>
            <w:r>
              <w:t>none</w:t>
            </w:r>
          </w:p>
        </w:tc>
        <w:tc>
          <w:tcPr>
            <w:tcW w:w="3318" w:type="pct"/>
          </w:tcPr>
          <w:p w14:paraId="7A314205" w14:textId="77777777" w:rsidR="0053389B" w:rsidRDefault="0053389B" w:rsidP="0053389B">
            <w:pPr>
              <w:pStyle w:val="TableBody"/>
            </w:pPr>
            <w:r>
              <w:t>A QSE.</w:t>
            </w:r>
          </w:p>
        </w:tc>
      </w:tr>
    </w:tbl>
    <w:p w14:paraId="15AB93A6" w14:textId="77777777" w:rsidR="00C24CB5" w:rsidRDefault="00C24CB5" w:rsidP="00C24CB5"/>
    <w:tbl>
      <w:tblPr>
        <w:tblW w:w="5000"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24CB5" w:rsidRPr="004B32CF" w14:paraId="008D3D04" w14:textId="77777777" w:rsidTr="007258B7">
        <w:trPr>
          <w:trHeight w:val="386"/>
        </w:trPr>
        <w:tc>
          <w:tcPr>
            <w:tcW w:w="5000" w:type="pct"/>
            <w:shd w:val="pct12" w:color="auto" w:fill="auto"/>
          </w:tcPr>
          <w:p w14:paraId="724BFBC0" w14:textId="77777777" w:rsidR="00C24CB5" w:rsidRPr="004B32CF" w:rsidRDefault="00C24CB5" w:rsidP="007258B7">
            <w:pPr>
              <w:spacing w:before="120" w:after="240"/>
              <w:rPr>
                <w:b/>
                <w:i/>
                <w:iCs/>
              </w:rPr>
            </w:pPr>
            <w:r>
              <w:rPr>
                <w:b/>
                <w:i/>
                <w:iCs/>
              </w:rPr>
              <w:t>[NPRR1008:  Replace paragraph (1</w:t>
            </w:r>
            <w:r w:rsidRPr="004B32CF">
              <w:rPr>
                <w:b/>
                <w:i/>
                <w:iCs/>
              </w:rPr>
              <w:t>) above with the following upon system implementation</w:t>
            </w:r>
            <w:r>
              <w:rPr>
                <w:b/>
                <w:i/>
                <w:iCs/>
              </w:rPr>
              <w:t xml:space="preserve"> of the Real-Time Co-Optimization (RTC) project</w:t>
            </w:r>
            <w:r w:rsidRPr="004B32CF">
              <w:rPr>
                <w:b/>
                <w:i/>
                <w:iCs/>
              </w:rPr>
              <w:t>:]</w:t>
            </w:r>
          </w:p>
          <w:p w14:paraId="2550D086" w14:textId="77777777" w:rsidR="00C24CB5" w:rsidRPr="006145CA" w:rsidRDefault="00C24CB5" w:rsidP="00C24CB5">
            <w:pPr>
              <w:pStyle w:val="BodyText"/>
              <w:ind w:left="720" w:hanging="720"/>
            </w:pPr>
            <w:r w:rsidRPr="006145CA">
              <w:t>(1)</w:t>
            </w:r>
            <w:r w:rsidRPr="006145CA">
              <w:tab/>
              <w:t>Each QSE shall pay to ERCOT or be paid by ERCOT a Non-Spin Service charge for each hour as follows:</w:t>
            </w:r>
          </w:p>
          <w:p w14:paraId="285C5FE0" w14:textId="77777777" w:rsidR="00C24CB5" w:rsidRPr="006145CA" w:rsidRDefault="00C24CB5" w:rsidP="00D46800">
            <w:pPr>
              <w:pStyle w:val="Formula"/>
            </w:pPr>
            <w:r w:rsidRPr="006145CA">
              <w:t xml:space="preserve">DANSAMT </w:t>
            </w:r>
            <w:r w:rsidRPr="006145CA">
              <w:rPr>
                <w:i/>
                <w:vertAlign w:val="subscript"/>
              </w:rPr>
              <w:t>q</w:t>
            </w:r>
            <w:r w:rsidRPr="006145CA">
              <w:tab/>
              <w:t>=</w:t>
            </w:r>
            <w:r w:rsidRPr="006145CA">
              <w:tab/>
            </w:r>
            <w:r w:rsidRPr="006145CA">
              <w:rPr>
                <w:lang w:val="fr-FR"/>
              </w:rPr>
              <w:t>DANSPR</w:t>
            </w:r>
            <w:r w:rsidRPr="006145CA">
              <w:t xml:space="preserve"> * DANSQ </w:t>
            </w:r>
            <w:r w:rsidRPr="006145CA">
              <w:rPr>
                <w:i/>
                <w:vertAlign w:val="subscript"/>
              </w:rPr>
              <w:t>q</w:t>
            </w:r>
          </w:p>
          <w:p w14:paraId="7AD6DAE1" w14:textId="77777777" w:rsidR="00C24CB5" w:rsidRPr="006145CA" w:rsidRDefault="00C24CB5" w:rsidP="00C24CB5">
            <w:pPr>
              <w:pStyle w:val="BodyText"/>
              <w:rPr>
                <w:lang w:val="fr-FR"/>
              </w:rPr>
            </w:pPr>
            <w:r w:rsidRPr="006145CA">
              <w:rPr>
                <w:lang w:val="fr-FR"/>
              </w:rPr>
              <w:t>Where:</w:t>
            </w:r>
          </w:p>
          <w:p w14:paraId="1F97E705" w14:textId="77777777" w:rsidR="00C24CB5" w:rsidRPr="006145CA" w:rsidRDefault="00C24CB5" w:rsidP="00D46800">
            <w:pPr>
              <w:pStyle w:val="Formula"/>
            </w:pPr>
            <w:r w:rsidRPr="006145CA">
              <w:t>DANSPR</w:t>
            </w:r>
            <w:r w:rsidRPr="006145CA">
              <w:tab/>
              <w:t xml:space="preserve">= </w:t>
            </w:r>
            <w:r w:rsidRPr="006145CA">
              <w:tab/>
              <w:t>(-1) * DAPCNSAMTTOT / DANSQTOT</w:t>
            </w:r>
          </w:p>
          <w:p w14:paraId="21867945" w14:textId="77777777" w:rsidR="00C24CB5" w:rsidRPr="006145CA" w:rsidRDefault="00C24CB5" w:rsidP="00D46800">
            <w:pPr>
              <w:pStyle w:val="Formula"/>
            </w:pPr>
            <w:r w:rsidRPr="006145CA">
              <w:fldChar w:fldCharType="begin"/>
            </w:r>
            <w:r w:rsidRPr="006145CA">
              <w:fldChar w:fldCharType="end"/>
            </w:r>
            <w:r>
              <w:t>DA</w:t>
            </w:r>
            <w:r w:rsidRPr="006145CA">
              <w:t>PCNSAMTTOT</w:t>
            </w:r>
            <w:r w:rsidRPr="006145CA">
              <w:tab/>
              <w:t>=</w:t>
            </w:r>
            <w:r w:rsidRPr="006145CA">
              <w:tab/>
            </w:r>
            <w:r w:rsidRPr="006145CA">
              <w:rPr>
                <w:position w:val="-22"/>
              </w:rPr>
              <w:object w:dxaOrig="288" w:dyaOrig="438" w14:anchorId="562EA625">
                <v:shape id="_x0000_i1055" type="#_x0000_t75" style="width:13.8pt;height:21.6pt" o:ole="">
                  <v:imagedata r:id="rId50" o:title=""/>
                </v:shape>
                <o:OLEObject Type="Embed" ProgID="Equation.3" ShapeID="_x0000_i1055" DrawAspect="Content" ObjectID="_1775281348" r:id="rId62"/>
              </w:object>
            </w:r>
            <w:r>
              <w:t>(</w:t>
            </w:r>
            <w:r w:rsidRPr="006145CA">
              <w:t xml:space="preserve">PCNSAMT </w:t>
            </w:r>
            <w:r w:rsidRPr="006145CA">
              <w:rPr>
                <w:i/>
                <w:vertAlign w:val="subscript"/>
              </w:rPr>
              <w:t>q</w:t>
            </w:r>
            <w:r w:rsidRPr="006145CA">
              <w:t xml:space="preserve"> + DAPCNSOAMT </w:t>
            </w:r>
            <w:r w:rsidRPr="006145CA">
              <w:rPr>
                <w:i/>
                <w:vertAlign w:val="subscript"/>
              </w:rPr>
              <w:t>q</w:t>
            </w:r>
            <w:r w:rsidRPr="006145CA">
              <w:t>)</w:t>
            </w:r>
          </w:p>
          <w:p w14:paraId="3EE7065C" w14:textId="77777777" w:rsidR="00C24CB5" w:rsidRPr="006145CA" w:rsidRDefault="00C24CB5" w:rsidP="00D46800">
            <w:pPr>
              <w:pStyle w:val="Formula"/>
              <w:rPr>
                <w:lang w:val="fr-FR"/>
              </w:rPr>
            </w:pPr>
            <w:r w:rsidRPr="006145CA">
              <w:rPr>
                <w:lang w:val="fr-FR"/>
              </w:rPr>
              <w:t>DANSQTOT</w:t>
            </w:r>
            <w:r w:rsidRPr="006145CA">
              <w:rPr>
                <w:lang w:val="fr-FR"/>
              </w:rPr>
              <w:tab/>
              <w:t>=</w:t>
            </w:r>
            <w:r w:rsidRPr="006145CA">
              <w:rPr>
                <w:lang w:val="fr-FR"/>
              </w:rPr>
              <w:tab/>
            </w:r>
            <w:r w:rsidRPr="006145CA">
              <w:rPr>
                <w:position w:val="-22"/>
              </w:rPr>
              <w:object w:dxaOrig="288" w:dyaOrig="438" w14:anchorId="56A8D06D">
                <v:shape id="_x0000_i1056" type="#_x0000_t75" style="width:13.8pt;height:21.6pt" o:ole="">
                  <v:imagedata r:id="rId50" o:title=""/>
                </v:shape>
                <o:OLEObject Type="Embed" ProgID="Equation.3" ShapeID="_x0000_i1056" DrawAspect="Content" ObjectID="_1775281349" r:id="rId63"/>
              </w:object>
            </w:r>
            <w:r w:rsidRPr="006145CA">
              <w:rPr>
                <w:lang w:val="fr-FR"/>
              </w:rPr>
              <w:t xml:space="preserve">DANSQ </w:t>
            </w:r>
            <w:r w:rsidRPr="006145CA">
              <w:rPr>
                <w:i/>
                <w:vertAlign w:val="subscript"/>
                <w:lang w:val="fr-FR"/>
              </w:rPr>
              <w:t>q</w:t>
            </w:r>
          </w:p>
          <w:p w14:paraId="3FEBDD66" w14:textId="77777777" w:rsidR="00C24CB5" w:rsidRPr="006145CA" w:rsidRDefault="00C24CB5" w:rsidP="00D46800">
            <w:pPr>
              <w:pStyle w:val="Formula"/>
            </w:pPr>
            <w:r w:rsidRPr="006145CA">
              <w:t xml:space="preserve">DANSQ </w:t>
            </w:r>
            <w:r w:rsidRPr="006145CA">
              <w:rPr>
                <w:i/>
                <w:vertAlign w:val="subscript"/>
              </w:rPr>
              <w:t>q</w:t>
            </w:r>
            <w:r w:rsidRPr="006145CA">
              <w:tab/>
              <w:t>=</w:t>
            </w:r>
            <w:r w:rsidRPr="006145CA">
              <w:tab/>
              <w:t xml:space="preserve">DANSO </w:t>
            </w:r>
            <w:r w:rsidRPr="006145CA">
              <w:rPr>
                <w:i/>
                <w:vertAlign w:val="subscript"/>
              </w:rPr>
              <w:t>q</w:t>
            </w:r>
            <w:r w:rsidRPr="006145CA">
              <w:t xml:space="preserve"> – DASANSQ </w:t>
            </w:r>
            <w:r w:rsidRPr="006145CA">
              <w:rPr>
                <w:i/>
                <w:vertAlign w:val="subscript"/>
              </w:rPr>
              <w:t>q</w:t>
            </w:r>
          </w:p>
          <w:p w14:paraId="5699740F" w14:textId="77777777" w:rsidR="00C24CB5" w:rsidRPr="006145CA" w:rsidRDefault="00C24CB5" w:rsidP="00C24CB5">
            <w:r w:rsidRPr="006145CA">
              <w:t xml:space="preserve">The above variables are defined as follows: </w:t>
            </w:r>
          </w:p>
          <w:tbl>
            <w:tblPr>
              <w:tblW w:w="5002" w:type="pc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5"/>
              <w:gridCol w:w="941"/>
              <w:gridCol w:w="6048"/>
            </w:tblGrid>
            <w:tr w:rsidR="00C24CB5" w:rsidRPr="006145CA" w14:paraId="479A3AE0" w14:textId="77777777" w:rsidTr="007258B7">
              <w:tc>
                <w:tcPr>
                  <w:tcW w:w="1166" w:type="pct"/>
                </w:tcPr>
                <w:p w14:paraId="580653C4" w14:textId="77777777" w:rsidR="00C24CB5" w:rsidRPr="006145CA" w:rsidRDefault="00C24CB5" w:rsidP="00C24CB5">
                  <w:pPr>
                    <w:pStyle w:val="TableHead"/>
                  </w:pPr>
                  <w:r w:rsidRPr="006145CA">
                    <w:t>Variable</w:t>
                  </w:r>
                </w:p>
              </w:tc>
              <w:tc>
                <w:tcPr>
                  <w:tcW w:w="516" w:type="pct"/>
                </w:tcPr>
                <w:p w14:paraId="05C86AC3" w14:textId="77777777" w:rsidR="00C24CB5" w:rsidRPr="006145CA" w:rsidRDefault="00C24CB5" w:rsidP="00C24CB5">
                  <w:pPr>
                    <w:pStyle w:val="TableHead"/>
                  </w:pPr>
                  <w:r w:rsidRPr="006145CA">
                    <w:t>Unit</w:t>
                  </w:r>
                </w:p>
              </w:tc>
              <w:tc>
                <w:tcPr>
                  <w:tcW w:w="3318" w:type="pct"/>
                </w:tcPr>
                <w:p w14:paraId="74B4652C" w14:textId="77777777" w:rsidR="00C24CB5" w:rsidRPr="006145CA" w:rsidRDefault="00C24CB5" w:rsidP="00C24CB5">
                  <w:pPr>
                    <w:pStyle w:val="TableHead"/>
                  </w:pPr>
                  <w:r w:rsidRPr="006145CA">
                    <w:t>Definition</w:t>
                  </w:r>
                </w:p>
              </w:tc>
            </w:tr>
            <w:tr w:rsidR="00C24CB5" w:rsidRPr="006145CA" w14:paraId="74BBC668" w14:textId="77777777" w:rsidTr="007258B7">
              <w:tc>
                <w:tcPr>
                  <w:tcW w:w="1166" w:type="pct"/>
                </w:tcPr>
                <w:p w14:paraId="02D180D1" w14:textId="77777777" w:rsidR="00C24CB5" w:rsidRPr="006145CA" w:rsidRDefault="00C24CB5" w:rsidP="00C24CB5">
                  <w:pPr>
                    <w:pStyle w:val="TableBody"/>
                  </w:pPr>
                  <w:r w:rsidRPr="006145CA">
                    <w:t xml:space="preserve">DANSAMT </w:t>
                  </w:r>
                  <w:r w:rsidRPr="006145CA">
                    <w:rPr>
                      <w:i/>
                      <w:vertAlign w:val="subscript"/>
                    </w:rPr>
                    <w:t>q</w:t>
                  </w:r>
                </w:p>
              </w:tc>
              <w:tc>
                <w:tcPr>
                  <w:tcW w:w="516" w:type="pct"/>
                </w:tcPr>
                <w:p w14:paraId="3A477272" w14:textId="77777777" w:rsidR="00C24CB5" w:rsidRPr="006145CA" w:rsidRDefault="00C24CB5" w:rsidP="00C24CB5">
                  <w:pPr>
                    <w:pStyle w:val="TableBody"/>
                  </w:pPr>
                  <w:r w:rsidRPr="006145CA">
                    <w:t>$</w:t>
                  </w:r>
                </w:p>
              </w:tc>
              <w:tc>
                <w:tcPr>
                  <w:tcW w:w="3318" w:type="pct"/>
                </w:tcPr>
                <w:p w14:paraId="61FE52CF" w14:textId="77777777" w:rsidR="00C24CB5" w:rsidRPr="006145CA" w:rsidRDefault="00C24CB5" w:rsidP="00C24CB5">
                  <w:pPr>
                    <w:pStyle w:val="TableBody"/>
                  </w:pPr>
                  <w:r w:rsidRPr="006145CA">
                    <w:rPr>
                      <w:i/>
                    </w:rPr>
                    <w:t>Day-Ahead Non-Spin Amount per QSE</w:t>
                  </w:r>
                  <w:r w:rsidRPr="006145CA">
                    <w:t xml:space="preserve">—QSE </w:t>
                  </w:r>
                  <w:r w:rsidRPr="006145CA">
                    <w:rPr>
                      <w:i/>
                    </w:rPr>
                    <w:t>q</w:t>
                  </w:r>
                  <w:r w:rsidRPr="006145CA">
                    <w:t>’s share of the DAM cost for Non-Spin, for the hour.</w:t>
                  </w:r>
                </w:p>
              </w:tc>
            </w:tr>
            <w:tr w:rsidR="00C24CB5" w:rsidRPr="006145CA" w14:paraId="07A2F24B" w14:textId="77777777" w:rsidTr="007258B7">
              <w:tc>
                <w:tcPr>
                  <w:tcW w:w="1166" w:type="pct"/>
                </w:tcPr>
                <w:p w14:paraId="62B7839B" w14:textId="77777777" w:rsidR="00C24CB5" w:rsidRPr="006145CA" w:rsidRDefault="00C24CB5" w:rsidP="00C24CB5">
                  <w:pPr>
                    <w:pStyle w:val="TableBody"/>
                  </w:pPr>
                  <w:r w:rsidRPr="006145CA">
                    <w:t>DANSPR</w:t>
                  </w:r>
                </w:p>
              </w:tc>
              <w:tc>
                <w:tcPr>
                  <w:tcW w:w="516" w:type="pct"/>
                </w:tcPr>
                <w:p w14:paraId="3540CD04" w14:textId="77777777" w:rsidR="00C24CB5" w:rsidRPr="006145CA" w:rsidRDefault="00C24CB5" w:rsidP="00C24CB5">
                  <w:pPr>
                    <w:pStyle w:val="TableBody"/>
                  </w:pPr>
                  <w:r w:rsidRPr="006145CA">
                    <w:t>$/MW</w:t>
                  </w:r>
                </w:p>
              </w:tc>
              <w:tc>
                <w:tcPr>
                  <w:tcW w:w="3318" w:type="pct"/>
                </w:tcPr>
                <w:p w14:paraId="1205E806" w14:textId="77777777" w:rsidR="00C24CB5" w:rsidRPr="006145CA" w:rsidRDefault="00C24CB5" w:rsidP="00C24CB5">
                  <w:pPr>
                    <w:pStyle w:val="TableBody"/>
                  </w:pPr>
                  <w:r w:rsidRPr="006145CA">
                    <w:rPr>
                      <w:i/>
                    </w:rPr>
                    <w:t>Day-Ahead Non-Spin Price</w:t>
                  </w:r>
                  <w:r w:rsidRPr="006145CA">
                    <w:t>—The Day-Ahead Non-Spin price for the hour.</w:t>
                  </w:r>
                </w:p>
              </w:tc>
            </w:tr>
            <w:tr w:rsidR="00C24CB5" w:rsidRPr="006145CA" w14:paraId="6D93E4C5" w14:textId="77777777" w:rsidTr="007258B7">
              <w:tc>
                <w:tcPr>
                  <w:tcW w:w="1166" w:type="pct"/>
                </w:tcPr>
                <w:p w14:paraId="1135DEFF" w14:textId="77777777" w:rsidR="00C24CB5" w:rsidRPr="006145CA" w:rsidRDefault="00C24CB5" w:rsidP="00C24CB5">
                  <w:pPr>
                    <w:pStyle w:val="TableBody"/>
                  </w:pPr>
                  <w:r w:rsidRPr="006145CA">
                    <w:t xml:space="preserve">DANSQ </w:t>
                  </w:r>
                  <w:r w:rsidRPr="006145CA">
                    <w:rPr>
                      <w:i/>
                      <w:vertAlign w:val="subscript"/>
                    </w:rPr>
                    <w:t>q</w:t>
                  </w:r>
                </w:p>
              </w:tc>
              <w:tc>
                <w:tcPr>
                  <w:tcW w:w="516" w:type="pct"/>
                </w:tcPr>
                <w:p w14:paraId="5AB89582" w14:textId="77777777" w:rsidR="00C24CB5" w:rsidRPr="006145CA" w:rsidRDefault="00C24CB5" w:rsidP="00C24CB5">
                  <w:pPr>
                    <w:pStyle w:val="TableBody"/>
                  </w:pPr>
                  <w:r w:rsidRPr="006145CA">
                    <w:t>MW</w:t>
                  </w:r>
                </w:p>
              </w:tc>
              <w:tc>
                <w:tcPr>
                  <w:tcW w:w="3318" w:type="pct"/>
                </w:tcPr>
                <w:p w14:paraId="764C70E4" w14:textId="77777777" w:rsidR="00C24CB5" w:rsidRPr="006145CA" w:rsidRDefault="00C24CB5" w:rsidP="00C24CB5">
                  <w:pPr>
                    <w:pStyle w:val="TableBody"/>
                    <w:rPr>
                      <w:i/>
                    </w:rPr>
                  </w:pPr>
                  <w:r w:rsidRPr="006145CA">
                    <w:rPr>
                      <w:i/>
                    </w:rPr>
                    <w:t>Day-Ahead Non-Spin Quantity per QSE</w:t>
                  </w:r>
                  <w:r w:rsidRPr="006145CA">
                    <w:t xml:space="preserve">—The QSE </w:t>
                  </w:r>
                  <w:r w:rsidRPr="006145CA">
                    <w:rPr>
                      <w:i/>
                    </w:rPr>
                    <w:t>q</w:t>
                  </w:r>
                  <w:r w:rsidRPr="006145CA">
                    <w:t>’s Day-Ahead Ancillary Service Obligation minus its self-arranged Non-Spin quantity for the hour.</w:t>
                  </w:r>
                </w:p>
              </w:tc>
            </w:tr>
            <w:tr w:rsidR="00C24CB5" w:rsidRPr="006145CA" w14:paraId="076A704C" w14:textId="77777777" w:rsidTr="007258B7">
              <w:tc>
                <w:tcPr>
                  <w:tcW w:w="1166" w:type="pct"/>
                </w:tcPr>
                <w:p w14:paraId="5DBC42D7" w14:textId="77777777" w:rsidR="00C24CB5" w:rsidRPr="006145CA" w:rsidRDefault="00C24CB5" w:rsidP="00C24CB5">
                  <w:pPr>
                    <w:pStyle w:val="TableBody"/>
                  </w:pPr>
                  <w:r w:rsidRPr="006145CA">
                    <w:t xml:space="preserve">DAPCNSAMTTOT </w:t>
                  </w:r>
                </w:p>
              </w:tc>
              <w:tc>
                <w:tcPr>
                  <w:tcW w:w="516" w:type="pct"/>
                </w:tcPr>
                <w:p w14:paraId="1A5D13E4" w14:textId="77777777" w:rsidR="00C24CB5" w:rsidRPr="006145CA" w:rsidRDefault="00C24CB5" w:rsidP="00C24CB5">
                  <w:pPr>
                    <w:pStyle w:val="TableBody"/>
                  </w:pPr>
                  <w:r w:rsidRPr="006145CA">
                    <w:t>$</w:t>
                  </w:r>
                </w:p>
              </w:tc>
              <w:tc>
                <w:tcPr>
                  <w:tcW w:w="3318" w:type="pct"/>
                </w:tcPr>
                <w:p w14:paraId="7FD0C6E0" w14:textId="77777777" w:rsidR="00C24CB5" w:rsidRPr="006145CA" w:rsidRDefault="00C24CB5" w:rsidP="00C24CB5">
                  <w:pPr>
                    <w:pStyle w:val="TableBody"/>
                    <w:rPr>
                      <w:i/>
                    </w:rPr>
                  </w:pPr>
                  <w:r>
                    <w:rPr>
                      <w:i/>
                    </w:rPr>
                    <w:t xml:space="preserve">Day-Ahead </w:t>
                  </w:r>
                  <w:r w:rsidRPr="006145CA">
                    <w:rPr>
                      <w:i/>
                    </w:rPr>
                    <w:t>Procured Capacity for Non-Spin Amount Total</w:t>
                  </w:r>
                  <w:r w:rsidRPr="006145CA">
                    <w:t>—The total of the DAM Non-Spin payments for all QSEs for the hour.</w:t>
                  </w:r>
                </w:p>
              </w:tc>
            </w:tr>
            <w:tr w:rsidR="00C24CB5" w:rsidRPr="006145CA" w14:paraId="5F3BB387" w14:textId="77777777" w:rsidTr="007258B7">
              <w:tc>
                <w:tcPr>
                  <w:tcW w:w="1166" w:type="pct"/>
                </w:tcPr>
                <w:p w14:paraId="1962BCE6" w14:textId="77777777" w:rsidR="00C24CB5" w:rsidRPr="006145CA" w:rsidRDefault="00C24CB5" w:rsidP="00C24CB5">
                  <w:pPr>
                    <w:pStyle w:val="TableBody"/>
                  </w:pPr>
                  <w:r w:rsidRPr="006145CA">
                    <w:t xml:space="preserve">PCNSAMT </w:t>
                  </w:r>
                  <w:r w:rsidRPr="006145CA">
                    <w:rPr>
                      <w:i/>
                      <w:vertAlign w:val="subscript"/>
                    </w:rPr>
                    <w:t>q</w:t>
                  </w:r>
                </w:p>
              </w:tc>
              <w:tc>
                <w:tcPr>
                  <w:tcW w:w="516" w:type="pct"/>
                </w:tcPr>
                <w:p w14:paraId="7BF57A40" w14:textId="77777777" w:rsidR="00C24CB5" w:rsidRPr="006145CA" w:rsidRDefault="00C24CB5" w:rsidP="00C24CB5">
                  <w:pPr>
                    <w:pStyle w:val="TableBody"/>
                  </w:pPr>
                  <w:r w:rsidRPr="006145CA">
                    <w:t>$</w:t>
                  </w:r>
                </w:p>
              </w:tc>
              <w:tc>
                <w:tcPr>
                  <w:tcW w:w="3318" w:type="pct"/>
                </w:tcPr>
                <w:p w14:paraId="135FDA05" w14:textId="77777777" w:rsidR="00C24CB5" w:rsidRPr="006145CA" w:rsidRDefault="00C24CB5" w:rsidP="00C24CB5">
                  <w:pPr>
                    <w:pStyle w:val="TableBody"/>
                    <w:rPr>
                      <w:i/>
                    </w:rPr>
                  </w:pPr>
                  <w:r w:rsidRPr="006145CA">
                    <w:rPr>
                      <w:i/>
                    </w:rPr>
                    <w:t>Procured Capacity for Non-Spin Amount per QSE in DAM</w:t>
                  </w:r>
                  <w:r w:rsidRPr="006145CA">
                    <w:t xml:space="preserve">—The DAM Non-Spin payment for QSE </w:t>
                  </w:r>
                  <w:r w:rsidRPr="006145CA">
                    <w:rPr>
                      <w:i/>
                    </w:rPr>
                    <w:t>q</w:t>
                  </w:r>
                  <w:r w:rsidRPr="006145CA">
                    <w:t xml:space="preserve"> for the hour.</w:t>
                  </w:r>
                </w:p>
              </w:tc>
            </w:tr>
            <w:tr w:rsidR="00C24CB5" w:rsidRPr="006145CA" w14:paraId="21C7460A" w14:textId="77777777" w:rsidTr="007258B7">
              <w:tc>
                <w:tcPr>
                  <w:tcW w:w="1166" w:type="pct"/>
                </w:tcPr>
                <w:p w14:paraId="10632759" w14:textId="77777777" w:rsidR="00C24CB5" w:rsidRPr="006145CA" w:rsidDel="0023057D" w:rsidRDefault="00C24CB5" w:rsidP="00C24CB5">
                  <w:pPr>
                    <w:pStyle w:val="TableBody"/>
                  </w:pPr>
                  <w:r w:rsidRPr="006145CA">
                    <w:t xml:space="preserve">DAPCNSOAMT </w:t>
                  </w:r>
                  <w:r w:rsidRPr="006145CA">
                    <w:rPr>
                      <w:i/>
                      <w:vertAlign w:val="subscript"/>
                    </w:rPr>
                    <w:t>q</w:t>
                  </w:r>
                </w:p>
              </w:tc>
              <w:tc>
                <w:tcPr>
                  <w:tcW w:w="516" w:type="pct"/>
                </w:tcPr>
                <w:p w14:paraId="46E94AFD" w14:textId="77777777" w:rsidR="00C24CB5" w:rsidRPr="006145CA" w:rsidDel="0023057D" w:rsidRDefault="00C24CB5" w:rsidP="00C24CB5">
                  <w:pPr>
                    <w:pStyle w:val="TableBody"/>
                  </w:pPr>
                  <w:r w:rsidRPr="006145CA">
                    <w:t>$</w:t>
                  </w:r>
                </w:p>
              </w:tc>
              <w:tc>
                <w:tcPr>
                  <w:tcW w:w="3318" w:type="pct"/>
                </w:tcPr>
                <w:p w14:paraId="7EEE9496" w14:textId="77777777" w:rsidR="00C24CB5" w:rsidRPr="006145CA" w:rsidDel="0023057D" w:rsidRDefault="00C24CB5" w:rsidP="00C24CB5">
                  <w:pPr>
                    <w:pStyle w:val="TableBody"/>
                    <w:rPr>
                      <w:i/>
                    </w:rPr>
                  </w:pPr>
                  <w:r>
                    <w:rPr>
                      <w:i/>
                    </w:rPr>
                    <w:t>Day-Ahead Procured Capacity for Non-Spin</w:t>
                  </w:r>
                  <w:r w:rsidRPr="006145CA">
                    <w:rPr>
                      <w:i/>
                    </w:rPr>
                    <w:t xml:space="preserve"> Only </w:t>
                  </w:r>
                  <w:r>
                    <w:rPr>
                      <w:i/>
                    </w:rPr>
                    <w:t>Amount</w:t>
                  </w:r>
                  <w:r w:rsidRPr="006145CA">
                    <w:rPr>
                      <w:i/>
                    </w:rPr>
                    <w:t xml:space="preserve"> per QSE</w:t>
                  </w:r>
                  <w:r w:rsidRPr="006145CA">
                    <w:t xml:space="preserve">— The payment to QSE </w:t>
                  </w:r>
                  <w:r w:rsidRPr="006145CA">
                    <w:rPr>
                      <w:i/>
                    </w:rPr>
                    <w:t>q</w:t>
                  </w:r>
                  <w:r w:rsidRPr="006145CA">
                    <w:t xml:space="preserve"> </w:t>
                  </w:r>
                  <w:r>
                    <w:t>f</w:t>
                  </w:r>
                  <w:r w:rsidRPr="006145CA">
                    <w:t xml:space="preserve">or all </w:t>
                  </w:r>
                  <w:r>
                    <w:t>Non-Spin</w:t>
                  </w:r>
                  <w:r w:rsidRPr="006145CA">
                    <w:t xml:space="preserve"> only awards </w:t>
                  </w:r>
                  <w:r>
                    <w:t xml:space="preserve">in DAM </w:t>
                  </w:r>
                  <w:r w:rsidRPr="006145CA">
                    <w:t>for the hour.</w:t>
                  </w:r>
                </w:p>
              </w:tc>
            </w:tr>
            <w:tr w:rsidR="00C24CB5" w:rsidRPr="006145CA" w14:paraId="4A56DE75" w14:textId="77777777" w:rsidTr="007258B7">
              <w:tc>
                <w:tcPr>
                  <w:tcW w:w="1166" w:type="pct"/>
                </w:tcPr>
                <w:p w14:paraId="74D6B7BC" w14:textId="77777777" w:rsidR="00C24CB5" w:rsidRPr="006145CA" w:rsidRDefault="00C24CB5" w:rsidP="00C24CB5">
                  <w:pPr>
                    <w:pStyle w:val="TableBody"/>
                  </w:pPr>
                  <w:r w:rsidRPr="006145CA">
                    <w:t>DANSQTOT</w:t>
                  </w:r>
                </w:p>
              </w:tc>
              <w:tc>
                <w:tcPr>
                  <w:tcW w:w="516" w:type="pct"/>
                </w:tcPr>
                <w:p w14:paraId="6C5399C9" w14:textId="77777777" w:rsidR="00C24CB5" w:rsidRPr="006145CA" w:rsidRDefault="00C24CB5" w:rsidP="00C24CB5">
                  <w:pPr>
                    <w:pStyle w:val="TableBody"/>
                  </w:pPr>
                  <w:r w:rsidRPr="006145CA">
                    <w:t>MW</w:t>
                  </w:r>
                </w:p>
              </w:tc>
              <w:tc>
                <w:tcPr>
                  <w:tcW w:w="3318" w:type="pct"/>
                </w:tcPr>
                <w:p w14:paraId="5E3FA2D6" w14:textId="77777777" w:rsidR="00C24CB5" w:rsidRPr="006145CA" w:rsidRDefault="00C24CB5" w:rsidP="00C24CB5">
                  <w:pPr>
                    <w:pStyle w:val="TableBody"/>
                    <w:rPr>
                      <w:i/>
                    </w:rPr>
                  </w:pPr>
                  <w:r w:rsidRPr="006145CA">
                    <w:rPr>
                      <w:i/>
                    </w:rPr>
                    <w:t>Day-Ahead Non-Spin Quantity Total</w:t>
                  </w:r>
                  <w:r w:rsidRPr="006145CA">
                    <w:t>—The sum of every QSE’s Day-Ahead Ancillary Service Obligation minus its self-arranged Non-Spin quantity for the hour.</w:t>
                  </w:r>
                </w:p>
              </w:tc>
            </w:tr>
            <w:tr w:rsidR="00C24CB5" w:rsidRPr="006145CA" w14:paraId="4861EA5A" w14:textId="77777777" w:rsidTr="007258B7">
              <w:trPr>
                <w:trHeight w:val="476"/>
              </w:trPr>
              <w:tc>
                <w:tcPr>
                  <w:tcW w:w="1166" w:type="pct"/>
                </w:tcPr>
                <w:p w14:paraId="01A10BDE" w14:textId="77777777" w:rsidR="00C24CB5" w:rsidRPr="006145CA" w:rsidRDefault="00C24CB5" w:rsidP="00C24CB5">
                  <w:pPr>
                    <w:pStyle w:val="TableBody"/>
                  </w:pPr>
                  <w:r w:rsidRPr="006145CA">
                    <w:t xml:space="preserve">DANSO </w:t>
                  </w:r>
                  <w:r w:rsidRPr="006145CA">
                    <w:rPr>
                      <w:i/>
                      <w:vertAlign w:val="subscript"/>
                    </w:rPr>
                    <w:t>q</w:t>
                  </w:r>
                </w:p>
              </w:tc>
              <w:tc>
                <w:tcPr>
                  <w:tcW w:w="516" w:type="pct"/>
                </w:tcPr>
                <w:p w14:paraId="1A510391" w14:textId="77777777" w:rsidR="00C24CB5" w:rsidRPr="006145CA" w:rsidRDefault="00C24CB5" w:rsidP="00C24CB5">
                  <w:pPr>
                    <w:pStyle w:val="TableBody"/>
                  </w:pPr>
                  <w:r w:rsidRPr="006145CA">
                    <w:t>MW</w:t>
                  </w:r>
                </w:p>
              </w:tc>
              <w:tc>
                <w:tcPr>
                  <w:tcW w:w="3318" w:type="pct"/>
                </w:tcPr>
                <w:p w14:paraId="310282D5" w14:textId="77777777" w:rsidR="00C24CB5" w:rsidRPr="006145CA" w:rsidRDefault="00C24CB5" w:rsidP="00C24CB5">
                  <w:pPr>
                    <w:pStyle w:val="TableBody"/>
                    <w:rPr>
                      <w:i/>
                    </w:rPr>
                  </w:pPr>
                  <w:r w:rsidRPr="006145CA">
                    <w:rPr>
                      <w:i/>
                    </w:rPr>
                    <w:t>Day-Ahead Non-Spin Obligation per QSE</w:t>
                  </w:r>
                  <w:r w:rsidRPr="006145CA">
                    <w:t xml:space="preserve">—The Non-Spin capacity obligation for QSE </w:t>
                  </w:r>
                  <w:r w:rsidRPr="006145CA">
                    <w:rPr>
                      <w:i/>
                    </w:rPr>
                    <w:t>q</w:t>
                  </w:r>
                  <w:r w:rsidRPr="006145CA">
                    <w:t xml:space="preserve"> for the DAM for the hour. </w:t>
                  </w:r>
                </w:p>
              </w:tc>
            </w:tr>
            <w:tr w:rsidR="00C24CB5" w:rsidRPr="006145CA" w14:paraId="7BED71F2" w14:textId="77777777" w:rsidTr="007258B7">
              <w:tc>
                <w:tcPr>
                  <w:tcW w:w="1166" w:type="pct"/>
                </w:tcPr>
                <w:p w14:paraId="6F684D08" w14:textId="77777777" w:rsidR="00C24CB5" w:rsidRPr="006145CA" w:rsidRDefault="00C24CB5" w:rsidP="00C24CB5">
                  <w:pPr>
                    <w:pStyle w:val="TableBody"/>
                  </w:pPr>
                  <w:r w:rsidRPr="006145CA">
                    <w:lastRenderedPageBreak/>
                    <w:t xml:space="preserve">DASANSQ </w:t>
                  </w:r>
                  <w:r w:rsidRPr="006145CA">
                    <w:rPr>
                      <w:i/>
                      <w:vertAlign w:val="subscript"/>
                    </w:rPr>
                    <w:t>q</w:t>
                  </w:r>
                </w:p>
              </w:tc>
              <w:tc>
                <w:tcPr>
                  <w:tcW w:w="516" w:type="pct"/>
                </w:tcPr>
                <w:p w14:paraId="0F601542" w14:textId="77777777" w:rsidR="00C24CB5" w:rsidRPr="006145CA" w:rsidRDefault="00C24CB5" w:rsidP="00C24CB5">
                  <w:pPr>
                    <w:pStyle w:val="TableBody"/>
                  </w:pPr>
                  <w:r w:rsidRPr="006145CA">
                    <w:t>MW</w:t>
                  </w:r>
                </w:p>
              </w:tc>
              <w:tc>
                <w:tcPr>
                  <w:tcW w:w="3318" w:type="pct"/>
                </w:tcPr>
                <w:p w14:paraId="741C476F" w14:textId="77777777" w:rsidR="00C24CB5" w:rsidRPr="006145CA" w:rsidRDefault="00C24CB5" w:rsidP="00C24CB5">
                  <w:pPr>
                    <w:pStyle w:val="TableBody"/>
                    <w:rPr>
                      <w:i/>
                    </w:rPr>
                  </w:pPr>
                  <w:r w:rsidRPr="006145CA">
                    <w:rPr>
                      <w:i/>
                    </w:rPr>
                    <w:t>Day-Ahead Self-Arranged Non-Spin Quantity per QSE</w:t>
                  </w:r>
                  <w:r w:rsidRPr="006145CA">
                    <w:t xml:space="preserve">—The self-arranged Non-Spin quantity submitted by QSE </w:t>
                  </w:r>
                  <w:r w:rsidRPr="006145CA">
                    <w:rPr>
                      <w:i/>
                    </w:rPr>
                    <w:t>q</w:t>
                  </w:r>
                  <w:r w:rsidRPr="006145CA">
                    <w:t xml:space="preserve"> before 1000 in the Day-Ahead.</w:t>
                  </w:r>
                </w:p>
              </w:tc>
            </w:tr>
            <w:tr w:rsidR="00C24CB5" w:rsidRPr="006145CA" w14:paraId="6C8CB7FA" w14:textId="77777777" w:rsidTr="007258B7">
              <w:tc>
                <w:tcPr>
                  <w:tcW w:w="1166" w:type="pct"/>
                </w:tcPr>
                <w:p w14:paraId="5F393E3C" w14:textId="77777777" w:rsidR="00C24CB5" w:rsidRPr="006145CA" w:rsidRDefault="00C24CB5" w:rsidP="00C24CB5">
                  <w:pPr>
                    <w:pStyle w:val="TableBody"/>
                    <w:rPr>
                      <w:i/>
                    </w:rPr>
                  </w:pPr>
                  <w:r w:rsidRPr="006145CA">
                    <w:rPr>
                      <w:i/>
                    </w:rPr>
                    <w:t>q</w:t>
                  </w:r>
                </w:p>
              </w:tc>
              <w:tc>
                <w:tcPr>
                  <w:tcW w:w="516" w:type="pct"/>
                </w:tcPr>
                <w:p w14:paraId="32155E3D" w14:textId="77777777" w:rsidR="00C24CB5" w:rsidRPr="006145CA" w:rsidRDefault="00C24CB5" w:rsidP="00C24CB5">
                  <w:pPr>
                    <w:pStyle w:val="TableBody"/>
                    <w:rPr>
                      <w:i/>
                    </w:rPr>
                  </w:pPr>
                  <w:r w:rsidRPr="006145CA">
                    <w:t>none</w:t>
                  </w:r>
                </w:p>
              </w:tc>
              <w:tc>
                <w:tcPr>
                  <w:tcW w:w="3318" w:type="pct"/>
                </w:tcPr>
                <w:p w14:paraId="78CD06D9" w14:textId="77777777" w:rsidR="00C24CB5" w:rsidRPr="006145CA" w:rsidRDefault="00C24CB5" w:rsidP="00C24CB5">
                  <w:pPr>
                    <w:pStyle w:val="TableBody"/>
                  </w:pPr>
                  <w:r w:rsidRPr="006145CA">
                    <w:t>A QSE.</w:t>
                  </w:r>
                </w:p>
              </w:tc>
            </w:tr>
          </w:tbl>
          <w:p w14:paraId="6F8FF3EA" w14:textId="77777777" w:rsidR="00C24CB5" w:rsidRPr="004B32CF" w:rsidRDefault="00C24CB5" w:rsidP="007258B7">
            <w:pPr>
              <w:pStyle w:val="BodyText"/>
              <w:ind w:left="720" w:hanging="720"/>
            </w:pPr>
          </w:p>
        </w:tc>
      </w:tr>
    </w:tbl>
    <w:p w14:paraId="269E0DDD" w14:textId="77777777" w:rsidR="007B3E40" w:rsidRPr="006145CA" w:rsidRDefault="007B3E40" w:rsidP="007B3E40">
      <w:pPr>
        <w:pStyle w:val="H5"/>
        <w:spacing w:before="480"/>
        <w:ind w:left="1627" w:hanging="1627"/>
        <w:rPr>
          <w:b w:val="0"/>
          <w:bCs w:val="0"/>
          <w:i w:val="0"/>
          <w:iCs w:val="0"/>
        </w:rPr>
      </w:pPr>
      <w:bookmarkStart w:id="847" w:name="_Toc17707831"/>
      <w:bookmarkStart w:id="848" w:name="_Toc135990703"/>
      <w:bookmarkStart w:id="849" w:name="_Hlk135899951"/>
      <w:r w:rsidRPr="006145CA">
        <w:lastRenderedPageBreak/>
        <w:t>4.6.4.2.5</w:t>
      </w:r>
      <w:r w:rsidRPr="006145CA">
        <w:tab/>
        <w:t xml:space="preserve"> ERCOT Contingency Reserve Service Charge</w:t>
      </w:r>
      <w:bookmarkEnd w:id="847"/>
      <w:bookmarkEnd w:id="848"/>
    </w:p>
    <w:p w14:paraId="18868B83" w14:textId="77777777" w:rsidR="007B3E40" w:rsidRPr="006145CA" w:rsidRDefault="007B3E40" w:rsidP="007B3E40">
      <w:pPr>
        <w:spacing w:before="120" w:after="120"/>
        <w:ind w:left="720" w:hanging="720"/>
      </w:pPr>
      <w:r w:rsidRPr="006145CA">
        <w:t>(1)</w:t>
      </w:r>
      <w:r w:rsidRPr="006145CA">
        <w:tab/>
        <w:t>Each QSE shall pay to ERCOT or be paid by ERCOT an ECRS charge for each hour as follows:</w:t>
      </w:r>
    </w:p>
    <w:p w14:paraId="7CA2EB37" w14:textId="77777777" w:rsidR="007B3E40" w:rsidRPr="006145CA" w:rsidRDefault="007B3E40" w:rsidP="007B3E40">
      <w:pPr>
        <w:tabs>
          <w:tab w:val="left" w:pos="2340"/>
          <w:tab w:val="left" w:pos="3420"/>
        </w:tabs>
        <w:spacing w:after="240"/>
        <w:ind w:left="3420" w:hanging="2700"/>
        <w:rPr>
          <w:bCs/>
        </w:rPr>
      </w:pPr>
      <w:r w:rsidRPr="006145CA">
        <w:rPr>
          <w:bCs/>
        </w:rPr>
        <w:t xml:space="preserve">DAECRAMT </w:t>
      </w:r>
      <w:r w:rsidRPr="006145CA">
        <w:rPr>
          <w:bCs/>
          <w:i/>
          <w:vertAlign w:val="subscript"/>
        </w:rPr>
        <w:t>q</w:t>
      </w:r>
      <w:r w:rsidRPr="006145CA">
        <w:rPr>
          <w:bCs/>
        </w:rPr>
        <w:tab/>
        <w:t>=</w:t>
      </w:r>
      <w:r w:rsidRPr="006145CA">
        <w:rPr>
          <w:bCs/>
        </w:rPr>
        <w:tab/>
      </w:r>
      <w:r w:rsidRPr="006145CA">
        <w:rPr>
          <w:bCs/>
          <w:lang w:val="pt-BR"/>
        </w:rPr>
        <w:t>DAECRPR</w:t>
      </w:r>
      <w:r w:rsidRPr="006145CA">
        <w:rPr>
          <w:bCs/>
        </w:rPr>
        <w:t xml:space="preserve"> * DAECRQ </w:t>
      </w:r>
      <w:r w:rsidRPr="006145CA">
        <w:rPr>
          <w:bCs/>
          <w:i/>
          <w:vertAlign w:val="subscript"/>
        </w:rPr>
        <w:t>q</w:t>
      </w:r>
    </w:p>
    <w:p w14:paraId="112699E4" w14:textId="77777777" w:rsidR="007B3E40" w:rsidRPr="006145CA" w:rsidRDefault="007B3E40" w:rsidP="007B3E40">
      <w:pPr>
        <w:spacing w:before="120" w:after="120"/>
        <w:rPr>
          <w:lang w:val="pt-BR"/>
        </w:rPr>
      </w:pPr>
      <w:r w:rsidRPr="006145CA">
        <w:rPr>
          <w:lang w:val="pt-BR"/>
        </w:rPr>
        <w:t>Where:</w:t>
      </w:r>
    </w:p>
    <w:p w14:paraId="10EA6B84" w14:textId="77777777" w:rsidR="007B3E40" w:rsidRPr="006145CA" w:rsidRDefault="007B3E40" w:rsidP="007B3E40">
      <w:pPr>
        <w:tabs>
          <w:tab w:val="left" w:pos="2340"/>
          <w:tab w:val="left" w:pos="3420"/>
        </w:tabs>
        <w:spacing w:after="240"/>
        <w:ind w:left="3420" w:hanging="2700"/>
        <w:rPr>
          <w:bCs/>
        </w:rPr>
      </w:pPr>
      <w:r w:rsidRPr="006145CA">
        <w:rPr>
          <w:bCs/>
        </w:rPr>
        <w:t>DAECRPR</w:t>
      </w:r>
      <w:r w:rsidRPr="006145CA">
        <w:rPr>
          <w:bCs/>
        </w:rPr>
        <w:tab/>
        <w:t xml:space="preserve">= </w:t>
      </w:r>
      <w:r w:rsidRPr="006145CA">
        <w:rPr>
          <w:bCs/>
        </w:rPr>
        <w:tab/>
        <w:t>(-1) * PCECRAMTTOT / DAECRQTOT</w:t>
      </w:r>
    </w:p>
    <w:p w14:paraId="0C2B5676" w14:textId="4DF09C78" w:rsidR="007B3E40" w:rsidRPr="006145CA" w:rsidRDefault="007B3E40" w:rsidP="007B3E40">
      <w:pPr>
        <w:tabs>
          <w:tab w:val="left" w:pos="2340"/>
          <w:tab w:val="left" w:pos="3420"/>
        </w:tabs>
        <w:spacing w:after="240"/>
        <w:ind w:left="3420" w:hanging="2700"/>
        <w:rPr>
          <w:bCs/>
        </w:rPr>
      </w:pPr>
      <w:r w:rsidRPr="006145CA">
        <w:rPr>
          <w:bCs/>
        </w:rPr>
        <w:t>PCECRAMTTOT</w:t>
      </w:r>
      <w:r w:rsidR="00A56EA7">
        <w:rPr>
          <w:bCs/>
        </w:rPr>
        <w:t xml:space="preserve"> </w:t>
      </w:r>
      <w:r w:rsidRPr="006145CA">
        <w:rPr>
          <w:bCs/>
        </w:rPr>
        <w:t>=</w:t>
      </w:r>
      <w:r w:rsidRPr="006145CA">
        <w:rPr>
          <w:bCs/>
        </w:rPr>
        <w:tab/>
      </w:r>
      <w:r w:rsidRPr="006145CA">
        <w:rPr>
          <w:bCs/>
          <w:position w:val="-22"/>
        </w:rPr>
        <w:object w:dxaOrig="288" w:dyaOrig="438" w14:anchorId="0F84E6DB">
          <v:shape id="_x0000_i1057" type="#_x0000_t75" style="width:13.8pt;height:21.6pt" o:ole="">
            <v:imagedata r:id="rId50" o:title=""/>
          </v:shape>
          <o:OLEObject Type="Embed" ProgID="Equation.3" ShapeID="_x0000_i1057" DrawAspect="Content" ObjectID="_1775281350" r:id="rId64"/>
        </w:object>
      </w:r>
      <w:r w:rsidRPr="006145CA">
        <w:rPr>
          <w:bCs/>
        </w:rPr>
        <w:t xml:space="preserve">PCECRAMT </w:t>
      </w:r>
      <w:r w:rsidRPr="006145CA">
        <w:rPr>
          <w:bCs/>
          <w:i/>
          <w:vertAlign w:val="subscript"/>
        </w:rPr>
        <w:t>q</w:t>
      </w:r>
    </w:p>
    <w:p w14:paraId="75A0A67C" w14:textId="77777777" w:rsidR="007B3E40" w:rsidRPr="006145CA" w:rsidRDefault="007B3E40" w:rsidP="007B3E40">
      <w:pPr>
        <w:tabs>
          <w:tab w:val="left" w:pos="2340"/>
          <w:tab w:val="left" w:pos="3420"/>
        </w:tabs>
        <w:spacing w:after="240"/>
        <w:ind w:left="3420" w:hanging="2700"/>
        <w:rPr>
          <w:bCs/>
          <w:lang w:val="pt-BR"/>
        </w:rPr>
      </w:pPr>
      <w:r w:rsidRPr="006145CA">
        <w:rPr>
          <w:bCs/>
          <w:lang w:val="pt-BR"/>
        </w:rPr>
        <w:t>DAECRQTOT</w:t>
      </w:r>
      <w:r w:rsidRPr="006145CA">
        <w:rPr>
          <w:bCs/>
          <w:lang w:val="pt-BR"/>
        </w:rPr>
        <w:tab/>
        <w:t>=</w:t>
      </w:r>
      <w:r w:rsidRPr="006145CA">
        <w:rPr>
          <w:bCs/>
          <w:lang w:val="pt-BR"/>
        </w:rPr>
        <w:tab/>
      </w:r>
      <w:r w:rsidRPr="006145CA">
        <w:rPr>
          <w:bCs/>
          <w:position w:val="-22"/>
        </w:rPr>
        <w:object w:dxaOrig="288" w:dyaOrig="438" w14:anchorId="789927F0">
          <v:shape id="_x0000_i1058" type="#_x0000_t75" style="width:13.8pt;height:21.6pt" o:ole="">
            <v:imagedata r:id="rId50" o:title=""/>
          </v:shape>
          <o:OLEObject Type="Embed" ProgID="Equation.3" ShapeID="_x0000_i1058" DrawAspect="Content" ObjectID="_1775281351" r:id="rId65"/>
        </w:object>
      </w:r>
      <w:r w:rsidRPr="006145CA">
        <w:rPr>
          <w:bCs/>
          <w:lang w:val="pt-BR"/>
        </w:rPr>
        <w:t xml:space="preserve">DAECRQ </w:t>
      </w:r>
      <w:r w:rsidRPr="006145CA">
        <w:rPr>
          <w:bCs/>
          <w:i/>
          <w:vertAlign w:val="subscript"/>
          <w:lang w:val="pt-BR"/>
        </w:rPr>
        <w:t>q</w:t>
      </w:r>
    </w:p>
    <w:p w14:paraId="2F1FD70A" w14:textId="77777777" w:rsidR="007B3E40" w:rsidRPr="006145CA" w:rsidRDefault="007B3E40" w:rsidP="007B3E40">
      <w:pPr>
        <w:tabs>
          <w:tab w:val="left" w:pos="2340"/>
          <w:tab w:val="left" w:pos="3420"/>
        </w:tabs>
        <w:spacing w:after="240"/>
        <w:ind w:left="3420" w:hanging="2700"/>
        <w:rPr>
          <w:bCs/>
        </w:rPr>
      </w:pPr>
      <w:r w:rsidRPr="006145CA">
        <w:rPr>
          <w:bCs/>
        </w:rPr>
        <w:t xml:space="preserve">DAECRQ </w:t>
      </w:r>
      <w:r w:rsidRPr="006145CA">
        <w:rPr>
          <w:bCs/>
          <w:i/>
          <w:vertAlign w:val="subscript"/>
        </w:rPr>
        <w:t>q</w:t>
      </w:r>
      <w:r w:rsidRPr="006145CA">
        <w:rPr>
          <w:bCs/>
        </w:rPr>
        <w:tab/>
        <w:t>=</w:t>
      </w:r>
      <w:r w:rsidRPr="006145CA">
        <w:rPr>
          <w:bCs/>
        </w:rPr>
        <w:tab/>
        <w:t xml:space="preserve">DAECRO </w:t>
      </w:r>
      <w:r w:rsidRPr="006145CA">
        <w:rPr>
          <w:bCs/>
          <w:i/>
          <w:vertAlign w:val="subscript"/>
        </w:rPr>
        <w:t>q</w:t>
      </w:r>
      <w:r w:rsidRPr="006145CA">
        <w:rPr>
          <w:bCs/>
        </w:rPr>
        <w:t xml:space="preserve"> – DASAECRQ </w:t>
      </w:r>
      <w:r w:rsidRPr="006145CA">
        <w:rPr>
          <w:bCs/>
          <w:i/>
          <w:vertAlign w:val="subscript"/>
        </w:rPr>
        <w:t>q</w:t>
      </w:r>
    </w:p>
    <w:p w14:paraId="73895500" w14:textId="77777777" w:rsidR="007B3E40" w:rsidRPr="006145CA" w:rsidRDefault="007B3E40" w:rsidP="007B3E40">
      <w:r w:rsidRPr="006145CA">
        <w:t xml:space="preserve">The above variables are defined as follows: </w:t>
      </w:r>
    </w:p>
    <w:tbl>
      <w:tblPr>
        <w:tblW w:w="497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7"/>
        <w:gridCol w:w="967"/>
        <w:gridCol w:w="6204"/>
      </w:tblGrid>
      <w:tr w:rsidR="007B3E40" w:rsidRPr="006145CA" w14:paraId="61B77128" w14:textId="77777777" w:rsidTr="00317AF5">
        <w:trPr>
          <w:tblHeader/>
        </w:trPr>
        <w:tc>
          <w:tcPr>
            <w:tcW w:w="1144" w:type="pct"/>
          </w:tcPr>
          <w:p w14:paraId="768ECDF1" w14:textId="77777777" w:rsidR="007B3E40" w:rsidRPr="006145CA" w:rsidRDefault="007B3E40" w:rsidP="00317AF5">
            <w:pPr>
              <w:spacing w:after="240"/>
              <w:rPr>
                <w:b/>
                <w:iCs/>
                <w:sz w:val="20"/>
                <w:szCs w:val="20"/>
              </w:rPr>
            </w:pPr>
            <w:r w:rsidRPr="006145CA">
              <w:rPr>
                <w:b/>
                <w:iCs/>
                <w:sz w:val="20"/>
                <w:szCs w:val="20"/>
              </w:rPr>
              <w:t>Variable</w:t>
            </w:r>
          </w:p>
        </w:tc>
        <w:tc>
          <w:tcPr>
            <w:tcW w:w="520" w:type="pct"/>
          </w:tcPr>
          <w:p w14:paraId="5F7F9AF3" w14:textId="77777777" w:rsidR="007B3E40" w:rsidRPr="006145CA" w:rsidRDefault="007B3E40" w:rsidP="00317AF5">
            <w:pPr>
              <w:spacing w:after="240"/>
              <w:rPr>
                <w:b/>
                <w:iCs/>
                <w:sz w:val="20"/>
                <w:szCs w:val="20"/>
              </w:rPr>
            </w:pPr>
            <w:r w:rsidRPr="006145CA">
              <w:rPr>
                <w:b/>
                <w:iCs/>
                <w:sz w:val="20"/>
                <w:szCs w:val="20"/>
              </w:rPr>
              <w:t>Unit</w:t>
            </w:r>
          </w:p>
        </w:tc>
        <w:tc>
          <w:tcPr>
            <w:tcW w:w="3336" w:type="pct"/>
          </w:tcPr>
          <w:p w14:paraId="3D68349E" w14:textId="77777777" w:rsidR="007B3E40" w:rsidRPr="006145CA" w:rsidRDefault="007B3E40" w:rsidP="00317AF5">
            <w:pPr>
              <w:spacing w:after="240"/>
              <w:rPr>
                <w:b/>
                <w:iCs/>
                <w:sz w:val="20"/>
                <w:szCs w:val="20"/>
              </w:rPr>
            </w:pPr>
            <w:r w:rsidRPr="006145CA">
              <w:rPr>
                <w:b/>
                <w:iCs/>
                <w:sz w:val="20"/>
                <w:szCs w:val="20"/>
              </w:rPr>
              <w:t>Definition</w:t>
            </w:r>
          </w:p>
        </w:tc>
      </w:tr>
      <w:tr w:rsidR="007B3E40" w:rsidRPr="006145CA" w14:paraId="7CFADCA5" w14:textId="77777777" w:rsidTr="00317AF5">
        <w:tc>
          <w:tcPr>
            <w:tcW w:w="1144" w:type="pct"/>
          </w:tcPr>
          <w:p w14:paraId="557CEA9D" w14:textId="77777777" w:rsidR="007B3E40" w:rsidRPr="006145CA" w:rsidRDefault="007B3E40" w:rsidP="00317AF5">
            <w:pPr>
              <w:spacing w:after="60"/>
              <w:rPr>
                <w:iCs/>
                <w:sz w:val="20"/>
                <w:szCs w:val="20"/>
              </w:rPr>
            </w:pPr>
            <w:r w:rsidRPr="006145CA">
              <w:rPr>
                <w:iCs/>
                <w:sz w:val="20"/>
                <w:szCs w:val="20"/>
              </w:rPr>
              <w:t xml:space="preserve">DAECRAMT </w:t>
            </w:r>
            <w:r w:rsidRPr="006145CA">
              <w:rPr>
                <w:i/>
                <w:iCs/>
                <w:sz w:val="20"/>
                <w:szCs w:val="20"/>
                <w:vertAlign w:val="subscript"/>
              </w:rPr>
              <w:t>q</w:t>
            </w:r>
          </w:p>
        </w:tc>
        <w:tc>
          <w:tcPr>
            <w:tcW w:w="520" w:type="pct"/>
          </w:tcPr>
          <w:p w14:paraId="34417622" w14:textId="77777777" w:rsidR="007B3E40" w:rsidRPr="006145CA" w:rsidRDefault="007B3E40" w:rsidP="00317AF5">
            <w:pPr>
              <w:spacing w:after="60"/>
              <w:rPr>
                <w:iCs/>
                <w:sz w:val="20"/>
                <w:szCs w:val="20"/>
              </w:rPr>
            </w:pPr>
            <w:r w:rsidRPr="006145CA">
              <w:rPr>
                <w:iCs/>
                <w:sz w:val="20"/>
                <w:szCs w:val="20"/>
              </w:rPr>
              <w:t>$</w:t>
            </w:r>
          </w:p>
        </w:tc>
        <w:tc>
          <w:tcPr>
            <w:tcW w:w="3336" w:type="pct"/>
          </w:tcPr>
          <w:p w14:paraId="4E5DBBCF" w14:textId="77777777" w:rsidR="007B3E40" w:rsidRPr="006145CA" w:rsidRDefault="007B3E40" w:rsidP="00317AF5">
            <w:pPr>
              <w:spacing w:after="60"/>
              <w:rPr>
                <w:iCs/>
                <w:sz w:val="20"/>
                <w:szCs w:val="20"/>
              </w:rPr>
            </w:pPr>
            <w:r w:rsidRPr="006145CA">
              <w:rPr>
                <w:i/>
                <w:iCs/>
                <w:sz w:val="20"/>
                <w:szCs w:val="20"/>
              </w:rPr>
              <w:t>Day-Ahead ERCOT Contingency Reserve Amount per QSE</w:t>
            </w:r>
            <w:r w:rsidRPr="006145CA">
              <w:rPr>
                <w:iCs/>
                <w:sz w:val="20"/>
                <w:szCs w:val="20"/>
              </w:rPr>
              <w:t xml:space="preserve">—QSE </w:t>
            </w:r>
            <w:r w:rsidRPr="006145CA">
              <w:rPr>
                <w:i/>
                <w:iCs/>
                <w:sz w:val="20"/>
                <w:szCs w:val="20"/>
              </w:rPr>
              <w:t>q</w:t>
            </w:r>
            <w:r w:rsidRPr="006145CA">
              <w:rPr>
                <w:iCs/>
                <w:sz w:val="20"/>
                <w:szCs w:val="20"/>
              </w:rPr>
              <w:t>’s share of the DAM cost for ECRS, for the hour.</w:t>
            </w:r>
          </w:p>
        </w:tc>
      </w:tr>
      <w:tr w:rsidR="007B3E40" w:rsidRPr="006145CA" w14:paraId="430701B5" w14:textId="77777777" w:rsidTr="00317AF5">
        <w:tc>
          <w:tcPr>
            <w:tcW w:w="1144" w:type="pct"/>
          </w:tcPr>
          <w:p w14:paraId="3EEFAE16" w14:textId="77777777" w:rsidR="007B3E40" w:rsidRPr="006145CA" w:rsidRDefault="007B3E40" w:rsidP="00317AF5">
            <w:pPr>
              <w:spacing w:after="60"/>
              <w:rPr>
                <w:iCs/>
                <w:sz w:val="20"/>
                <w:szCs w:val="20"/>
              </w:rPr>
            </w:pPr>
            <w:r w:rsidRPr="006145CA">
              <w:rPr>
                <w:iCs/>
                <w:sz w:val="20"/>
                <w:szCs w:val="20"/>
              </w:rPr>
              <w:t>DAECRPR</w:t>
            </w:r>
          </w:p>
        </w:tc>
        <w:tc>
          <w:tcPr>
            <w:tcW w:w="520" w:type="pct"/>
          </w:tcPr>
          <w:p w14:paraId="0BF65D7C" w14:textId="07E9CFB3" w:rsidR="007B3E40" w:rsidRPr="006145CA" w:rsidRDefault="007B3E40" w:rsidP="00317AF5">
            <w:pPr>
              <w:spacing w:after="60"/>
              <w:rPr>
                <w:iCs/>
                <w:sz w:val="20"/>
                <w:szCs w:val="20"/>
              </w:rPr>
            </w:pPr>
            <w:r w:rsidRPr="006145CA">
              <w:rPr>
                <w:iCs/>
                <w:sz w:val="20"/>
                <w:szCs w:val="20"/>
              </w:rPr>
              <w:t xml:space="preserve">$/MW </w:t>
            </w:r>
            <w:r w:rsidR="00DF726F">
              <w:rPr>
                <w:iCs/>
                <w:sz w:val="20"/>
                <w:szCs w:val="20"/>
              </w:rPr>
              <w:t>per hour</w:t>
            </w:r>
          </w:p>
        </w:tc>
        <w:tc>
          <w:tcPr>
            <w:tcW w:w="3336" w:type="pct"/>
          </w:tcPr>
          <w:p w14:paraId="056D0936" w14:textId="77777777" w:rsidR="007B3E40" w:rsidRPr="006145CA" w:rsidRDefault="007B3E40" w:rsidP="00317AF5">
            <w:pPr>
              <w:spacing w:after="60"/>
              <w:rPr>
                <w:iCs/>
                <w:sz w:val="20"/>
                <w:szCs w:val="20"/>
              </w:rPr>
            </w:pPr>
            <w:r w:rsidRPr="006145CA">
              <w:rPr>
                <w:i/>
                <w:iCs/>
                <w:sz w:val="20"/>
                <w:szCs w:val="20"/>
              </w:rPr>
              <w:t>Day-Ahead ERCOT Contingency Reserve Price</w:t>
            </w:r>
            <w:r w:rsidRPr="006145CA">
              <w:rPr>
                <w:iCs/>
                <w:sz w:val="20"/>
                <w:szCs w:val="20"/>
              </w:rPr>
              <w:t>—The Day-Ahead ECRS price for the hour.</w:t>
            </w:r>
          </w:p>
        </w:tc>
      </w:tr>
      <w:tr w:rsidR="007B3E40" w:rsidRPr="006145CA" w14:paraId="06F37365" w14:textId="77777777" w:rsidTr="00317AF5">
        <w:tc>
          <w:tcPr>
            <w:tcW w:w="1144" w:type="pct"/>
          </w:tcPr>
          <w:p w14:paraId="7ED95338" w14:textId="77777777" w:rsidR="007B3E40" w:rsidRPr="006145CA" w:rsidRDefault="007B3E40" w:rsidP="00317AF5">
            <w:pPr>
              <w:spacing w:after="60"/>
              <w:rPr>
                <w:iCs/>
                <w:sz w:val="20"/>
                <w:szCs w:val="20"/>
              </w:rPr>
            </w:pPr>
            <w:r w:rsidRPr="006145CA">
              <w:rPr>
                <w:iCs/>
                <w:sz w:val="20"/>
                <w:szCs w:val="20"/>
              </w:rPr>
              <w:t xml:space="preserve">DAECRQ </w:t>
            </w:r>
            <w:r w:rsidRPr="006145CA">
              <w:rPr>
                <w:i/>
                <w:iCs/>
                <w:sz w:val="20"/>
                <w:szCs w:val="20"/>
                <w:vertAlign w:val="subscript"/>
              </w:rPr>
              <w:t>q</w:t>
            </w:r>
          </w:p>
        </w:tc>
        <w:tc>
          <w:tcPr>
            <w:tcW w:w="520" w:type="pct"/>
          </w:tcPr>
          <w:p w14:paraId="725A7CB5" w14:textId="77777777" w:rsidR="007B3E40" w:rsidRPr="006145CA" w:rsidRDefault="007B3E40" w:rsidP="00317AF5">
            <w:pPr>
              <w:spacing w:after="60"/>
              <w:rPr>
                <w:iCs/>
                <w:sz w:val="20"/>
                <w:szCs w:val="20"/>
              </w:rPr>
            </w:pPr>
            <w:r w:rsidRPr="006145CA">
              <w:rPr>
                <w:iCs/>
                <w:sz w:val="20"/>
                <w:szCs w:val="20"/>
              </w:rPr>
              <w:t>MW</w:t>
            </w:r>
          </w:p>
        </w:tc>
        <w:tc>
          <w:tcPr>
            <w:tcW w:w="3336" w:type="pct"/>
          </w:tcPr>
          <w:p w14:paraId="146F2537" w14:textId="77777777" w:rsidR="007B3E40" w:rsidRPr="006145CA" w:rsidRDefault="007B3E40" w:rsidP="00317AF5">
            <w:pPr>
              <w:spacing w:after="60"/>
              <w:rPr>
                <w:i/>
                <w:iCs/>
                <w:sz w:val="20"/>
                <w:szCs w:val="20"/>
              </w:rPr>
            </w:pPr>
            <w:r w:rsidRPr="006145CA">
              <w:rPr>
                <w:i/>
                <w:iCs/>
                <w:sz w:val="20"/>
                <w:szCs w:val="20"/>
              </w:rPr>
              <w:t>Day-Ahead ERCOT Contingency Reserve Quantity per QSE</w:t>
            </w:r>
            <w:r w:rsidRPr="006145CA">
              <w:rPr>
                <w:iCs/>
                <w:sz w:val="20"/>
                <w:szCs w:val="20"/>
              </w:rPr>
              <w:t xml:space="preserve">—The QSE </w:t>
            </w:r>
            <w:r w:rsidRPr="006145CA">
              <w:rPr>
                <w:i/>
                <w:iCs/>
                <w:sz w:val="20"/>
                <w:szCs w:val="20"/>
              </w:rPr>
              <w:t>q</w:t>
            </w:r>
            <w:r w:rsidRPr="006145CA">
              <w:rPr>
                <w:iCs/>
                <w:sz w:val="20"/>
                <w:szCs w:val="20"/>
              </w:rPr>
              <w:t>’s Day-Ahead Ancillary Service Obligation minus its self-arranged ECRS quantity for the hour.</w:t>
            </w:r>
          </w:p>
        </w:tc>
      </w:tr>
      <w:tr w:rsidR="007B3E40" w:rsidRPr="006145CA" w14:paraId="14C2E49D" w14:textId="77777777" w:rsidTr="00317AF5">
        <w:tc>
          <w:tcPr>
            <w:tcW w:w="1144" w:type="pct"/>
          </w:tcPr>
          <w:p w14:paraId="449E96F3" w14:textId="77777777" w:rsidR="007B3E40" w:rsidRPr="006145CA" w:rsidRDefault="007B3E40" w:rsidP="00317AF5">
            <w:pPr>
              <w:spacing w:after="60"/>
              <w:rPr>
                <w:iCs/>
                <w:sz w:val="20"/>
                <w:szCs w:val="20"/>
              </w:rPr>
            </w:pPr>
            <w:r w:rsidRPr="006145CA">
              <w:rPr>
                <w:iCs/>
                <w:sz w:val="20"/>
                <w:szCs w:val="20"/>
              </w:rPr>
              <w:t xml:space="preserve">PCECRAMTTOT </w:t>
            </w:r>
          </w:p>
        </w:tc>
        <w:tc>
          <w:tcPr>
            <w:tcW w:w="520" w:type="pct"/>
          </w:tcPr>
          <w:p w14:paraId="1311B708" w14:textId="77777777" w:rsidR="007B3E40" w:rsidRPr="006145CA" w:rsidRDefault="007B3E40" w:rsidP="00317AF5">
            <w:pPr>
              <w:spacing w:after="60"/>
              <w:rPr>
                <w:iCs/>
                <w:sz w:val="20"/>
                <w:szCs w:val="20"/>
              </w:rPr>
            </w:pPr>
            <w:r w:rsidRPr="006145CA">
              <w:rPr>
                <w:iCs/>
                <w:sz w:val="20"/>
                <w:szCs w:val="20"/>
              </w:rPr>
              <w:t>$</w:t>
            </w:r>
          </w:p>
        </w:tc>
        <w:tc>
          <w:tcPr>
            <w:tcW w:w="3336" w:type="pct"/>
          </w:tcPr>
          <w:p w14:paraId="29A75DB6" w14:textId="77777777" w:rsidR="007B3E40" w:rsidRPr="006145CA" w:rsidRDefault="007B3E40" w:rsidP="00317AF5">
            <w:pPr>
              <w:spacing w:after="60"/>
              <w:rPr>
                <w:i/>
                <w:iCs/>
                <w:sz w:val="20"/>
                <w:szCs w:val="20"/>
              </w:rPr>
            </w:pPr>
            <w:r w:rsidRPr="006145CA">
              <w:rPr>
                <w:i/>
                <w:iCs/>
                <w:sz w:val="20"/>
                <w:szCs w:val="20"/>
              </w:rPr>
              <w:t>Procured Capacity for ERCOT Contingency Reserve Amount Total in DAM</w:t>
            </w:r>
            <w:r w:rsidRPr="006145CA">
              <w:rPr>
                <w:iCs/>
                <w:sz w:val="20"/>
                <w:szCs w:val="20"/>
              </w:rPr>
              <w:t>—The total of the DAM ECRS payments for all QSEs for the hour.</w:t>
            </w:r>
          </w:p>
        </w:tc>
      </w:tr>
      <w:tr w:rsidR="007B3E40" w:rsidRPr="006145CA" w14:paraId="0FDE4652" w14:textId="77777777" w:rsidTr="00317AF5">
        <w:tc>
          <w:tcPr>
            <w:tcW w:w="1144" w:type="pct"/>
          </w:tcPr>
          <w:p w14:paraId="13C9182E" w14:textId="77777777" w:rsidR="007B3E40" w:rsidRPr="006145CA" w:rsidRDefault="007B3E40" w:rsidP="00317AF5">
            <w:pPr>
              <w:spacing w:after="60"/>
              <w:rPr>
                <w:iCs/>
                <w:sz w:val="20"/>
                <w:szCs w:val="20"/>
              </w:rPr>
            </w:pPr>
            <w:r w:rsidRPr="006145CA">
              <w:rPr>
                <w:iCs/>
                <w:sz w:val="20"/>
                <w:szCs w:val="20"/>
              </w:rPr>
              <w:t>PCECRAMT</w:t>
            </w:r>
            <w:r w:rsidRPr="006145CA">
              <w:rPr>
                <w:i/>
                <w:iCs/>
                <w:sz w:val="20"/>
                <w:szCs w:val="20"/>
              </w:rPr>
              <w:t xml:space="preserve"> </w:t>
            </w:r>
            <w:r w:rsidRPr="006145CA">
              <w:rPr>
                <w:i/>
                <w:iCs/>
                <w:sz w:val="20"/>
                <w:szCs w:val="20"/>
                <w:vertAlign w:val="subscript"/>
              </w:rPr>
              <w:t>q</w:t>
            </w:r>
          </w:p>
        </w:tc>
        <w:tc>
          <w:tcPr>
            <w:tcW w:w="520" w:type="pct"/>
          </w:tcPr>
          <w:p w14:paraId="24B15895" w14:textId="77777777" w:rsidR="007B3E40" w:rsidRPr="006145CA" w:rsidRDefault="007B3E40" w:rsidP="00317AF5">
            <w:pPr>
              <w:spacing w:after="60"/>
              <w:rPr>
                <w:iCs/>
                <w:sz w:val="20"/>
                <w:szCs w:val="20"/>
              </w:rPr>
            </w:pPr>
            <w:r w:rsidRPr="006145CA">
              <w:rPr>
                <w:iCs/>
                <w:sz w:val="20"/>
                <w:szCs w:val="20"/>
              </w:rPr>
              <w:t>$</w:t>
            </w:r>
          </w:p>
        </w:tc>
        <w:tc>
          <w:tcPr>
            <w:tcW w:w="3336" w:type="pct"/>
          </w:tcPr>
          <w:p w14:paraId="42A004A0" w14:textId="77777777" w:rsidR="007B3E40" w:rsidRPr="006145CA" w:rsidRDefault="007B3E40" w:rsidP="00317AF5">
            <w:pPr>
              <w:spacing w:after="60"/>
              <w:rPr>
                <w:i/>
                <w:iCs/>
                <w:sz w:val="20"/>
                <w:szCs w:val="20"/>
              </w:rPr>
            </w:pPr>
            <w:r w:rsidRPr="006145CA">
              <w:rPr>
                <w:i/>
                <w:iCs/>
                <w:sz w:val="20"/>
                <w:szCs w:val="20"/>
              </w:rPr>
              <w:t>Procured Capacity for ERCOT Contingency Reserve Amount per QSE for DAM</w:t>
            </w:r>
            <w:r w:rsidRPr="006145CA">
              <w:rPr>
                <w:iCs/>
                <w:sz w:val="20"/>
                <w:szCs w:val="20"/>
              </w:rPr>
              <w:t xml:space="preserve">—The DAM ECRS payment for QSE </w:t>
            </w:r>
            <w:r w:rsidRPr="006145CA">
              <w:rPr>
                <w:i/>
                <w:iCs/>
                <w:sz w:val="20"/>
                <w:szCs w:val="20"/>
              </w:rPr>
              <w:t>q</w:t>
            </w:r>
            <w:r w:rsidRPr="006145CA">
              <w:rPr>
                <w:iCs/>
                <w:sz w:val="20"/>
                <w:szCs w:val="20"/>
              </w:rPr>
              <w:t xml:space="preserve"> for the hour.</w:t>
            </w:r>
          </w:p>
        </w:tc>
      </w:tr>
      <w:tr w:rsidR="007B3E40" w:rsidRPr="006145CA" w14:paraId="144EEE63" w14:textId="77777777" w:rsidTr="00317AF5">
        <w:tc>
          <w:tcPr>
            <w:tcW w:w="1144" w:type="pct"/>
          </w:tcPr>
          <w:p w14:paraId="5D3C633F" w14:textId="77777777" w:rsidR="007B3E40" w:rsidRPr="006145CA" w:rsidRDefault="007B3E40" w:rsidP="00317AF5">
            <w:pPr>
              <w:spacing w:after="60"/>
              <w:rPr>
                <w:iCs/>
                <w:sz w:val="20"/>
                <w:szCs w:val="20"/>
              </w:rPr>
            </w:pPr>
            <w:r w:rsidRPr="006145CA">
              <w:rPr>
                <w:iCs/>
                <w:sz w:val="20"/>
                <w:szCs w:val="20"/>
              </w:rPr>
              <w:t>DAECRQTOT</w:t>
            </w:r>
          </w:p>
        </w:tc>
        <w:tc>
          <w:tcPr>
            <w:tcW w:w="520" w:type="pct"/>
          </w:tcPr>
          <w:p w14:paraId="70B84F36" w14:textId="77777777" w:rsidR="007B3E40" w:rsidRPr="006145CA" w:rsidRDefault="007B3E40" w:rsidP="00317AF5">
            <w:pPr>
              <w:spacing w:after="60"/>
              <w:rPr>
                <w:iCs/>
                <w:sz w:val="20"/>
                <w:szCs w:val="20"/>
              </w:rPr>
            </w:pPr>
            <w:r w:rsidRPr="006145CA">
              <w:rPr>
                <w:iCs/>
                <w:sz w:val="20"/>
                <w:szCs w:val="20"/>
              </w:rPr>
              <w:t>MW</w:t>
            </w:r>
          </w:p>
        </w:tc>
        <w:tc>
          <w:tcPr>
            <w:tcW w:w="3336" w:type="pct"/>
          </w:tcPr>
          <w:p w14:paraId="69C3B6F6" w14:textId="77777777" w:rsidR="007B3E40" w:rsidRPr="006145CA" w:rsidRDefault="007B3E40" w:rsidP="00317AF5">
            <w:pPr>
              <w:spacing w:after="60"/>
              <w:rPr>
                <w:i/>
                <w:iCs/>
                <w:sz w:val="20"/>
                <w:szCs w:val="20"/>
              </w:rPr>
            </w:pPr>
            <w:r w:rsidRPr="006145CA">
              <w:rPr>
                <w:i/>
                <w:iCs/>
                <w:sz w:val="20"/>
                <w:szCs w:val="20"/>
              </w:rPr>
              <w:t>Day-Ahead ERCOT Contingency Reserve Quantity Total</w:t>
            </w:r>
            <w:r w:rsidRPr="006145CA">
              <w:rPr>
                <w:iCs/>
                <w:sz w:val="20"/>
                <w:szCs w:val="20"/>
              </w:rPr>
              <w:t>—The sum of every QSE’s Day-Ahead Ancillary Service Obligation minus its self-arranged ECRS quantity for the hour.</w:t>
            </w:r>
          </w:p>
        </w:tc>
      </w:tr>
      <w:tr w:rsidR="007B3E40" w:rsidRPr="006145CA" w14:paraId="58B35DF3" w14:textId="77777777" w:rsidTr="00317AF5">
        <w:tc>
          <w:tcPr>
            <w:tcW w:w="1144" w:type="pct"/>
          </w:tcPr>
          <w:p w14:paraId="331BF879" w14:textId="77777777" w:rsidR="007B3E40" w:rsidRPr="006145CA" w:rsidRDefault="007B3E40" w:rsidP="00317AF5">
            <w:pPr>
              <w:spacing w:after="60"/>
              <w:rPr>
                <w:iCs/>
                <w:sz w:val="20"/>
                <w:szCs w:val="20"/>
              </w:rPr>
            </w:pPr>
            <w:r w:rsidRPr="006145CA">
              <w:rPr>
                <w:iCs/>
                <w:sz w:val="20"/>
                <w:szCs w:val="20"/>
              </w:rPr>
              <w:t xml:space="preserve">DAECRO </w:t>
            </w:r>
            <w:r w:rsidRPr="006145CA">
              <w:rPr>
                <w:i/>
                <w:iCs/>
                <w:sz w:val="20"/>
                <w:szCs w:val="20"/>
                <w:vertAlign w:val="subscript"/>
              </w:rPr>
              <w:t>q</w:t>
            </w:r>
          </w:p>
        </w:tc>
        <w:tc>
          <w:tcPr>
            <w:tcW w:w="520" w:type="pct"/>
          </w:tcPr>
          <w:p w14:paraId="53180FC0" w14:textId="77777777" w:rsidR="007B3E40" w:rsidRPr="006145CA" w:rsidRDefault="007B3E40" w:rsidP="00317AF5">
            <w:pPr>
              <w:spacing w:after="60"/>
              <w:rPr>
                <w:iCs/>
                <w:sz w:val="20"/>
                <w:szCs w:val="20"/>
              </w:rPr>
            </w:pPr>
            <w:r w:rsidRPr="006145CA">
              <w:rPr>
                <w:iCs/>
                <w:sz w:val="20"/>
                <w:szCs w:val="20"/>
              </w:rPr>
              <w:t>MW</w:t>
            </w:r>
          </w:p>
        </w:tc>
        <w:tc>
          <w:tcPr>
            <w:tcW w:w="3336" w:type="pct"/>
          </w:tcPr>
          <w:p w14:paraId="5D2111C3" w14:textId="77777777" w:rsidR="007B3E40" w:rsidRPr="006145CA" w:rsidRDefault="007B3E40" w:rsidP="00317AF5">
            <w:pPr>
              <w:spacing w:after="60"/>
              <w:rPr>
                <w:i/>
                <w:iCs/>
                <w:sz w:val="20"/>
                <w:szCs w:val="20"/>
              </w:rPr>
            </w:pPr>
            <w:r w:rsidRPr="006145CA">
              <w:rPr>
                <w:i/>
                <w:iCs/>
                <w:sz w:val="20"/>
                <w:szCs w:val="20"/>
              </w:rPr>
              <w:t>Day-Ahead ERCOT Contingency Reserve Obligation per QSE</w:t>
            </w:r>
            <w:r w:rsidRPr="006145CA">
              <w:rPr>
                <w:iCs/>
                <w:sz w:val="20"/>
                <w:szCs w:val="20"/>
              </w:rPr>
              <w:t xml:space="preserve">—The ECRS capacity obligation for QSE </w:t>
            </w:r>
            <w:r w:rsidRPr="006145CA">
              <w:rPr>
                <w:i/>
                <w:iCs/>
                <w:sz w:val="20"/>
                <w:szCs w:val="20"/>
              </w:rPr>
              <w:t>q</w:t>
            </w:r>
            <w:r w:rsidRPr="006145CA">
              <w:rPr>
                <w:iCs/>
                <w:sz w:val="20"/>
                <w:szCs w:val="20"/>
              </w:rPr>
              <w:t xml:space="preserve"> for the DAM for the hour. </w:t>
            </w:r>
          </w:p>
        </w:tc>
      </w:tr>
      <w:tr w:rsidR="007B3E40" w:rsidRPr="006145CA" w14:paraId="3BE10EB3" w14:textId="77777777" w:rsidTr="00317AF5">
        <w:tc>
          <w:tcPr>
            <w:tcW w:w="1144" w:type="pct"/>
          </w:tcPr>
          <w:p w14:paraId="742813A2" w14:textId="77777777" w:rsidR="007B3E40" w:rsidRPr="006145CA" w:rsidRDefault="007B3E40" w:rsidP="00317AF5">
            <w:pPr>
              <w:spacing w:after="60"/>
              <w:rPr>
                <w:iCs/>
                <w:sz w:val="20"/>
                <w:szCs w:val="20"/>
              </w:rPr>
            </w:pPr>
            <w:r w:rsidRPr="006145CA">
              <w:rPr>
                <w:iCs/>
                <w:sz w:val="20"/>
                <w:szCs w:val="20"/>
              </w:rPr>
              <w:t xml:space="preserve">DASAECRQ </w:t>
            </w:r>
            <w:r w:rsidRPr="006145CA">
              <w:rPr>
                <w:i/>
                <w:iCs/>
                <w:sz w:val="20"/>
                <w:szCs w:val="20"/>
                <w:vertAlign w:val="subscript"/>
              </w:rPr>
              <w:t>q</w:t>
            </w:r>
          </w:p>
        </w:tc>
        <w:tc>
          <w:tcPr>
            <w:tcW w:w="520" w:type="pct"/>
          </w:tcPr>
          <w:p w14:paraId="40861E52" w14:textId="77777777" w:rsidR="007B3E40" w:rsidRPr="006145CA" w:rsidRDefault="007B3E40" w:rsidP="00317AF5">
            <w:pPr>
              <w:spacing w:after="60"/>
              <w:rPr>
                <w:iCs/>
                <w:sz w:val="20"/>
                <w:szCs w:val="20"/>
              </w:rPr>
            </w:pPr>
            <w:r w:rsidRPr="006145CA">
              <w:rPr>
                <w:iCs/>
                <w:sz w:val="20"/>
                <w:szCs w:val="20"/>
              </w:rPr>
              <w:t>MW</w:t>
            </w:r>
          </w:p>
        </w:tc>
        <w:tc>
          <w:tcPr>
            <w:tcW w:w="3336" w:type="pct"/>
          </w:tcPr>
          <w:p w14:paraId="7445FBFD" w14:textId="77777777" w:rsidR="007B3E40" w:rsidRPr="006145CA" w:rsidRDefault="007B3E40" w:rsidP="00317AF5">
            <w:pPr>
              <w:spacing w:after="60"/>
              <w:rPr>
                <w:i/>
                <w:iCs/>
                <w:sz w:val="20"/>
                <w:szCs w:val="20"/>
              </w:rPr>
            </w:pPr>
            <w:r w:rsidRPr="006145CA">
              <w:rPr>
                <w:i/>
                <w:iCs/>
                <w:sz w:val="20"/>
                <w:szCs w:val="20"/>
              </w:rPr>
              <w:t>Day-Ahead Self-Arranged ERCOT Contingency Reserve Quantity per QSE</w:t>
            </w:r>
            <w:r w:rsidRPr="006145CA">
              <w:rPr>
                <w:iCs/>
                <w:sz w:val="20"/>
                <w:szCs w:val="20"/>
              </w:rPr>
              <w:t xml:space="preserve">—The self-arranged ECRS quantity submitted by QSE </w:t>
            </w:r>
            <w:r w:rsidRPr="006145CA">
              <w:rPr>
                <w:i/>
                <w:iCs/>
                <w:sz w:val="20"/>
                <w:szCs w:val="20"/>
              </w:rPr>
              <w:t>q</w:t>
            </w:r>
            <w:r w:rsidRPr="006145CA">
              <w:rPr>
                <w:iCs/>
                <w:sz w:val="20"/>
                <w:szCs w:val="20"/>
              </w:rPr>
              <w:t xml:space="preserve"> before 1000 in the Day-Ahead.</w:t>
            </w:r>
          </w:p>
        </w:tc>
      </w:tr>
      <w:tr w:rsidR="007B3E40" w:rsidRPr="006145CA" w14:paraId="64FF8A28" w14:textId="77777777" w:rsidTr="00317AF5">
        <w:tc>
          <w:tcPr>
            <w:tcW w:w="1144" w:type="pct"/>
          </w:tcPr>
          <w:p w14:paraId="43FDB12F" w14:textId="77777777" w:rsidR="007B3E40" w:rsidRPr="006145CA" w:rsidRDefault="007B3E40" w:rsidP="00317AF5">
            <w:pPr>
              <w:spacing w:after="60"/>
              <w:rPr>
                <w:i/>
                <w:iCs/>
                <w:sz w:val="20"/>
                <w:szCs w:val="20"/>
              </w:rPr>
            </w:pPr>
            <w:r w:rsidRPr="006145CA">
              <w:rPr>
                <w:i/>
                <w:iCs/>
                <w:sz w:val="20"/>
                <w:szCs w:val="20"/>
              </w:rPr>
              <w:t>q</w:t>
            </w:r>
          </w:p>
        </w:tc>
        <w:tc>
          <w:tcPr>
            <w:tcW w:w="520" w:type="pct"/>
          </w:tcPr>
          <w:p w14:paraId="76832ED7" w14:textId="77777777" w:rsidR="007B3E40" w:rsidRPr="006145CA" w:rsidRDefault="007B3E40" w:rsidP="00317AF5">
            <w:pPr>
              <w:spacing w:after="60"/>
              <w:rPr>
                <w:iCs/>
                <w:sz w:val="20"/>
                <w:szCs w:val="20"/>
              </w:rPr>
            </w:pPr>
            <w:r w:rsidRPr="006145CA">
              <w:rPr>
                <w:iCs/>
                <w:sz w:val="20"/>
                <w:szCs w:val="20"/>
              </w:rPr>
              <w:t>none</w:t>
            </w:r>
          </w:p>
        </w:tc>
        <w:tc>
          <w:tcPr>
            <w:tcW w:w="3336" w:type="pct"/>
          </w:tcPr>
          <w:p w14:paraId="21A8D4FC" w14:textId="77777777" w:rsidR="007B3E40" w:rsidRPr="006145CA" w:rsidRDefault="007B3E40" w:rsidP="00317AF5">
            <w:pPr>
              <w:spacing w:after="60"/>
              <w:rPr>
                <w:iCs/>
                <w:sz w:val="20"/>
                <w:szCs w:val="20"/>
              </w:rPr>
            </w:pPr>
            <w:r w:rsidRPr="006145CA">
              <w:rPr>
                <w:iCs/>
                <w:sz w:val="20"/>
                <w:szCs w:val="20"/>
              </w:rPr>
              <w:t>A QSE.</w:t>
            </w:r>
          </w:p>
        </w:tc>
      </w:tr>
    </w:tbl>
    <w:p w14:paraId="04E20FC7" w14:textId="77777777" w:rsidR="00DB4436" w:rsidRDefault="00DB4436"/>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46"/>
      </w:tblGrid>
      <w:tr w:rsidR="00DB4436" w:rsidRPr="004B32CF" w14:paraId="53C9E661" w14:textId="77777777" w:rsidTr="00DB4436">
        <w:trPr>
          <w:trHeight w:val="386"/>
        </w:trPr>
        <w:tc>
          <w:tcPr>
            <w:tcW w:w="5000" w:type="pct"/>
            <w:shd w:val="pct12" w:color="auto" w:fill="auto"/>
          </w:tcPr>
          <w:p w14:paraId="6F84002F" w14:textId="76AB7644" w:rsidR="00DB4436" w:rsidRPr="004B32CF" w:rsidRDefault="00DB4436" w:rsidP="00E30EAB">
            <w:pPr>
              <w:spacing w:before="120" w:after="240"/>
              <w:rPr>
                <w:b/>
                <w:i/>
                <w:iCs/>
              </w:rPr>
            </w:pPr>
            <w:bookmarkStart w:id="850" w:name="_Toc109185146"/>
            <w:bookmarkStart w:id="851" w:name="_Toc142108976"/>
            <w:bookmarkStart w:id="852" w:name="_Toc142113821"/>
            <w:bookmarkStart w:id="853" w:name="_Toc402345649"/>
            <w:bookmarkStart w:id="854" w:name="_Toc405383932"/>
            <w:bookmarkStart w:id="855" w:name="_Toc405537035"/>
            <w:bookmarkStart w:id="856" w:name="_Toc440871821"/>
            <w:bookmarkEnd w:id="849"/>
            <w:r>
              <w:rPr>
                <w:b/>
                <w:i/>
                <w:iCs/>
              </w:rPr>
              <w:lastRenderedPageBreak/>
              <w:t>[</w:t>
            </w:r>
            <w:r w:rsidR="00C24CB5">
              <w:rPr>
                <w:b/>
                <w:i/>
                <w:iCs/>
              </w:rPr>
              <w:t>NPRR1008</w:t>
            </w:r>
            <w:r>
              <w:rPr>
                <w:b/>
                <w:i/>
                <w:iCs/>
              </w:rPr>
              <w:t xml:space="preserve">:  </w:t>
            </w:r>
            <w:r w:rsidR="007B3E40">
              <w:rPr>
                <w:b/>
                <w:i/>
                <w:iCs/>
              </w:rPr>
              <w:t>Replace paragraph (1) above with the following</w:t>
            </w:r>
            <w:r w:rsidRPr="004B32CF">
              <w:rPr>
                <w:b/>
                <w:i/>
                <w:iCs/>
              </w:rPr>
              <w:t xml:space="preserve"> </w:t>
            </w:r>
            <w:r w:rsidR="002C3FE7">
              <w:rPr>
                <w:b/>
                <w:i/>
                <w:iCs/>
              </w:rPr>
              <w:t>upon system implementation of the Real-Time Co-Optimization (RTC) project</w:t>
            </w:r>
            <w:r w:rsidRPr="004B32CF">
              <w:rPr>
                <w:b/>
                <w:i/>
                <w:iCs/>
              </w:rPr>
              <w:t>:]</w:t>
            </w:r>
          </w:p>
          <w:p w14:paraId="6C5243CC" w14:textId="6362E94F" w:rsidR="00DB4436" w:rsidRPr="00782EFB" w:rsidRDefault="00DB4436" w:rsidP="00DB4436">
            <w:pPr>
              <w:spacing w:before="120" w:after="120"/>
              <w:ind w:left="720" w:hanging="720"/>
            </w:pPr>
            <w:r w:rsidRPr="00782EFB">
              <w:t>(1)</w:t>
            </w:r>
            <w:r w:rsidRPr="00782EFB">
              <w:tab/>
              <w:t>Each QSE shall pay to ERCOT or be paid by ERCOT an ECRS charge for each hour as follows:</w:t>
            </w:r>
          </w:p>
          <w:p w14:paraId="2AFFE365" w14:textId="77777777" w:rsidR="00DB4436" w:rsidRPr="00782EFB" w:rsidRDefault="00DB4436" w:rsidP="00DB4436">
            <w:pPr>
              <w:tabs>
                <w:tab w:val="left" w:pos="2340"/>
                <w:tab w:val="left" w:pos="3420"/>
              </w:tabs>
              <w:spacing w:after="240"/>
              <w:ind w:left="3420" w:hanging="2700"/>
              <w:rPr>
                <w:bCs/>
              </w:rPr>
            </w:pPr>
            <w:r w:rsidRPr="00782EFB">
              <w:rPr>
                <w:bCs/>
              </w:rPr>
              <w:t xml:space="preserve">DAECRAMT </w:t>
            </w:r>
            <w:r w:rsidRPr="00782EFB">
              <w:rPr>
                <w:bCs/>
                <w:i/>
                <w:vertAlign w:val="subscript"/>
              </w:rPr>
              <w:t>q</w:t>
            </w:r>
            <w:r w:rsidRPr="00782EFB">
              <w:rPr>
                <w:bCs/>
              </w:rPr>
              <w:tab/>
              <w:t>=</w:t>
            </w:r>
            <w:r w:rsidRPr="00782EFB">
              <w:rPr>
                <w:bCs/>
              </w:rPr>
              <w:tab/>
            </w:r>
            <w:r w:rsidRPr="00782EFB">
              <w:rPr>
                <w:bCs/>
                <w:lang w:val="pt-BR"/>
              </w:rPr>
              <w:t>DAECRPR</w:t>
            </w:r>
            <w:r w:rsidRPr="00782EFB">
              <w:rPr>
                <w:bCs/>
              </w:rPr>
              <w:t xml:space="preserve"> * DAECRQ </w:t>
            </w:r>
            <w:r w:rsidRPr="00782EFB">
              <w:rPr>
                <w:bCs/>
                <w:i/>
                <w:vertAlign w:val="subscript"/>
              </w:rPr>
              <w:t>q</w:t>
            </w:r>
          </w:p>
          <w:p w14:paraId="35C35DF4" w14:textId="77777777" w:rsidR="00DB4436" w:rsidRPr="00782EFB" w:rsidRDefault="00DB4436" w:rsidP="00DB4436">
            <w:pPr>
              <w:spacing w:before="120" w:after="120"/>
              <w:rPr>
                <w:lang w:val="pt-BR"/>
              </w:rPr>
            </w:pPr>
            <w:r w:rsidRPr="00782EFB">
              <w:rPr>
                <w:lang w:val="pt-BR"/>
              </w:rPr>
              <w:t>Where:</w:t>
            </w:r>
          </w:p>
          <w:p w14:paraId="22F81F53" w14:textId="5461C8CC" w:rsidR="00DB4436" w:rsidRPr="00782EFB" w:rsidRDefault="00DB4436" w:rsidP="00DB4436">
            <w:pPr>
              <w:tabs>
                <w:tab w:val="left" w:pos="2340"/>
                <w:tab w:val="left" w:pos="3420"/>
              </w:tabs>
              <w:spacing w:after="240"/>
              <w:ind w:left="3420" w:hanging="2700"/>
              <w:rPr>
                <w:bCs/>
              </w:rPr>
            </w:pPr>
            <w:r w:rsidRPr="00782EFB">
              <w:rPr>
                <w:bCs/>
              </w:rPr>
              <w:t>DAECRPR</w:t>
            </w:r>
            <w:r w:rsidRPr="00782EFB">
              <w:rPr>
                <w:bCs/>
              </w:rPr>
              <w:tab/>
              <w:t xml:space="preserve">= </w:t>
            </w:r>
            <w:r w:rsidRPr="00782EFB">
              <w:rPr>
                <w:bCs/>
              </w:rPr>
              <w:tab/>
              <w:t xml:space="preserve">(-1) * </w:t>
            </w:r>
            <w:r w:rsidR="002C3FE7">
              <w:rPr>
                <w:bCs/>
              </w:rPr>
              <w:t>DA</w:t>
            </w:r>
            <w:r w:rsidRPr="00782EFB">
              <w:rPr>
                <w:bCs/>
              </w:rPr>
              <w:t>PCECRAMTTOT / DAECRQTOT</w:t>
            </w:r>
          </w:p>
          <w:p w14:paraId="23D68A25" w14:textId="5FA64F87" w:rsidR="00DB4436" w:rsidRPr="00782EFB" w:rsidRDefault="002C3FE7" w:rsidP="00DB4436">
            <w:pPr>
              <w:tabs>
                <w:tab w:val="left" w:pos="2340"/>
                <w:tab w:val="left" w:pos="3420"/>
              </w:tabs>
              <w:spacing w:after="240"/>
              <w:ind w:left="3420" w:hanging="2700"/>
              <w:rPr>
                <w:bCs/>
              </w:rPr>
            </w:pPr>
            <w:r>
              <w:rPr>
                <w:bCs/>
              </w:rPr>
              <w:t>DA</w:t>
            </w:r>
            <w:r w:rsidR="00DB4436" w:rsidRPr="00782EFB">
              <w:rPr>
                <w:bCs/>
              </w:rPr>
              <w:t>PCECRAMTTOT</w:t>
            </w:r>
            <w:r w:rsidR="00DB4436" w:rsidRPr="00782EFB">
              <w:rPr>
                <w:bCs/>
              </w:rPr>
              <w:tab/>
              <w:t>=</w:t>
            </w:r>
            <w:r w:rsidR="00DB4436" w:rsidRPr="00782EFB">
              <w:rPr>
                <w:bCs/>
              </w:rPr>
              <w:tab/>
            </w:r>
            <w:r w:rsidR="00DB4436" w:rsidRPr="00782EFB">
              <w:rPr>
                <w:bCs/>
                <w:position w:val="-22"/>
              </w:rPr>
              <w:object w:dxaOrig="220" w:dyaOrig="460" w14:anchorId="2A6EB1FC">
                <v:shape id="_x0000_i1059" type="#_x0000_t75" style="width:13.2pt;height:21pt" o:ole="">
                  <v:imagedata r:id="rId50" o:title=""/>
                </v:shape>
                <o:OLEObject Type="Embed" ProgID="Equation.3" ShapeID="_x0000_i1059" DrawAspect="Content" ObjectID="_1775281352" r:id="rId66"/>
              </w:object>
            </w:r>
            <w:r>
              <w:rPr>
                <w:bCs/>
              </w:rPr>
              <w:t>(</w:t>
            </w:r>
            <w:r w:rsidR="00DB4436" w:rsidRPr="00782EFB">
              <w:rPr>
                <w:bCs/>
              </w:rPr>
              <w:t xml:space="preserve">PCECRAMT </w:t>
            </w:r>
            <w:r w:rsidR="00DB4436" w:rsidRPr="00782EFB">
              <w:rPr>
                <w:bCs/>
                <w:i/>
                <w:vertAlign w:val="subscript"/>
              </w:rPr>
              <w:t>q</w:t>
            </w:r>
            <w:r w:rsidRPr="006145CA">
              <w:t xml:space="preserve"> + DAPCECROAMT </w:t>
            </w:r>
            <w:r w:rsidRPr="006145CA">
              <w:rPr>
                <w:i/>
                <w:vertAlign w:val="subscript"/>
              </w:rPr>
              <w:t>q</w:t>
            </w:r>
            <w:r w:rsidRPr="006145CA">
              <w:t>)</w:t>
            </w:r>
          </w:p>
          <w:p w14:paraId="787E82DB" w14:textId="77777777" w:rsidR="00DB4436" w:rsidRPr="00782EFB" w:rsidRDefault="00DB4436" w:rsidP="00DB4436">
            <w:pPr>
              <w:tabs>
                <w:tab w:val="left" w:pos="2340"/>
                <w:tab w:val="left" w:pos="3420"/>
              </w:tabs>
              <w:spacing w:after="240"/>
              <w:ind w:left="3420" w:hanging="2700"/>
              <w:rPr>
                <w:bCs/>
                <w:lang w:val="pt-BR"/>
              </w:rPr>
            </w:pPr>
            <w:r w:rsidRPr="00782EFB">
              <w:rPr>
                <w:bCs/>
                <w:lang w:val="pt-BR"/>
              </w:rPr>
              <w:t>DAECRQTOT</w:t>
            </w:r>
            <w:r w:rsidRPr="00782EFB">
              <w:rPr>
                <w:bCs/>
                <w:lang w:val="pt-BR"/>
              </w:rPr>
              <w:tab/>
              <w:t>=</w:t>
            </w:r>
            <w:r w:rsidRPr="00782EFB">
              <w:rPr>
                <w:bCs/>
                <w:lang w:val="pt-BR"/>
              </w:rPr>
              <w:tab/>
            </w:r>
            <w:r w:rsidRPr="00782EFB">
              <w:rPr>
                <w:bCs/>
                <w:position w:val="-22"/>
              </w:rPr>
              <w:object w:dxaOrig="220" w:dyaOrig="460" w14:anchorId="73AED09C">
                <v:shape id="_x0000_i1060" type="#_x0000_t75" style="width:13.2pt;height:21pt" o:ole="">
                  <v:imagedata r:id="rId50" o:title=""/>
                </v:shape>
                <o:OLEObject Type="Embed" ProgID="Equation.3" ShapeID="_x0000_i1060" DrawAspect="Content" ObjectID="_1775281353" r:id="rId67"/>
              </w:object>
            </w:r>
            <w:r w:rsidRPr="00782EFB">
              <w:rPr>
                <w:bCs/>
                <w:lang w:val="pt-BR"/>
              </w:rPr>
              <w:t xml:space="preserve">DAECRQ </w:t>
            </w:r>
            <w:r w:rsidRPr="00782EFB">
              <w:rPr>
                <w:bCs/>
                <w:i/>
                <w:vertAlign w:val="subscript"/>
                <w:lang w:val="pt-BR"/>
              </w:rPr>
              <w:t>q</w:t>
            </w:r>
          </w:p>
          <w:p w14:paraId="286F0E76" w14:textId="77777777" w:rsidR="00DB4436" w:rsidRPr="00782EFB" w:rsidRDefault="00DB4436" w:rsidP="00DB4436">
            <w:pPr>
              <w:tabs>
                <w:tab w:val="left" w:pos="2340"/>
                <w:tab w:val="left" w:pos="3420"/>
              </w:tabs>
              <w:spacing w:after="240"/>
              <w:ind w:left="3420" w:hanging="2700"/>
              <w:rPr>
                <w:bCs/>
              </w:rPr>
            </w:pPr>
            <w:r w:rsidRPr="00782EFB">
              <w:rPr>
                <w:bCs/>
              </w:rPr>
              <w:t xml:space="preserve">DAECRQ </w:t>
            </w:r>
            <w:r w:rsidRPr="00782EFB">
              <w:rPr>
                <w:bCs/>
                <w:i/>
                <w:vertAlign w:val="subscript"/>
              </w:rPr>
              <w:t>q</w:t>
            </w:r>
            <w:r w:rsidRPr="00782EFB">
              <w:rPr>
                <w:bCs/>
              </w:rPr>
              <w:tab/>
              <w:t>=</w:t>
            </w:r>
            <w:r w:rsidRPr="00782EFB">
              <w:rPr>
                <w:bCs/>
              </w:rPr>
              <w:tab/>
              <w:t xml:space="preserve">DAECRO </w:t>
            </w:r>
            <w:r w:rsidRPr="00782EFB">
              <w:rPr>
                <w:bCs/>
                <w:i/>
                <w:vertAlign w:val="subscript"/>
              </w:rPr>
              <w:t>q</w:t>
            </w:r>
            <w:r w:rsidRPr="00782EFB">
              <w:rPr>
                <w:bCs/>
              </w:rPr>
              <w:t xml:space="preserve"> – DASAECRQ </w:t>
            </w:r>
            <w:r w:rsidRPr="00782EFB">
              <w:rPr>
                <w:bCs/>
                <w:i/>
                <w:vertAlign w:val="subscript"/>
              </w:rPr>
              <w:t>q</w:t>
            </w:r>
          </w:p>
          <w:p w14:paraId="478A84EE" w14:textId="77777777" w:rsidR="00DB4436" w:rsidRPr="00782EFB" w:rsidRDefault="00DB4436" w:rsidP="00DB4436">
            <w:r w:rsidRPr="00782EFB">
              <w:t xml:space="preserve">The above variables are defined as follows: </w:t>
            </w:r>
          </w:p>
          <w:tbl>
            <w:tblPr>
              <w:tblW w:w="497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72"/>
              <w:gridCol w:w="942"/>
              <w:gridCol w:w="6041"/>
            </w:tblGrid>
            <w:tr w:rsidR="00DB4436" w:rsidRPr="00782EFB" w14:paraId="0F594C89" w14:textId="77777777" w:rsidTr="00B34003">
              <w:trPr>
                <w:tblHeader/>
              </w:trPr>
              <w:tc>
                <w:tcPr>
                  <w:tcW w:w="1144" w:type="pct"/>
                </w:tcPr>
                <w:p w14:paraId="281A83EA" w14:textId="77777777" w:rsidR="00DB4436" w:rsidRPr="00782EFB" w:rsidRDefault="00DB4436" w:rsidP="00DB4436">
                  <w:pPr>
                    <w:spacing w:after="240"/>
                    <w:rPr>
                      <w:b/>
                      <w:iCs/>
                      <w:sz w:val="20"/>
                      <w:szCs w:val="20"/>
                    </w:rPr>
                  </w:pPr>
                  <w:r w:rsidRPr="00782EFB">
                    <w:rPr>
                      <w:b/>
                      <w:iCs/>
                      <w:sz w:val="20"/>
                      <w:szCs w:val="20"/>
                    </w:rPr>
                    <w:t>Variable</w:t>
                  </w:r>
                </w:p>
              </w:tc>
              <w:tc>
                <w:tcPr>
                  <w:tcW w:w="520" w:type="pct"/>
                </w:tcPr>
                <w:p w14:paraId="1C437F9A" w14:textId="77777777" w:rsidR="00DB4436" w:rsidRPr="00782EFB" w:rsidRDefault="00DB4436" w:rsidP="00DB4436">
                  <w:pPr>
                    <w:spacing w:after="240"/>
                    <w:rPr>
                      <w:b/>
                      <w:iCs/>
                      <w:sz w:val="20"/>
                      <w:szCs w:val="20"/>
                    </w:rPr>
                  </w:pPr>
                  <w:r w:rsidRPr="00782EFB">
                    <w:rPr>
                      <w:b/>
                      <w:iCs/>
                      <w:sz w:val="20"/>
                      <w:szCs w:val="20"/>
                    </w:rPr>
                    <w:t>Unit</w:t>
                  </w:r>
                </w:p>
              </w:tc>
              <w:tc>
                <w:tcPr>
                  <w:tcW w:w="3336" w:type="pct"/>
                </w:tcPr>
                <w:p w14:paraId="6482F762" w14:textId="77777777" w:rsidR="00DB4436" w:rsidRPr="00782EFB" w:rsidRDefault="00DB4436" w:rsidP="00DB4436">
                  <w:pPr>
                    <w:spacing w:after="240"/>
                    <w:rPr>
                      <w:b/>
                      <w:iCs/>
                      <w:sz w:val="20"/>
                      <w:szCs w:val="20"/>
                    </w:rPr>
                  </w:pPr>
                  <w:r w:rsidRPr="00782EFB">
                    <w:rPr>
                      <w:b/>
                      <w:iCs/>
                      <w:sz w:val="20"/>
                      <w:szCs w:val="20"/>
                    </w:rPr>
                    <w:t>Definition</w:t>
                  </w:r>
                </w:p>
              </w:tc>
            </w:tr>
            <w:tr w:rsidR="00DB4436" w:rsidRPr="00782EFB" w14:paraId="3D3C61AD" w14:textId="77777777" w:rsidTr="00B34003">
              <w:tc>
                <w:tcPr>
                  <w:tcW w:w="1144" w:type="pct"/>
                </w:tcPr>
                <w:p w14:paraId="6FD9E6C1" w14:textId="77777777" w:rsidR="00DB4436" w:rsidRPr="00782EFB" w:rsidRDefault="00DB4436" w:rsidP="00DB4436">
                  <w:pPr>
                    <w:spacing w:after="60"/>
                    <w:rPr>
                      <w:iCs/>
                      <w:sz w:val="20"/>
                      <w:szCs w:val="20"/>
                    </w:rPr>
                  </w:pPr>
                  <w:r w:rsidRPr="00782EFB">
                    <w:rPr>
                      <w:iCs/>
                      <w:sz w:val="20"/>
                      <w:szCs w:val="20"/>
                    </w:rPr>
                    <w:t xml:space="preserve">DAECRAMT </w:t>
                  </w:r>
                  <w:r w:rsidRPr="00782EFB">
                    <w:rPr>
                      <w:i/>
                      <w:iCs/>
                      <w:sz w:val="20"/>
                      <w:szCs w:val="20"/>
                      <w:vertAlign w:val="subscript"/>
                    </w:rPr>
                    <w:t>q</w:t>
                  </w:r>
                </w:p>
              </w:tc>
              <w:tc>
                <w:tcPr>
                  <w:tcW w:w="520" w:type="pct"/>
                </w:tcPr>
                <w:p w14:paraId="157662CB" w14:textId="77777777" w:rsidR="00DB4436" w:rsidRPr="00782EFB" w:rsidRDefault="00DB4436" w:rsidP="00DB4436">
                  <w:pPr>
                    <w:spacing w:after="60"/>
                    <w:rPr>
                      <w:iCs/>
                      <w:sz w:val="20"/>
                      <w:szCs w:val="20"/>
                    </w:rPr>
                  </w:pPr>
                  <w:r w:rsidRPr="00782EFB">
                    <w:rPr>
                      <w:iCs/>
                      <w:sz w:val="20"/>
                      <w:szCs w:val="20"/>
                    </w:rPr>
                    <w:t>$</w:t>
                  </w:r>
                </w:p>
              </w:tc>
              <w:tc>
                <w:tcPr>
                  <w:tcW w:w="3336" w:type="pct"/>
                </w:tcPr>
                <w:p w14:paraId="79B8AFC7" w14:textId="77777777" w:rsidR="00DB4436" w:rsidRPr="00782EFB" w:rsidRDefault="00DB4436" w:rsidP="00DB4436">
                  <w:pPr>
                    <w:spacing w:after="60"/>
                    <w:rPr>
                      <w:iCs/>
                      <w:sz w:val="20"/>
                      <w:szCs w:val="20"/>
                    </w:rPr>
                  </w:pPr>
                  <w:r w:rsidRPr="00782EFB">
                    <w:rPr>
                      <w:i/>
                      <w:iCs/>
                      <w:sz w:val="20"/>
                      <w:szCs w:val="20"/>
                    </w:rPr>
                    <w:t>Day-Ahead ERCOT Contingency Reserve Amount per QSE</w:t>
                  </w:r>
                  <w:r w:rsidRPr="00782EFB">
                    <w:rPr>
                      <w:iCs/>
                      <w:sz w:val="20"/>
                      <w:szCs w:val="20"/>
                    </w:rPr>
                    <w:t xml:space="preserve">—QSE </w:t>
                  </w:r>
                  <w:r w:rsidRPr="00782EFB">
                    <w:rPr>
                      <w:i/>
                      <w:iCs/>
                      <w:sz w:val="20"/>
                      <w:szCs w:val="20"/>
                    </w:rPr>
                    <w:t>q</w:t>
                  </w:r>
                  <w:r w:rsidRPr="00782EFB">
                    <w:rPr>
                      <w:iCs/>
                      <w:sz w:val="20"/>
                      <w:szCs w:val="20"/>
                    </w:rPr>
                    <w:t>’s share of the DAM cost for ECRS, for the hour.</w:t>
                  </w:r>
                </w:p>
              </w:tc>
            </w:tr>
            <w:tr w:rsidR="00DB4436" w:rsidRPr="00782EFB" w14:paraId="70CE5C8F" w14:textId="77777777" w:rsidTr="00B34003">
              <w:tc>
                <w:tcPr>
                  <w:tcW w:w="1144" w:type="pct"/>
                </w:tcPr>
                <w:p w14:paraId="507BF167" w14:textId="77777777" w:rsidR="00DB4436" w:rsidRPr="00782EFB" w:rsidRDefault="00DB4436" w:rsidP="00DB4436">
                  <w:pPr>
                    <w:spacing w:after="60"/>
                    <w:rPr>
                      <w:iCs/>
                      <w:sz w:val="20"/>
                      <w:szCs w:val="20"/>
                    </w:rPr>
                  </w:pPr>
                  <w:r w:rsidRPr="00782EFB">
                    <w:rPr>
                      <w:iCs/>
                      <w:sz w:val="20"/>
                      <w:szCs w:val="20"/>
                    </w:rPr>
                    <w:t>DAECRPR</w:t>
                  </w:r>
                </w:p>
              </w:tc>
              <w:tc>
                <w:tcPr>
                  <w:tcW w:w="520" w:type="pct"/>
                </w:tcPr>
                <w:p w14:paraId="3DE8E82A" w14:textId="5B21841C" w:rsidR="00DB4436" w:rsidRPr="00782EFB" w:rsidRDefault="00DB4436" w:rsidP="00DB4436">
                  <w:pPr>
                    <w:spacing w:after="60"/>
                    <w:rPr>
                      <w:iCs/>
                      <w:sz w:val="20"/>
                      <w:szCs w:val="20"/>
                    </w:rPr>
                  </w:pPr>
                  <w:r w:rsidRPr="00782EFB">
                    <w:rPr>
                      <w:iCs/>
                      <w:sz w:val="20"/>
                      <w:szCs w:val="20"/>
                    </w:rPr>
                    <w:t>$/MW</w:t>
                  </w:r>
                </w:p>
              </w:tc>
              <w:tc>
                <w:tcPr>
                  <w:tcW w:w="3336" w:type="pct"/>
                </w:tcPr>
                <w:p w14:paraId="2B1F74BE" w14:textId="77777777" w:rsidR="00DB4436" w:rsidRPr="00782EFB" w:rsidRDefault="00DB4436" w:rsidP="00DB4436">
                  <w:pPr>
                    <w:spacing w:after="60"/>
                    <w:rPr>
                      <w:iCs/>
                      <w:sz w:val="20"/>
                      <w:szCs w:val="20"/>
                    </w:rPr>
                  </w:pPr>
                  <w:r w:rsidRPr="00782EFB">
                    <w:rPr>
                      <w:i/>
                      <w:iCs/>
                      <w:sz w:val="20"/>
                      <w:szCs w:val="20"/>
                    </w:rPr>
                    <w:t>Day-Ahead ERCOT Contingency Reserve Price</w:t>
                  </w:r>
                  <w:r w:rsidRPr="00782EFB">
                    <w:rPr>
                      <w:iCs/>
                      <w:sz w:val="20"/>
                      <w:szCs w:val="20"/>
                    </w:rPr>
                    <w:t>—The Day-Ahead ECRS price for the hour.</w:t>
                  </w:r>
                </w:p>
              </w:tc>
            </w:tr>
            <w:tr w:rsidR="00DB4436" w:rsidRPr="00782EFB" w14:paraId="24956380" w14:textId="77777777" w:rsidTr="00B34003">
              <w:tc>
                <w:tcPr>
                  <w:tcW w:w="1144" w:type="pct"/>
                </w:tcPr>
                <w:p w14:paraId="37C1DB5A" w14:textId="77777777" w:rsidR="00DB4436" w:rsidRPr="00782EFB" w:rsidRDefault="00DB4436" w:rsidP="00DB4436">
                  <w:pPr>
                    <w:spacing w:after="60"/>
                    <w:rPr>
                      <w:iCs/>
                      <w:sz w:val="20"/>
                      <w:szCs w:val="20"/>
                    </w:rPr>
                  </w:pPr>
                  <w:r w:rsidRPr="00782EFB">
                    <w:rPr>
                      <w:iCs/>
                      <w:sz w:val="20"/>
                      <w:szCs w:val="20"/>
                    </w:rPr>
                    <w:t xml:space="preserve">DAECRQ </w:t>
                  </w:r>
                  <w:r w:rsidRPr="00782EFB">
                    <w:rPr>
                      <w:i/>
                      <w:iCs/>
                      <w:sz w:val="20"/>
                      <w:szCs w:val="20"/>
                      <w:vertAlign w:val="subscript"/>
                    </w:rPr>
                    <w:t>q</w:t>
                  </w:r>
                </w:p>
              </w:tc>
              <w:tc>
                <w:tcPr>
                  <w:tcW w:w="520" w:type="pct"/>
                </w:tcPr>
                <w:p w14:paraId="2308D9D9" w14:textId="77777777" w:rsidR="00DB4436" w:rsidRPr="00782EFB" w:rsidRDefault="00DB4436" w:rsidP="00DB4436">
                  <w:pPr>
                    <w:spacing w:after="60"/>
                    <w:rPr>
                      <w:iCs/>
                      <w:sz w:val="20"/>
                      <w:szCs w:val="20"/>
                    </w:rPr>
                  </w:pPr>
                  <w:r w:rsidRPr="00782EFB">
                    <w:rPr>
                      <w:iCs/>
                      <w:sz w:val="20"/>
                      <w:szCs w:val="20"/>
                    </w:rPr>
                    <w:t>MW</w:t>
                  </w:r>
                </w:p>
              </w:tc>
              <w:tc>
                <w:tcPr>
                  <w:tcW w:w="3336" w:type="pct"/>
                </w:tcPr>
                <w:p w14:paraId="259A1E9E" w14:textId="77777777" w:rsidR="00DB4436" w:rsidRPr="00782EFB" w:rsidRDefault="00DB4436" w:rsidP="00DB4436">
                  <w:pPr>
                    <w:spacing w:after="60"/>
                    <w:rPr>
                      <w:i/>
                      <w:iCs/>
                      <w:sz w:val="20"/>
                      <w:szCs w:val="20"/>
                    </w:rPr>
                  </w:pPr>
                  <w:r w:rsidRPr="00782EFB">
                    <w:rPr>
                      <w:i/>
                      <w:iCs/>
                      <w:sz w:val="20"/>
                      <w:szCs w:val="20"/>
                    </w:rPr>
                    <w:t>Day-Ahead ERCOT Contingency Reserve Quantity per QSE</w:t>
                  </w:r>
                  <w:r w:rsidRPr="00782EFB">
                    <w:rPr>
                      <w:iCs/>
                      <w:sz w:val="20"/>
                      <w:szCs w:val="20"/>
                    </w:rPr>
                    <w:t xml:space="preserve">—The QSE </w:t>
                  </w:r>
                  <w:r w:rsidRPr="00782EFB">
                    <w:rPr>
                      <w:i/>
                      <w:iCs/>
                      <w:sz w:val="20"/>
                      <w:szCs w:val="20"/>
                    </w:rPr>
                    <w:t>q</w:t>
                  </w:r>
                  <w:r w:rsidRPr="00782EFB">
                    <w:rPr>
                      <w:iCs/>
                      <w:sz w:val="20"/>
                      <w:szCs w:val="20"/>
                    </w:rPr>
                    <w:t>’s Day-Ahead Ancillary Service Obligation minus its self-arranged ECRS quantity for the hour.</w:t>
                  </w:r>
                </w:p>
              </w:tc>
            </w:tr>
            <w:tr w:rsidR="00DB4436" w:rsidRPr="00782EFB" w14:paraId="3DB8AA88" w14:textId="77777777" w:rsidTr="00B34003">
              <w:tc>
                <w:tcPr>
                  <w:tcW w:w="1144" w:type="pct"/>
                </w:tcPr>
                <w:p w14:paraId="1216DFA6" w14:textId="0A45EA0E" w:rsidR="00DB4436" w:rsidRPr="00782EFB" w:rsidRDefault="002C3FE7" w:rsidP="00DB4436">
                  <w:pPr>
                    <w:spacing w:after="60"/>
                    <w:rPr>
                      <w:iCs/>
                      <w:sz w:val="20"/>
                      <w:szCs w:val="20"/>
                    </w:rPr>
                  </w:pPr>
                  <w:r>
                    <w:rPr>
                      <w:iCs/>
                      <w:sz w:val="20"/>
                      <w:szCs w:val="20"/>
                    </w:rPr>
                    <w:t>DA</w:t>
                  </w:r>
                  <w:r w:rsidR="00DB4436" w:rsidRPr="00782EFB">
                    <w:rPr>
                      <w:iCs/>
                      <w:sz w:val="20"/>
                      <w:szCs w:val="20"/>
                    </w:rPr>
                    <w:t xml:space="preserve">PCECRAMTTOT </w:t>
                  </w:r>
                </w:p>
              </w:tc>
              <w:tc>
                <w:tcPr>
                  <w:tcW w:w="520" w:type="pct"/>
                </w:tcPr>
                <w:p w14:paraId="128E94FC" w14:textId="77777777" w:rsidR="00DB4436" w:rsidRPr="00782EFB" w:rsidRDefault="00DB4436" w:rsidP="00DB4436">
                  <w:pPr>
                    <w:spacing w:after="60"/>
                    <w:rPr>
                      <w:iCs/>
                      <w:sz w:val="20"/>
                      <w:szCs w:val="20"/>
                    </w:rPr>
                  </w:pPr>
                  <w:r w:rsidRPr="00782EFB">
                    <w:rPr>
                      <w:iCs/>
                      <w:sz w:val="20"/>
                      <w:szCs w:val="20"/>
                    </w:rPr>
                    <w:t>$</w:t>
                  </w:r>
                </w:p>
              </w:tc>
              <w:tc>
                <w:tcPr>
                  <w:tcW w:w="3336" w:type="pct"/>
                </w:tcPr>
                <w:p w14:paraId="02F64B70" w14:textId="58F35D0B" w:rsidR="00DB4436" w:rsidRPr="00782EFB" w:rsidRDefault="002C3FE7" w:rsidP="002C3FE7">
                  <w:pPr>
                    <w:spacing w:after="60"/>
                    <w:rPr>
                      <w:i/>
                      <w:iCs/>
                      <w:sz w:val="20"/>
                      <w:szCs w:val="20"/>
                    </w:rPr>
                  </w:pPr>
                  <w:r>
                    <w:rPr>
                      <w:i/>
                      <w:iCs/>
                      <w:sz w:val="20"/>
                      <w:szCs w:val="20"/>
                    </w:rPr>
                    <w:t xml:space="preserve">Day-Ahead </w:t>
                  </w:r>
                  <w:r w:rsidR="00DB4436" w:rsidRPr="00782EFB">
                    <w:rPr>
                      <w:i/>
                      <w:iCs/>
                      <w:sz w:val="20"/>
                      <w:szCs w:val="20"/>
                    </w:rPr>
                    <w:t>Procured Capacity for ERCOT Contingency Reserve Amount Total</w:t>
                  </w:r>
                  <w:r w:rsidR="00DB4436" w:rsidRPr="00782EFB">
                    <w:rPr>
                      <w:iCs/>
                      <w:sz w:val="20"/>
                      <w:szCs w:val="20"/>
                    </w:rPr>
                    <w:t>—The total of the DAM ECRS payments for all QSEs for the hour.</w:t>
                  </w:r>
                </w:p>
              </w:tc>
            </w:tr>
            <w:tr w:rsidR="00DB4436" w:rsidRPr="00782EFB" w14:paraId="40AEFA3F" w14:textId="77777777" w:rsidTr="00B34003">
              <w:tc>
                <w:tcPr>
                  <w:tcW w:w="1144" w:type="pct"/>
                </w:tcPr>
                <w:p w14:paraId="7072E8A4" w14:textId="77777777" w:rsidR="00DB4436" w:rsidRPr="00782EFB" w:rsidRDefault="00DB4436" w:rsidP="00DB4436">
                  <w:pPr>
                    <w:spacing w:after="60"/>
                    <w:rPr>
                      <w:iCs/>
                      <w:sz w:val="20"/>
                      <w:szCs w:val="20"/>
                    </w:rPr>
                  </w:pPr>
                  <w:r w:rsidRPr="00782EFB">
                    <w:rPr>
                      <w:iCs/>
                      <w:sz w:val="20"/>
                      <w:szCs w:val="20"/>
                    </w:rPr>
                    <w:t>PCECRAMT</w:t>
                  </w:r>
                  <w:r w:rsidRPr="00782EFB">
                    <w:rPr>
                      <w:i/>
                      <w:iCs/>
                      <w:sz w:val="20"/>
                      <w:szCs w:val="20"/>
                    </w:rPr>
                    <w:t xml:space="preserve"> </w:t>
                  </w:r>
                  <w:r w:rsidRPr="00782EFB">
                    <w:rPr>
                      <w:i/>
                      <w:iCs/>
                      <w:sz w:val="20"/>
                      <w:szCs w:val="20"/>
                      <w:vertAlign w:val="subscript"/>
                    </w:rPr>
                    <w:t>q</w:t>
                  </w:r>
                </w:p>
              </w:tc>
              <w:tc>
                <w:tcPr>
                  <w:tcW w:w="520" w:type="pct"/>
                </w:tcPr>
                <w:p w14:paraId="0353C621" w14:textId="77777777" w:rsidR="00DB4436" w:rsidRPr="00782EFB" w:rsidRDefault="00DB4436" w:rsidP="00DB4436">
                  <w:pPr>
                    <w:spacing w:after="60"/>
                    <w:rPr>
                      <w:iCs/>
                      <w:sz w:val="20"/>
                      <w:szCs w:val="20"/>
                    </w:rPr>
                  </w:pPr>
                  <w:r w:rsidRPr="00782EFB">
                    <w:rPr>
                      <w:iCs/>
                      <w:sz w:val="20"/>
                      <w:szCs w:val="20"/>
                    </w:rPr>
                    <w:t>$</w:t>
                  </w:r>
                </w:p>
              </w:tc>
              <w:tc>
                <w:tcPr>
                  <w:tcW w:w="3336" w:type="pct"/>
                </w:tcPr>
                <w:p w14:paraId="3FE49EDA" w14:textId="77777777" w:rsidR="00DB4436" w:rsidRPr="00782EFB" w:rsidRDefault="00DB4436" w:rsidP="00DB4436">
                  <w:pPr>
                    <w:spacing w:after="60"/>
                    <w:rPr>
                      <w:i/>
                      <w:iCs/>
                      <w:sz w:val="20"/>
                      <w:szCs w:val="20"/>
                    </w:rPr>
                  </w:pPr>
                  <w:r w:rsidRPr="00782EFB">
                    <w:rPr>
                      <w:i/>
                      <w:iCs/>
                      <w:sz w:val="20"/>
                      <w:szCs w:val="20"/>
                    </w:rPr>
                    <w:t>Procured Capacity for ERCOT Contingency Reserve Amount per QSE for DAM</w:t>
                  </w:r>
                  <w:r w:rsidRPr="00782EFB">
                    <w:rPr>
                      <w:iCs/>
                      <w:sz w:val="20"/>
                      <w:szCs w:val="20"/>
                    </w:rPr>
                    <w:t xml:space="preserve">—The DAM ECRS payment for QSE </w:t>
                  </w:r>
                  <w:r w:rsidRPr="00782EFB">
                    <w:rPr>
                      <w:i/>
                      <w:iCs/>
                      <w:sz w:val="20"/>
                      <w:szCs w:val="20"/>
                    </w:rPr>
                    <w:t>q</w:t>
                  </w:r>
                  <w:r w:rsidRPr="00782EFB">
                    <w:rPr>
                      <w:iCs/>
                      <w:sz w:val="20"/>
                      <w:szCs w:val="20"/>
                    </w:rPr>
                    <w:t xml:space="preserve"> for the hour.</w:t>
                  </w:r>
                </w:p>
              </w:tc>
            </w:tr>
            <w:tr w:rsidR="002C3FE7" w:rsidRPr="00782EFB" w14:paraId="2C6C267B" w14:textId="77777777" w:rsidTr="00B34003">
              <w:tc>
                <w:tcPr>
                  <w:tcW w:w="1144" w:type="pct"/>
                </w:tcPr>
                <w:p w14:paraId="4DF83237" w14:textId="257CF0C7" w:rsidR="002C3FE7" w:rsidRPr="00782EFB" w:rsidRDefault="002C3FE7" w:rsidP="002C3FE7">
                  <w:pPr>
                    <w:spacing w:after="60"/>
                    <w:rPr>
                      <w:iCs/>
                      <w:sz w:val="20"/>
                      <w:szCs w:val="20"/>
                    </w:rPr>
                  </w:pPr>
                  <w:r w:rsidRPr="006145CA">
                    <w:rPr>
                      <w:iCs/>
                      <w:sz w:val="20"/>
                      <w:szCs w:val="20"/>
                    </w:rPr>
                    <w:t xml:space="preserve">DAPCECROAMT </w:t>
                  </w:r>
                  <w:r w:rsidRPr="006145CA">
                    <w:rPr>
                      <w:i/>
                      <w:iCs/>
                      <w:sz w:val="20"/>
                      <w:szCs w:val="20"/>
                      <w:vertAlign w:val="subscript"/>
                    </w:rPr>
                    <w:t>q</w:t>
                  </w:r>
                  <w:r w:rsidRPr="006145CA">
                    <w:rPr>
                      <w:i/>
                      <w:iCs/>
                      <w:sz w:val="20"/>
                      <w:szCs w:val="20"/>
                    </w:rPr>
                    <w:t xml:space="preserve"> </w:t>
                  </w:r>
                </w:p>
              </w:tc>
              <w:tc>
                <w:tcPr>
                  <w:tcW w:w="520" w:type="pct"/>
                </w:tcPr>
                <w:p w14:paraId="45AB48DD" w14:textId="452DBB50" w:rsidR="002C3FE7" w:rsidRPr="00782EFB" w:rsidRDefault="002C3FE7" w:rsidP="002C3FE7">
                  <w:pPr>
                    <w:spacing w:after="60"/>
                    <w:rPr>
                      <w:iCs/>
                      <w:sz w:val="20"/>
                      <w:szCs w:val="20"/>
                    </w:rPr>
                  </w:pPr>
                  <w:r w:rsidRPr="006145CA">
                    <w:rPr>
                      <w:iCs/>
                      <w:sz w:val="20"/>
                      <w:szCs w:val="20"/>
                    </w:rPr>
                    <w:t>$</w:t>
                  </w:r>
                </w:p>
              </w:tc>
              <w:tc>
                <w:tcPr>
                  <w:tcW w:w="3336" w:type="pct"/>
                </w:tcPr>
                <w:p w14:paraId="57171ACE" w14:textId="0677CEAC" w:rsidR="002C3FE7" w:rsidRPr="00782EFB" w:rsidRDefault="002C3FE7" w:rsidP="002C3FE7">
                  <w:pPr>
                    <w:spacing w:after="60"/>
                    <w:rPr>
                      <w:i/>
                      <w:iCs/>
                      <w:sz w:val="20"/>
                      <w:szCs w:val="20"/>
                    </w:rPr>
                  </w:pPr>
                  <w:r w:rsidRPr="006049CA">
                    <w:rPr>
                      <w:i/>
                      <w:sz w:val="20"/>
                      <w:szCs w:val="20"/>
                    </w:rPr>
                    <w:t xml:space="preserve">Day-Ahead Procured Capacity for </w:t>
                  </w:r>
                  <w:r w:rsidRPr="00A1178F">
                    <w:rPr>
                      <w:i/>
                      <w:iCs/>
                      <w:sz w:val="20"/>
                      <w:szCs w:val="20"/>
                    </w:rPr>
                    <w:t>ERCOT Contingency Reserve Service</w:t>
                  </w:r>
                  <w:r w:rsidRPr="006049CA">
                    <w:rPr>
                      <w:i/>
                      <w:sz w:val="20"/>
                      <w:szCs w:val="20"/>
                    </w:rPr>
                    <w:t xml:space="preserve"> Only </w:t>
                  </w:r>
                  <w:r>
                    <w:rPr>
                      <w:i/>
                      <w:sz w:val="20"/>
                      <w:szCs w:val="20"/>
                    </w:rPr>
                    <w:t>Amount</w:t>
                  </w:r>
                  <w:r w:rsidRPr="006049CA">
                    <w:rPr>
                      <w:i/>
                      <w:sz w:val="20"/>
                      <w:szCs w:val="20"/>
                    </w:rPr>
                    <w:t xml:space="preserve"> per QSE</w:t>
                  </w:r>
                  <w:r w:rsidRPr="006049CA">
                    <w:rPr>
                      <w:sz w:val="20"/>
                      <w:szCs w:val="20"/>
                    </w:rPr>
                    <w:t xml:space="preserve">— The payment to QSE </w:t>
                  </w:r>
                  <w:r w:rsidRPr="006049CA">
                    <w:rPr>
                      <w:i/>
                      <w:sz w:val="20"/>
                      <w:szCs w:val="20"/>
                    </w:rPr>
                    <w:t>q</w:t>
                  </w:r>
                  <w:r w:rsidRPr="006049CA">
                    <w:rPr>
                      <w:sz w:val="20"/>
                      <w:szCs w:val="20"/>
                    </w:rPr>
                    <w:t xml:space="preserve"> for all ECRS only awards in DAM for the hour.</w:t>
                  </w:r>
                </w:p>
              </w:tc>
            </w:tr>
            <w:tr w:rsidR="00DB4436" w:rsidRPr="00782EFB" w14:paraId="4361C633" w14:textId="77777777" w:rsidTr="00B34003">
              <w:tc>
                <w:tcPr>
                  <w:tcW w:w="1144" w:type="pct"/>
                </w:tcPr>
                <w:p w14:paraId="13C326B2" w14:textId="77777777" w:rsidR="00DB4436" w:rsidRPr="00782EFB" w:rsidRDefault="00DB4436" w:rsidP="00DB4436">
                  <w:pPr>
                    <w:spacing w:after="60"/>
                    <w:rPr>
                      <w:iCs/>
                      <w:sz w:val="20"/>
                      <w:szCs w:val="20"/>
                    </w:rPr>
                  </w:pPr>
                  <w:r w:rsidRPr="00782EFB">
                    <w:rPr>
                      <w:iCs/>
                      <w:sz w:val="20"/>
                      <w:szCs w:val="20"/>
                    </w:rPr>
                    <w:t>DAECRQTOT</w:t>
                  </w:r>
                </w:p>
              </w:tc>
              <w:tc>
                <w:tcPr>
                  <w:tcW w:w="520" w:type="pct"/>
                </w:tcPr>
                <w:p w14:paraId="40B02C0B" w14:textId="77777777" w:rsidR="00DB4436" w:rsidRPr="00782EFB" w:rsidRDefault="00DB4436" w:rsidP="00DB4436">
                  <w:pPr>
                    <w:spacing w:after="60"/>
                    <w:rPr>
                      <w:iCs/>
                      <w:sz w:val="20"/>
                      <w:szCs w:val="20"/>
                    </w:rPr>
                  </w:pPr>
                  <w:r w:rsidRPr="00782EFB">
                    <w:rPr>
                      <w:iCs/>
                      <w:sz w:val="20"/>
                      <w:szCs w:val="20"/>
                    </w:rPr>
                    <w:t>MW</w:t>
                  </w:r>
                </w:p>
              </w:tc>
              <w:tc>
                <w:tcPr>
                  <w:tcW w:w="3336" w:type="pct"/>
                </w:tcPr>
                <w:p w14:paraId="4196705F" w14:textId="77777777" w:rsidR="00DB4436" w:rsidRPr="00782EFB" w:rsidRDefault="00DB4436" w:rsidP="00DB4436">
                  <w:pPr>
                    <w:spacing w:after="60"/>
                    <w:rPr>
                      <w:i/>
                      <w:iCs/>
                      <w:sz w:val="20"/>
                      <w:szCs w:val="20"/>
                    </w:rPr>
                  </w:pPr>
                  <w:r w:rsidRPr="00782EFB">
                    <w:rPr>
                      <w:i/>
                      <w:iCs/>
                      <w:sz w:val="20"/>
                      <w:szCs w:val="20"/>
                    </w:rPr>
                    <w:t>Day-Ahead ERCOT Contingency Reserve Quantity Total</w:t>
                  </w:r>
                  <w:r w:rsidRPr="00782EFB">
                    <w:rPr>
                      <w:iCs/>
                      <w:sz w:val="20"/>
                      <w:szCs w:val="20"/>
                    </w:rPr>
                    <w:t>—The sum of every QSE’s Day-Ahead Ancillary Service Obligation minus its self-arranged ECRS quantity for the hour.</w:t>
                  </w:r>
                </w:p>
              </w:tc>
            </w:tr>
            <w:tr w:rsidR="00DB4436" w:rsidRPr="00782EFB" w14:paraId="54F3C56F" w14:textId="77777777" w:rsidTr="00B34003">
              <w:tc>
                <w:tcPr>
                  <w:tcW w:w="1144" w:type="pct"/>
                </w:tcPr>
                <w:p w14:paraId="18FD7CA1" w14:textId="77777777" w:rsidR="00DB4436" w:rsidRPr="00782EFB" w:rsidRDefault="00DB4436" w:rsidP="00DB4436">
                  <w:pPr>
                    <w:spacing w:after="60"/>
                    <w:rPr>
                      <w:iCs/>
                      <w:sz w:val="20"/>
                      <w:szCs w:val="20"/>
                    </w:rPr>
                  </w:pPr>
                  <w:r w:rsidRPr="00782EFB">
                    <w:rPr>
                      <w:iCs/>
                      <w:sz w:val="20"/>
                      <w:szCs w:val="20"/>
                    </w:rPr>
                    <w:t xml:space="preserve">DAECRO </w:t>
                  </w:r>
                  <w:r w:rsidRPr="00782EFB">
                    <w:rPr>
                      <w:i/>
                      <w:iCs/>
                      <w:sz w:val="20"/>
                      <w:szCs w:val="20"/>
                      <w:vertAlign w:val="subscript"/>
                    </w:rPr>
                    <w:t>q</w:t>
                  </w:r>
                </w:p>
              </w:tc>
              <w:tc>
                <w:tcPr>
                  <w:tcW w:w="520" w:type="pct"/>
                </w:tcPr>
                <w:p w14:paraId="4FA2E7C2" w14:textId="77777777" w:rsidR="00DB4436" w:rsidRPr="00782EFB" w:rsidRDefault="00DB4436" w:rsidP="00DB4436">
                  <w:pPr>
                    <w:spacing w:after="60"/>
                    <w:rPr>
                      <w:iCs/>
                      <w:sz w:val="20"/>
                      <w:szCs w:val="20"/>
                    </w:rPr>
                  </w:pPr>
                  <w:r w:rsidRPr="00782EFB">
                    <w:rPr>
                      <w:iCs/>
                      <w:sz w:val="20"/>
                      <w:szCs w:val="20"/>
                    </w:rPr>
                    <w:t>MW</w:t>
                  </w:r>
                </w:p>
              </w:tc>
              <w:tc>
                <w:tcPr>
                  <w:tcW w:w="3336" w:type="pct"/>
                </w:tcPr>
                <w:p w14:paraId="37A1CAF4" w14:textId="77777777" w:rsidR="00DB4436" w:rsidRPr="00782EFB" w:rsidRDefault="00DB4436" w:rsidP="00DB4436">
                  <w:pPr>
                    <w:spacing w:after="60"/>
                    <w:rPr>
                      <w:i/>
                      <w:iCs/>
                      <w:sz w:val="20"/>
                      <w:szCs w:val="20"/>
                    </w:rPr>
                  </w:pPr>
                  <w:r w:rsidRPr="00782EFB">
                    <w:rPr>
                      <w:i/>
                      <w:iCs/>
                      <w:sz w:val="20"/>
                      <w:szCs w:val="20"/>
                    </w:rPr>
                    <w:t>Day-Ahead ERCOT Contingency Reserve Obligation per QSE</w:t>
                  </w:r>
                  <w:r w:rsidRPr="00782EFB">
                    <w:rPr>
                      <w:iCs/>
                      <w:sz w:val="20"/>
                      <w:szCs w:val="20"/>
                    </w:rPr>
                    <w:t xml:space="preserve">—The ECRS capacity obligation for QSE </w:t>
                  </w:r>
                  <w:r w:rsidRPr="00782EFB">
                    <w:rPr>
                      <w:i/>
                      <w:iCs/>
                      <w:sz w:val="20"/>
                      <w:szCs w:val="20"/>
                    </w:rPr>
                    <w:t>q</w:t>
                  </w:r>
                  <w:r w:rsidRPr="00782EFB">
                    <w:rPr>
                      <w:iCs/>
                      <w:sz w:val="20"/>
                      <w:szCs w:val="20"/>
                    </w:rPr>
                    <w:t xml:space="preserve"> for the DAM for the hour. </w:t>
                  </w:r>
                </w:p>
              </w:tc>
            </w:tr>
            <w:tr w:rsidR="00DB4436" w:rsidRPr="00782EFB" w14:paraId="7874A76E" w14:textId="77777777" w:rsidTr="00B34003">
              <w:tc>
                <w:tcPr>
                  <w:tcW w:w="1144" w:type="pct"/>
                </w:tcPr>
                <w:p w14:paraId="26EA2884" w14:textId="77777777" w:rsidR="00DB4436" w:rsidRPr="00782EFB" w:rsidRDefault="00DB4436" w:rsidP="00DB4436">
                  <w:pPr>
                    <w:spacing w:after="60"/>
                    <w:rPr>
                      <w:iCs/>
                      <w:sz w:val="20"/>
                      <w:szCs w:val="20"/>
                    </w:rPr>
                  </w:pPr>
                  <w:r w:rsidRPr="00782EFB">
                    <w:rPr>
                      <w:iCs/>
                      <w:sz w:val="20"/>
                      <w:szCs w:val="20"/>
                    </w:rPr>
                    <w:t xml:space="preserve">DASAECRQ </w:t>
                  </w:r>
                  <w:r w:rsidRPr="00782EFB">
                    <w:rPr>
                      <w:i/>
                      <w:iCs/>
                      <w:sz w:val="20"/>
                      <w:szCs w:val="20"/>
                      <w:vertAlign w:val="subscript"/>
                    </w:rPr>
                    <w:t>q</w:t>
                  </w:r>
                </w:p>
              </w:tc>
              <w:tc>
                <w:tcPr>
                  <w:tcW w:w="520" w:type="pct"/>
                </w:tcPr>
                <w:p w14:paraId="002106BB" w14:textId="77777777" w:rsidR="00DB4436" w:rsidRPr="00782EFB" w:rsidRDefault="00DB4436" w:rsidP="00DB4436">
                  <w:pPr>
                    <w:spacing w:after="60"/>
                    <w:rPr>
                      <w:iCs/>
                      <w:sz w:val="20"/>
                      <w:szCs w:val="20"/>
                    </w:rPr>
                  </w:pPr>
                  <w:r w:rsidRPr="00782EFB">
                    <w:rPr>
                      <w:iCs/>
                      <w:sz w:val="20"/>
                      <w:szCs w:val="20"/>
                    </w:rPr>
                    <w:t>MW</w:t>
                  </w:r>
                </w:p>
              </w:tc>
              <w:tc>
                <w:tcPr>
                  <w:tcW w:w="3336" w:type="pct"/>
                </w:tcPr>
                <w:p w14:paraId="0E0BDEF2" w14:textId="77777777" w:rsidR="00DB4436" w:rsidRPr="00782EFB" w:rsidRDefault="00DB4436" w:rsidP="00DB4436">
                  <w:pPr>
                    <w:spacing w:after="60"/>
                    <w:rPr>
                      <w:i/>
                      <w:iCs/>
                      <w:sz w:val="20"/>
                      <w:szCs w:val="20"/>
                    </w:rPr>
                  </w:pPr>
                  <w:r w:rsidRPr="00782EFB">
                    <w:rPr>
                      <w:i/>
                      <w:iCs/>
                      <w:sz w:val="20"/>
                      <w:szCs w:val="20"/>
                    </w:rPr>
                    <w:t>Day-Ahead Self-Arranged ERCOT Contingency Reserve Quantity per QSE</w:t>
                  </w:r>
                  <w:r w:rsidRPr="00782EFB">
                    <w:rPr>
                      <w:iCs/>
                      <w:sz w:val="20"/>
                      <w:szCs w:val="20"/>
                    </w:rPr>
                    <w:t xml:space="preserve">—The self-arranged ECRS quantity submitted by QSE </w:t>
                  </w:r>
                  <w:r w:rsidRPr="00782EFB">
                    <w:rPr>
                      <w:i/>
                      <w:iCs/>
                      <w:sz w:val="20"/>
                      <w:szCs w:val="20"/>
                    </w:rPr>
                    <w:t>q</w:t>
                  </w:r>
                  <w:r w:rsidRPr="00782EFB">
                    <w:rPr>
                      <w:iCs/>
                      <w:sz w:val="20"/>
                      <w:szCs w:val="20"/>
                    </w:rPr>
                    <w:t xml:space="preserve"> before 1000 in the Day-Ahead.</w:t>
                  </w:r>
                </w:p>
              </w:tc>
            </w:tr>
            <w:tr w:rsidR="00DB4436" w:rsidRPr="00782EFB" w14:paraId="7BCDDC06" w14:textId="77777777" w:rsidTr="00B34003">
              <w:tc>
                <w:tcPr>
                  <w:tcW w:w="1144" w:type="pct"/>
                </w:tcPr>
                <w:p w14:paraId="2E48140A" w14:textId="77777777" w:rsidR="00DB4436" w:rsidRPr="00782EFB" w:rsidRDefault="00DB4436" w:rsidP="00DB4436">
                  <w:pPr>
                    <w:spacing w:after="60"/>
                    <w:rPr>
                      <w:i/>
                      <w:iCs/>
                      <w:sz w:val="20"/>
                      <w:szCs w:val="20"/>
                    </w:rPr>
                  </w:pPr>
                  <w:r w:rsidRPr="00782EFB">
                    <w:rPr>
                      <w:i/>
                      <w:iCs/>
                      <w:sz w:val="20"/>
                      <w:szCs w:val="20"/>
                    </w:rPr>
                    <w:t>q</w:t>
                  </w:r>
                </w:p>
              </w:tc>
              <w:tc>
                <w:tcPr>
                  <w:tcW w:w="520" w:type="pct"/>
                </w:tcPr>
                <w:p w14:paraId="1E359109" w14:textId="77777777" w:rsidR="00DB4436" w:rsidRPr="00782EFB" w:rsidRDefault="00DB4436" w:rsidP="00DB4436">
                  <w:pPr>
                    <w:spacing w:after="60"/>
                    <w:rPr>
                      <w:iCs/>
                      <w:sz w:val="20"/>
                      <w:szCs w:val="20"/>
                    </w:rPr>
                  </w:pPr>
                  <w:r w:rsidRPr="00782EFB">
                    <w:rPr>
                      <w:iCs/>
                      <w:sz w:val="20"/>
                      <w:szCs w:val="20"/>
                    </w:rPr>
                    <w:t>none</w:t>
                  </w:r>
                </w:p>
              </w:tc>
              <w:tc>
                <w:tcPr>
                  <w:tcW w:w="3336" w:type="pct"/>
                </w:tcPr>
                <w:p w14:paraId="0809D21A" w14:textId="77777777" w:rsidR="00DB4436" w:rsidRPr="00782EFB" w:rsidRDefault="00DB4436" w:rsidP="00DB4436">
                  <w:pPr>
                    <w:spacing w:after="60"/>
                    <w:rPr>
                      <w:iCs/>
                      <w:sz w:val="20"/>
                      <w:szCs w:val="20"/>
                    </w:rPr>
                  </w:pPr>
                  <w:r w:rsidRPr="00782EFB">
                    <w:rPr>
                      <w:iCs/>
                      <w:sz w:val="20"/>
                      <w:szCs w:val="20"/>
                    </w:rPr>
                    <w:t>A QSE.</w:t>
                  </w:r>
                </w:p>
              </w:tc>
            </w:tr>
          </w:tbl>
          <w:p w14:paraId="237ED54E" w14:textId="77777777" w:rsidR="00DB4436" w:rsidRPr="00FC44CB" w:rsidRDefault="00DB4436" w:rsidP="00B34003">
            <w:pPr>
              <w:spacing w:after="240"/>
            </w:pPr>
          </w:p>
        </w:tc>
      </w:tr>
    </w:tbl>
    <w:p w14:paraId="0397F74D" w14:textId="63DF774F" w:rsidR="00FF2129" w:rsidRDefault="00482EF3" w:rsidP="00003B06">
      <w:pPr>
        <w:pStyle w:val="H3"/>
        <w:spacing w:before="480"/>
      </w:pPr>
      <w:bookmarkStart w:id="857" w:name="_Toc135990704"/>
      <w:r>
        <w:lastRenderedPageBreak/>
        <w:t>4.6.5</w:t>
      </w:r>
      <w:r>
        <w:tab/>
        <w:t>Calculation of “Average Incremental Energy Cost” (AIEC)</w:t>
      </w:r>
      <w:bookmarkEnd w:id="850"/>
      <w:bookmarkEnd w:id="851"/>
      <w:bookmarkEnd w:id="852"/>
      <w:bookmarkEnd w:id="853"/>
      <w:bookmarkEnd w:id="854"/>
      <w:bookmarkEnd w:id="855"/>
      <w:bookmarkEnd w:id="856"/>
      <w:bookmarkEnd w:id="857"/>
    </w:p>
    <w:p w14:paraId="77F6F333" w14:textId="75A75EE7" w:rsidR="007511F2" w:rsidRDefault="007511F2" w:rsidP="007511F2">
      <w:pPr>
        <w:pStyle w:val="BodyText"/>
        <w:ind w:left="720" w:hanging="720"/>
      </w:pPr>
      <w:r>
        <w:t>(1)</w:t>
      </w:r>
      <w:r>
        <w:tab/>
        <w:t>The methodology of AIEC calculation is presented below.  AIEC is used to account for the additional cost for a Generation Resource to produce energy above its LSL.  This cost calculation methodology is used for the calculation of</w:t>
      </w:r>
      <w:r w:rsidR="005A7FF5">
        <w:t xml:space="preserve"> the</w:t>
      </w:r>
      <w:r>
        <w:t xml:space="preserve"> DAAIEC variable.</w:t>
      </w:r>
    </w:p>
    <w:p w14:paraId="57DCEE80" w14:textId="77777777" w:rsidR="007511F2" w:rsidRDefault="007511F2" w:rsidP="007511F2">
      <w:pPr>
        <w:spacing w:beforeLines="200" w:before="480" w:afterLines="100" w:after="240"/>
      </w:pPr>
      <w:r>
        <w:t>I.</w:t>
      </w:r>
      <w:r>
        <w:tab/>
        <w:t>Energy Offer Curve: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8"/>
        <w:gridCol w:w="605"/>
        <w:gridCol w:w="872"/>
      </w:tblGrid>
      <w:tr w:rsidR="007511F2" w14:paraId="10A82006" w14:textId="77777777" w:rsidTr="00240CAA">
        <w:trPr>
          <w:jc w:val="center"/>
        </w:trPr>
        <w:tc>
          <w:tcPr>
            <w:tcW w:w="0" w:type="auto"/>
            <w:vAlign w:val="center"/>
          </w:tcPr>
          <w:p w14:paraId="51B691D2" w14:textId="77777777" w:rsidR="007511F2" w:rsidRDefault="007511F2" w:rsidP="00240CAA">
            <w:pPr>
              <w:pStyle w:val="TableHead"/>
            </w:pPr>
            <w:r>
              <w:t>Index (i)</w:t>
            </w:r>
          </w:p>
        </w:tc>
        <w:tc>
          <w:tcPr>
            <w:tcW w:w="0" w:type="auto"/>
            <w:vAlign w:val="center"/>
          </w:tcPr>
          <w:p w14:paraId="6404FFA7" w14:textId="77777777" w:rsidR="007511F2" w:rsidRDefault="007511F2" w:rsidP="00240CAA">
            <w:pPr>
              <w:pStyle w:val="TableHead"/>
            </w:pPr>
            <w:r>
              <w:t>MW</w:t>
            </w:r>
          </w:p>
        </w:tc>
        <w:tc>
          <w:tcPr>
            <w:tcW w:w="0" w:type="auto"/>
            <w:vAlign w:val="center"/>
          </w:tcPr>
          <w:p w14:paraId="2ED085C2" w14:textId="77777777" w:rsidR="007511F2" w:rsidRDefault="007511F2" w:rsidP="00240CAA">
            <w:pPr>
              <w:pStyle w:val="TableHead"/>
            </w:pPr>
            <w:r>
              <w:t>$/MWh</w:t>
            </w:r>
          </w:p>
        </w:tc>
      </w:tr>
      <w:tr w:rsidR="007511F2" w14:paraId="3551038D" w14:textId="77777777" w:rsidTr="00240CAA">
        <w:trPr>
          <w:jc w:val="center"/>
        </w:trPr>
        <w:tc>
          <w:tcPr>
            <w:tcW w:w="0" w:type="auto"/>
            <w:vAlign w:val="center"/>
          </w:tcPr>
          <w:p w14:paraId="1CE130AB" w14:textId="77777777" w:rsidR="007511F2" w:rsidRDefault="007511F2" w:rsidP="00240CAA">
            <w:pPr>
              <w:pStyle w:val="TableBody"/>
            </w:pPr>
            <w:r>
              <w:t>1</w:t>
            </w:r>
          </w:p>
        </w:tc>
        <w:tc>
          <w:tcPr>
            <w:tcW w:w="0" w:type="auto"/>
            <w:vAlign w:val="center"/>
          </w:tcPr>
          <w:p w14:paraId="0614C33A" w14:textId="77777777" w:rsidR="007511F2" w:rsidRDefault="007511F2" w:rsidP="00240CAA">
            <w:pPr>
              <w:pStyle w:val="TableBody"/>
            </w:pPr>
            <w:r>
              <w:t>Q</w:t>
            </w:r>
            <w:r>
              <w:rPr>
                <w:vertAlign w:val="subscript"/>
              </w:rPr>
              <w:t>1</w:t>
            </w:r>
          </w:p>
        </w:tc>
        <w:tc>
          <w:tcPr>
            <w:tcW w:w="0" w:type="auto"/>
            <w:vAlign w:val="center"/>
          </w:tcPr>
          <w:p w14:paraId="659236E6" w14:textId="77777777" w:rsidR="007511F2" w:rsidRDefault="007511F2" w:rsidP="00240CAA">
            <w:pPr>
              <w:pStyle w:val="TableBody"/>
            </w:pPr>
            <w:r>
              <w:t>P</w:t>
            </w:r>
            <w:r>
              <w:rPr>
                <w:vertAlign w:val="subscript"/>
              </w:rPr>
              <w:t>1</w:t>
            </w:r>
          </w:p>
        </w:tc>
      </w:tr>
      <w:tr w:rsidR="007511F2" w14:paraId="45DBBF47" w14:textId="77777777" w:rsidTr="00240CAA">
        <w:trPr>
          <w:jc w:val="center"/>
        </w:trPr>
        <w:tc>
          <w:tcPr>
            <w:tcW w:w="0" w:type="auto"/>
            <w:vAlign w:val="center"/>
          </w:tcPr>
          <w:p w14:paraId="00020494" w14:textId="77777777" w:rsidR="007511F2" w:rsidRDefault="007511F2" w:rsidP="00240CAA">
            <w:pPr>
              <w:pStyle w:val="TableBody"/>
            </w:pPr>
            <w:r>
              <w:t>2</w:t>
            </w:r>
          </w:p>
        </w:tc>
        <w:tc>
          <w:tcPr>
            <w:tcW w:w="0" w:type="auto"/>
            <w:vAlign w:val="center"/>
          </w:tcPr>
          <w:p w14:paraId="687658C3" w14:textId="77777777" w:rsidR="007511F2" w:rsidRDefault="007511F2" w:rsidP="00240CAA">
            <w:pPr>
              <w:pStyle w:val="TableBody"/>
            </w:pPr>
            <w:r>
              <w:t>Q</w:t>
            </w:r>
            <w:r>
              <w:rPr>
                <w:vertAlign w:val="subscript"/>
              </w:rPr>
              <w:t>2</w:t>
            </w:r>
          </w:p>
        </w:tc>
        <w:tc>
          <w:tcPr>
            <w:tcW w:w="0" w:type="auto"/>
            <w:vAlign w:val="center"/>
          </w:tcPr>
          <w:p w14:paraId="1F38171F" w14:textId="77777777" w:rsidR="007511F2" w:rsidRDefault="007511F2" w:rsidP="00240CAA">
            <w:pPr>
              <w:pStyle w:val="TableBody"/>
            </w:pPr>
            <w:r>
              <w:t>P</w:t>
            </w:r>
            <w:r>
              <w:rPr>
                <w:vertAlign w:val="subscript"/>
              </w:rPr>
              <w:t>2</w:t>
            </w:r>
          </w:p>
        </w:tc>
      </w:tr>
      <w:tr w:rsidR="007511F2" w14:paraId="18E4A5D4" w14:textId="77777777" w:rsidTr="00240CAA">
        <w:trPr>
          <w:trHeight w:val="485"/>
          <w:jc w:val="center"/>
        </w:trPr>
        <w:tc>
          <w:tcPr>
            <w:tcW w:w="0" w:type="auto"/>
            <w:vAlign w:val="center"/>
          </w:tcPr>
          <w:p w14:paraId="1A45D76B" w14:textId="77777777" w:rsidR="007511F2" w:rsidRDefault="00DF6616" w:rsidP="00240CAA">
            <w:pPr>
              <w:pStyle w:val="TableBody"/>
            </w:pPr>
            <w:r>
              <w:rPr>
                <w:noProof/>
                <w:position w:val="-6"/>
              </w:rPr>
              <w:drawing>
                <wp:inline distT="0" distB="0" distL="0" distR="0" wp14:anchorId="1485D621" wp14:editId="6D74615D">
                  <wp:extent cx="76200" cy="190500"/>
                  <wp:effectExtent l="0" t="0" r="0" b="0"/>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c>
          <w:tcPr>
            <w:tcW w:w="0" w:type="auto"/>
            <w:vAlign w:val="center"/>
          </w:tcPr>
          <w:p w14:paraId="0465E86F" w14:textId="77777777" w:rsidR="007511F2" w:rsidRDefault="00DF6616" w:rsidP="00240CAA">
            <w:pPr>
              <w:pStyle w:val="TableBody"/>
            </w:pPr>
            <w:r>
              <w:rPr>
                <w:noProof/>
                <w:position w:val="-6"/>
              </w:rPr>
              <w:drawing>
                <wp:inline distT="0" distB="0" distL="0" distR="0" wp14:anchorId="24C82187" wp14:editId="2CBAEB85">
                  <wp:extent cx="76200" cy="190500"/>
                  <wp:effectExtent l="0" t="0" r="0" b="0"/>
                  <wp:docPr id="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c>
          <w:tcPr>
            <w:tcW w:w="0" w:type="auto"/>
            <w:vAlign w:val="center"/>
          </w:tcPr>
          <w:p w14:paraId="5492A584" w14:textId="77777777" w:rsidR="007511F2" w:rsidRDefault="00DF6616" w:rsidP="00240CAA">
            <w:pPr>
              <w:pStyle w:val="TableBody"/>
            </w:pPr>
            <w:r>
              <w:rPr>
                <w:noProof/>
                <w:position w:val="-6"/>
              </w:rPr>
              <w:drawing>
                <wp:inline distT="0" distB="0" distL="0" distR="0" wp14:anchorId="19EA1EFE" wp14:editId="45B3A94D">
                  <wp:extent cx="76200" cy="190500"/>
                  <wp:effectExtent l="0" t="0" r="0" b="0"/>
                  <wp:docPr id="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r>
      <w:tr w:rsidR="007511F2" w14:paraId="44758327" w14:textId="77777777" w:rsidTr="00240CAA">
        <w:trPr>
          <w:jc w:val="center"/>
        </w:trPr>
        <w:tc>
          <w:tcPr>
            <w:tcW w:w="0" w:type="auto"/>
            <w:vAlign w:val="center"/>
          </w:tcPr>
          <w:p w14:paraId="16BA6692" w14:textId="77777777" w:rsidR="007511F2" w:rsidRDefault="007511F2" w:rsidP="00240CAA">
            <w:pPr>
              <w:pStyle w:val="TableBody"/>
            </w:pPr>
            <w:r>
              <w:t>N (N</w:t>
            </w:r>
            <w:r>
              <w:sym w:font="Symbol" w:char="F0A3"/>
            </w:r>
            <w:r>
              <w:t>10)</w:t>
            </w:r>
          </w:p>
        </w:tc>
        <w:tc>
          <w:tcPr>
            <w:tcW w:w="0" w:type="auto"/>
            <w:vAlign w:val="center"/>
          </w:tcPr>
          <w:p w14:paraId="07FDBD7E" w14:textId="77777777" w:rsidR="007511F2" w:rsidRDefault="007511F2" w:rsidP="00240CAA">
            <w:pPr>
              <w:pStyle w:val="TableBody"/>
            </w:pPr>
            <w:r>
              <w:t>Q</w:t>
            </w:r>
            <w:r>
              <w:rPr>
                <w:vertAlign w:val="subscript"/>
              </w:rPr>
              <w:t>N</w:t>
            </w:r>
          </w:p>
        </w:tc>
        <w:tc>
          <w:tcPr>
            <w:tcW w:w="0" w:type="auto"/>
            <w:vAlign w:val="center"/>
          </w:tcPr>
          <w:p w14:paraId="2C5B4512" w14:textId="77777777" w:rsidR="007511F2" w:rsidRDefault="007511F2" w:rsidP="00240CAA">
            <w:pPr>
              <w:pStyle w:val="TableBody"/>
            </w:pPr>
            <w:r>
              <w:t>P</w:t>
            </w:r>
            <w:r>
              <w:rPr>
                <w:vertAlign w:val="subscript"/>
              </w:rPr>
              <w:t>N</w:t>
            </w:r>
          </w:p>
        </w:tc>
      </w:tr>
    </w:tbl>
    <w:p w14:paraId="7777F54D" w14:textId="07EA7E40" w:rsidR="007511F2" w:rsidRDefault="007511F2" w:rsidP="007511F2">
      <w:pPr>
        <w:spacing w:beforeLines="200" w:before="480" w:afterLines="100" w:after="240"/>
        <w:ind w:left="720" w:hanging="720"/>
      </w:pPr>
      <w:r>
        <w:t>II.</w:t>
      </w:r>
      <w:r>
        <w:tab/>
        <w:t xml:space="preserve">MW quantity corresponding with Energy Offer Curve </w:t>
      </w:r>
      <w:r w:rsidR="005A7FF5">
        <w:t xml:space="preserve">Cost </w:t>
      </w:r>
      <w:r>
        <w:t>Cap</w:t>
      </w:r>
      <w:r>
        <w:rPr>
          <w:vertAlign w:val="superscript"/>
        </w:rPr>
        <w:footnoteReference w:id="1"/>
      </w:r>
      <w:r>
        <w:t xml:space="preserve">, </w:t>
      </w:r>
      <w:r w:rsidRPr="00FF2129">
        <w:rPr>
          <w:position w:val="-4"/>
        </w:rPr>
        <w:object w:dxaOrig="260" w:dyaOrig="300" w14:anchorId="1872BD33">
          <v:shape id="_x0000_i1061" type="#_x0000_t75" style="width:13.2pt;height:13.8pt" o:ole="">
            <v:imagedata r:id="rId70" o:title=""/>
          </v:shape>
          <o:OLEObject Type="Embed" ProgID="Equation.3" ShapeID="_x0000_i1061" DrawAspect="Content" ObjectID="_1775281354" r:id="rId71"/>
        </w:object>
      </w:r>
      <w:r>
        <w:t xml:space="preserve"> ($/MWh), where </w:t>
      </w:r>
      <w:r w:rsidRPr="00FF2129">
        <w:rPr>
          <w:position w:val="-12"/>
        </w:rPr>
        <w:object w:dxaOrig="1259" w:dyaOrig="380" w14:anchorId="04D11949">
          <v:shape id="_x0000_i1062" type="#_x0000_t75" style="width:64.8pt;height:21pt" o:ole="">
            <v:imagedata r:id="rId72" o:title=""/>
          </v:shape>
          <o:OLEObject Type="Embed" ProgID="Equation.3" ShapeID="_x0000_i1062" DrawAspect="Content" ObjectID="_1775281355" r:id="rId73"/>
        </w:object>
      </w:r>
      <w:r>
        <w:t xml:space="preserve"> (</w:t>
      </w:r>
      <w:r w:rsidRPr="00FF2129">
        <w:rPr>
          <w:position w:val="-10"/>
        </w:rPr>
        <w:object w:dxaOrig="1559" w:dyaOrig="320" w14:anchorId="64C3AB22">
          <v:shape id="_x0000_i1063" type="#_x0000_t75" style="width:80.4pt;height:13.8pt" o:ole="">
            <v:imagedata r:id="rId74" o:title=""/>
          </v:shape>
          <o:OLEObject Type="Embed" ProgID="Equation.3" ShapeID="_x0000_i1063" DrawAspect="Content" ObjectID="_1775281356" r:id="rId75"/>
        </w:object>
      </w:r>
      <w:r>
        <w:t>):</w:t>
      </w:r>
    </w:p>
    <w:p w14:paraId="500A6F9A" w14:textId="77777777" w:rsidR="007511F2" w:rsidRDefault="007511F2" w:rsidP="007511F2">
      <w:pPr>
        <w:spacing w:beforeLines="100" w:before="240" w:afterLines="100" w:after="240"/>
        <w:ind w:firstLineChars="75" w:firstLine="180"/>
        <w:jc w:val="center"/>
      </w:pPr>
      <w:r w:rsidRPr="00FF2129">
        <w:rPr>
          <w:position w:val="-10"/>
        </w:rPr>
        <w:object w:dxaOrig="280" w:dyaOrig="360" w14:anchorId="4189183C">
          <v:shape id="_x0000_i1064" type="#_x0000_t75" style="width:13.2pt;height:21pt" o:ole="">
            <v:imagedata r:id="rId76" o:title=""/>
          </v:shape>
          <o:OLEObject Type="Embed" ProgID="Equation.3" ShapeID="_x0000_i1064" DrawAspect="Content" ObjectID="_1775281357" r:id="rId77"/>
        </w:object>
      </w:r>
      <w:r>
        <w:t xml:space="preserve"> (MW), where </w:t>
      </w:r>
      <w:r w:rsidRPr="00FF2129">
        <w:rPr>
          <w:position w:val="-30"/>
        </w:rPr>
        <w:object w:dxaOrig="2700" w:dyaOrig="700" w14:anchorId="43738A51">
          <v:shape id="_x0000_i1065" type="#_x0000_t75" style="width:135pt;height:36pt" o:ole="">
            <v:imagedata r:id="rId78" o:title=""/>
          </v:shape>
          <o:OLEObject Type="Embed" ProgID="Equation.3" ShapeID="_x0000_i1065" DrawAspect="Content" ObjectID="_1775281358" r:id="rId79"/>
        </w:object>
      </w:r>
    </w:p>
    <w:p w14:paraId="3B683EB0" w14:textId="16CE3EDC" w:rsidR="007511F2" w:rsidRDefault="007511F2" w:rsidP="007511F2">
      <w:pPr>
        <w:spacing w:beforeLines="200" w:before="480" w:afterLines="100" w:after="240"/>
      </w:pPr>
      <w:r>
        <w:t>III.</w:t>
      </w:r>
      <w:r>
        <w:tab/>
        <w:t xml:space="preserve">Energy Offer Curve capped with the Energy Offer Curve </w:t>
      </w:r>
      <w:r w:rsidR="005A7FF5">
        <w:t xml:space="preserve">Cost </w:t>
      </w:r>
      <w:r>
        <w:t>Cap:</w:t>
      </w:r>
    </w:p>
    <w:p w14:paraId="2939B450" w14:textId="77777777" w:rsidR="007511F2" w:rsidRDefault="007511F2" w:rsidP="007511F2">
      <w:pPr>
        <w:spacing w:beforeLines="100" w:before="240" w:afterLines="100" w:after="240"/>
        <w:ind w:left="720"/>
      </w:pPr>
      <w:r>
        <w:t>A.</w:t>
      </w:r>
      <w:r>
        <w:tab/>
        <w:t xml:space="preserve">When </w:t>
      </w:r>
      <w:r w:rsidR="00DF6616">
        <w:rPr>
          <w:noProof/>
          <w:position w:val="-12"/>
        </w:rPr>
        <w:drawing>
          <wp:inline distT="0" distB="0" distL="0" distR="0" wp14:anchorId="428E1B12" wp14:editId="60B14C9E">
            <wp:extent cx="485775" cy="238125"/>
            <wp:effectExtent l="0" t="0" r="9525" b="9525"/>
            <wp:docPr id="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5"/>
        <w:gridCol w:w="605"/>
        <w:gridCol w:w="872"/>
      </w:tblGrid>
      <w:tr w:rsidR="007511F2" w14:paraId="12E239B6" w14:textId="77777777" w:rsidTr="00240CAA">
        <w:trPr>
          <w:cantSplit/>
          <w:jc w:val="center"/>
        </w:trPr>
        <w:tc>
          <w:tcPr>
            <w:tcW w:w="0" w:type="auto"/>
            <w:vAlign w:val="center"/>
          </w:tcPr>
          <w:p w14:paraId="25C73AC1" w14:textId="77777777" w:rsidR="007511F2" w:rsidRDefault="007511F2" w:rsidP="00240CAA">
            <w:pPr>
              <w:pStyle w:val="TableHead"/>
            </w:pPr>
            <w:r>
              <w:t>Index (j)</w:t>
            </w:r>
          </w:p>
        </w:tc>
        <w:tc>
          <w:tcPr>
            <w:tcW w:w="0" w:type="auto"/>
            <w:vAlign w:val="center"/>
          </w:tcPr>
          <w:p w14:paraId="6725C1D9" w14:textId="77777777" w:rsidR="007511F2" w:rsidRDefault="007511F2" w:rsidP="00240CAA">
            <w:pPr>
              <w:pStyle w:val="TableHead"/>
            </w:pPr>
            <w:r>
              <w:t>MW</w:t>
            </w:r>
          </w:p>
        </w:tc>
        <w:tc>
          <w:tcPr>
            <w:tcW w:w="0" w:type="auto"/>
            <w:vAlign w:val="center"/>
          </w:tcPr>
          <w:p w14:paraId="2E8A8377" w14:textId="77777777" w:rsidR="007511F2" w:rsidRDefault="007511F2" w:rsidP="00240CAA">
            <w:pPr>
              <w:pStyle w:val="TableHead"/>
            </w:pPr>
            <w:r>
              <w:t>$/MWh</w:t>
            </w:r>
          </w:p>
        </w:tc>
      </w:tr>
      <w:tr w:rsidR="007511F2" w14:paraId="4AD5F182" w14:textId="77777777" w:rsidTr="00240CAA">
        <w:trPr>
          <w:cantSplit/>
          <w:jc w:val="center"/>
        </w:trPr>
        <w:tc>
          <w:tcPr>
            <w:tcW w:w="0" w:type="auto"/>
            <w:vAlign w:val="center"/>
          </w:tcPr>
          <w:p w14:paraId="0BCCA78E" w14:textId="77777777" w:rsidR="007511F2" w:rsidRDefault="007511F2" w:rsidP="00240CAA">
            <w:pPr>
              <w:pStyle w:val="TableBody"/>
            </w:pPr>
            <w:r>
              <w:t>1</w:t>
            </w:r>
          </w:p>
        </w:tc>
        <w:tc>
          <w:tcPr>
            <w:tcW w:w="0" w:type="auto"/>
            <w:vAlign w:val="center"/>
          </w:tcPr>
          <w:p w14:paraId="45449B0C" w14:textId="77777777" w:rsidR="007511F2" w:rsidRDefault="007511F2" w:rsidP="00240CAA">
            <w:pPr>
              <w:pStyle w:val="TableBody"/>
            </w:pPr>
            <w:r>
              <w:t>Q</w:t>
            </w:r>
            <w:r>
              <w:rPr>
                <w:vertAlign w:val="subscript"/>
              </w:rPr>
              <w:t>1</w:t>
            </w:r>
          </w:p>
        </w:tc>
        <w:tc>
          <w:tcPr>
            <w:tcW w:w="0" w:type="auto"/>
            <w:vAlign w:val="center"/>
          </w:tcPr>
          <w:p w14:paraId="73FCF87E" w14:textId="77777777" w:rsidR="007511F2" w:rsidRDefault="007511F2" w:rsidP="00240CAA">
            <w:pPr>
              <w:pStyle w:val="TableBody"/>
            </w:pPr>
            <w:r>
              <w:t>P</w:t>
            </w:r>
            <w:r>
              <w:rPr>
                <w:vertAlign w:val="subscript"/>
              </w:rPr>
              <w:t>1</w:t>
            </w:r>
          </w:p>
        </w:tc>
      </w:tr>
      <w:tr w:rsidR="007511F2" w14:paraId="16728983" w14:textId="77777777" w:rsidTr="00240CAA">
        <w:trPr>
          <w:trHeight w:val="485"/>
          <w:jc w:val="center"/>
        </w:trPr>
        <w:tc>
          <w:tcPr>
            <w:tcW w:w="0" w:type="auto"/>
            <w:vAlign w:val="center"/>
          </w:tcPr>
          <w:p w14:paraId="0C9EEC42" w14:textId="77777777" w:rsidR="007511F2" w:rsidRDefault="00801127" w:rsidP="00240CAA">
            <w:pPr>
              <w:pStyle w:val="TableBody"/>
            </w:pPr>
            <w:r>
              <w:t>M</w:t>
            </w:r>
          </w:p>
        </w:tc>
        <w:tc>
          <w:tcPr>
            <w:tcW w:w="0" w:type="auto"/>
            <w:vAlign w:val="center"/>
          </w:tcPr>
          <w:p w14:paraId="47DA6642" w14:textId="77777777" w:rsidR="007511F2" w:rsidRDefault="00801127" w:rsidP="00240CAA">
            <w:pPr>
              <w:pStyle w:val="TableBody"/>
            </w:pPr>
            <w:r>
              <w:t>M</w:t>
            </w:r>
          </w:p>
        </w:tc>
        <w:tc>
          <w:tcPr>
            <w:tcW w:w="0" w:type="auto"/>
            <w:vAlign w:val="center"/>
          </w:tcPr>
          <w:p w14:paraId="2091DA5B" w14:textId="77777777" w:rsidR="007511F2" w:rsidRDefault="00801127" w:rsidP="00240CAA">
            <w:pPr>
              <w:pStyle w:val="TableBody"/>
            </w:pPr>
            <w:r>
              <w:t>M</w:t>
            </w:r>
          </w:p>
        </w:tc>
      </w:tr>
      <w:tr w:rsidR="007511F2" w14:paraId="0C8FD559" w14:textId="77777777" w:rsidTr="00240CAA">
        <w:trPr>
          <w:jc w:val="center"/>
        </w:trPr>
        <w:tc>
          <w:tcPr>
            <w:tcW w:w="0" w:type="auto"/>
            <w:vAlign w:val="center"/>
          </w:tcPr>
          <w:p w14:paraId="43121FC3" w14:textId="77777777" w:rsidR="007511F2" w:rsidRDefault="007511F2" w:rsidP="00240CAA">
            <w:pPr>
              <w:pStyle w:val="TableBody"/>
            </w:pPr>
            <w:r>
              <w:t>i</w:t>
            </w:r>
          </w:p>
        </w:tc>
        <w:tc>
          <w:tcPr>
            <w:tcW w:w="0" w:type="auto"/>
            <w:vAlign w:val="center"/>
          </w:tcPr>
          <w:p w14:paraId="29594605" w14:textId="77777777" w:rsidR="007511F2" w:rsidRDefault="007511F2" w:rsidP="00240CAA">
            <w:pPr>
              <w:pStyle w:val="TableBody"/>
            </w:pPr>
            <w:r>
              <w:t>Q</w:t>
            </w:r>
            <w:r>
              <w:rPr>
                <w:vertAlign w:val="subscript"/>
              </w:rPr>
              <w:t>i</w:t>
            </w:r>
          </w:p>
        </w:tc>
        <w:tc>
          <w:tcPr>
            <w:tcW w:w="0" w:type="auto"/>
            <w:vAlign w:val="center"/>
          </w:tcPr>
          <w:p w14:paraId="60E000E9" w14:textId="77777777" w:rsidR="007511F2" w:rsidRDefault="007511F2" w:rsidP="00240CAA">
            <w:pPr>
              <w:pStyle w:val="TableBody"/>
            </w:pPr>
            <w:r>
              <w:t>P</w:t>
            </w:r>
            <w:r>
              <w:rPr>
                <w:vertAlign w:val="subscript"/>
              </w:rPr>
              <w:t>i</w:t>
            </w:r>
          </w:p>
        </w:tc>
      </w:tr>
      <w:tr w:rsidR="007511F2" w14:paraId="7A9EE5F4" w14:textId="77777777" w:rsidTr="00240CAA">
        <w:trPr>
          <w:jc w:val="center"/>
        </w:trPr>
        <w:tc>
          <w:tcPr>
            <w:tcW w:w="0" w:type="auto"/>
            <w:vAlign w:val="center"/>
          </w:tcPr>
          <w:p w14:paraId="04F85DA0" w14:textId="77777777" w:rsidR="007511F2" w:rsidRDefault="007511F2" w:rsidP="00240CAA">
            <w:pPr>
              <w:pStyle w:val="TableBody"/>
            </w:pPr>
            <w:r>
              <w:t>i+1</w:t>
            </w:r>
          </w:p>
        </w:tc>
        <w:tc>
          <w:tcPr>
            <w:tcW w:w="0" w:type="auto"/>
            <w:vAlign w:val="center"/>
          </w:tcPr>
          <w:p w14:paraId="472C6FA2" w14:textId="77777777" w:rsidR="007511F2" w:rsidRDefault="007511F2" w:rsidP="00240CAA">
            <w:pPr>
              <w:pStyle w:val="TableBody"/>
            </w:pPr>
            <w:r w:rsidRPr="00FF2129">
              <w:rPr>
                <w:position w:val="-10"/>
              </w:rPr>
              <w:object w:dxaOrig="240" w:dyaOrig="320" w14:anchorId="0CD52364">
                <v:shape id="_x0000_i1066" type="#_x0000_t75" style="width:13.8pt;height:13.8pt" o:ole="">
                  <v:imagedata r:id="rId81" o:title=""/>
                </v:shape>
                <o:OLEObject Type="Embed" ProgID="Equation.3" ShapeID="_x0000_i1066" DrawAspect="Content" ObjectID="_1775281359" r:id="rId82"/>
              </w:object>
            </w:r>
          </w:p>
        </w:tc>
        <w:tc>
          <w:tcPr>
            <w:tcW w:w="0" w:type="auto"/>
            <w:vAlign w:val="center"/>
          </w:tcPr>
          <w:p w14:paraId="0EC36FA6" w14:textId="77777777" w:rsidR="007511F2" w:rsidRDefault="007511F2" w:rsidP="00240CAA">
            <w:pPr>
              <w:pStyle w:val="TableBody"/>
            </w:pPr>
            <w:r w:rsidRPr="00FF2129">
              <w:rPr>
                <w:position w:val="-4"/>
              </w:rPr>
              <w:object w:dxaOrig="220" w:dyaOrig="260" w14:anchorId="67BB6C92">
                <v:shape id="_x0000_i1067" type="#_x0000_t75" style="width:13.2pt;height:13.2pt" o:ole="">
                  <v:imagedata r:id="rId83" o:title=""/>
                </v:shape>
                <o:OLEObject Type="Embed" ProgID="Equation.3" ShapeID="_x0000_i1067" DrawAspect="Content" ObjectID="_1775281360" r:id="rId84"/>
              </w:object>
            </w:r>
          </w:p>
        </w:tc>
      </w:tr>
      <w:tr w:rsidR="007511F2" w14:paraId="4D4658CF" w14:textId="77777777" w:rsidTr="00240CAA">
        <w:trPr>
          <w:jc w:val="center"/>
        </w:trPr>
        <w:tc>
          <w:tcPr>
            <w:tcW w:w="0" w:type="auto"/>
            <w:vAlign w:val="center"/>
          </w:tcPr>
          <w:p w14:paraId="3CE8B9C0" w14:textId="77777777" w:rsidR="007511F2" w:rsidRDefault="007511F2" w:rsidP="00240CAA">
            <w:pPr>
              <w:pStyle w:val="TableBody"/>
            </w:pPr>
            <w:r>
              <w:t>i+2</w:t>
            </w:r>
          </w:p>
        </w:tc>
        <w:tc>
          <w:tcPr>
            <w:tcW w:w="0" w:type="auto"/>
            <w:vAlign w:val="center"/>
          </w:tcPr>
          <w:p w14:paraId="472ADB2F" w14:textId="77777777" w:rsidR="007511F2" w:rsidRDefault="007511F2" w:rsidP="00240CAA">
            <w:pPr>
              <w:pStyle w:val="TableBody"/>
            </w:pPr>
            <w:r>
              <w:t>Q</w:t>
            </w:r>
            <w:r>
              <w:rPr>
                <w:vertAlign w:val="subscript"/>
              </w:rPr>
              <w:t>N</w:t>
            </w:r>
          </w:p>
        </w:tc>
        <w:tc>
          <w:tcPr>
            <w:tcW w:w="0" w:type="auto"/>
            <w:vAlign w:val="center"/>
          </w:tcPr>
          <w:p w14:paraId="52276B25" w14:textId="77777777" w:rsidR="007511F2" w:rsidRDefault="007511F2" w:rsidP="00240CAA">
            <w:pPr>
              <w:pStyle w:val="TableBody"/>
            </w:pPr>
            <w:r w:rsidRPr="00FF2129">
              <w:rPr>
                <w:position w:val="-4"/>
              </w:rPr>
              <w:object w:dxaOrig="220" w:dyaOrig="260" w14:anchorId="1C41148D">
                <v:shape id="_x0000_i1068" type="#_x0000_t75" style="width:13.2pt;height:13.2pt" o:ole="">
                  <v:imagedata r:id="rId85" o:title=""/>
                </v:shape>
                <o:OLEObject Type="Embed" ProgID="Equation.3" ShapeID="_x0000_i1068" DrawAspect="Content" ObjectID="_1775281361" r:id="rId86"/>
              </w:object>
            </w:r>
          </w:p>
        </w:tc>
      </w:tr>
    </w:tbl>
    <w:p w14:paraId="1EC9EC65" w14:textId="77777777" w:rsidR="007511F2" w:rsidRDefault="007511F2" w:rsidP="007511F2">
      <w:pPr>
        <w:spacing w:beforeLines="100" w:before="240" w:afterLines="100" w:after="240"/>
        <w:ind w:left="720"/>
      </w:pPr>
      <w:r>
        <w:t>B.</w:t>
      </w:r>
      <w:r>
        <w:tab/>
        <w:t xml:space="preserve">When </w:t>
      </w:r>
      <w:r w:rsidR="00DF6616">
        <w:rPr>
          <w:noProof/>
          <w:position w:val="-12"/>
        </w:rPr>
        <w:drawing>
          <wp:inline distT="0" distB="0" distL="0" distR="0" wp14:anchorId="07BE3433" wp14:editId="26E54D3D">
            <wp:extent cx="485775" cy="238125"/>
            <wp:effectExtent l="0" t="0" r="9525" b="9525"/>
            <wp:docPr id="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5"/>
        <w:gridCol w:w="605"/>
        <w:gridCol w:w="872"/>
      </w:tblGrid>
      <w:tr w:rsidR="007511F2" w14:paraId="2FF1A81A" w14:textId="77777777" w:rsidTr="00240CAA">
        <w:trPr>
          <w:jc w:val="center"/>
        </w:trPr>
        <w:tc>
          <w:tcPr>
            <w:tcW w:w="0" w:type="auto"/>
            <w:vAlign w:val="center"/>
          </w:tcPr>
          <w:p w14:paraId="437EA772" w14:textId="77777777" w:rsidR="007511F2" w:rsidRDefault="007511F2" w:rsidP="00240CAA">
            <w:pPr>
              <w:pStyle w:val="TableHead"/>
            </w:pPr>
            <w:r>
              <w:t>Index (j)</w:t>
            </w:r>
          </w:p>
        </w:tc>
        <w:tc>
          <w:tcPr>
            <w:tcW w:w="0" w:type="auto"/>
            <w:vAlign w:val="center"/>
          </w:tcPr>
          <w:p w14:paraId="6CEAA890" w14:textId="77777777" w:rsidR="007511F2" w:rsidRDefault="007511F2" w:rsidP="00240CAA">
            <w:pPr>
              <w:pStyle w:val="TableHead"/>
            </w:pPr>
            <w:r>
              <w:t>MW</w:t>
            </w:r>
          </w:p>
        </w:tc>
        <w:tc>
          <w:tcPr>
            <w:tcW w:w="0" w:type="auto"/>
            <w:vAlign w:val="center"/>
          </w:tcPr>
          <w:p w14:paraId="01518897" w14:textId="77777777" w:rsidR="007511F2" w:rsidRDefault="007511F2" w:rsidP="00240CAA">
            <w:pPr>
              <w:pStyle w:val="TableHead"/>
            </w:pPr>
            <w:r>
              <w:t>$/MWh</w:t>
            </w:r>
          </w:p>
        </w:tc>
      </w:tr>
      <w:tr w:rsidR="007511F2" w14:paraId="562C0B9D" w14:textId="77777777" w:rsidTr="00240CAA">
        <w:trPr>
          <w:jc w:val="center"/>
        </w:trPr>
        <w:tc>
          <w:tcPr>
            <w:tcW w:w="0" w:type="auto"/>
            <w:vAlign w:val="center"/>
          </w:tcPr>
          <w:p w14:paraId="64CABD78" w14:textId="77777777" w:rsidR="007511F2" w:rsidRDefault="007511F2" w:rsidP="00240CAA">
            <w:pPr>
              <w:pStyle w:val="TableBody"/>
            </w:pPr>
            <w:r>
              <w:t>1</w:t>
            </w:r>
          </w:p>
        </w:tc>
        <w:tc>
          <w:tcPr>
            <w:tcW w:w="0" w:type="auto"/>
            <w:vAlign w:val="center"/>
          </w:tcPr>
          <w:p w14:paraId="50D389A2" w14:textId="77777777" w:rsidR="007511F2" w:rsidRDefault="007511F2" w:rsidP="00240CAA">
            <w:pPr>
              <w:pStyle w:val="TableBody"/>
            </w:pPr>
            <w:r>
              <w:t>Q</w:t>
            </w:r>
            <w:r>
              <w:rPr>
                <w:vertAlign w:val="subscript"/>
              </w:rPr>
              <w:t>1</w:t>
            </w:r>
          </w:p>
        </w:tc>
        <w:tc>
          <w:tcPr>
            <w:tcW w:w="0" w:type="auto"/>
            <w:vAlign w:val="center"/>
          </w:tcPr>
          <w:p w14:paraId="5E53F6B3" w14:textId="77777777" w:rsidR="007511F2" w:rsidRDefault="007511F2" w:rsidP="00240CAA">
            <w:pPr>
              <w:pStyle w:val="TableBody"/>
            </w:pPr>
            <w:r>
              <w:t>P</w:t>
            </w:r>
            <w:r>
              <w:rPr>
                <w:vertAlign w:val="subscript"/>
              </w:rPr>
              <w:t>1</w:t>
            </w:r>
          </w:p>
        </w:tc>
      </w:tr>
      <w:tr w:rsidR="007511F2" w14:paraId="0FB3C981" w14:textId="77777777" w:rsidTr="00240CAA">
        <w:trPr>
          <w:trHeight w:val="485"/>
          <w:jc w:val="center"/>
        </w:trPr>
        <w:tc>
          <w:tcPr>
            <w:tcW w:w="0" w:type="auto"/>
            <w:vAlign w:val="center"/>
          </w:tcPr>
          <w:p w14:paraId="72C67706" w14:textId="77777777" w:rsidR="007511F2" w:rsidRDefault="00801127" w:rsidP="00240CAA">
            <w:pPr>
              <w:pStyle w:val="TableBody"/>
            </w:pPr>
            <w:r>
              <w:rPr>
                <w:noProof/>
                <w:position w:val="-6"/>
              </w:rPr>
              <w:lastRenderedPageBreak/>
              <w:t>M</w:t>
            </w:r>
          </w:p>
        </w:tc>
        <w:tc>
          <w:tcPr>
            <w:tcW w:w="0" w:type="auto"/>
            <w:vAlign w:val="center"/>
          </w:tcPr>
          <w:p w14:paraId="42D11E16" w14:textId="77777777" w:rsidR="007511F2" w:rsidRDefault="00801127" w:rsidP="00240CAA">
            <w:pPr>
              <w:pStyle w:val="TableBody"/>
            </w:pPr>
            <w:r>
              <w:rPr>
                <w:noProof/>
                <w:position w:val="-6"/>
              </w:rPr>
              <w:t>M</w:t>
            </w:r>
          </w:p>
        </w:tc>
        <w:tc>
          <w:tcPr>
            <w:tcW w:w="0" w:type="auto"/>
            <w:vAlign w:val="center"/>
          </w:tcPr>
          <w:p w14:paraId="6B7C0409" w14:textId="77777777" w:rsidR="007511F2" w:rsidRDefault="00801127" w:rsidP="00240CAA">
            <w:pPr>
              <w:pStyle w:val="TableBody"/>
            </w:pPr>
            <w:r>
              <w:rPr>
                <w:noProof/>
                <w:position w:val="-6"/>
              </w:rPr>
              <w:t>M</w:t>
            </w:r>
          </w:p>
        </w:tc>
      </w:tr>
      <w:tr w:rsidR="007511F2" w14:paraId="34BC8713" w14:textId="77777777" w:rsidTr="00240CAA">
        <w:trPr>
          <w:jc w:val="center"/>
        </w:trPr>
        <w:tc>
          <w:tcPr>
            <w:tcW w:w="0" w:type="auto"/>
            <w:vAlign w:val="center"/>
          </w:tcPr>
          <w:p w14:paraId="7F4613A1" w14:textId="77777777" w:rsidR="007511F2" w:rsidRDefault="007511F2" w:rsidP="00240CAA">
            <w:pPr>
              <w:pStyle w:val="TableBody"/>
            </w:pPr>
            <w:r>
              <w:t>N</w:t>
            </w:r>
          </w:p>
        </w:tc>
        <w:tc>
          <w:tcPr>
            <w:tcW w:w="0" w:type="auto"/>
            <w:vAlign w:val="center"/>
          </w:tcPr>
          <w:p w14:paraId="3E6C096A" w14:textId="77777777" w:rsidR="007511F2" w:rsidRDefault="007511F2" w:rsidP="00240CAA">
            <w:pPr>
              <w:pStyle w:val="TableBody"/>
            </w:pPr>
            <w:r>
              <w:t>Q</w:t>
            </w:r>
            <w:r>
              <w:rPr>
                <w:vertAlign w:val="subscript"/>
              </w:rPr>
              <w:t>N</w:t>
            </w:r>
          </w:p>
        </w:tc>
        <w:tc>
          <w:tcPr>
            <w:tcW w:w="0" w:type="auto"/>
            <w:vAlign w:val="center"/>
          </w:tcPr>
          <w:p w14:paraId="51B20026" w14:textId="77777777" w:rsidR="007511F2" w:rsidRDefault="007511F2" w:rsidP="00240CAA">
            <w:pPr>
              <w:pStyle w:val="TableBody"/>
            </w:pPr>
            <w:r>
              <w:t>P</w:t>
            </w:r>
            <w:r>
              <w:rPr>
                <w:vertAlign w:val="subscript"/>
              </w:rPr>
              <w:t>N</w:t>
            </w:r>
          </w:p>
        </w:tc>
      </w:tr>
    </w:tbl>
    <w:p w14:paraId="3F96B281" w14:textId="77777777" w:rsidR="007511F2" w:rsidRDefault="007511F2" w:rsidP="007511F2">
      <w:pPr>
        <w:spacing w:beforeLines="200" w:before="480" w:afterLines="100" w:after="240"/>
      </w:pPr>
      <w:r>
        <w:t>IV.</w:t>
      </w:r>
      <w:r>
        <w:tab/>
        <w:t>Cleared offer on the capped Energy Offer Curve:</w:t>
      </w:r>
    </w:p>
    <w:p w14:paraId="134AC719" w14:textId="77777777" w:rsidR="007511F2" w:rsidRDefault="007511F2" w:rsidP="007511F2">
      <w:pPr>
        <w:spacing w:beforeLines="100" w:before="240" w:afterLines="100" w:after="240"/>
        <w:ind w:left="1440" w:hanging="720"/>
      </w:pPr>
      <w:r>
        <w:t>A.</w:t>
      </w:r>
      <w:r>
        <w:tab/>
        <w:t xml:space="preserve">When </w:t>
      </w:r>
      <w:r w:rsidR="00DF6616">
        <w:rPr>
          <w:noProof/>
          <w:position w:val="-12"/>
        </w:rPr>
        <w:drawing>
          <wp:inline distT="0" distB="0" distL="0" distR="0" wp14:anchorId="45D0E64A" wp14:editId="7A1F8982">
            <wp:extent cx="485775" cy="238125"/>
            <wp:effectExtent l="0" t="0" r="9525" b="9525"/>
            <wp:docPr id="6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w:t>
      </w:r>
    </w:p>
    <w:p w14:paraId="36C4C174" w14:textId="77777777" w:rsidR="007511F2" w:rsidRDefault="007511F2" w:rsidP="007511F2">
      <w:pPr>
        <w:spacing w:beforeLines="100" w:before="240" w:afterLines="100" w:after="240"/>
        <w:ind w:firstLineChars="75" w:firstLine="180"/>
        <w:jc w:val="center"/>
      </w:pPr>
      <w:r>
        <w:t xml:space="preserve">Q (MW), where </w:t>
      </w:r>
      <w:r w:rsidRPr="00FF2129">
        <w:rPr>
          <w:position w:val="-14"/>
        </w:rPr>
        <w:object w:dxaOrig="1399" w:dyaOrig="380" w14:anchorId="26EB3E42">
          <v:shape id="_x0000_i1069" type="#_x0000_t75" style="width:1in;height:21pt" o:ole="">
            <v:imagedata r:id="rId88" o:title=""/>
          </v:shape>
          <o:OLEObject Type="Embed" ProgID="Equation.3" ShapeID="_x0000_i1069" DrawAspect="Content" ObjectID="_1775281362" r:id="rId89"/>
        </w:object>
      </w:r>
      <w:r>
        <w:t xml:space="preserve"> (</w:t>
      </w:r>
      <w:r w:rsidRPr="00FF2129">
        <w:rPr>
          <w:position w:val="-10"/>
        </w:rPr>
        <w:object w:dxaOrig="1459" w:dyaOrig="320" w14:anchorId="29C03189">
          <v:shape id="_x0000_i1070" type="#_x0000_t75" style="width:1in;height:13.8pt" o:ole="">
            <v:imagedata r:id="rId90" o:title=""/>
          </v:shape>
          <o:OLEObject Type="Embed" ProgID="Equation.3" ShapeID="_x0000_i1070" DrawAspect="Content" ObjectID="_1775281363" r:id="rId91"/>
        </w:object>
      </w:r>
      <w:r>
        <w:t>)</w:t>
      </w:r>
    </w:p>
    <w:p w14:paraId="353E61E6" w14:textId="77777777" w:rsidR="007511F2" w:rsidRDefault="007511F2" w:rsidP="007511F2">
      <w:pPr>
        <w:spacing w:beforeLines="100" w:before="240" w:afterLines="100" w:after="240"/>
        <w:ind w:left="720"/>
      </w:pPr>
      <w:r>
        <w:t>B.</w:t>
      </w:r>
      <w:r>
        <w:tab/>
        <w:t xml:space="preserve">When </w:t>
      </w:r>
      <w:r w:rsidR="00DF6616">
        <w:rPr>
          <w:noProof/>
          <w:position w:val="-12"/>
        </w:rPr>
        <w:drawing>
          <wp:inline distT="0" distB="0" distL="0" distR="0" wp14:anchorId="4D391A27" wp14:editId="22AD2BA7">
            <wp:extent cx="485775" cy="238125"/>
            <wp:effectExtent l="0" t="0" r="9525" b="9525"/>
            <wp:docPr id="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t>:</w:t>
      </w:r>
    </w:p>
    <w:p w14:paraId="353E7777" w14:textId="77777777" w:rsidR="007511F2" w:rsidRDefault="007511F2" w:rsidP="007511F2">
      <w:pPr>
        <w:spacing w:beforeLines="100" w:before="240" w:afterLines="100" w:after="240"/>
        <w:ind w:firstLineChars="75" w:firstLine="180"/>
        <w:jc w:val="center"/>
      </w:pPr>
      <w:r>
        <w:t xml:space="preserve">Q (MW), where </w:t>
      </w:r>
      <w:r w:rsidRPr="00FF2129">
        <w:rPr>
          <w:position w:val="-14"/>
        </w:rPr>
        <w:object w:dxaOrig="1399" w:dyaOrig="380" w14:anchorId="68706534">
          <v:shape id="_x0000_i1071" type="#_x0000_t75" style="width:1in;height:21pt" o:ole="">
            <v:imagedata r:id="rId88" o:title=""/>
          </v:shape>
          <o:OLEObject Type="Embed" ProgID="Equation.3" ShapeID="_x0000_i1071" DrawAspect="Content" ObjectID="_1775281364" r:id="rId93"/>
        </w:object>
      </w:r>
      <w:r>
        <w:t xml:space="preserve"> (</w:t>
      </w:r>
      <w:r w:rsidRPr="00FF2129">
        <w:rPr>
          <w:position w:val="-10"/>
        </w:rPr>
        <w:object w:dxaOrig="1419" w:dyaOrig="320" w14:anchorId="3AE77D4B">
          <v:shape id="_x0000_i1072" type="#_x0000_t75" style="width:1in;height:13.8pt" o:ole="">
            <v:imagedata r:id="rId94" o:title=""/>
          </v:shape>
          <o:OLEObject Type="Embed" ProgID="Equation.3" ShapeID="_x0000_i1072" DrawAspect="Content" ObjectID="_1775281365" r:id="rId95"/>
        </w:object>
      </w:r>
      <w:r>
        <w:t>)</w:t>
      </w:r>
    </w:p>
    <w:p w14:paraId="3879F1F0" w14:textId="77777777" w:rsidR="007511F2" w:rsidRDefault="007511F2" w:rsidP="007511F2">
      <w:pPr>
        <w:spacing w:beforeLines="200" w:before="480" w:afterLines="100" w:after="240"/>
        <w:ind w:left="720" w:hanging="720"/>
      </w:pPr>
      <w:r>
        <w:t>V.</w:t>
      </w:r>
      <w:r>
        <w:tab/>
        <w:t>Incremental energy price corresponding with cleared offer, on the capped Energy Offer Curve or between two points along the Energy Offer Curve:</w:t>
      </w:r>
    </w:p>
    <w:p w14:paraId="394358A2" w14:textId="77777777" w:rsidR="007511F2" w:rsidRDefault="007511F2" w:rsidP="007511F2">
      <w:pPr>
        <w:spacing w:beforeLines="100" w:before="240" w:afterLines="100" w:after="240"/>
        <w:ind w:firstLineChars="75" w:firstLine="180"/>
        <w:jc w:val="center"/>
      </w:pPr>
      <w:r>
        <w:t xml:space="preserve">P ($/MWh), where </w:t>
      </w:r>
      <w:r w:rsidRPr="00FF2129">
        <w:rPr>
          <w:position w:val="-32"/>
        </w:rPr>
        <w:object w:dxaOrig="2780" w:dyaOrig="740" w14:anchorId="5DBE7452">
          <v:shape id="_x0000_i1073" type="#_x0000_t75" style="width:135.6pt;height:36pt" o:ole="">
            <v:imagedata r:id="rId96" o:title=""/>
          </v:shape>
          <o:OLEObject Type="Embed" ProgID="Equation.3" ShapeID="_x0000_i1073" DrawAspect="Content" ObjectID="_1775281366" r:id="rId97"/>
        </w:object>
      </w:r>
    </w:p>
    <w:p w14:paraId="67AC0D86" w14:textId="77777777" w:rsidR="007511F2" w:rsidRDefault="007511F2" w:rsidP="007511F2">
      <w:pPr>
        <w:spacing w:beforeLines="200" w:before="480" w:afterLines="100" w:after="240"/>
      </w:pPr>
      <w:r>
        <w:t>VI.</w:t>
      </w:r>
      <w:r>
        <w:tab/>
        <w:t>AIEC corresponding with (Q-Q</w:t>
      </w:r>
      <w:r>
        <w:rPr>
          <w:vertAlign w:val="subscript"/>
        </w:rPr>
        <w:t>1</w:t>
      </w:r>
      <w:r>
        <w:t>&gt;0), on the capped Energy Offer Curve:</w:t>
      </w:r>
    </w:p>
    <w:p w14:paraId="4E8FC33E" w14:textId="77777777" w:rsidR="00FF2129" w:rsidRDefault="007511F2" w:rsidP="00341CB8">
      <w:pPr>
        <w:spacing w:beforeLines="100" w:before="240" w:afterLines="200" w:after="480"/>
        <w:ind w:firstLineChars="75" w:firstLine="180"/>
        <w:jc w:val="center"/>
      </w:pPr>
      <w:r w:rsidRPr="00FF2129">
        <w:rPr>
          <w:position w:val="-94"/>
        </w:rPr>
        <w:object w:dxaOrig="7460" w:dyaOrig="2000" w14:anchorId="6E8151F7">
          <v:shape id="_x0000_i1074" type="#_x0000_t75" style="width:374.4pt;height:99.6pt" o:ole="">
            <v:imagedata r:id="rId98" o:title=""/>
          </v:shape>
          <o:OLEObject Type="Embed" ProgID="Equation.3" ShapeID="_x0000_i1074" DrawAspect="Content" ObjectID="_1775281367" r:id="rId99"/>
        </w:object>
      </w:r>
    </w:p>
    <w:p w14:paraId="7E8BE3EA" w14:textId="77777777" w:rsidR="00341CB8" w:rsidRDefault="00341CB8" w:rsidP="007A3955">
      <w:pPr>
        <w:spacing w:beforeLines="100" w:before="240" w:afterLines="100" w:after="240"/>
        <w:ind w:firstLineChars="75" w:firstLine="180"/>
        <w:jc w:val="center"/>
      </w:pPr>
    </w:p>
    <w:sectPr w:rsidR="00341CB8" w:rsidSect="00DA3021">
      <w:headerReference w:type="default" r:id="rId100"/>
      <w:footerReference w:type="default" r:id="rId101"/>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5EF0" w14:textId="77777777" w:rsidR="00183413" w:rsidRDefault="00183413">
      <w:r>
        <w:separator/>
      </w:r>
    </w:p>
  </w:endnote>
  <w:endnote w:type="continuationSeparator" w:id="0">
    <w:p w14:paraId="4EC9636A" w14:textId="77777777" w:rsidR="00183413" w:rsidRDefault="00183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9400" w14:textId="77777777" w:rsidR="00FB5E49" w:rsidRDefault="00FB5E49">
    <w:pPr>
      <w:pStyle w:val="Footer"/>
      <w:pBdr>
        <w:top w:val="none" w:sz="0" w:space="0" w:color="auto"/>
      </w:pBdr>
      <w:jc w:val="cen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2144" w14:textId="77777777" w:rsidR="00FB5E49" w:rsidRDefault="00FB5E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A3EA18" w14:textId="77777777" w:rsidR="00FB5E49" w:rsidRDefault="00FB5E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88FB" w14:textId="734EAF9F" w:rsidR="00FB5E49" w:rsidRPr="005A0EB9" w:rsidRDefault="00FB5E49">
    <w:pPr>
      <w:pStyle w:val="Footer"/>
      <w:tabs>
        <w:tab w:val="clear" w:pos="9360"/>
      </w:tabs>
      <w:spacing w:before="0" w:after="0"/>
      <w:ind w:right="-6"/>
      <w:rPr>
        <w:lang w:val="en-US"/>
      </w:rPr>
    </w:pPr>
    <w:r>
      <w:t xml:space="preserve">ERCOT Nodal Protocols – </w:t>
    </w:r>
    <w:r w:rsidR="00A61EA0">
      <w:rPr>
        <w:lang w:val="en-US"/>
      </w:rPr>
      <w:t>Ma</w:t>
    </w:r>
    <w:r w:rsidR="006D5105">
      <w:rPr>
        <w:lang w:val="en-US"/>
      </w:rPr>
      <w:t>y</w:t>
    </w:r>
    <w:r w:rsidR="002D3E38">
      <w:rPr>
        <w:lang w:val="en-US"/>
      </w:rPr>
      <w:t xml:space="preserve"> 1</w:t>
    </w:r>
    <w:r>
      <w:rPr>
        <w:lang w:val="en-US"/>
      </w:rPr>
      <w:t>, 202</w:t>
    </w:r>
    <w:r w:rsidR="00A61EA0">
      <w:rPr>
        <w:lang w:val="en-US"/>
      </w:rPr>
      <w:t>4</w:t>
    </w:r>
  </w:p>
  <w:p w14:paraId="17AFD9A1" w14:textId="77777777" w:rsidR="00FB5E49" w:rsidRDefault="00FB5E49">
    <w:pPr>
      <w:pStyle w:val="Footer"/>
      <w:pBdr>
        <w:top w:val="none" w:sz="0" w:space="0" w:color="auto"/>
      </w:pBdr>
      <w:spacing w:before="0" w:after="0"/>
      <w:ind w:left="-43" w:right="-6" w:firstLine="14"/>
      <w:jc w:val="center"/>
      <w:rPr>
        <w:sz w:val="18"/>
        <w:szCs w:val="18"/>
      </w:rPr>
    </w:pPr>
    <w: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83A07" w14:textId="34D61C55" w:rsidR="00FB5E49" w:rsidRDefault="00FB5E49">
    <w:pPr>
      <w:pStyle w:val="Footer"/>
      <w:tabs>
        <w:tab w:val="clear" w:pos="9360"/>
        <w:tab w:val="right" w:pos="9380"/>
      </w:tabs>
      <w:spacing w:before="0" w:after="0"/>
      <w:ind w:right="-6"/>
      <w:rPr>
        <w:rStyle w:val="PageNumber"/>
        <w:smallCaps w:val="0"/>
        <w:sz w:val="24"/>
        <w:szCs w:val="24"/>
      </w:rPr>
    </w:pPr>
    <w:r>
      <w:t xml:space="preserve">ERCOT Nodal Protocols – </w:t>
    </w:r>
    <w:r w:rsidR="00A61EA0">
      <w:rPr>
        <w:lang w:val="en-US"/>
      </w:rPr>
      <w:t>Ma</w:t>
    </w:r>
    <w:r w:rsidR="006D5105">
      <w:rPr>
        <w:lang w:val="en-US"/>
      </w:rPr>
      <w:t>y</w:t>
    </w:r>
    <w:r w:rsidR="002D3E38">
      <w:rPr>
        <w:lang w:val="en-US"/>
      </w:rPr>
      <w:t xml:space="preserve"> 1</w:t>
    </w:r>
    <w:r>
      <w:rPr>
        <w:lang w:val="en-US"/>
      </w:rPr>
      <w:t>, 202</w:t>
    </w:r>
    <w:r w:rsidR="00A61EA0">
      <w:rPr>
        <w:lang w:val="en-US"/>
      </w:rPr>
      <w:t>4</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4-90</w:t>
    </w:r>
    <w:r>
      <w:rPr>
        <w:rStyle w:val="PageNumber"/>
      </w:rPr>
      <w:fldChar w:fldCharType="end"/>
    </w:r>
  </w:p>
  <w:p w14:paraId="3247044C" w14:textId="77777777" w:rsidR="00FB5E49" w:rsidRDefault="00FB5E49">
    <w:pPr>
      <w:pStyle w:val="Footer"/>
      <w:pBdr>
        <w:top w:val="none" w:sz="0" w:space="0" w:color="auto"/>
      </w:pBdr>
      <w:tabs>
        <w:tab w:val="clear" w:pos="9360"/>
      </w:tabs>
      <w:spacing w:before="0" w:after="0"/>
      <w:ind w:left="14" w:right="-26"/>
      <w:jc w:val="center"/>
    </w:pPr>
    <w:r>
      <w:rPr>
        <w:rStyle w:val="PageNumber"/>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5AD5" w14:textId="77777777" w:rsidR="00183413" w:rsidRDefault="00183413">
      <w:r>
        <w:separator/>
      </w:r>
    </w:p>
  </w:footnote>
  <w:footnote w:type="continuationSeparator" w:id="0">
    <w:p w14:paraId="6280755C" w14:textId="77777777" w:rsidR="00183413" w:rsidRDefault="00183413">
      <w:r>
        <w:continuationSeparator/>
      </w:r>
    </w:p>
  </w:footnote>
  <w:footnote w:id="1">
    <w:p w14:paraId="20C875C2" w14:textId="332B20CD" w:rsidR="00FB5E49" w:rsidRDefault="00FB5E49" w:rsidP="007511F2">
      <w:pPr>
        <w:pStyle w:val="FootnoteText"/>
      </w:pPr>
      <w:r>
        <w:rPr>
          <w:rStyle w:val="FootnoteReference"/>
        </w:rPr>
        <w:footnoteRef/>
      </w:r>
      <w:r>
        <w:t xml:space="preserve"> If the Energy Offer Curve Cost Cap is less than the lowest price of the energy offer curve, the AIEC is the Energy Offer Curve Cap.  If the Energy Offer Curve Cost Cap is greater than the highest price of the energy offer curve, then </w:t>
      </w:r>
      <w:r w:rsidRPr="00FF2129">
        <w:rPr>
          <w:position w:val="-10"/>
        </w:rPr>
        <w:object w:dxaOrig="240" w:dyaOrig="320" w14:anchorId="339A4DBA">
          <v:shape id="_x0000_i1076" type="#_x0000_t75" style="width:13.8pt;height:13.8pt" o:ole="">
            <v:imagedata r:id="rId1" o:title=""/>
          </v:shape>
          <o:OLEObject Type="Embed" ProgID="Equation.3" ShapeID="_x0000_i1076" DrawAspect="Content" ObjectID="_1775281368" r:id="rId2"/>
        </w:object>
      </w:r>
      <w:r>
        <w:t xml:space="preserve">does not need to be calculated.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A6" w14:textId="77777777" w:rsidR="00FB5E49" w:rsidRDefault="00FB5E4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ED79" w14:textId="77777777" w:rsidR="00FB5E49" w:rsidRDefault="00FB5E49">
    <w:pPr>
      <w:pStyle w:val="Header"/>
    </w:pPr>
    <w:r>
      <w:t>Table of Contents:  Section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4E75" w14:textId="77777777" w:rsidR="00FB5E49" w:rsidRDefault="00FB5E49">
    <w:pPr>
      <w:pStyle w:val="Header"/>
    </w:pPr>
    <w:r>
      <w:t>Section 4:  Day-Ahead Operations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singleLevel"/>
    <w:tmpl w:val="728E0A44"/>
    <w:lvl w:ilvl="0">
      <w:start w:val="1"/>
      <w:numFmt w:val="lowerLetter"/>
      <w:pStyle w:val="BulletIndent"/>
      <w:lvlText w:val="(%1)"/>
      <w:lvlJc w:val="left"/>
      <w:pPr>
        <w:tabs>
          <w:tab w:val="num" w:pos="360"/>
        </w:tabs>
        <w:ind w:left="360" w:hanging="360"/>
      </w:pPr>
      <w:rPr>
        <w:rFonts w:ascii="Times New Roman" w:eastAsia="Times New Roman" w:hAnsi="Times New Roman" w:cs="Times New Roman"/>
      </w:rPr>
    </w:lvl>
  </w:abstractNum>
  <w:abstractNum w:abstractNumId="1" w15:restartNumberingAfterBreak="0">
    <w:nsid w:val="09C4466E"/>
    <w:multiLevelType w:val="multilevel"/>
    <w:tmpl w:val="5BC287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F761C82"/>
    <w:multiLevelType w:val="hybridMultilevel"/>
    <w:tmpl w:val="E1F2C36C"/>
    <w:lvl w:ilvl="0" w:tplc="87F2D76E">
      <w:start w:val="1"/>
      <w:numFmt w:val="lowerLetter"/>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0DF51AB"/>
    <w:multiLevelType w:val="hybridMultilevel"/>
    <w:tmpl w:val="F8F809B4"/>
    <w:lvl w:ilvl="0" w:tplc="CDF0F1EA">
      <w:start w:val="1"/>
      <w:numFmt w:val="bullet"/>
      <w:pStyle w:val="TableBullet"/>
      <w:lvlText w:val=""/>
      <w:lvlJc w:val="left"/>
      <w:pPr>
        <w:tabs>
          <w:tab w:val="num" w:pos="360"/>
        </w:tabs>
        <w:ind w:left="360" w:hanging="360"/>
      </w:pPr>
      <w:rPr>
        <w:rFonts w:ascii="Symbol" w:hAnsi="Symbol" w:hint="default"/>
      </w:rPr>
    </w:lvl>
    <w:lvl w:ilvl="1" w:tplc="BB2AEBA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DC01D7"/>
    <w:multiLevelType w:val="hybridMultilevel"/>
    <w:tmpl w:val="CA5E0E18"/>
    <w:lvl w:ilvl="0" w:tplc="055C0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F87D58"/>
    <w:multiLevelType w:val="hybridMultilevel"/>
    <w:tmpl w:val="F39062F8"/>
    <w:lvl w:ilvl="0" w:tplc="FFFFFFFF">
      <w:start w:val="1"/>
      <w:numFmt w:val="bullet"/>
      <w:pStyle w:val="Bullet15"/>
      <w:lvlText w:val=""/>
      <w:lvlJc w:val="left"/>
      <w:pPr>
        <w:tabs>
          <w:tab w:val="num" w:pos="2520"/>
        </w:tabs>
        <w:ind w:left="2520" w:hanging="720"/>
      </w:pPr>
      <w:rPr>
        <w:rFonts w:ascii="Symbol" w:hAnsi="Symbol" w:hint="default"/>
      </w:rPr>
    </w:lvl>
    <w:lvl w:ilvl="1" w:tplc="FFFFFFFF" w:tentative="1">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4A823264"/>
    <w:multiLevelType w:val="hybridMultilevel"/>
    <w:tmpl w:val="3DBCD944"/>
    <w:lvl w:ilvl="0" w:tplc="825802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6617B9"/>
    <w:multiLevelType w:val="multilevel"/>
    <w:tmpl w:val="1E9EF500"/>
    <w:lvl w:ilvl="0">
      <w:start w:val="4"/>
      <w:numFmt w:val="decimal"/>
      <w:pStyle w:val="Heading1"/>
      <w:lvlText w:val="%1"/>
      <w:lvlJc w:val="left"/>
      <w:pPr>
        <w:tabs>
          <w:tab w:val="num" w:pos="360"/>
        </w:tabs>
        <w:ind w:left="360" w:hanging="360"/>
      </w:pPr>
      <w:rPr>
        <w:rFonts w:ascii="Times New Roman Bold" w:hAnsi="Times New Roman Bold" w:hint="default"/>
        <w:b/>
        <w:i w:val="0"/>
        <w:sz w:val="24"/>
        <w:szCs w:val="24"/>
      </w:rPr>
    </w:lvl>
    <w:lvl w:ilvl="1">
      <w:start w:val="1"/>
      <w:numFmt w:val="decimal"/>
      <w:pStyle w:val="Heading2"/>
      <w:lvlText w:val="%1.%2"/>
      <w:lvlJc w:val="left"/>
      <w:pPr>
        <w:tabs>
          <w:tab w:val="num" w:pos="792"/>
        </w:tabs>
        <w:ind w:left="792" w:hanging="432"/>
      </w:pPr>
      <w:rPr>
        <w:rFonts w:ascii="Arial" w:hAnsi="Arial" w:hint="default"/>
        <w:b/>
        <w:i w:val="0"/>
        <w:sz w:val="28"/>
        <w:effect w:val="none"/>
      </w:rPr>
    </w:lvl>
    <w:lvl w:ilvl="2">
      <w:start w:val="1"/>
      <w:numFmt w:val="decimal"/>
      <w:pStyle w:val="Heading3"/>
      <w:lvlText w:val="%1.%2.%3"/>
      <w:lvlJc w:val="left"/>
      <w:pPr>
        <w:tabs>
          <w:tab w:val="num" w:pos="1440"/>
        </w:tabs>
        <w:ind w:left="1224" w:hanging="504"/>
      </w:pPr>
      <w:rPr>
        <w:rFonts w:ascii="Arial" w:hAnsi="Arial" w:hint="default"/>
        <w:b/>
        <w:i w:val="0"/>
        <w:sz w:val="26"/>
      </w:rPr>
    </w:lvl>
    <w:lvl w:ilvl="3">
      <w:start w:val="1"/>
      <w:numFmt w:val="decimal"/>
      <w:pStyle w:val="Heading4"/>
      <w:lvlText w:val="%1.%2.%3.%4"/>
      <w:lvlJc w:val="left"/>
      <w:pPr>
        <w:tabs>
          <w:tab w:val="num" w:pos="2160"/>
        </w:tabs>
        <w:ind w:left="1728" w:hanging="648"/>
      </w:pPr>
      <w:rPr>
        <w:rFonts w:ascii="Arial" w:hAnsi="Arial" w:hint="default"/>
        <w:b/>
        <w:i w:val="0"/>
        <w:sz w:val="24"/>
        <w:u w:val="none"/>
      </w:rPr>
    </w:lvl>
    <w:lvl w:ilvl="4">
      <w:start w:val="1"/>
      <w:numFmt w:val="decimal"/>
      <w:pStyle w:val="Heading5"/>
      <w:lvlText w:val="%1.%2.%3.%4.%5"/>
      <w:lvlJc w:val="left"/>
      <w:pPr>
        <w:tabs>
          <w:tab w:val="num" w:pos="2520"/>
        </w:tabs>
        <w:ind w:left="2232" w:hanging="792"/>
      </w:pPr>
      <w:rPr>
        <w:rFonts w:ascii="Arial" w:hAnsi="Arial" w:hint="default"/>
        <w:b/>
        <w:i w:val="0"/>
        <w:sz w:val="24"/>
      </w:rPr>
    </w:lvl>
    <w:lvl w:ilvl="5">
      <w:start w:val="1"/>
      <w:numFmt w:val="decimal"/>
      <w:pStyle w:val="Heading6"/>
      <w:lvlText w:val="%1.%2.%3.%4.%5.%6"/>
      <w:lvlJc w:val="left"/>
      <w:pPr>
        <w:tabs>
          <w:tab w:val="num" w:pos="3240"/>
        </w:tabs>
        <w:ind w:left="2736" w:hanging="936"/>
      </w:pPr>
      <w:rPr>
        <w:rFonts w:ascii="Arial" w:hAnsi="Arial" w:hint="default"/>
        <w:b/>
        <w:i w:val="0"/>
        <w:sz w:val="24"/>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56F958EA"/>
    <w:multiLevelType w:val="hybridMultilevel"/>
    <w:tmpl w:val="830E527C"/>
    <w:lvl w:ilvl="0" w:tplc="AF329A56">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AB735B7"/>
    <w:multiLevelType w:val="hybridMultilevel"/>
    <w:tmpl w:val="F252E148"/>
    <w:lvl w:ilvl="0" w:tplc="DD024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331525"/>
    <w:multiLevelType w:val="singleLevel"/>
    <w:tmpl w:val="0AB409BE"/>
    <w:lvl w:ilvl="0">
      <w:start w:val="1"/>
      <w:numFmt w:val="bullet"/>
      <w:pStyle w:val="Bullet"/>
      <w:lvlText w:val=""/>
      <w:lvlJc w:val="left"/>
      <w:pPr>
        <w:tabs>
          <w:tab w:val="num" w:pos="450"/>
        </w:tabs>
        <w:ind w:left="450" w:hanging="360"/>
      </w:pPr>
      <w:rPr>
        <w:rFonts w:ascii="Symbol" w:hAnsi="Symbol" w:hint="default"/>
      </w:rPr>
    </w:lvl>
  </w:abstractNum>
  <w:num w:numId="1" w16cid:durableId="1857888899">
    <w:abstractNumId w:val="12"/>
  </w:num>
  <w:num w:numId="2" w16cid:durableId="1126001619">
    <w:abstractNumId w:val="0"/>
  </w:num>
  <w:num w:numId="3" w16cid:durableId="1384402942">
    <w:abstractNumId w:val="3"/>
  </w:num>
  <w:num w:numId="4" w16cid:durableId="125046153">
    <w:abstractNumId w:val="5"/>
  </w:num>
  <w:num w:numId="5" w16cid:durableId="2126608099">
    <w:abstractNumId w:val="2"/>
  </w:num>
  <w:num w:numId="6" w16cid:durableId="137578663">
    <w:abstractNumId w:val="7"/>
  </w:num>
  <w:num w:numId="7" w16cid:durableId="331568424">
    <w:abstractNumId w:val="4"/>
  </w:num>
  <w:num w:numId="8" w16cid:durableId="1877811874">
    <w:abstractNumId w:val="6"/>
  </w:num>
  <w:num w:numId="9" w16cid:durableId="1302727632">
    <w:abstractNumId w:val="10"/>
  </w:num>
  <w:num w:numId="10" w16cid:durableId="754589227">
    <w:abstractNumId w:val="1"/>
  </w:num>
  <w:num w:numId="11" w16cid:durableId="2082674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15024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45573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7650148">
    <w:abstractNumId w:val="11"/>
  </w:num>
  <w:num w:numId="15" w16cid:durableId="394351927">
    <w:abstractNumId w:val="8"/>
  </w:num>
  <w:num w:numId="16" w16cid:durableId="2013483106">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4"/>
  <w:drawingGridVerticalSpacing w:val="14"/>
  <w:noPunctuationKerning/>
  <w:characterSpacingControl w:val="doNotCompress"/>
  <w:hdrShapeDefaults>
    <o:shapedefaults v:ext="edit" spidmax="21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129"/>
    <w:rsid w:val="00000CDC"/>
    <w:rsid w:val="00001ECB"/>
    <w:rsid w:val="00003B06"/>
    <w:rsid w:val="00004AB2"/>
    <w:rsid w:val="000066AB"/>
    <w:rsid w:val="0001018F"/>
    <w:rsid w:val="00010AD8"/>
    <w:rsid w:val="0001100C"/>
    <w:rsid w:val="00011627"/>
    <w:rsid w:val="00011E3A"/>
    <w:rsid w:val="000153E7"/>
    <w:rsid w:val="00015C02"/>
    <w:rsid w:val="00015EC1"/>
    <w:rsid w:val="000160BF"/>
    <w:rsid w:val="000163AC"/>
    <w:rsid w:val="0001685F"/>
    <w:rsid w:val="00020937"/>
    <w:rsid w:val="00020B2A"/>
    <w:rsid w:val="00022A13"/>
    <w:rsid w:val="00022E0B"/>
    <w:rsid w:val="00024481"/>
    <w:rsid w:val="00025E4D"/>
    <w:rsid w:val="000262B8"/>
    <w:rsid w:val="000264C8"/>
    <w:rsid w:val="0002718A"/>
    <w:rsid w:val="00030B42"/>
    <w:rsid w:val="00031296"/>
    <w:rsid w:val="00031E29"/>
    <w:rsid w:val="000341E3"/>
    <w:rsid w:val="0003703B"/>
    <w:rsid w:val="000410E7"/>
    <w:rsid w:val="00046E38"/>
    <w:rsid w:val="00046E55"/>
    <w:rsid w:val="00050638"/>
    <w:rsid w:val="00050983"/>
    <w:rsid w:val="00050C9D"/>
    <w:rsid w:val="000517D7"/>
    <w:rsid w:val="0005257D"/>
    <w:rsid w:val="000536D1"/>
    <w:rsid w:val="00053A4D"/>
    <w:rsid w:val="00054403"/>
    <w:rsid w:val="0005585F"/>
    <w:rsid w:val="00056084"/>
    <w:rsid w:val="00057E74"/>
    <w:rsid w:val="000608E3"/>
    <w:rsid w:val="0006187D"/>
    <w:rsid w:val="00062596"/>
    <w:rsid w:val="00062948"/>
    <w:rsid w:val="00064793"/>
    <w:rsid w:val="0006503C"/>
    <w:rsid w:val="00065EF0"/>
    <w:rsid w:val="00066456"/>
    <w:rsid w:val="000679BD"/>
    <w:rsid w:val="00067C3F"/>
    <w:rsid w:val="000711F3"/>
    <w:rsid w:val="00072976"/>
    <w:rsid w:val="00072D17"/>
    <w:rsid w:val="00072DDE"/>
    <w:rsid w:val="00074AFF"/>
    <w:rsid w:val="00075E30"/>
    <w:rsid w:val="00077040"/>
    <w:rsid w:val="00077858"/>
    <w:rsid w:val="00077E0E"/>
    <w:rsid w:val="0008004C"/>
    <w:rsid w:val="0008052D"/>
    <w:rsid w:val="000805BF"/>
    <w:rsid w:val="0008399A"/>
    <w:rsid w:val="00086975"/>
    <w:rsid w:val="0008791D"/>
    <w:rsid w:val="0009046D"/>
    <w:rsid w:val="000919D3"/>
    <w:rsid w:val="00092782"/>
    <w:rsid w:val="000927A6"/>
    <w:rsid w:val="00092BF6"/>
    <w:rsid w:val="00093BC3"/>
    <w:rsid w:val="00094256"/>
    <w:rsid w:val="000A2386"/>
    <w:rsid w:val="000A3348"/>
    <w:rsid w:val="000A597F"/>
    <w:rsid w:val="000A5CAF"/>
    <w:rsid w:val="000A72E7"/>
    <w:rsid w:val="000B104A"/>
    <w:rsid w:val="000B1264"/>
    <w:rsid w:val="000B23AE"/>
    <w:rsid w:val="000B56CB"/>
    <w:rsid w:val="000B590E"/>
    <w:rsid w:val="000B76CC"/>
    <w:rsid w:val="000C021F"/>
    <w:rsid w:val="000C1F7B"/>
    <w:rsid w:val="000C3160"/>
    <w:rsid w:val="000C362C"/>
    <w:rsid w:val="000C38F9"/>
    <w:rsid w:val="000C396A"/>
    <w:rsid w:val="000C5DDB"/>
    <w:rsid w:val="000C6BF5"/>
    <w:rsid w:val="000C7F40"/>
    <w:rsid w:val="000D0C3D"/>
    <w:rsid w:val="000D16DA"/>
    <w:rsid w:val="000D21F6"/>
    <w:rsid w:val="000D2D78"/>
    <w:rsid w:val="000D3293"/>
    <w:rsid w:val="000D34F5"/>
    <w:rsid w:val="000D38FE"/>
    <w:rsid w:val="000D56C1"/>
    <w:rsid w:val="000D7289"/>
    <w:rsid w:val="000E29E6"/>
    <w:rsid w:val="000E322A"/>
    <w:rsid w:val="000E32A2"/>
    <w:rsid w:val="000E3339"/>
    <w:rsid w:val="000E3BFA"/>
    <w:rsid w:val="000E3C60"/>
    <w:rsid w:val="000E4CB3"/>
    <w:rsid w:val="000E5110"/>
    <w:rsid w:val="000E514E"/>
    <w:rsid w:val="000E57CF"/>
    <w:rsid w:val="000E5B56"/>
    <w:rsid w:val="000F05A1"/>
    <w:rsid w:val="000F087D"/>
    <w:rsid w:val="000F18C8"/>
    <w:rsid w:val="000F1D1F"/>
    <w:rsid w:val="000F2200"/>
    <w:rsid w:val="000F2A59"/>
    <w:rsid w:val="000F2A80"/>
    <w:rsid w:val="000F43C5"/>
    <w:rsid w:val="000F5843"/>
    <w:rsid w:val="000F6A98"/>
    <w:rsid w:val="000F767F"/>
    <w:rsid w:val="000F7787"/>
    <w:rsid w:val="000F7E00"/>
    <w:rsid w:val="00101345"/>
    <w:rsid w:val="0010155B"/>
    <w:rsid w:val="00102351"/>
    <w:rsid w:val="001037C0"/>
    <w:rsid w:val="00103B35"/>
    <w:rsid w:val="00103E66"/>
    <w:rsid w:val="0010409D"/>
    <w:rsid w:val="001046FE"/>
    <w:rsid w:val="00104959"/>
    <w:rsid w:val="0010498F"/>
    <w:rsid w:val="00110488"/>
    <w:rsid w:val="001105E2"/>
    <w:rsid w:val="001116C0"/>
    <w:rsid w:val="00111D2E"/>
    <w:rsid w:val="001121C6"/>
    <w:rsid w:val="001132DB"/>
    <w:rsid w:val="00113F0E"/>
    <w:rsid w:val="001142A3"/>
    <w:rsid w:val="00115466"/>
    <w:rsid w:val="00115D7A"/>
    <w:rsid w:val="0011660F"/>
    <w:rsid w:val="00117078"/>
    <w:rsid w:val="00117242"/>
    <w:rsid w:val="00120A9A"/>
    <w:rsid w:val="0012130D"/>
    <w:rsid w:val="001213B6"/>
    <w:rsid w:val="00121C8F"/>
    <w:rsid w:val="001234BC"/>
    <w:rsid w:val="001235DC"/>
    <w:rsid w:val="0012399D"/>
    <w:rsid w:val="00124CF0"/>
    <w:rsid w:val="0012639E"/>
    <w:rsid w:val="00127255"/>
    <w:rsid w:val="001278D4"/>
    <w:rsid w:val="00127A6D"/>
    <w:rsid w:val="00132B3A"/>
    <w:rsid w:val="00132F47"/>
    <w:rsid w:val="00133C12"/>
    <w:rsid w:val="0013469B"/>
    <w:rsid w:val="00135261"/>
    <w:rsid w:val="00135467"/>
    <w:rsid w:val="00137A82"/>
    <w:rsid w:val="0014291E"/>
    <w:rsid w:val="00144153"/>
    <w:rsid w:val="00144BFA"/>
    <w:rsid w:val="00144D0C"/>
    <w:rsid w:val="00146289"/>
    <w:rsid w:val="0015064D"/>
    <w:rsid w:val="00150AB2"/>
    <w:rsid w:val="00152761"/>
    <w:rsid w:val="00154C98"/>
    <w:rsid w:val="001556CD"/>
    <w:rsid w:val="00155738"/>
    <w:rsid w:val="00155992"/>
    <w:rsid w:val="00155E83"/>
    <w:rsid w:val="00156208"/>
    <w:rsid w:val="001602DE"/>
    <w:rsid w:val="00160F02"/>
    <w:rsid w:val="0016146F"/>
    <w:rsid w:val="00162093"/>
    <w:rsid w:val="00163271"/>
    <w:rsid w:val="001634F3"/>
    <w:rsid w:val="001635BE"/>
    <w:rsid w:val="00163CA7"/>
    <w:rsid w:val="001669F6"/>
    <w:rsid w:val="001674B0"/>
    <w:rsid w:val="0016783B"/>
    <w:rsid w:val="0016791F"/>
    <w:rsid w:val="001701B5"/>
    <w:rsid w:val="001723AD"/>
    <w:rsid w:val="00173088"/>
    <w:rsid w:val="0017313F"/>
    <w:rsid w:val="0017495C"/>
    <w:rsid w:val="0017593A"/>
    <w:rsid w:val="00175FCD"/>
    <w:rsid w:val="001763AF"/>
    <w:rsid w:val="001773A7"/>
    <w:rsid w:val="00180307"/>
    <w:rsid w:val="001808FD"/>
    <w:rsid w:val="00182341"/>
    <w:rsid w:val="00183413"/>
    <w:rsid w:val="00185262"/>
    <w:rsid w:val="001854CC"/>
    <w:rsid w:val="00186345"/>
    <w:rsid w:val="001864A9"/>
    <w:rsid w:val="001868B8"/>
    <w:rsid w:val="0019129E"/>
    <w:rsid w:val="00191657"/>
    <w:rsid w:val="001941F1"/>
    <w:rsid w:val="001967D6"/>
    <w:rsid w:val="001A19A6"/>
    <w:rsid w:val="001A23F9"/>
    <w:rsid w:val="001A28F4"/>
    <w:rsid w:val="001A74E2"/>
    <w:rsid w:val="001A7784"/>
    <w:rsid w:val="001A7FC9"/>
    <w:rsid w:val="001B05C6"/>
    <w:rsid w:val="001B2892"/>
    <w:rsid w:val="001B5D93"/>
    <w:rsid w:val="001B5EA7"/>
    <w:rsid w:val="001B6992"/>
    <w:rsid w:val="001C0588"/>
    <w:rsid w:val="001C0A59"/>
    <w:rsid w:val="001C121E"/>
    <w:rsid w:val="001C28F7"/>
    <w:rsid w:val="001C3D31"/>
    <w:rsid w:val="001C3FBF"/>
    <w:rsid w:val="001C443F"/>
    <w:rsid w:val="001C46E3"/>
    <w:rsid w:val="001C5CF6"/>
    <w:rsid w:val="001C6BC6"/>
    <w:rsid w:val="001C7AC2"/>
    <w:rsid w:val="001C7DE0"/>
    <w:rsid w:val="001D00CD"/>
    <w:rsid w:val="001D1186"/>
    <w:rsid w:val="001D1935"/>
    <w:rsid w:val="001D2166"/>
    <w:rsid w:val="001D299C"/>
    <w:rsid w:val="001D44FC"/>
    <w:rsid w:val="001D5424"/>
    <w:rsid w:val="001D6989"/>
    <w:rsid w:val="001D6B94"/>
    <w:rsid w:val="001E0A83"/>
    <w:rsid w:val="001E0AFF"/>
    <w:rsid w:val="001F169A"/>
    <w:rsid w:val="001F1ACB"/>
    <w:rsid w:val="001F20AD"/>
    <w:rsid w:val="001F5B99"/>
    <w:rsid w:val="001F7EB1"/>
    <w:rsid w:val="00200C73"/>
    <w:rsid w:val="00200D67"/>
    <w:rsid w:val="002025BF"/>
    <w:rsid w:val="00203E84"/>
    <w:rsid w:val="0020704F"/>
    <w:rsid w:val="00211657"/>
    <w:rsid w:val="00213820"/>
    <w:rsid w:val="00213A00"/>
    <w:rsid w:val="00214C2E"/>
    <w:rsid w:val="00214D9E"/>
    <w:rsid w:val="0021528E"/>
    <w:rsid w:val="0021711A"/>
    <w:rsid w:val="00217448"/>
    <w:rsid w:val="00217BFD"/>
    <w:rsid w:val="00221057"/>
    <w:rsid w:val="00222DFA"/>
    <w:rsid w:val="00222F72"/>
    <w:rsid w:val="0022486F"/>
    <w:rsid w:val="00224C44"/>
    <w:rsid w:val="002267BB"/>
    <w:rsid w:val="0022734F"/>
    <w:rsid w:val="002273BF"/>
    <w:rsid w:val="00227562"/>
    <w:rsid w:val="002278E6"/>
    <w:rsid w:val="00230265"/>
    <w:rsid w:val="00230C77"/>
    <w:rsid w:val="002310C0"/>
    <w:rsid w:val="002328FC"/>
    <w:rsid w:val="00232A7F"/>
    <w:rsid w:val="00233642"/>
    <w:rsid w:val="00233F71"/>
    <w:rsid w:val="002352D8"/>
    <w:rsid w:val="00235535"/>
    <w:rsid w:val="00235738"/>
    <w:rsid w:val="00235846"/>
    <w:rsid w:val="00235A6A"/>
    <w:rsid w:val="00236505"/>
    <w:rsid w:val="00236811"/>
    <w:rsid w:val="00236838"/>
    <w:rsid w:val="002406F3"/>
    <w:rsid w:val="00240828"/>
    <w:rsid w:val="00240C94"/>
    <w:rsid w:val="00240CAA"/>
    <w:rsid w:val="002411F1"/>
    <w:rsid w:val="00241DE8"/>
    <w:rsid w:val="00242397"/>
    <w:rsid w:val="00242D8D"/>
    <w:rsid w:val="00243E19"/>
    <w:rsid w:val="0024499A"/>
    <w:rsid w:val="002457EC"/>
    <w:rsid w:val="00245F20"/>
    <w:rsid w:val="002468A5"/>
    <w:rsid w:val="00246971"/>
    <w:rsid w:val="00246EF0"/>
    <w:rsid w:val="002503CB"/>
    <w:rsid w:val="00250707"/>
    <w:rsid w:val="00250F5C"/>
    <w:rsid w:val="00251964"/>
    <w:rsid w:val="00251A74"/>
    <w:rsid w:val="00254329"/>
    <w:rsid w:val="002549D3"/>
    <w:rsid w:val="0025504B"/>
    <w:rsid w:val="00256A0C"/>
    <w:rsid w:val="00256E13"/>
    <w:rsid w:val="002577B9"/>
    <w:rsid w:val="002577DA"/>
    <w:rsid w:val="002579DB"/>
    <w:rsid w:val="0026221B"/>
    <w:rsid w:val="00262B11"/>
    <w:rsid w:val="002646A8"/>
    <w:rsid w:val="00265804"/>
    <w:rsid w:val="0027211C"/>
    <w:rsid w:val="00274523"/>
    <w:rsid w:val="00274695"/>
    <w:rsid w:val="002802F6"/>
    <w:rsid w:val="00280BCA"/>
    <w:rsid w:val="002816D7"/>
    <w:rsid w:val="0028372C"/>
    <w:rsid w:val="002856EF"/>
    <w:rsid w:val="00285AF8"/>
    <w:rsid w:val="00286C9F"/>
    <w:rsid w:val="00287131"/>
    <w:rsid w:val="00290D4A"/>
    <w:rsid w:val="00291B66"/>
    <w:rsid w:val="002926A7"/>
    <w:rsid w:val="00294305"/>
    <w:rsid w:val="00294C50"/>
    <w:rsid w:val="002962B7"/>
    <w:rsid w:val="002A1448"/>
    <w:rsid w:val="002A190A"/>
    <w:rsid w:val="002A2327"/>
    <w:rsid w:val="002A28BE"/>
    <w:rsid w:val="002A36D6"/>
    <w:rsid w:val="002A59AC"/>
    <w:rsid w:val="002A71AB"/>
    <w:rsid w:val="002A78DE"/>
    <w:rsid w:val="002A7D20"/>
    <w:rsid w:val="002B0375"/>
    <w:rsid w:val="002B0459"/>
    <w:rsid w:val="002B0535"/>
    <w:rsid w:val="002B1B9F"/>
    <w:rsid w:val="002B2C2A"/>
    <w:rsid w:val="002B323C"/>
    <w:rsid w:val="002B5D88"/>
    <w:rsid w:val="002B64A0"/>
    <w:rsid w:val="002B741C"/>
    <w:rsid w:val="002B782F"/>
    <w:rsid w:val="002C167D"/>
    <w:rsid w:val="002C2F77"/>
    <w:rsid w:val="002C3FE7"/>
    <w:rsid w:val="002C46D2"/>
    <w:rsid w:val="002C5D70"/>
    <w:rsid w:val="002C6BD7"/>
    <w:rsid w:val="002C7B10"/>
    <w:rsid w:val="002D05F3"/>
    <w:rsid w:val="002D20AD"/>
    <w:rsid w:val="002D2A94"/>
    <w:rsid w:val="002D3E38"/>
    <w:rsid w:val="002D6130"/>
    <w:rsid w:val="002D62B4"/>
    <w:rsid w:val="002D65AE"/>
    <w:rsid w:val="002D7219"/>
    <w:rsid w:val="002E0760"/>
    <w:rsid w:val="002E17E2"/>
    <w:rsid w:val="002E2038"/>
    <w:rsid w:val="002E336E"/>
    <w:rsid w:val="002E4827"/>
    <w:rsid w:val="002E4A30"/>
    <w:rsid w:val="002E53FE"/>
    <w:rsid w:val="002E6587"/>
    <w:rsid w:val="002E6A57"/>
    <w:rsid w:val="002F0568"/>
    <w:rsid w:val="002F08B6"/>
    <w:rsid w:val="002F1DE3"/>
    <w:rsid w:val="002F3A20"/>
    <w:rsid w:val="002F3F05"/>
    <w:rsid w:val="002F4009"/>
    <w:rsid w:val="002F40DE"/>
    <w:rsid w:val="002F462C"/>
    <w:rsid w:val="002F568C"/>
    <w:rsid w:val="002F6170"/>
    <w:rsid w:val="002F6239"/>
    <w:rsid w:val="002F74A0"/>
    <w:rsid w:val="002F7A88"/>
    <w:rsid w:val="0030198F"/>
    <w:rsid w:val="0030230F"/>
    <w:rsid w:val="003028D5"/>
    <w:rsid w:val="003039EC"/>
    <w:rsid w:val="00303DA7"/>
    <w:rsid w:val="00304B7F"/>
    <w:rsid w:val="00304D95"/>
    <w:rsid w:val="00304E8C"/>
    <w:rsid w:val="00305B9F"/>
    <w:rsid w:val="00305BE2"/>
    <w:rsid w:val="00306A05"/>
    <w:rsid w:val="00310987"/>
    <w:rsid w:val="00312162"/>
    <w:rsid w:val="0031222E"/>
    <w:rsid w:val="00313E9D"/>
    <w:rsid w:val="00314368"/>
    <w:rsid w:val="003150C4"/>
    <w:rsid w:val="00317805"/>
    <w:rsid w:val="00317E8C"/>
    <w:rsid w:val="00321559"/>
    <w:rsid w:val="00321CA1"/>
    <w:rsid w:val="00321F21"/>
    <w:rsid w:val="00321FAF"/>
    <w:rsid w:val="003238EA"/>
    <w:rsid w:val="00323DF7"/>
    <w:rsid w:val="00326083"/>
    <w:rsid w:val="003262B6"/>
    <w:rsid w:val="00327640"/>
    <w:rsid w:val="00327B25"/>
    <w:rsid w:val="003301D6"/>
    <w:rsid w:val="00330487"/>
    <w:rsid w:val="00330A76"/>
    <w:rsid w:val="0033118B"/>
    <w:rsid w:val="003325E0"/>
    <w:rsid w:val="00332CED"/>
    <w:rsid w:val="00332E46"/>
    <w:rsid w:val="00332E59"/>
    <w:rsid w:val="003330DD"/>
    <w:rsid w:val="00334DF9"/>
    <w:rsid w:val="00336CC5"/>
    <w:rsid w:val="00336D2F"/>
    <w:rsid w:val="00336EC5"/>
    <w:rsid w:val="00337BBA"/>
    <w:rsid w:val="00337ECF"/>
    <w:rsid w:val="00337EFC"/>
    <w:rsid w:val="003401D0"/>
    <w:rsid w:val="003401F8"/>
    <w:rsid w:val="0034047B"/>
    <w:rsid w:val="0034067E"/>
    <w:rsid w:val="00341CB8"/>
    <w:rsid w:val="0034202D"/>
    <w:rsid w:val="0034316F"/>
    <w:rsid w:val="00343DC5"/>
    <w:rsid w:val="0034476D"/>
    <w:rsid w:val="00344A7F"/>
    <w:rsid w:val="00346701"/>
    <w:rsid w:val="00347265"/>
    <w:rsid w:val="003479B1"/>
    <w:rsid w:val="003479F3"/>
    <w:rsid w:val="0035123B"/>
    <w:rsid w:val="00355B0D"/>
    <w:rsid w:val="00356532"/>
    <w:rsid w:val="003579DF"/>
    <w:rsid w:val="00360990"/>
    <w:rsid w:val="00360F95"/>
    <w:rsid w:val="00362439"/>
    <w:rsid w:val="00363569"/>
    <w:rsid w:val="00364E79"/>
    <w:rsid w:val="00366781"/>
    <w:rsid w:val="003674A9"/>
    <w:rsid w:val="00367728"/>
    <w:rsid w:val="00367EC5"/>
    <w:rsid w:val="0037023E"/>
    <w:rsid w:val="0037215C"/>
    <w:rsid w:val="0037337C"/>
    <w:rsid w:val="003737D3"/>
    <w:rsid w:val="00380645"/>
    <w:rsid w:val="00381CB1"/>
    <w:rsid w:val="0038271B"/>
    <w:rsid w:val="00383CCC"/>
    <w:rsid w:val="00383FF4"/>
    <w:rsid w:val="003862A5"/>
    <w:rsid w:val="0039180C"/>
    <w:rsid w:val="00391A05"/>
    <w:rsid w:val="00393D3F"/>
    <w:rsid w:val="00394915"/>
    <w:rsid w:val="00394F04"/>
    <w:rsid w:val="003952FD"/>
    <w:rsid w:val="00395E24"/>
    <w:rsid w:val="0039772D"/>
    <w:rsid w:val="003A0162"/>
    <w:rsid w:val="003A107B"/>
    <w:rsid w:val="003A14E2"/>
    <w:rsid w:val="003A3DE6"/>
    <w:rsid w:val="003A44B3"/>
    <w:rsid w:val="003A6B12"/>
    <w:rsid w:val="003A6E98"/>
    <w:rsid w:val="003A7057"/>
    <w:rsid w:val="003A7A70"/>
    <w:rsid w:val="003B013E"/>
    <w:rsid w:val="003B08D5"/>
    <w:rsid w:val="003B09B5"/>
    <w:rsid w:val="003B1B3E"/>
    <w:rsid w:val="003B1DEE"/>
    <w:rsid w:val="003B205F"/>
    <w:rsid w:val="003B2F72"/>
    <w:rsid w:val="003B6FCB"/>
    <w:rsid w:val="003B73DA"/>
    <w:rsid w:val="003C03CB"/>
    <w:rsid w:val="003C1609"/>
    <w:rsid w:val="003C38B0"/>
    <w:rsid w:val="003C45B9"/>
    <w:rsid w:val="003C492E"/>
    <w:rsid w:val="003C4C57"/>
    <w:rsid w:val="003C5038"/>
    <w:rsid w:val="003C569F"/>
    <w:rsid w:val="003C5BBA"/>
    <w:rsid w:val="003D2B98"/>
    <w:rsid w:val="003D2D44"/>
    <w:rsid w:val="003D2E06"/>
    <w:rsid w:val="003D52BB"/>
    <w:rsid w:val="003D58A1"/>
    <w:rsid w:val="003D66D8"/>
    <w:rsid w:val="003D76AE"/>
    <w:rsid w:val="003E20B9"/>
    <w:rsid w:val="003E2DF0"/>
    <w:rsid w:val="003E2EB6"/>
    <w:rsid w:val="003E45AB"/>
    <w:rsid w:val="003E4821"/>
    <w:rsid w:val="003E4F2C"/>
    <w:rsid w:val="003E61E3"/>
    <w:rsid w:val="003E66B9"/>
    <w:rsid w:val="003E67C9"/>
    <w:rsid w:val="003E74A0"/>
    <w:rsid w:val="003E7855"/>
    <w:rsid w:val="003F0C82"/>
    <w:rsid w:val="003F1EF9"/>
    <w:rsid w:val="003F41EE"/>
    <w:rsid w:val="00400AA5"/>
    <w:rsid w:val="00401197"/>
    <w:rsid w:val="0040338B"/>
    <w:rsid w:val="004036BA"/>
    <w:rsid w:val="00403953"/>
    <w:rsid w:val="00403E48"/>
    <w:rsid w:val="00404A88"/>
    <w:rsid w:val="00404B1A"/>
    <w:rsid w:val="004059BE"/>
    <w:rsid w:val="0040663F"/>
    <w:rsid w:val="00406778"/>
    <w:rsid w:val="00406C02"/>
    <w:rsid w:val="00407396"/>
    <w:rsid w:val="00407A21"/>
    <w:rsid w:val="00411084"/>
    <w:rsid w:val="004112FE"/>
    <w:rsid w:val="004143C9"/>
    <w:rsid w:val="0041507A"/>
    <w:rsid w:val="004156FB"/>
    <w:rsid w:val="004159E9"/>
    <w:rsid w:val="0041775B"/>
    <w:rsid w:val="0042010B"/>
    <w:rsid w:val="00420C4E"/>
    <w:rsid w:val="00421472"/>
    <w:rsid w:val="00421FFA"/>
    <w:rsid w:val="004245D7"/>
    <w:rsid w:val="0042489B"/>
    <w:rsid w:val="004250CB"/>
    <w:rsid w:val="00431535"/>
    <w:rsid w:val="004330BE"/>
    <w:rsid w:val="0043318A"/>
    <w:rsid w:val="0043395D"/>
    <w:rsid w:val="00433FFD"/>
    <w:rsid w:val="00434544"/>
    <w:rsid w:val="004379B0"/>
    <w:rsid w:val="004403D0"/>
    <w:rsid w:val="004408B1"/>
    <w:rsid w:val="00441E54"/>
    <w:rsid w:val="004476EB"/>
    <w:rsid w:val="00450218"/>
    <w:rsid w:val="00451AE0"/>
    <w:rsid w:val="00451B9B"/>
    <w:rsid w:val="00452E31"/>
    <w:rsid w:val="00453319"/>
    <w:rsid w:val="00453943"/>
    <w:rsid w:val="004550E0"/>
    <w:rsid w:val="004553AF"/>
    <w:rsid w:val="004555CF"/>
    <w:rsid w:val="004570E5"/>
    <w:rsid w:val="004616C3"/>
    <w:rsid w:val="00461E58"/>
    <w:rsid w:val="00462435"/>
    <w:rsid w:val="00463068"/>
    <w:rsid w:val="00463331"/>
    <w:rsid w:val="00463441"/>
    <w:rsid w:val="00463B09"/>
    <w:rsid w:val="00463DAF"/>
    <w:rsid w:val="00464FBD"/>
    <w:rsid w:val="00470029"/>
    <w:rsid w:val="004705BA"/>
    <w:rsid w:val="004710FA"/>
    <w:rsid w:val="0047121C"/>
    <w:rsid w:val="004717AD"/>
    <w:rsid w:val="004720BB"/>
    <w:rsid w:val="00473153"/>
    <w:rsid w:val="00473E2A"/>
    <w:rsid w:val="00473E8F"/>
    <w:rsid w:val="00475536"/>
    <w:rsid w:val="00475EF8"/>
    <w:rsid w:val="00476535"/>
    <w:rsid w:val="00477729"/>
    <w:rsid w:val="00477841"/>
    <w:rsid w:val="004805D5"/>
    <w:rsid w:val="0048127C"/>
    <w:rsid w:val="0048168C"/>
    <w:rsid w:val="00481B8E"/>
    <w:rsid w:val="004825DD"/>
    <w:rsid w:val="00482902"/>
    <w:rsid w:val="00482EF3"/>
    <w:rsid w:val="0048417A"/>
    <w:rsid w:val="004856EA"/>
    <w:rsid w:val="0048595B"/>
    <w:rsid w:val="0048630F"/>
    <w:rsid w:val="00486B53"/>
    <w:rsid w:val="00490F98"/>
    <w:rsid w:val="00491260"/>
    <w:rsid w:val="00492394"/>
    <w:rsid w:val="004926C0"/>
    <w:rsid w:val="00493803"/>
    <w:rsid w:val="0049523B"/>
    <w:rsid w:val="0049535A"/>
    <w:rsid w:val="00495A0C"/>
    <w:rsid w:val="00496F8F"/>
    <w:rsid w:val="004A0156"/>
    <w:rsid w:val="004A1BC5"/>
    <w:rsid w:val="004A1E7D"/>
    <w:rsid w:val="004A2685"/>
    <w:rsid w:val="004A3952"/>
    <w:rsid w:val="004A4C7C"/>
    <w:rsid w:val="004A552A"/>
    <w:rsid w:val="004A6111"/>
    <w:rsid w:val="004A6A11"/>
    <w:rsid w:val="004A6F35"/>
    <w:rsid w:val="004A708F"/>
    <w:rsid w:val="004B0BC6"/>
    <w:rsid w:val="004B0D0F"/>
    <w:rsid w:val="004B10DB"/>
    <w:rsid w:val="004B2B93"/>
    <w:rsid w:val="004B2C5C"/>
    <w:rsid w:val="004B3CD4"/>
    <w:rsid w:val="004B6267"/>
    <w:rsid w:val="004B66B2"/>
    <w:rsid w:val="004B6910"/>
    <w:rsid w:val="004B71D5"/>
    <w:rsid w:val="004B7691"/>
    <w:rsid w:val="004B7D96"/>
    <w:rsid w:val="004B7DA4"/>
    <w:rsid w:val="004C2443"/>
    <w:rsid w:val="004C33BE"/>
    <w:rsid w:val="004C3A89"/>
    <w:rsid w:val="004C3DC8"/>
    <w:rsid w:val="004C42F1"/>
    <w:rsid w:val="004C47C0"/>
    <w:rsid w:val="004C5867"/>
    <w:rsid w:val="004C665B"/>
    <w:rsid w:val="004D0EC8"/>
    <w:rsid w:val="004D0EEC"/>
    <w:rsid w:val="004D50AD"/>
    <w:rsid w:val="004D7394"/>
    <w:rsid w:val="004E00F9"/>
    <w:rsid w:val="004E06FF"/>
    <w:rsid w:val="004E1191"/>
    <w:rsid w:val="004E2A45"/>
    <w:rsid w:val="004E3E5B"/>
    <w:rsid w:val="004E45F9"/>
    <w:rsid w:val="004E4ACB"/>
    <w:rsid w:val="004E50A1"/>
    <w:rsid w:val="004E522A"/>
    <w:rsid w:val="004E7056"/>
    <w:rsid w:val="004E7A54"/>
    <w:rsid w:val="004E7EAA"/>
    <w:rsid w:val="004F1285"/>
    <w:rsid w:val="004F59D3"/>
    <w:rsid w:val="004F631F"/>
    <w:rsid w:val="004F6893"/>
    <w:rsid w:val="004F7799"/>
    <w:rsid w:val="0050051D"/>
    <w:rsid w:val="00500F38"/>
    <w:rsid w:val="00503681"/>
    <w:rsid w:val="005058CB"/>
    <w:rsid w:val="00506D2E"/>
    <w:rsid w:val="00506D85"/>
    <w:rsid w:val="005071A6"/>
    <w:rsid w:val="00507C0B"/>
    <w:rsid w:val="00512097"/>
    <w:rsid w:val="00514036"/>
    <w:rsid w:val="0051430C"/>
    <w:rsid w:val="005147CC"/>
    <w:rsid w:val="005156C0"/>
    <w:rsid w:val="0051623E"/>
    <w:rsid w:val="0052052B"/>
    <w:rsid w:val="00520571"/>
    <w:rsid w:val="00522934"/>
    <w:rsid w:val="0052352B"/>
    <w:rsid w:val="00524947"/>
    <w:rsid w:val="00524FD7"/>
    <w:rsid w:val="005250E2"/>
    <w:rsid w:val="00526069"/>
    <w:rsid w:val="00526266"/>
    <w:rsid w:val="00527436"/>
    <w:rsid w:val="0053028F"/>
    <w:rsid w:val="0053101B"/>
    <w:rsid w:val="0053389B"/>
    <w:rsid w:val="005360E8"/>
    <w:rsid w:val="005404B5"/>
    <w:rsid w:val="00540DB9"/>
    <w:rsid w:val="00540E01"/>
    <w:rsid w:val="005421AC"/>
    <w:rsid w:val="00543138"/>
    <w:rsid w:val="00543675"/>
    <w:rsid w:val="005440F7"/>
    <w:rsid w:val="00544958"/>
    <w:rsid w:val="0054495D"/>
    <w:rsid w:val="00544F54"/>
    <w:rsid w:val="00546002"/>
    <w:rsid w:val="00547CCA"/>
    <w:rsid w:val="005506CA"/>
    <w:rsid w:val="0055088B"/>
    <w:rsid w:val="00553CE3"/>
    <w:rsid w:val="005545CC"/>
    <w:rsid w:val="00554D59"/>
    <w:rsid w:val="0055518E"/>
    <w:rsid w:val="00555569"/>
    <w:rsid w:val="00555BEA"/>
    <w:rsid w:val="00555C2B"/>
    <w:rsid w:val="00562163"/>
    <w:rsid w:val="00563AF4"/>
    <w:rsid w:val="0056443B"/>
    <w:rsid w:val="00565A0F"/>
    <w:rsid w:val="00565E58"/>
    <w:rsid w:val="00566C0F"/>
    <w:rsid w:val="005672A5"/>
    <w:rsid w:val="005672E8"/>
    <w:rsid w:val="005702FD"/>
    <w:rsid w:val="0057191A"/>
    <w:rsid w:val="005741B3"/>
    <w:rsid w:val="00574AC3"/>
    <w:rsid w:val="00575B67"/>
    <w:rsid w:val="00576329"/>
    <w:rsid w:val="005767CB"/>
    <w:rsid w:val="0058035F"/>
    <w:rsid w:val="00582A5E"/>
    <w:rsid w:val="00582EE0"/>
    <w:rsid w:val="00583063"/>
    <w:rsid w:val="005835CA"/>
    <w:rsid w:val="00584185"/>
    <w:rsid w:val="005849A9"/>
    <w:rsid w:val="00587C14"/>
    <w:rsid w:val="00587C4D"/>
    <w:rsid w:val="00587F21"/>
    <w:rsid w:val="005901B3"/>
    <w:rsid w:val="00593826"/>
    <w:rsid w:val="00594D9A"/>
    <w:rsid w:val="005A0C5B"/>
    <w:rsid w:val="005A0EB9"/>
    <w:rsid w:val="005A1669"/>
    <w:rsid w:val="005A1D5D"/>
    <w:rsid w:val="005A295D"/>
    <w:rsid w:val="005A3927"/>
    <w:rsid w:val="005A4AB4"/>
    <w:rsid w:val="005A5669"/>
    <w:rsid w:val="005A5F66"/>
    <w:rsid w:val="005A6890"/>
    <w:rsid w:val="005A7FF5"/>
    <w:rsid w:val="005B1931"/>
    <w:rsid w:val="005B3CC7"/>
    <w:rsid w:val="005B44AE"/>
    <w:rsid w:val="005B48EB"/>
    <w:rsid w:val="005B59D5"/>
    <w:rsid w:val="005B7037"/>
    <w:rsid w:val="005B7658"/>
    <w:rsid w:val="005B79DA"/>
    <w:rsid w:val="005B7F2A"/>
    <w:rsid w:val="005C00D3"/>
    <w:rsid w:val="005C1E91"/>
    <w:rsid w:val="005C251B"/>
    <w:rsid w:val="005C3B98"/>
    <w:rsid w:val="005C50C4"/>
    <w:rsid w:val="005D087B"/>
    <w:rsid w:val="005D23C7"/>
    <w:rsid w:val="005D2698"/>
    <w:rsid w:val="005D46C4"/>
    <w:rsid w:val="005D4DD6"/>
    <w:rsid w:val="005D4FA4"/>
    <w:rsid w:val="005D6393"/>
    <w:rsid w:val="005E12BB"/>
    <w:rsid w:val="005E2246"/>
    <w:rsid w:val="005E6494"/>
    <w:rsid w:val="005E77B7"/>
    <w:rsid w:val="005E7A86"/>
    <w:rsid w:val="005F07AA"/>
    <w:rsid w:val="005F0FC6"/>
    <w:rsid w:val="005F1BEC"/>
    <w:rsid w:val="005F27C1"/>
    <w:rsid w:val="005F2DF1"/>
    <w:rsid w:val="005F40F7"/>
    <w:rsid w:val="005F477F"/>
    <w:rsid w:val="005F5118"/>
    <w:rsid w:val="005F524A"/>
    <w:rsid w:val="005F637C"/>
    <w:rsid w:val="005F7B93"/>
    <w:rsid w:val="006035F8"/>
    <w:rsid w:val="006044DC"/>
    <w:rsid w:val="00604A38"/>
    <w:rsid w:val="00605209"/>
    <w:rsid w:val="0060662B"/>
    <w:rsid w:val="006075C2"/>
    <w:rsid w:val="00610CB6"/>
    <w:rsid w:val="00611554"/>
    <w:rsid w:val="006124B3"/>
    <w:rsid w:val="006133A1"/>
    <w:rsid w:val="006139A1"/>
    <w:rsid w:val="006141F6"/>
    <w:rsid w:val="00615664"/>
    <w:rsid w:val="006159F7"/>
    <w:rsid w:val="00617058"/>
    <w:rsid w:val="006202A9"/>
    <w:rsid w:val="00620D51"/>
    <w:rsid w:val="00621067"/>
    <w:rsid w:val="00622245"/>
    <w:rsid w:val="0062255F"/>
    <w:rsid w:val="00623CF4"/>
    <w:rsid w:val="006246FC"/>
    <w:rsid w:val="0062471C"/>
    <w:rsid w:val="00625654"/>
    <w:rsid w:val="00626597"/>
    <w:rsid w:val="006265FF"/>
    <w:rsid w:val="00627D8A"/>
    <w:rsid w:val="00630221"/>
    <w:rsid w:val="00630B9C"/>
    <w:rsid w:val="00633199"/>
    <w:rsid w:val="006337AC"/>
    <w:rsid w:val="00633C45"/>
    <w:rsid w:val="00633E45"/>
    <w:rsid w:val="00634E69"/>
    <w:rsid w:val="00636969"/>
    <w:rsid w:val="006404CD"/>
    <w:rsid w:val="006404D5"/>
    <w:rsid w:val="00640CF6"/>
    <w:rsid w:val="00641953"/>
    <w:rsid w:val="00641ACD"/>
    <w:rsid w:val="0064313B"/>
    <w:rsid w:val="00643940"/>
    <w:rsid w:val="00644FD6"/>
    <w:rsid w:val="00646D68"/>
    <w:rsid w:val="00646FCD"/>
    <w:rsid w:val="00647B00"/>
    <w:rsid w:val="00647DB5"/>
    <w:rsid w:val="00647F70"/>
    <w:rsid w:val="006506D8"/>
    <w:rsid w:val="006515BB"/>
    <w:rsid w:val="00651778"/>
    <w:rsid w:val="006517D6"/>
    <w:rsid w:val="006527E2"/>
    <w:rsid w:val="00652ADC"/>
    <w:rsid w:val="0065446E"/>
    <w:rsid w:val="0065735B"/>
    <w:rsid w:val="006575CF"/>
    <w:rsid w:val="00657C5A"/>
    <w:rsid w:val="00660DE7"/>
    <w:rsid w:val="00662126"/>
    <w:rsid w:val="00663278"/>
    <w:rsid w:val="0066513F"/>
    <w:rsid w:val="0066556B"/>
    <w:rsid w:val="00665DEC"/>
    <w:rsid w:val="0067095B"/>
    <w:rsid w:val="006741A7"/>
    <w:rsid w:val="0067492C"/>
    <w:rsid w:val="00674A24"/>
    <w:rsid w:val="00674EB1"/>
    <w:rsid w:val="0067590B"/>
    <w:rsid w:val="006770F8"/>
    <w:rsid w:val="00680637"/>
    <w:rsid w:val="00682A9A"/>
    <w:rsid w:val="006838B3"/>
    <w:rsid w:val="0068396A"/>
    <w:rsid w:val="00683A81"/>
    <w:rsid w:val="00691248"/>
    <w:rsid w:val="006914DE"/>
    <w:rsid w:val="00691B59"/>
    <w:rsid w:val="00692BEE"/>
    <w:rsid w:val="006935A7"/>
    <w:rsid w:val="00695507"/>
    <w:rsid w:val="00695779"/>
    <w:rsid w:val="006958F6"/>
    <w:rsid w:val="0069612F"/>
    <w:rsid w:val="006965C7"/>
    <w:rsid w:val="006967A9"/>
    <w:rsid w:val="00696A1F"/>
    <w:rsid w:val="006A082E"/>
    <w:rsid w:val="006A1CF0"/>
    <w:rsid w:val="006A27EB"/>
    <w:rsid w:val="006A280D"/>
    <w:rsid w:val="006A38D2"/>
    <w:rsid w:val="006A478F"/>
    <w:rsid w:val="006A5A0D"/>
    <w:rsid w:val="006A5EA2"/>
    <w:rsid w:val="006A600F"/>
    <w:rsid w:val="006A70A2"/>
    <w:rsid w:val="006A7942"/>
    <w:rsid w:val="006A7C27"/>
    <w:rsid w:val="006B053F"/>
    <w:rsid w:val="006B0B87"/>
    <w:rsid w:val="006B4E42"/>
    <w:rsid w:val="006B60E2"/>
    <w:rsid w:val="006C0FB2"/>
    <w:rsid w:val="006C2D8E"/>
    <w:rsid w:val="006C374D"/>
    <w:rsid w:val="006C4A7D"/>
    <w:rsid w:val="006C53ED"/>
    <w:rsid w:val="006C5440"/>
    <w:rsid w:val="006C6CB8"/>
    <w:rsid w:val="006D0080"/>
    <w:rsid w:val="006D0748"/>
    <w:rsid w:val="006D12A4"/>
    <w:rsid w:val="006D2549"/>
    <w:rsid w:val="006D37B0"/>
    <w:rsid w:val="006D39A1"/>
    <w:rsid w:val="006D5105"/>
    <w:rsid w:val="006D576C"/>
    <w:rsid w:val="006D57A4"/>
    <w:rsid w:val="006E11D1"/>
    <w:rsid w:val="006E182F"/>
    <w:rsid w:val="006E4987"/>
    <w:rsid w:val="006E4C8C"/>
    <w:rsid w:val="006E73D6"/>
    <w:rsid w:val="006E76FC"/>
    <w:rsid w:val="006F099F"/>
    <w:rsid w:val="006F1581"/>
    <w:rsid w:val="006F1CA9"/>
    <w:rsid w:val="006F1EA5"/>
    <w:rsid w:val="006F2260"/>
    <w:rsid w:val="006F2EC7"/>
    <w:rsid w:val="006F385D"/>
    <w:rsid w:val="006F3D4B"/>
    <w:rsid w:val="006F3D85"/>
    <w:rsid w:val="006F450D"/>
    <w:rsid w:val="006F4803"/>
    <w:rsid w:val="006F5FFD"/>
    <w:rsid w:val="006F7D62"/>
    <w:rsid w:val="00700CE6"/>
    <w:rsid w:val="00702197"/>
    <w:rsid w:val="00702EB9"/>
    <w:rsid w:val="00703272"/>
    <w:rsid w:val="00704DEF"/>
    <w:rsid w:val="0070544F"/>
    <w:rsid w:val="0070608D"/>
    <w:rsid w:val="007063DC"/>
    <w:rsid w:val="007072B8"/>
    <w:rsid w:val="00707A1B"/>
    <w:rsid w:val="00707E42"/>
    <w:rsid w:val="0071024C"/>
    <w:rsid w:val="00710C5A"/>
    <w:rsid w:val="00710CB5"/>
    <w:rsid w:val="0071337A"/>
    <w:rsid w:val="00713BC4"/>
    <w:rsid w:val="00716CC5"/>
    <w:rsid w:val="00716EA4"/>
    <w:rsid w:val="00720AA9"/>
    <w:rsid w:val="00721CB9"/>
    <w:rsid w:val="00721E27"/>
    <w:rsid w:val="00722B15"/>
    <w:rsid w:val="007258B7"/>
    <w:rsid w:val="00725F87"/>
    <w:rsid w:val="00726213"/>
    <w:rsid w:val="00726822"/>
    <w:rsid w:val="00727873"/>
    <w:rsid w:val="00727AC4"/>
    <w:rsid w:val="00730043"/>
    <w:rsid w:val="007303FF"/>
    <w:rsid w:val="007308D4"/>
    <w:rsid w:val="007317C5"/>
    <w:rsid w:val="00731C80"/>
    <w:rsid w:val="00733918"/>
    <w:rsid w:val="00733B31"/>
    <w:rsid w:val="00735D96"/>
    <w:rsid w:val="00737B75"/>
    <w:rsid w:val="007425D9"/>
    <w:rsid w:val="00742E82"/>
    <w:rsid w:val="007465D9"/>
    <w:rsid w:val="00746FFE"/>
    <w:rsid w:val="007506A3"/>
    <w:rsid w:val="007511F2"/>
    <w:rsid w:val="0075128C"/>
    <w:rsid w:val="00752DE9"/>
    <w:rsid w:val="00752DFA"/>
    <w:rsid w:val="00754D22"/>
    <w:rsid w:val="007555DD"/>
    <w:rsid w:val="00756252"/>
    <w:rsid w:val="00756E20"/>
    <w:rsid w:val="0075710C"/>
    <w:rsid w:val="00760EBA"/>
    <w:rsid w:val="00762714"/>
    <w:rsid w:val="0076339E"/>
    <w:rsid w:val="00763E45"/>
    <w:rsid w:val="007646BF"/>
    <w:rsid w:val="00765446"/>
    <w:rsid w:val="00765BE0"/>
    <w:rsid w:val="00766E6C"/>
    <w:rsid w:val="007672AA"/>
    <w:rsid w:val="00767A49"/>
    <w:rsid w:val="00767E1A"/>
    <w:rsid w:val="00770927"/>
    <w:rsid w:val="00770F24"/>
    <w:rsid w:val="007715CF"/>
    <w:rsid w:val="0077605B"/>
    <w:rsid w:val="00777744"/>
    <w:rsid w:val="007779E5"/>
    <w:rsid w:val="00777DF9"/>
    <w:rsid w:val="0078057A"/>
    <w:rsid w:val="0078149B"/>
    <w:rsid w:val="00781797"/>
    <w:rsid w:val="00782B1E"/>
    <w:rsid w:val="0078339D"/>
    <w:rsid w:val="00784377"/>
    <w:rsid w:val="00784CB2"/>
    <w:rsid w:val="00790328"/>
    <w:rsid w:val="007913EE"/>
    <w:rsid w:val="007916C5"/>
    <w:rsid w:val="0079174E"/>
    <w:rsid w:val="00791FE7"/>
    <w:rsid w:val="007929F2"/>
    <w:rsid w:val="007966AE"/>
    <w:rsid w:val="00797CBC"/>
    <w:rsid w:val="007A1568"/>
    <w:rsid w:val="007A27C3"/>
    <w:rsid w:val="007A3955"/>
    <w:rsid w:val="007A4792"/>
    <w:rsid w:val="007A65D8"/>
    <w:rsid w:val="007A6FAE"/>
    <w:rsid w:val="007A7C78"/>
    <w:rsid w:val="007B18FB"/>
    <w:rsid w:val="007B1D99"/>
    <w:rsid w:val="007B1F71"/>
    <w:rsid w:val="007B2523"/>
    <w:rsid w:val="007B3047"/>
    <w:rsid w:val="007B3BB2"/>
    <w:rsid w:val="007B3E40"/>
    <w:rsid w:val="007B4102"/>
    <w:rsid w:val="007B4E99"/>
    <w:rsid w:val="007B50EA"/>
    <w:rsid w:val="007B6131"/>
    <w:rsid w:val="007B72A6"/>
    <w:rsid w:val="007B72D0"/>
    <w:rsid w:val="007C03BE"/>
    <w:rsid w:val="007C33A8"/>
    <w:rsid w:val="007C36BB"/>
    <w:rsid w:val="007C3DCD"/>
    <w:rsid w:val="007C50F3"/>
    <w:rsid w:val="007C54F6"/>
    <w:rsid w:val="007C663A"/>
    <w:rsid w:val="007C686B"/>
    <w:rsid w:val="007D20B3"/>
    <w:rsid w:val="007D34B7"/>
    <w:rsid w:val="007D60C0"/>
    <w:rsid w:val="007D62ED"/>
    <w:rsid w:val="007D6F44"/>
    <w:rsid w:val="007D757A"/>
    <w:rsid w:val="007D77FB"/>
    <w:rsid w:val="007E00FE"/>
    <w:rsid w:val="007E0F2F"/>
    <w:rsid w:val="007E14FF"/>
    <w:rsid w:val="007E1FE9"/>
    <w:rsid w:val="007E22F4"/>
    <w:rsid w:val="007E2ACB"/>
    <w:rsid w:val="007E4475"/>
    <w:rsid w:val="007E459C"/>
    <w:rsid w:val="007E58EA"/>
    <w:rsid w:val="007F1D6B"/>
    <w:rsid w:val="007F38CF"/>
    <w:rsid w:val="007F4E6A"/>
    <w:rsid w:val="007F50CC"/>
    <w:rsid w:val="007F6DEF"/>
    <w:rsid w:val="007F71E9"/>
    <w:rsid w:val="007F7371"/>
    <w:rsid w:val="007F748D"/>
    <w:rsid w:val="00800193"/>
    <w:rsid w:val="00801127"/>
    <w:rsid w:val="008024AF"/>
    <w:rsid w:val="0080283D"/>
    <w:rsid w:val="00803E07"/>
    <w:rsid w:val="0080717A"/>
    <w:rsid w:val="00807D29"/>
    <w:rsid w:val="00807E60"/>
    <w:rsid w:val="00810745"/>
    <w:rsid w:val="00810B86"/>
    <w:rsid w:val="00811EE2"/>
    <w:rsid w:val="00812710"/>
    <w:rsid w:val="008128E8"/>
    <w:rsid w:val="00813F5C"/>
    <w:rsid w:val="008140CC"/>
    <w:rsid w:val="0081465E"/>
    <w:rsid w:val="00816068"/>
    <w:rsid w:val="008177BD"/>
    <w:rsid w:val="00817B4E"/>
    <w:rsid w:val="0082036F"/>
    <w:rsid w:val="008209A0"/>
    <w:rsid w:val="00820F25"/>
    <w:rsid w:val="008211DB"/>
    <w:rsid w:val="00822BDA"/>
    <w:rsid w:val="0082344C"/>
    <w:rsid w:val="008239D9"/>
    <w:rsid w:val="00823B90"/>
    <w:rsid w:val="008246AD"/>
    <w:rsid w:val="00825082"/>
    <w:rsid w:val="00826513"/>
    <w:rsid w:val="00827678"/>
    <w:rsid w:val="008324B4"/>
    <w:rsid w:val="00833040"/>
    <w:rsid w:val="008340E2"/>
    <w:rsid w:val="00834524"/>
    <w:rsid w:val="008346C0"/>
    <w:rsid w:val="0083598C"/>
    <w:rsid w:val="00835A4F"/>
    <w:rsid w:val="00836EE5"/>
    <w:rsid w:val="00837615"/>
    <w:rsid w:val="00837E7D"/>
    <w:rsid w:val="00840610"/>
    <w:rsid w:val="00841F60"/>
    <w:rsid w:val="00842456"/>
    <w:rsid w:val="00842528"/>
    <w:rsid w:val="00843ED4"/>
    <w:rsid w:val="008440CD"/>
    <w:rsid w:val="00844117"/>
    <w:rsid w:val="00844844"/>
    <w:rsid w:val="00844AA3"/>
    <w:rsid w:val="00845E46"/>
    <w:rsid w:val="0084624E"/>
    <w:rsid w:val="008466EC"/>
    <w:rsid w:val="008472BF"/>
    <w:rsid w:val="00847D59"/>
    <w:rsid w:val="00850B04"/>
    <w:rsid w:val="00851A1E"/>
    <w:rsid w:val="00855AB8"/>
    <w:rsid w:val="008624CE"/>
    <w:rsid w:val="008625F9"/>
    <w:rsid w:val="00865D77"/>
    <w:rsid w:val="00871D53"/>
    <w:rsid w:val="008720F1"/>
    <w:rsid w:val="00874624"/>
    <w:rsid w:val="00874A4D"/>
    <w:rsid w:val="008757C3"/>
    <w:rsid w:val="008765E0"/>
    <w:rsid w:val="0087699A"/>
    <w:rsid w:val="00876AE0"/>
    <w:rsid w:val="00880D2D"/>
    <w:rsid w:val="00882737"/>
    <w:rsid w:val="008841CC"/>
    <w:rsid w:val="00884C05"/>
    <w:rsid w:val="00884E9E"/>
    <w:rsid w:val="0088548E"/>
    <w:rsid w:val="00885F47"/>
    <w:rsid w:val="008908C4"/>
    <w:rsid w:val="008908F7"/>
    <w:rsid w:val="00892127"/>
    <w:rsid w:val="00894638"/>
    <w:rsid w:val="00896C7F"/>
    <w:rsid w:val="00896F5C"/>
    <w:rsid w:val="008A08E7"/>
    <w:rsid w:val="008A1DC3"/>
    <w:rsid w:val="008A2C7E"/>
    <w:rsid w:val="008A33E9"/>
    <w:rsid w:val="008A3473"/>
    <w:rsid w:val="008A564F"/>
    <w:rsid w:val="008A5796"/>
    <w:rsid w:val="008A645D"/>
    <w:rsid w:val="008A79AE"/>
    <w:rsid w:val="008B113F"/>
    <w:rsid w:val="008B1586"/>
    <w:rsid w:val="008B29FE"/>
    <w:rsid w:val="008B48B4"/>
    <w:rsid w:val="008B5E29"/>
    <w:rsid w:val="008B68C5"/>
    <w:rsid w:val="008B6BAE"/>
    <w:rsid w:val="008B78E4"/>
    <w:rsid w:val="008C0836"/>
    <w:rsid w:val="008C1087"/>
    <w:rsid w:val="008C16C1"/>
    <w:rsid w:val="008C2BFE"/>
    <w:rsid w:val="008C49C0"/>
    <w:rsid w:val="008C54F1"/>
    <w:rsid w:val="008C660E"/>
    <w:rsid w:val="008C7BE3"/>
    <w:rsid w:val="008D05EA"/>
    <w:rsid w:val="008D0990"/>
    <w:rsid w:val="008D1374"/>
    <w:rsid w:val="008D195A"/>
    <w:rsid w:val="008D230E"/>
    <w:rsid w:val="008D2F9B"/>
    <w:rsid w:val="008D59FD"/>
    <w:rsid w:val="008D5AD7"/>
    <w:rsid w:val="008D6021"/>
    <w:rsid w:val="008D71F2"/>
    <w:rsid w:val="008D799A"/>
    <w:rsid w:val="008E0462"/>
    <w:rsid w:val="008E0CC6"/>
    <w:rsid w:val="008E102F"/>
    <w:rsid w:val="008E16D6"/>
    <w:rsid w:val="008E194B"/>
    <w:rsid w:val="008E1C7F"/>
    <w:rsid w:val="008E2AAA"/>
    <w:rsid w:val="008E2AEE"/>
    <w:rsid w:val="008E3F61"/>
    <w:rsid w:val="008E4354"/>
    <w:rsid w:val="008E44A3"/>
    <w:rsid w:val="008E63B4"/>
    <w:rsid w:val="008E66AB"/>
    <w:rsid w:val="008E71A9"/>
    <w:rsid w:val="008E7F1C"/>
    <w:rsid w:val="008F0EE4"/>
    <w:rsid w:val="008F1A3B"/>
    <w:rsid w:val="008F20FC"/>
    <w:rsid w:val="008F425F"/>
    <w:rsid w:val="008F471C"/>
    <w:rsid w:val="008F6FDC"/>
    <w:rsid w:val="008F76C2"/>
    <w:rsid w:val="0090077C"/>
    <w:rsid w:val="00901CD3"/>
    <w:rsid w:val="00903CDB"/>
    <w:rsid w:val="00904765"/>
    <w:rsid w:val="009101CD"/>
    <w:rsid w:val="00910401"/>
    <w:rsid w:val="00910920"/>
    <w:rsid w:val="00910A1B"/>
    <w:rsid w:val="00913004"/>
    <w:rsid w:val="00913E82"/>
    <w:rsid w:val="00915261"/>
    <w:rsid w:val="0091679A"/>
    <w:rsid w:val="00916CFD"/>
    <w:rsid w:val="00920989"/>
    <w:rsid w:val="0092186C"/>
    <w:rsid w:val="009249A9"/>
    <w:rsid w:val="009255A3"/>
    <w:rsid w:val="009262F1"/>
    <w:rsid w:val="009300BE"/>
    <w:rsid w:val="00930881"/>
    <w:rsid w:val="00931FA1"/>
    <w:rsid w:val="0093304E"/>
    <w:rsid w:val="009338D6"/>
    <w:rsid w:val="00935BE8"/>
    <w:rsid w:val="00935DC1"/>
    <w:rsid w:val="00935E4E"/>
    <w:rsid w:val="009360D0"/>
    <w:rsid w:val="009374E8"/>
    <w:rsid w:val="00941F19"/>
    <w:rsid w:val="00942D9C"/>
    <w:rsid w:val="009453A1"/>
    <w:rsid w:val="00947242"/>
    <w:rsid w:val="00950048"/>
    <w:rsid w:val="00950EC5"/>
    <w:rsid w:val="00951F5A"/>
    <w:rsid w:val="00952130"/>
    <w:rsid w:val="00952E0A"/>
    <w:rsid w:val="00953A5B"/>
    <w:rsid w:val="009540C4"/>
    <w:rsid w:val="00955AC5"/>
    <w:rsid w:val="00955BDE"/>
    <w:rsid w:val="0095678B"/>
    <w:rsid w:val="00960FCD"/>
    <w:rsid w:val="00961223"/>
    <w:rsid w:val="0096195A"/>
    <w:rsid w:val="00961EC1"/>
    <w:rsid w:val="009622A6"/>
    <w:rsid w:val="009625AF"/>
    <w:rsid w:val="00963FFA"/>
    <w:rsid w:val="0096414F"/>
    <w:rsid w:val="00964389"/>
    <w:rsid w:val="009652DE"/>
    <w:rsid w:val="0096586F"/>
    <w:rsid w:val="00965927"/>
    <w:rsid w:val="009664B5"/>
    <w:rsid w:val="009669A5"/>
    <w:rsid w:val="0096798F"/>
    <w:rsid w:val="00967E04"/>
    <w:rsid w:val="0097004A"/>
    <w:rsid w:val="0097154D"/>
    <w:rsid w:val="00971BC0"/>
    <w:rsid w:val="00971DB3"/>
    <w:rsid w:val="009738B5"/>
    <w:rsid w:val="00975378"/>
    <w:rsid w:val="009757FC"/>
    <w:rsid w:val="0097590C"/>
    <w:rsid w:val="00977887"/>
    <w:rsid w:val="00981070"/>
    <w:rsid w:val="0098174B"/>
    <w:rsid w:val="00981B69"/>
    <w:rsid w:val="00983BDA"/>
    <w:rsid w:val="009848C4"/>
    <w:rsid w:val="00984C97"/>
    <w:rsid w:val="0098721D"/>
    <w:rsid w:val="0099085A"/>
    <w:rsid w:val="00990F89"/>
    <w:rsid w:val="00991842"/>
    <w:rsid w:val="00995E8E"/>
    <w:rsid w:val="009961BE"/>
    <w:rsid w:val="009A00D6"/>
    <w:rsid w:val="009A0853"/>
    <w:rsid w:val="009A0DC2"/>
    <w:rsid w:val="009A10B1"/>
    <w:rsid w:val="009A556D"/>
    <w:rsid w:val="009A5D80"/>
    <w:rsid w:val="009A6D02"/>
    <w:rsid w:val="009B0966"/>
    <w:rsid w:val="009B0AF9"/>
    <w:rsid w:val="009B192E"/>
    <w:rsid w:val="009B2AA5"/>
    <w:rsid w:val="009B2B2D"/>
    <w:rsid w:val="009B4162"/>
    <w:rsid w:val="009B5863"/>
    <w:rsid w:val="009B733D"/>
    <w:rsid w:val="009B7A9A"/>
    <w:rsid w:val="009C2BE5"/>
    <w:rsid w:val="009C39E0"/>
    <w:rsid w:val="009C3B5D"/>
    <w:rsid w:val="009C48E9"/>
    <w:rsid w:val="009C48F1"/>
    <w:rsid w:val="009C4C4F"/>
    <w:rsid w:val="009C5790"/>
    <w:rsid w:val="009D0C15"/>
    <w:rsid w:val="009D172F"/>
    <w:rsid w:val="009D2360"/>
    <w:rsid w:val="009D293E"/>
    <w:rsid w:val="009D2F46"/>
    <w:rsid w:val="009D41F5"/>
    <w:rsid w:val="009D5D17"/>
    <w:rsid w:val="009D6B45"/>
    <w:rsid w:val="009E0125"/>
    <w:rsid w:val="009E0320"/>
    <w:rsid w:val="009E3AE5"/>
    <w:rsid w:val="009E4865"/>
    <w:rsid w:val="009E643E"/>
    <w:rsid w:val="009E711E"/>
    <w:rsid w:val="009F0B26"/>
    <w:rsid w:val="009F1274"/>
    <w:rsid w:val="009F17B6"/>
    <w:rsid w:val="009F1CEA"/>
    <w:rsid w:val="009F3C87"/>
    <w:rsid w:val="009F3F29"/>
    <w:rsid w:val="009F4996"/>
    <w:rsid w:val="009F4E9B"/>
    <w:rsid w:val="009F68A8"/>
    <w:rsid w:val="009F7005"/>
    <w:rsid w:val="00A00DC3"/>
    <w:rsid w:val="00A0166E"/>
    <w:rsid w:val="00A02752"/>
    <w:rsid w:val="00A031F1"/>
    <w:rsid w:val="00A048D7"/>
    <w:rsid w:val="00A051A5"/>
    <w:rsid w:val="00A07316"/>
    <w:rsid w:val="00A07958"/>
    <w:rsid w:val="00A10141"/>
    <w:rsid w:val="00A127FD"/>
    <w:rsid w:val="00A13F6E"/>
    <w:rsid w:val="00A14470"/>
    <w:rsid w:val="00A152C9"/>
    <w:rsid w:val="00A16657"/>
    <w:rsid w:val="00A1690C"/>
    <w:rsid w:val="00A204D1"/>
    <w:rsid w:val="00A21944"/>
    <w:rsid w:val="00A22DCC"/>
    <w:rsid w:val="00A23BDD"/>
    <w:rsid w:val="00A2486B"/>
    <w:rsid w:val="00A32B5E"/>
    <w:rsid w:val="00A342B9"/>
    <w:rsid w:val="00A34A4A"/>
    <w:rsid w:val="00A35508"/>
    <w:rsid w:val="00A358E6"/>
    <w:rsid w:val="00A3614F"/>
    <w:rsid w:val="00A36B61"/>
    <w:rsid w:val="00A40824"/>
    <w:rsid w:val="00A411AC"/>
    <w:rsid w:val="00A41A63"/>
    <w:rsid w:val="00A42786"/>
    <w:rsid w:val="00A456EB"/>
    <w:rsid w:val="00A45A3D"/>
    <w:rsid w:val="00A45FAE"/>
    <w:rsid w:val="00A4767E"/>
    <w:rsid w:val="00A47857"/>
    <w:rsid w:val="00A51EFC"/>
    <w:rsid w:val="00A52987"/>
    <w:rsid w:val="00A540A2"/>
    <w:rsid w:val="00A54A9E"/>
    <w:rsid w:val="00A55B1A"/>
    <w:rsid w:val="00A562FE"/>
    <w:rsid w:val="00A56372"/>
    <w:rsid w:val="00A56530"/>
    <w:rsid w:val="00A56EA7"/>
    <w:rsid w:val="00A6136E"/>
    <w:rsid w:val="00A61910"/>
    <w:rsid w:val="00A61BFA"/>
    <w:rsid w:val="00A61EA0"/>
    <w:rsid w:val="00A62248"/>
    <w:rsid w:val="00A634EC"/>
    <w:rsid w:val="00A64E43"/>
    <w:rsid w:val="00A654D7"/>
    <w:rsid w:val="00A66890"/>
    <w:rsid w:val="00A7138D"/>
    <w:rsid w:val="00A72068"/>
    <w:rsid w:val="00A721BA"/>
    <w:rsid w:val="00A727F5"/>
    <w:rsid w:val="00A7392E"/>
    <w:rsid w:val="00A7535F"/>
    <w:rsid w:val="00A75538"/>
    <w:rsid w:val="00A769FF"/>
    <w:rsid w:val="00A77769"/>
    <w:rsid w:val="00A77876"/>
    <w:rsid w:val="00A8034F"/>
    <w:rsid w:val="00A82EF4"/>
    <w:rsid w:val="00A8370C"/>
    <w:rsid w:val="00A83C8F"/>
    <w:rsid w:val="00A85E9A"/>
    <w:rsid w:val="00A86A5A"/>
    <w:rsid w:val="00A872AC"/>
    <w:rsid w:val="00A876C1"/>
    <w:rsid w:val="00A90031"/>
    <w:rsid w:val="00A903FC"/>
    <w:rsid w:val="00A917EE"/>
    <w:rsid w:val="00A9218F"/>
    <w:rsid w:val="00A93350"/>
    <w:rsid w:val="00A94AF0"/>
    <w:rsid w:val="00A95040"/>
    <w:rsid w:val="00A95825"/>
    <w:rsid w:val="00A971D5"/>
    <w:rsid w:val="00A979D7"/>
    <w:rsid w:val="00A97E47"/>
    <w:rsid w:val="00AA5403"/>
    <w:rsid w:val="00AA578A"/>
    <w:rsid w:val="00AA5907"/>
    <w:rsid w:val="00AA5DBF"/>
    <w:rsid w:val="00AA7C2F"/>
    <w:rsid w:val="00AA7EC3"/>
    <w:rsid w:val="00AA7FC7"/>
    <w:rsid w:val="00AB1597"/>
    <w:rsid w:val="00AB311C"/>
    <w:rsid w:val="00AB5633"/>
    <w:rsid w:val="00AB5CCD"/>
    <w:rsid w:val="00AB61F7"/>
    <w:rsid w:val="00AC0A43"/>
    <w:rsid w:val="00AC19DC"/>
    <w:rsid w:val="00AC1C8F"/>
    <w:rsid w:val="00AC21FE"/>
    <w:rsid w:val="00AC31C9"/>
    <w:rsid w:val="00AC3B69"/>
    <w:rsid w:val="00AC3E16"/>
    <w:rsid w:val="00AC5FE7"/>
    <w:rsid w:val="00AC6101"/>
    <w:rsid w:val="00AC7794"/>
    <w:rsid w:val="00AD2BD7"/>
    <w:rsid w:val="00AD3BF7"/>
    <w:rsid w:val="00AD5148"/>
    <w:rsid w:val="00AD5264"/>
    <w:rsid w:val="00AD7677"/>
    <w:rsid w:val="00AD78B5"/>
    <w:rsid w:val="00AE25F8"/>
    <w:rsid w:val="00AE2B1F"/>
    <w:rsid w:val="00AE354D"/>
    <w:rsid w:val="00AE4EB7"/>
    <w:rsid w:val="00AE4EC1"/>
    <w:rsid w:val="00AE5C32"/>
    <w:rsid w:val="00AE6DB4"/>
    <w:rsid w:val="00AE6F78"/>
    <w:rsid w:val="00AE77B0"/>
    <w:rsid w:val="00AF09C1"/>
    <w:rsid w:val="00AF106E"/>
    <w:rsid w:val="00AF18AD"/>
    <w:rsid w:val="00AF1D8F"/>
    <w:rsid w:val="00AF585A"/>
    <w:rsid w:val="00AF65A4"/>
    <w:rsid w:val="00AF742F"/>
    <w:rsid w:val="00B0065F"/>
    <w:rsid w:val="00B00D8C"/>
    <w:rsid w:val="00B01EDD"/>
    <w:rsid w:val="00B0384C"/>
    <w:rsid w:val="00B03F8B"/>
    <w:rsid w:val="00B044E6"/>
    <w:rsid w:val="00B05AB5"/>
    <w:rsid w:val="00B060D9"/>
    <w:rsid w:val="00B06BFE"/>
    <w:rsid w:val="00B075CB"/>
    <w:rsid w:val="00B114E9"/>
    <w:rsid w:val="00B116A9"/>
    <w:rsid w:val="00B117D4"/>
    <w:rsid w:val="00B1193C"/>
    <w:rsid w:val="00B11AAC"/>
    <w:rsid w:val="00B11C4D"/>
    <w:rsid w:val="00B12203"/>
    <w:rsid w:val="00B13140"/>
    <w:rsid w:val="00B14FD4"/>
    <w:rsid w:val="00B165D9"/>
    <w:rsid w:val="00B16EBA"/>
    <w:rsid w:val="00B17E78"/>
    <w:rsid w:val="00B221AB"/>
    <w:rsid w:val="00B2273C"/>
    <w:rsid w:val="00B2276A"/>
    <w:rsid w:val="00B22EE9"/>
    <w:rsid w:val="00B22F24"/>
    <w:rsid w:val="00B23635"/>
    <w:rsid w:val="00B24206"/>
    <w:rsid w:val="00B24716"/>
    <w:rsid w:val="00B24B99"/>
    <w:rsid w:val="00B24DB0"/>
    <w:rsid w:val="00B278E0"/>
    <w:rsid w:val="00B30226"/>
    <w:rsid w:val="00B30C5D"/>
    <w:rsid w:val="00B314B9"/>
    <w:rsid w:val="00B3296A"/>
    <w:rsid w:val="00B34003"/>
    <w:rsid w:val="00B34D8F"/>
    <w:rsid w:val="00B3531E"/>
    <w:rsid w:val="00B3595A"/>
    <w:rsid w:val="00B36583"/>
    <w:rsid w:val="00B3734B"/>
    <w:rsid w:val="00B4091E"/>
    <w:rsid w:val="00B41C15"/>
    <w:rsid w:val="00B41FE5"/>
    <w:rsid w:val="00B42BE2"/>
    <w:rsid w:val="00B460B2"/>
    <w:rsid w:val="00B46E4A"/>
    <w:rsid w:val="00B4784C"/>
    <w:rsid w:val="00B50253"/>
    <w:rsid w:val="00B518B2"/>
    <w:rsid w:val="00B520B8"/>
    <w:rsid w:val="00B53911"/>
    <w:rsid w:val="00B53E1C"/>
    <w:rsid w:val="00B544BC"/>
    <w:rsid w:val="00B54AED"/>
    <w:rsid w:val="00B551ED"/>
    <w:rsid w:val="00B560D7"/>
    <w:rsid w:val="00B56B3A"/>
    <w:rsid w:val="00B57D34"/>
    <w:rsid w:val="00B60060"/>
    <w:rsid w:val="00B622A2"/>
    <w:rsid w:val="00B62F5B"/>
    <w:rsid w:val="00B633BE"/>
    <w:rsid w:val="00B6455F"/>
    <w:rsid w:val="00B656DF"/>
    <w:rsid w:val="00B70700"/>
    <w:rsid w:val="00B71F51"/>
    <w:rsid w:val="00B72FCC"/>
    <w:rsid w:val="00B73A61"/>
    <w:rsid w:val="00B747A6"/>
    <w:rsid w:val="00B74B94"/>
    <w:rsid w:val="00B75D69"/>
    <w:rsid w:val="00B7786E"/>
    <w:rsid w:val="00B77B46"/>
    <w:rsid w:val="00B8005B"/>
    <w:rsid w:val="00B80A01"/>
    <w:rsid w:val="00B82E6E"/>
    <w:rsid w:val="00B84FCD"/>
    <w:rsid w:val="00B851D3"/>
    <w:rsid w:val="00B86F92"/>
    <w:rsid w:val="00B90B65"/>
    <w:rsid w:val="00B90B81"/>
    <w:rsid w:val="00B91486"/>
    <w:rsid w:val="00B940AE"/>
    <w:rsid w:val="00B95ABE"/>
    <w:rsid w:val="00B95EFC"/>
    <w:rsid w:val="00B96815"/>
    <w:rsid w:val="00B97791"/>
    <w:rsid w:val="00B97A27"/>
    <w:rsid w:val="00BA1B86"/>
    <w:rsid w:val="00BA33BA"/>
    <w:rsid w:val="00BA3C15"/>
    <w:rsid w:val="00BA45F9"/>
    <w:rsid w:val="00BA5133"/>
    <w:rsid w:val="00BA6611"/>
    <w:rsid w:val="00BB36D0"/>
    <w:rsid w:val="00BB41D7"/>
    <w:rsid w:val="00BB45F3"/>
    <w:rsid w:val="00BB55D3"/>
    <w:rsid w:val="00BB5BFB"/>
    <w:rsid w:val="00BB743A"/>
    <w:rsid w:val="00BB788E"/>
    <w:rsid w:val="00BB7C38"/>
    <w:rsid w:val="00BC1A43"/>
    <w:rsid w:val="00BC2197"/>
    <w:rsid w:val="00BC259A"/>
    <w:rsid w:val="00BC4110"/>
    <w:rsid w:val="00BC5125"/>
    <w:rsid w:val="00BC6BBB"/>
    <w:rsid w:val="00BD0A5C"/>
    <w:rsid w:val="00BD1917"/>
    <w:rsid w:val="00BD1B23"/>
    <w:rsid w:val="00BD2478"/>
    <w:rsid w:val="00BD2F43"/>
    <w:rsid w:val="00BD30CA"/>
    <w:rsid w:val="00BD6DB4"/>
    <w:rsid w:val="00BD6F1D"/>
    <w:rsid w:val="00BD7596"/>
    <w:rsid w:val="00BD76F0"/>
    <w:rsid w:val="00BD7F14"/>
    <w:rsid w:val="00BE44A6"/>
    <w:rsid w:val="00BE4DAE"/>
    <w:rsid w:val="00BE69DE"/>
    <w:rsid w:val="00BE6DF4"/>
    <w:rsid w:val="00BE76B7"/>
    <w:rsid w:val="00BE771F"/>
    <w:rsid w:val="00BF0BA8"/>
    <w:rsid w:val="00BF25B7"/>
    <w:rsid w:val="00BF2A42"/>
    <w:rsid w:val="00BF3FC5"/>
    <w:rsid w:val="00BF54F1"/>
    <w:rsid w:val="00BF5B67"/>
    <w:rsid w:val="00BF6DAE"/>
    <w:rsid w:val="00BF79FD"/>
    <w:rsid w:val="00C00504"/>
    <w:rsid w:val="00C01CA1"/>
    <w:rsid w:val="00C021BD"/>
    <w:rsid w:val="00C0444B"/>
    <w:rsid w:val="00C048AE"/>
    <w:rsid w:val="00C05C36"/>
    <w:rsid w:val="00C0690F"/>
    <w:rsid w:val="00C11C64"/>
    <w:rsid w:val="00C11D03"/>
    <w:rsid w:val="00C12E6D"/>
    <w:rsid w:val="00C13954"/>
    <w:rsid w:val="00C14171"/>
    <w:rsid w:val="00C14AE0"/>
    <w:rsid w:val="00C15023"/>
    <w:rsid w:val="00C15324"/>
    <w:rsid w:val="00C15DBA"/>
    <w:rsid w:val="00C162AE"/>
    <w:rsid w:val="00C1781B"/>
    <w:rsid w:val="00C17931"/>
    <w:rsid w:val="00C21419"/>
    <w:rsid w:val="00C216A9"/>
    <w:rsid w:val="00C22E28"/>
    <w:rsid w:val="00C2363D"/>
    <w:rsid w:val="00C239FA"/>
    <w:rsid w:val="00C2493C"/>
    <w:rsid w:val="00C24B04"/>
    <w:rsid w:val="00C24CB5"/>
    <w:rsid w:val="00C25768"/>
    <w:rsid w:val="00C25CB0"/>
    <w:rsid w:val="00C26892"/>
    <w:rsid w:val="00C26A9C"/>
    <w:rsid w:val="00C31402"/>
    <w:rsid w:val="00C3297F"/>
    <w:rsid w:val="00C32A61"/>
    <w:rsid w:val="00C33280"/>
    <w:rsid w:val="00C333DE"/>
    <w:rsid w:val="00C336F0"/>
    <w:rsid w:val="00C33945"/>
    <w:rsid w:val="00C34549"/>
    <w:rsid w:val="00C346A4"/>
    <w:rsid w:val="00C353E0"/>
    <w:rsid w:val="00C35A95"/>
    <w:rsid w:val="00C35F04"/>
    <w:rsid w:val="00C36617"/>
    <w:rsid w:val="00C41161"/>
    <w:rsid w:val="00C41DA4"/>
    <w:rsid w:val="00C42ADB"/>
    <w:rsid w:val="00C43308"/>
    <w:rsid w:val="00C43851"/>
    <w:rsid w:val="00C43A85"/>
    <w:rsid w:val="00C45F98"/>
    <w:rsid w:val="00C4728E"/>
    <w:rsid w:val="00C47C11"/>
    <w:rsid w:val="00C47E42"/>
    <w:rsid w:val="00C52A18"/>
    <w:rsid w:val="00C53D16"/>
    <w:rsid w:val="00C55236"/>
    <w:rsid w:val="00C557AA"/>
    <w:rsid w:val="00C57944"/>
    <w:rsid w:val="00C6038E"/>
    <w:rsid w:val="00C6177E"/>
    <w:rsid w:val="00C62B2A"/>
    <w:rsid w:val="00C63B4D"/>
    <w:rsid w:val="00C63FF6"/>
    <w:rsid w:val="00C651D0"/>
    <w:rsid w:val="00C65CB3"/>
    <w:rsid w:val="00C67095"/>
    <w:rsid w:val="00C67C56"/>
    <w:rsid w:val="00C7008C"/>
    <w:rsid w:val="00C70C2C"/>
    <w:rsid w:val="00C73467"/>
    <w:rsid w:val="00C73E78"/>
    <w:rsid w:val="00C75B7D"/>
    <w:rsid w:val="00C76AAA"/>
    <w:rsid w:val="00C7742B"/>
    <w:rsid w:val="00C77ED6"/>
    <w:rsid w:val="00C80AD3"/>
    <w:rsid w:val="00C80E8B"/>
    <w:rsid w:val="00C81217"/>
    <w:rsid w:val="00C8233E"/>
    <w:rsid w:val="00C852B6"/>
    <w:rsid w:val="00C86EA9"/>
    <w:rsid w:val="00C874FF"/>
    <w:rsid w:val="00C87FA2"/>
    <w:rsid w:val="00C90013"/>
    <w:rsid w:val="00C94253"/>
    <w:rsid w:val="00C95DF5"/>
    <w:rsid w:val="00C963EB"/>
    <w:rsid w:val="00CA2AF7"/>
    <w:rsid w:val="00CA4F79"/>
    <w:rsid w:val="00CA5697"/>
    <w:rsid w:val="00CA5AAC"/>
    <w:rsid w:val="00CA5C54"/>
    <w:rsid w:val="00CA6B78"/>
    <w:rsid w:val="00CB0254"/>
    <w:rsid w:val="00CB0324"/>
    <w:rsid w:val="00CB0B4E"/>
    <w:rsid w:val="00CB0B94"/>
    <w:rsid w:val="00CB4C0F"/>
    <w:rsid w:val="00CB4EEF"/>
    <w:rsid w:val="00CB63CE"/>
    <w:rsid w:val="00CB7C85"/>
    <w:rsid w:val="00CC2394"/>
    <w:rsid w:val="00CC41C7"/>
    <w:rsid w:val="00CC6520"/>
    <w:rsid w:val="00CC6708"/>
    <w:rsid w:val="00CC672E"/>
    <w:rsid w:val="00CC71DB"/>
    <w:rsid w:val="00CD0053"/>
    <w:rsid w:val="00CD0BBF"/>
    <w:rsid w:val="00CD0E40"/>
    <w:rsid w:val="00CD0E46"/>
    <w:rsid w:val="00CD4540"/>
    <w:rsid w:val="00CD4C5D"/>
    <w:rsid w:val="00CD5399"/>
    <w:rsid w:val="00CD54C9"/>
    <w:rsid w:val="00CD724E"/>
    <w:rsid w:val="00CD761C"/>
    <w:rsid w:val="00CD7DC6"/>
    <w:rsid w:val="00CE00CD"/>
    <w:rsid w:val="00CE0966"/>
    <w:rsid w:val="00CE0AC8"/>
    <w:rsid w:val="00CE421C"/>
    <w:rsid w:val="00CE446F"/>
    <w:rsid w:val="00CE5B3D"/>
    <w:rsid w:val="00CE69EF"/>
    <w:rsid w:val="00CE6DDA"/>
    <w:rsid w:val="00CE7DE1"/>
    <w:rsid w:val="00CF10C3"/>
    <w:rsid w:val="00CF1DC1"/>
    <w:rsid w:val="00CF1F6D"/>
    <w:rsid w:val="00CF37AE"/>
    <w:rsid w:val="00CF3E66"/>
    <w:rsid w:val="00CF4783"/>
    <w:rsid w:val="00CF5E4A"/>
    <w:rsid w:val="00CF65DE"/>
    <w:rsid w:val="00CF7830"/>
    <w:rsid w:val="00D0065D"/>
    <w:rsid w:val="00D02271"/>
    <w:rsid w:val="00D0324A"/>
    <w:rsid w:val="00D04CD0"/>
    <w:rsid w:val="00D0559B"/>
    <w:rsid w:val="00D075CD"/>
    <w:rsid w:val="00D07638"/>
    <w:rsid w:val="00D0798F"/>
    <w:rsid w:val="00D11690"/>
    <w:rsid w:val="00D1205E"/>
    <w:rsid w:val="00D133B1"/>
    <w:rsid w:val="00D1509E"/>
    <w:rsid w:val="00D15672"/>
    <w:rsid w:val="00D161F2"/>
    <w:rsid w:val="00D20509"/>
    <w:rsid w:val="00D21331"/>
    <w:rsid w:val="00D21CA1"/>
    <w:rsid w:val="00D22250"/>
    <w:rsid w:val="00D2747C"/>
    <w:rsid w:val="00D30071"/>
    <w:rsid w:val="00D3009E"/>
    <w:rsid w:val="00D314F4"/>
    <w:rsid w:val="00D32529"/>
    <w:rsid w:val="00D343B4"/>
    <w:rsid w:val="00D35DCF"/>
    <w:rsid w:val="00D35F11"/>
    <w:rsid w:val="00D364D8"/>
    <w:rsid w:val="00D37FBD"/>
    <w:rsid w:val="00D40401"/>
    <w:rsid w:val="00D408E4"/>
    <w:rsid w:val="00D41AF3"/>
    <w:rsid w:val="00D41C77"/>
    <w:rsid w:val="00D44134"/>
    <w:rsid w:val="00D44C52"/>
    <w:rsid w:val="00D44F37"/>
    <w:rsid w:val="00D4644F"/>
    <w:rsid w:val="00D465E8"/>
    <w:rsid w:val="00D46697"/>
    <w:rsid w:val="00D46800"/>
    <w:rsid w:val="00D5088E"/>
    <w:rsid w:val="00D52BCA"/>
    <w:rsid w:val="00D53C10"/>
    <w:rsid w:val="00D53D40"/>
    <w:rsid w:val="00D556A1"/>
    <w:rsid w:val="00D557B0"/>
    <w:rsid w:val="00D57022"/>
    <w:rsid w:val="00D57576"/>
    <w:rsid w:val="00D57AF2"/>
    <w:rsid w:val="00D62749"/>
    <w:rsid w:val="00D648D4"/>
    <w:rsid w:val="00D64B85"/>
    <w:rsid w:val="00D6532B"/>
    <w:rsid w:val="00D701A3"/>
    <w:rsid w:val="00D711C8"/>
    <w:rsid w:val="00D7273C"/>
    <w:rsid w:val="00D741A4"/>
    <w:rsid w:val="00D751B7"/>
    <w:rsid w:val="00D75499"/>
    <w:rsid w:val="00D767B2"/>
    <w:rsid w:val="00D77135"/>
    <w:rsid w:val="00D81F46"/>
    <w:rsid w:val="00D83F36"/>
    <w:rsid w:val="00D86542"/>
    <w:rsid w:val="00D876DC"/>
    <w:rsid w:val="00D87B8B"/>
    <w:rsid w:val="00D90725"/>
    <w:rsid w:val="00D915F3"/>
    <w:rsid w:val="00D91941"/>
    <w:rsid w:val="00D919FD"/>
    <w:rsid w:val="00D92423"/>
    <w:rsid w:val="00D93B2E"/>
    <w:rsid w:val="00D94EFD"/>
    <w:rsid w:val="00D95A0A"/>
    <w:rsid w:val="00D96A56"/>
    <w:rsid w:val="00D96CF2"/>
    <w:rsid w:val="00DA1066"/>
    <w:rsid w:val="00DA1665"/>
    <w:rsid w:val="00DA217D"/>
    <w:rsid w:val="00DA3021"/>
    <w:rsid w:val="00DA30F6"/>
    <w:rsid w:val="00DA3889"/>
    <w:rsid w:val="00DA4035"/>
    <w:rsid w:val="00DA45A5"/>
    <w:rsid w:val="00DA4B33"/>
    <w:rsid w:val="00DA4FDC"/>
    <w:rsid w:val="00DA5397"/>
    <w:rsid w:val="00DA5C72"/>
    <w:rsid w:val="00DA6176"/>
    <w:rsid w:val="00DA6BBF"/>
    <w:rsid w:val="00DA6CCC"/>
    <w:rsid w:val="00DB1D7E"/>
    <w:rsid w:val="00DB2C49"/>
    <w:rsid w:val="00DB2D96"/>
    <w:rsid w:val="00DB31A9"/>
    <w:rsid w:val="00DB3292"/>
    <w:rsid w:val="00DB4436"/>
    <w:rsid w:val="00DB45F7"/>
    <w:rsid w:val="00DB4BB9"/>
    <w:rsid w:val="00DB5EFC"/>
    <w:rsid w:val="00DC089E"/>
    <w:rsid w:val="00DC0B24"/>
    <w:rsid w:val="00DC3362"/>
    <w:rsid w:val="00DC37C0"/>
    <w:rsid w:val="00DC3EAC"/>
    <w:rsid w:val="00DC4EE7"/>
    <w:rsid w:val="00DC52EA"/>
    <w:rsid w:val="00DC69DE"/>
    <w:rsid w:val="00DC6E29"/>
    <w:rsid w:val="00DD1418"/>
    <w:rsid w:val="00DD1EB9"/>
    <w:rsid w:val="00DD21DC"/>
    <w:rsid w:val="00DD252D"/>
    <w:rsid w:val="00DD33C8"/>
    <w:rsid w:val="00DD3654"/>
    <w:rsid w:val="00DD5812"/>
    <w:rsid w:val="00DD5881"/>
    <w:rsid w:val="00DD5D25"/>
    <w:rsid w:val="00DD5E12"/>
    <w:rsid w:val="00DE01C1"/>
    <w:rsid w:val="00DE1351"/>
    <w:rsid w:val="00DE22D9"/>
    <w:rsid w:val="00DE3272"/>
    <w:rsid w:val="00DE5C43"/>
    <w:rsid w:val="00DE5C44"/>
    <w:rsid w:val="00DE7A7A"/>
    <w:rsid w:val="00DF0C02"/>
    <w:rsid w:val="00DF3AC4"/>
    <w:rsid w:val="00DF48F0"/>
    <w:rsid w:val="00DF5449"/>
    <w:rsid w:val="00DF6616"/>
    <w:rsid w:val="00DF6FD3"/>
    <w:rsid w:val="00DF726F"/>
    <w:rsid w:val="00DF7375"/>
    <w:rsid w:val="00DF7C10"/>
    <w:rsid w:val="00DF7CB9"/>
    <w:rsid w:val="00E01037"/>
    <w:rsid w:val="00E0165A"/>
    <w:rsid w:val="00E01CB7"/>
    <w:rsid w:val="00E03F65"/>
    <w:rsid w:val="00E07A50"/>
    <w:rsid w:val="00E10094"/>
    <w:rsid w:val="00E10BF6"/>
    <w:rsid w:val="00E10E3F"/>
    <w:rsid w:val="00E12A3D"/>
    <w:rsid w:val="00E12E1F"/>
    <w:rsid w:val="00E165EB"/>
    <w:rsid w:val="00E1663D"/>
    <w:rsid w:val="00E16EDF"/>
    <w:rsid w:val="00E203B8"/>
    <w:rsid w:val="00E23DA3"/>
    <w:rsid w:val="00E27A96"/>
    <w:rsid w:val="00E30EAB"/>
    <w:rsid w:val="00E317FF"/>
    <w:rsid w:val="00E32272"/>
    <w:rsid w:val="00E33FE9"/>
    <w:rsid w:val="00E342ED"/>
    <w:rsid w:val="00E41A2D"/>
    <w:rsid w:val="00E41DBF"/>
    <w:rsid w:val="00E425A1"/>
    <w:rsid w:val="00E44208"/>
    <w:rsid w:val="00E44F44"/>
    <w:rsid w:val="00E4790C"/>
    <w:rsid w:val="00E479AF"/>
    <w:rsid w:val="00E50939"/>
    <w:rsid w:val="00E51168"/>
    <w:rsid w:val="00E51D0B"/>
    <w:rsid w:val="00E51DEE"/>
    <w:rsid w:val="00E530D2"/>
    <w:rsid w:val="00E541F4"/>
    <w:rsid w:val="00E552DF"/>
    <w:rsid w:val="00E55457"/>
    <w:rsid w:val="00E55C44"/>
    <w:rsid w:val="00E55CCB"/>
    <w:rsid w:val="00E566D2"/>
    <w:rsid w:val="00E57562"/>
    <w:rsid w:val="00E61379"/>
    <w:rsid w:val="00E616F5"/>
    <w:rsid w:val="00E6224B"/>
    <w:rsid w:val="00E6258C"/>
    <w:rsid w:val="00E62857"/>
    <w:rsid w:val="00E62E6E"/>
    <w:rsid w:val="00E63047"/>
    <w:rsid w:val="00E63BAE"/>
    <w:rsid w:val="00E63D1A"/>
    <w:rsid w:val="00E64AE0"/>
    <w:rsid w:val="00E64EDD"/>
    <w:rsid w:val="00E65779"/>
    <w:rsid w:val="00E67EEA"/>
    <w:rsid w:val="00E67F7E"/>
    <w:rsid w:val="00E706CC"/>
    <w:rsid w:val="00E7076A"/>
    <w:rsid w:val="00E71F17"/>
    <w:rsid w:val="00E73756"/>
    <w:rsid w:val="00E749FD"/>
    <w:rsid w:val="00E74CC4"/>
    <w:rsid w:val="00E75519"/>
    <w:rsid w:val="00E76D5F"/>
    <w:rsid w:val="00E7722F"/>
    <w:rsid w:val="00E822E1"/>
    <w:rsid w:val="00E832FC"/>
    <w:rsid w:val="00E83EA8"/>
    <w:rsid w:val="00E83EC2"/>
    <w:rsid w:val="00E85654"/>
    <w:rsid w:val="00E859C8"/>
    <w:rsid w:val="00E86AA8"/>
    <w:rsid w:val="00E87158"/>
    <w:rsid w:val="00E87624"/>
    <w:rsid w:val="00E87C95"/>
    <w:rsid w:val="00E90EFA"/>
    <w:rsid w:val="00E90FD0"/>
    <w:rsid w:val="00E93C7C"/>
    <w:rsid w:val="00E95947"/>
    <w:rsid w:val="00E965B7"/>
    <w:rsid w:val="00E97445"/>
    <w:rsid w:val="00E976E7"/>
    <w:rsid w:val="00EA04C5"/>
    <w:rsid w:val="00EA1270"/>
    <w:rsid w:val="00EA1A80"/>
    <w:rsid w:val="00EA1BF1"/>
    <w:rsid w:val="00EA257F"/>
    <w:rsid w:val="00EA2A84"/>
    <w:rsid w:val="00EA31D3"/>
    <w:rsid w:val="00EA4378"/>
    <w:rsid w:val="00EA4591"/>
    <w:rsid w:val="00EA4A16"/>
    <w:rsid w:val="00EA4F2B"/>
    <w:rsid w:val="00EA5742"/>
    <w:rsid w:val="00EA6AFC"/>
    <w:rsid w:val="00EB3A98"/>
    <w:rsid w:val="00EB44F7"/>
    <w:rsid w:val="00EB5331"/>
    <w:rsid w:val="00EB5702"/>
    <w:rsid w:val="00EB662A"/>
    <w:rsid w:val="00EC22C5"/>
    <w:rsid w:val="00EC2A04"/>
    <w:rsid w:val="00EC338D"/>
    <w:rsid w:val="00EC48CE"/>
    <w:rsid w:val="00EC4E46"/>
    <w:rsid w:val="00EC5548"/>
    <w:rsid w:val="00EC6FC0"/>
    <w:rsid w:val="00EC7629"/>
    <w:rsid w:val="00EC77D3"/>
    <w:rsid w:val="00ED0FC1"/>
    <w:rsid w:val="00ED1696"/>
    <w:rsid w:val="00ED25C6"/>
    <w:rsid w:val="00ED25C9"/>
    <w:rsid w:val="00ED3910"/>
    <w:rsid w:val="00ED5861"/>
    <w:rsid w:val="00ED790B"/>
    <w:rsid w:val="00EE0EB5"/>
    <w:rsid w:val="00EE1822"/>
    <w:rsid w:val="00EE28DA"/>
    <w:rsid w:val="00EE3691"/>
    <w:rsid w:val="00EE3F5B"/>
    <w:rsid w:val="00EE47EB"/>
    <w:rsid w:val="00EE58CB"/>
    <w:rsid w:val="00EE6941"/>
    <w:rsid w:val="00EE6AD0"/>
    <w:rsid w:val="00EF4002"/>
    <w:rsid w:val="00EF43E9"/>
    <w:rsid w:val="00EF48BF"/>
    <w:rsid w:val="00EF4D8D"/>
    <w:rsid w:val="00EF5028"/>
    <w:rsid w:val="00EF58DD"/>
    <w:rsid w:val="00EF5943"/>
    <w:rsid w:val="00EF5A19"/>
    <w:rsid w:val="00EF5CAC"/>
    <w:rsid w:val="00EF5F32"/>
    <w:rsid w:val="00EF68FE"/>
    <w:rsid w:val="00F00697"/>
    <w:rsid w:val="00F01F04"/>
    <w:rsid w:val="00F039C4"/>
    <w:rsid w:val="00F04596"/>
    <w:rsid w:val="00F04F38"/>
    <w:rsid w:val="00F05358"/>
    <w:rsid w:val="00F05579"/>
    <w:rsid w:val="00F065F6"/>
    <w:rsid w:val="00F069A1"/>
    <w:rsid w:val="00F06E50"/>
    <w:rsid w:val="00F077D8"/>
    <w:rsid w:val="00F077ED"/>
    <w:rsid w:val="00F11593"/>
    <w:rsid w:val="00F115F1"/>
    <w:rsid w:val="00F11BE2"/>
    <w:rsid w:val="00F11FB4"/>
    <w:rsid w:val="00F12ECA"/>
    <w:rsid w:val="00F143CB"/>
    <w:rsid w:val="00F14EA3"/>
    <w:rsid w:val="00F1508E"/>
    <w:rsid w:val="00F1747C"/>
    <w:rsid w:val="00F17685"/>
    <w:rsid w:val="00F17C64"/>
    <w:rsid w:val="00F2097C"/>
    <w:rsid w:val="00F21583"/>
    <w:rsid w:val="00F21EFB"/>
    <w:rsid w:val="00F22112"/>
    <w:rsid w:val="00F24376"/>
    <w:rsid w:val="00F24866"/>
    <w:rsid w:val="00F2649D"/>
    <w:rsid w:val="00F30EF0"/>
    <w:rsid w:val="00F317F6"/>
    <w:rsid w:val="00F320CB"/>
    <w:rsid w:val="00F32693"/>
    <w:rsid w:val="00F33B04"/>
    <w:rsid w:val="00F33BDB"/>
    <w:rsid w:val="00F36A91"/>
    <w:rsid w:val="00F36DCF"/>
    <w:rsid w:val="00F370E0"/>
    <w:rsid w:val="00F3776A"/>
    <w:rsid w:val="00F4039F"/>
    <w:rsid w:val="00F407CC"/>
    <w:rsid w:val="00F40BEF"/>
    <w:rsid w:val="00F43B1A"/>
    <w:rsid w:val="00F44BF4"/>
    <w:rsid w:val="00F450C6"/>
    <w:rsid w:val="00F45279"/>
    <w:rsid w:val="00F45BA6"/>
    <w:rsid w:val="00F46218"/>
    <w:rsid w:val="00F46812"/>
    <w:rsid w:val="00F4721E"/>
    <w:rsid w:val="00F47578"/>
    <w:rsid w:val="00F51409"/>
    <w:rsid w:val="00F53874"/>
    <w:rsid w:val="00F539C2"/>
    <w:rsid w:val="00F55C4C"/>
    <w:rsid w:val="00F562E5"/>
    <w:rsid w:val="00F5739B"/>
    <w:rsid w:val="00F62177"/>
    <w:rsid w:val="00F62765"/>
    <w:rsid w:val="00F62EF2"/>
    <w:rsid w:val="00F64A11"/>
    <w:rsid w:val="00F6633C"/>
    <w:rsid w:val="00F6641A"/>
    <w:rsid w:val="00F669FB"/>
    <w:rsid w:val="00F6732F"/>
    <w:rsid w:val="00F70417"/>
    <w:rsid w:val="00F707CE"/>
    <w:rsid w:val="00F70883"/>
    <w:rsid w:val="00F715C0"/>
    <w:rsid w:val="00F71FF9"/>
    <w:rsid w:val="00F71FFE"/>
    <w:rsid w:val="00F7244A"/>
    <w:rsid w:val="00F724D2"/>
    <w:rsid w:val="00F727BB"/>
    <w:rsid w:val="00F74576"/>
    <w:rsid w:val="00F75CA3"/>
    <w:rsid w:val="00F77609"/>
    <w:rsid w:val="00F776EB"/>
    <w:rsid w:val="00F77AD6"/>
    <w:rsid w:val="00F80425"/>
    <w:rsid w:val="00F82324"/>
    <w:rsid w:val="00F8458D"/>
    <w:rsid w:val="00F848F2"/>
    <w:rsid w:val="00F85C79"/>
    <w:rsid w:val="00F90096"/>
    <w:rsid w:val="00F90384"/>
    <w:rsid w:val="00F91556"/>
    <w:rsid w:val="00F916C1"/>
    <w:rsid w:val="00F927D9"/>
    <w:rsid w:val="00F93C13"/>
    <w:rsid w:val="00F9556E"/>
    <w:rsid w:val="00F963A9"/>
    <w:rsid w:val="00F96960"/>
    <w:rsid w:val="00F97E03"/>
    <w:rsid w:val="00FA15FE"/>
    <w:rsid w:val="00FA1BE6"/>
    <w:rsid w:val="00FA1D2F"/>
    <w:rsid w:val="00FA23C7"/>
    <w:rsid w:val="00FA495E"/>
    <w:rsid w:val="00FA5C25"/>
    <w:rsid w:val="00FA5DB8"/>
    <w:rsid w:val="00FA6269"/>
    <w:rsid w:val="00FA67CD"/>
    <w:rsid w:val="00FA781D"/>
    <w:rsid w:val="00FB2AE1"/>
    <w:rsid w:val="00FB35FE"/>
    <w:rsid w:val="00FB3F6F"/>
    <w:rsid w:val="00FB5955"/>
    <w:rsid w:val="00FB5E49"/>
    <w:rsid w:val="00FB639D"/>
    <w:rsid w:val="00FC0C43"/>
    <w:rsid w:val="00FC241A"/>
    <w:rsid w:val="00FC2A23"/>
    <w:rsid w:val="00FC2ABE"/>
    <w:rsid w:val="00FC44CB"/>
    <w:rsid w:val="00FC51AE"/>
    <w:rsid w:val="00FD166F"/>
    <w:rsid w:val="00FD2044"/>
    <w:rsid w:val="00FD274C"/>
    <w:rsid w:val="00FD35A6"/>
    <w:rsid w:val="00FE234E"/>
    <w:rsid w:val="00FE3F5E"/>
    <w:rsid w:val="00FE3FF7"/>
    <w:rsid w:val="00FE40C7"/>
    <w:rsid w:val="00FE40FF"/>
    <w:rsid w:val="00FE4BF2"/>
    <w:rsid w:val="00FE518A"/>
    <w:rsid w:val="00FE55BD"/>
    <w:rsid w:val="00FE564A"/>
    <w:rsid w:val="00FE5685"/>
    <w:rsid w:val="00FE5908"/>
    <w:rsid w:val="00FE5C56"/>
    <w:rsid w:val="00FE6D37"/>
    <w:rsid w:val="00FE7F1A"/>
    <w:rsid w:val="00FF0DE5"/>
    <w:rsid w:val="00FF150D"/>
    <w:rsid w:val="00FF1649"/>
    <w:rsid w:val="00FF2129"/>
    <w:rsid w:val="00FF2831"/>
    <w:rsid w:val="00FF48F5"/>
    <w:rsid w:val="00FF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2"/>
    </o:shapelayout>
  </w:shapeDefaults>
  <w:decimalSymbol w:val="."/>
  <w:listSeparator w:val=","/>
  <w14:docId w14:val="28C5E583"/>
  <w15:chartTrackingRefBased/>
  <w15:docId w15:val="{7F64CC70-7F24-422F-AEE0-8708FCA4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5358"/>
    <w:rPr>
      <w:sz w:val="24"/>
      <w:szCs w:val="24"/>
    </w:rPr>
  </w:style>
  <w:style w:type="paragraph" w:styleId="Heading1">
    <w:name w:val="heading 1"/>
    <w:aliases w:val="h1"/>
    <w:basedOn w:val="Normal"/>
    <w:next w:val="BodyText"/>
    <w:link w:val="Heading1Char"/>
    <w:qFormat/>
    <w:rsid w:val="00FF2129"/>
    <w:pPr>
      <w:keepNext/>
      <w:numPr>
        <w:numId w:val="6"/>
      </w:numPr>
      <w:spacing w:after="240"/>
      <w:outlineLvl w:val="0"/>
    </w:pPr>
    <w:rPr>
      <w:b/>
      <w:caps/>
      <w:szCs w:val="20"/>
      <w:lang w:val="x-none" w:eastAsia="x-none"/>
    </w:rPr>
  </w:style>
  <w:style w:type="paragraph" w:styleId="Heading2">
    <w:name w:val="heading 2"/>
    <w:aliases w:val="h2"/>
    <w:basedOn w:val="Normal"/>
    <w:next w:val="BodyText"/>
    <w:qFormat/>
    <w:rsid w:val="00FF2129"/>
    <w:pPr>
      <w:keepNext/>
      <w:numPr>
        <w:ilvl w:val="1"/>
        <w:numId w:val="6"/>
      </w:numPr>
      <w:tabs>
        <w:tab w:val="left" w:pos="720"/>
      </w:tabs>
      <w:spacing w:before="240" w:after="240"/>
      <w:outlineLvl w:val="1"/>
    </w:pPr>
    <w:rPr>
      <w:b/>
      <w:szCs w:val="20"/>
    </w:rPr>
  </w:style>
  <w:style w:type="paragraph" w:styleId="Heading3">
    <w:name w:val="heading 3"/>
    <w:aliases w:val="h3"/>
    <w:basedOn w:val="Normal"/>
    <w:next w:val="Normal"/>
    <w:link w:val="Heading3Char"/>
    <w:qFormat/>
    <w:rsid w:val="00FF2129"/>
    <w:pPr>
      <w:keepNext/>
      <w:numPr>
        <w:ilvl w:val="2"/>
        <w:numId w:val="6"/>
      </w:numPr>
      <w:spacing w:before="240" w:after="60"/>
      <w:outlineLvl w:val="2"/>
    </w:pPr>
    <w:rPr>
      <w:rFonts w:ascii="Arial" w:hAnsi="Arial" w:cs="Arial"/>
      <w:b/>
      <w:bCs/>
      <w:sz w:val="26"/>
      <w:szCs w:val="26"/>
    </w:rPr>
  </w:style>
  <w:style w:type="paragraph" w:styleId="Heading4">
    <w:name w:val="heading 4"/>
    <w:aliases w:val="h4,delete"/>
    <w:basedOn w:val="Normal"/>
    <w:next w:val="Normal"/>
    <w:qFormat/>
    <w:rsid w:val="00FF2129"/>
    <w:pPr>
      <w:keepNext/>
      <w:numPr>
        <w:ilvl w:val="3"/>
        <w:numId w:val="6"/>
      </w:numPr>
      <w:spacing w:before="240" w:after="60"/>
      <w:outlineLvl w:val="3"/>
    </w:pPr>
    <w:rPr>
      <w:b/>
      <w:bCs/>
      <w:sz w:val="28"/>
      <w:szCs w:val="28"/>
    </w:rPr>
  </w:style>
  <w:style w:type="paragraph" w:styleId="Heading5">
    <w:name w:val="heading 5"/>
    <w:aliases w:val="h5"/>
    <w:basedOn w:val="Normal"/>
    <w:next w:val="Normal"/>
    <w:link w:val="Heading5Char"/>
    <w:qFormat/>
    <w:rsid w:val="00FF2129"/>
    <w:pPr>
      <w:numPr>
        <w:ilvl w:val="4"/>
        <w:numId w:val="6"/>
      </w:numPr>
      <w:spacing w:before="240" w:after="60"/>
      <w:outlineLvl w:val="4"/>
    </w:pPr>
    <w:rPr>
      <w:b/>
      <w:bCs/>
      <w:i/>
      <w:iCs/>
      <w:sz w:val="26"/>
      <w:szCs w:val="26"/>
    </w:rPr>
  </w:style>
  <w:style w:type="paragraph" w:styleId="Heading6">
    <w:name w:val="heading 6"/>
    <w:aliases w:val="h6"/>
    <w:basedOn w:val="Normal"/>
    <w:next w:val="BodyText"/>
    <w:qFormat/>
    <w:rsid w:val="00FF2129"/>
    <w:pPr>
      <w:keepNext/>
      <w:numPr>
        <w:ilvl w:val="5"/>
        <w:numId w:val="6"/>
      </w:numPr>
      <w:tabs>
        <w:tab w:val="left" w:pos="1584"/>
      </w:tabs>
      <w:spacing w:before="240" w:after="240"/>
      <w:outlineLvl w:val="5"/>
    </w:pPr>
    <w:rPr>
      <w:b/>
      <w:bCs/>
      <w:szCs w:val="22"/>
    </w:rPr>
  </w:style>
  <w:style w:type="paragraph" w:styleId="Heading7">
    <w:name w:val="heading 7"/>
    <w:basedOn w:val="Normal"/>
    <w:next w:val="BodyText"/>
    <w:qFormat/>
    <w:rsid w:val="00FF2129"/>
    <w:pPr>
      <w:keepNext/>
      <w:tabs>
        <w:tab w:val="num" w:pos="1296"/>
        <w:tab w:val="left" w:pos="1728"/>
      </w:tabs>
      <w:spacing w:before="240" w:after="240"/>
      <w:ind w:left="1296" w:hanging="1296"/>
      <w:outlineLvl w:val="6"/>
    </w:pPr>
  </w:style>
  <w:style w:type="paragraph" w:styleId="Heading8">
    <w:name w:val="heading 8"/>
    <w:basedOn w:val="Normal"/>
    <w:next w:val="BodyText"/>
    <w:qFormat/>
    <w:rsid w:val="00FF2129"/>
    <w:pPr>
      <w:keepNext/>
      <w:tabs>
        <w:tab w:val="num" w:pos="1440"/>
        <w:tab w:val="left" w:pos="1872"/>
      </w:tabs>
      <w:spacing w:before="240" w:after="240"/>
      <w:ind w:left="1440" w:hanging="1440"/>
      <w:outlineLvl w:val="7"/>
    </w:pPr>
    <w:rPr>
      <w:i/>
      <w:iCs/>
    </w:rPr>
  </w:style>
  <w:style w:type="paragraph" w:styleId="Heading9">
    <w:name w:val="heading 9"/>
    <w:basedOn w:val="Normal"/>
    <w:next w:val="BodyText"/>
    <w:qFormat/>
    <w:rsid w:val="00FF2129"/>
    <w:pPr>
      <w:keepNext/>
      <w:tabs>
        <w:tab w:val="num" w:pos="1584"/>
        <w:tab w:val="left" w:pos="2160"/>
      </w:tabs>
      <w:spacing w:before="240" w:after="240"/>
      <w:ind w:left="1584" w:hanging="1584"/>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link w:val="InstructionsChar"/>
    <w:rsid w:val="00FF2129"/>
    <w:pPr>
      <w:spacing w:after="240"/>
    </w:pPr>
    <w:rPr>
      <w:b/>
      <w:i/>
      <w:iCs/>
    </w:rPr>
  </w:style>
  <w:style w:type="paragraph" w:styleId="List">
    <w:name w:val="List"/>
    <w:aliases w:val=" Char1,Char1, Char2 Char Char Char Char"/>
    <w:basedOn w:val="Normal"/>
    <w:link w:val="ListChar"/>
    <w:rsid w:val="00FF2129"/>
    <w:pPr>
      <w:spacing w:after="240"/>
      <w:ind w:left="1080" w:hanging="720"/>
    </w:pPr>
  </w:style>
  <w:style w:type="paragraph" w:styleId="BodyText">
    <w:name w:val="Body Text"/>
    <w:aliases w:val=" Char Char Char Char Char,Body Text Char2 Char Char Char Char Char Char Char Char Char Char Char,Body Text Char2,Body Text Char1 Char Ch, Char1 Char Char,Char Char Char Char Char Char,Char Char Char Char Char Char Charh2,..."/>
    <w:basedOn w:val="Normal"/>
    <w:link w:val="BodyTextChar3"/>
    <w:rsid w:val="00FF2129"/>
    <w:pPr>
      <w:spacing w:after="240"/>
    </w:pPr>
    <w:rPr>
      <w:iCs/>
    </w:rPr>
  </w:style>
  <w:style w:type="paragraph" w:customStyle="1" w:styleId="H5">
    <w:name w:val="H5"/>
    <w:basedOn w:val="Normal"/>
    <w:next w:val="BodyText"/>
    <w:link w:val="H5Char"/>
    <w:rsid w:val="00FF2129"/>
    <w:pPr>
      <w:keepNext/>
      <w:tabs>
        <w:tab w:val="left" w:pos="1620"/>
      </w:tabs>
      <w:spacing w:before="240" w:after="240"/>
      <w:ind w:left="1620" w:hanging="1620"/>
      <w:outlineLvl w:val="4"/>
    </w:pPr>
    <w:rPr>
      <w:b/>
      <w:bCs/>
      <w:i/>
      <w:iCs/>
      <w:szCs w:val="26"/>
    </w:rPr>
  </w:style>
  <w:style w:type="paragraph" w:customStyle="1" w:styleId="H3">
    <w:name w:val="H3"/>
    <w:basedOn w:val="Normal"/>
    <w:next w:val="BodyText"/>
    <w:link w:val="H3Char"/>
    <w:rsid w:val="00FF2129"/>
    <w:pPr>
      <w:keepNext/>
      <w:tabs>
        <w:tab w:val="left" w:pos="1080"/>
      </w:tabs>
      <w:spacing w:before="240" w:after="240"/>
      <w:ind w:left="1080" w:hanging="1080"/>
      <w:outlineLvl w:val="2"/>
    </w:pPr>
    <w:rPr>
      <w:b/>
      <w:bCs/>
      <w:i/>
    </w:rPr>
  </w:style>
  <w:style w:type="paragraph" w:customStyle="1" w:styleId="H4">
    <w:name w:val="H4"/>
    <w:basedOn w:val="Normal"/>
    <w:next w:val="BodyText"/>
    <w:link w:val="H4Char"/>
    <w:rsid w:val="00FF2129"/>
    <w:pPr>
      <w:keepNext/>
      <w:widowControl w:val="0"/>
      <w:tabs>
        <w:tab w:val="left" w:pos="1260"/>
      </w:tabs>
      <w:spacing w:before="240" w:after="240"/>
      <w:ind w:left="1260" w:hanging="1260"/>
      <w:outlineLvl w:val="3"/>
    </w:pPr>
    <w:rPr>
      <w:b/>
      <w:bCs/>
      <w:snapToGrid w:val="0"/>
    </w:rPr>
  </w:style>
  <w:style w:type="table" w:customStyle="1" w:styleId="BoxedLanguage">
    <w:name w:val="Boxed Language"/>
    <w:basedOn w:val="TableNormal"/>
    <w:rsid w:val="00FF2129"/>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character" w:customStyle="1" w:styleId="ListChar">
    <w:name w:val="List Char"/>
    <w:aliases w:val=" Char1 Char1,Char1 Char, Char2 Char Char Char Char Char"/>
    <w:link w:val="List"/>
    <w:rsid w:val="00FF2129"/>
    <w:rPr>
      <w:sz w:val="24"/>
      <w:szCs w:val="24"/>
      <w:lang w:val="en-US" w:eastAsia="en-US" w:bidi="ar-SA"/>
    </w:rPr>
  </w:style>
  <w:style w:type="character" w:customStyle="1" w:styleId="BodyTextChar3">
    <w:name w:val="Body Text Char3"/>
    <w:aliases w:val=" Char Char Char Char Char Char,Body Text Char2 Char Char Char Char Char Char Char Char Char Char Char Char1,Body Text Char2 Char1,Body Text Char1 Char Ch Char, Char1 Char Char Char,Char Char Char Char Char Char Char,... Char"/>
    <w:link w:val="BodyText"/>
    <w:rsid w:val="00FF2129"/>
    <w:rPr>
      <w:iCs/>
      <w:sz w:val="24"/>
      <w:szCs w:val="24"/>
      <w:lang w:val="en-US" w:eastAsia="en-US" w:bidi="ar-SA"/>
    </w:rPr>
  </w:style>
  <w:style w:type="character" w:customStyle="1" w:styleId="H4Char">
    <w:name w:val="H4 Char"/>
    <w:link w:val="H4"/>
    <w:rsid w:val="00FF2129"/>
    <w:rPr>
      <w:b/>
      <w:bCs/>
      <w:snapToGrid w:val="0"/>
      <w:sz w:val="24"/>
      <w:szCs w:val="24"/>
      <w:lang w:val="en-US" w:eastAsia="en-US" w:bidi="ar-SA"/>
    </w:rPr>
  </w:style>
  <w:style w:type="character" w:customStyle="1" w:styleId="InstructionsChar">
    <w:name w:val="Instructions Char"/>
    <w:link w:val="Instructions"/>
    <w:rsid w:val="00FF2129"/>
    <w:rPr>
      <w:b/>
      <w:i/>
      <w:iCs/>
      <w:sz w:val="24"/>
      <w:szCs w:val="24"/>
      <w:lang w:val="en-US" w:eastAsia="en-US" w:bidi="ar-SA"/>
    </w:rPr>
  </w:style>
  <w:style w:type="character" w:customStyle="1" w:styleId="H3Char">
    <w:name w:val="H3 Char"/>
    <w:link w:val="H3"/>
    <w:rsid w:val="00FF2129"/>
    <w:rPr>
      <w:b/>
      <w:bCs/>
      <w:i/>
      <w:sz w:val="24"/>
      <w:szCs w:val="24"/>
      <w:lang w:val="en-US" w:eastAsia="en-US" w:bidi="ar-SA"/>
    </w:rPr>
  </w:style>
  <w:style w:type="paragraph" w:customStyle="1" w:styleId="BodyTextNumbered">
    <w:name w:val="Body Text Numbered"/>
    <w:basedOn w:val="Normal"/>
    <w:link w:val="BodyTextNumberedChar"/>
    <w:rsid w:val="00FF2129"/>
    <w:pPr>
      <w:spacing w:after="240"/>
      <w:ind w:left="720" w:hanging="720"/>
    </w:pPr>
    <w:rPr>
      <w:iCs/>
    </w:rPr>
  </w:style>
  <w:style w:type="character" w:customStyle="1" w:styleId="BodyTextNumberedChar">
    <w:name w:val="Body Text Numbered Char"/>
    <w:link w:val="BodyTextNumbered"/>
    <w:rsid w:val="00FF2129"/>
    <w:rPr>
      <w:iCs/>
      <w:sz w:val="24"/>
      <w:szCs w:val="24"/>
      <w:lang w:val="en-US" w:eastAsia="en-US" w:bidi="ar-SA"/>
    </w:rPr>
  </w:style>
  <w:style w:type="character" w:customStyle="1" w:styleId="H5Char">
    <w:name w:val="H5 Char"/>
    <w:link w:val="H5"/>
    <w:rsid w:val="00FF2129"/>
    <w:rPr>
      <w:b/>
      <w:bCs/>
      <w:i/>
      <w:iCs/>
      <w:sz w:val="24"/>
      <w:szCs w:val="26"/>
      <w:lang w:val="en-US" w:eastAsia="en-US" w:bidi="ar-SA"/>
    </w:rPr>
  </w:style>
  <w:style w:type="paragraph" w:customStyle="1" w:styleId="Spaceafterbox">
    <w:name w:val="Space after box"/>
    <w:basedOn w:val="Normal"/>
    <w:rsid w:val="00FF2129"/>
    <w:rPr>
      <w:szCs w:val="20"/>
    </w:rPr>
  </w:style>
  <w:style w:type="paragraph" w:styleId="List2">
    <w:name w:val="List 2"/>
    <w:aliases w:val=" Char2 Char Char, Char2"/>
    <w:basedOn w:val="Normal"/>
    <w:link w:val="List2Char"/>
    <w:rsid w:val="00FF2129"/>
    <w:pPr>
      <w:ind w:left="720" w:hanging="360"/>
    </w:pPr>
  </w:style>
  <w:style w:type="table" w:styleId="TableGrid">
    <w:name w:val="Table Grid"/>
    <w:basedOn w:val="TableNormal"/>
    <w:rsid w:val="00FF2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Char1 Char Char Char,Body Text Char2 Char Char Char1"/>
    <w:rsid w:val="00FF2129"/>
    <w:rPr>
      <w:iCs/>
      <w:sz w:val="24"/>
      <w:lang w:val="en-US" w:eastAsia="en-US" w:bidi="ar-SA"/>
    </w:rPr>
  </w:style>
  <w:style w:type="paragraph" w:styleId="List3">
    <w:name w:val="List 3"/>
    <w:basedOn w:val="Normal"/>
    <w:rsid w:val="00FF2129"/>
    <w:pPr>
      <w:ind w:left="1080" w:hanging="360"/>
    </w:pPr>
  </w:style>
  <w:style w:type="paragraph" w:styleId="BodyTextIndent">
    <w:name w:val="Body Text Indent"/>
    <w:aliases w:val=" Char"/>
    <w:basedOn w:val="Normal"/>
    <w:link w:val="BodyTextIndentChar"/>
    <w:rsid w:val="00FF2129"/>
    <w:pPr>
      <w:spacing w:after="240"/>
      <w:ind w:left="720"/>
    </w:pPr>
    <w:rPr>
      <w:iCs/>
    </w:rPr>
  </w:style>
  <w:style w:type="character" w:customStyle="1" w:styleId="VariableDefinitionChar">
    <w:name w:val="Variable Definition Char"/>
    <w:link w:val="VariableDefinition"/>
    <w:rsid w:val="00FF2129"/>
    <w:rPr>
      <w:iCs w:val="0"/>
      <w:sz w:val="24"/>
      <w:szCs w:val="24"/>
      <w:lang w:val="en-US" w:eastAsia="en-US" w:bidi="ar-SA"/>
    </w:rPr>
  </w:style>
  <w:style w:type="paragraph" w:customStyle="1" w:styleId="BulletIndent">
    <w:name w:val="Bullet Indent"/>
    <w:basedOn w:val="Normal"/>
    <w:link w:val="BulletIndentChar"/>
    <w:rsid w:val="00FF2129"/>
    <w:pPr>
      <w:numPr>
        <w:numId w:val="2"/>
      </w:numPr>
      <w:spacing w:after="180"/>
    </w:pPr>
  </w:style>
  <w:style w:type="paragraph" w:styleId="Footer">
    <w:name w:val="footer"/>
    <w:basedOn w:val="Normal"/>
    <w:link w:val="FooterChar"/>
    <w:rsid w:val="00FF2129"/>
    <w:pPr>
      <w:pBdr>
        <w:top w:val="single" w:sz="4" w:space="0" w:color="auto"/>
      </w:pBdr>
      <w:tabs>
        <w:tab w:val="center" w:pos="4680"/>
        <w:tab w:val="right" w:pos="9360"/>
      </w:tabs>
      <w:spacing w:before="120" w:after="120"/>
    </w:pPr>
    <w:rPr>
      <w:smallCaps/>
      <w:sz w:val="20"/>
      <w:szCs w:val="20"/>
      <w:lang w:val="x-none" w:eastAsia="x-none"/>
    </w:rPr>
  </w:style>
  <w:style w:type="paragraph" w:styleId="FootnoteText">
    <w:name w:val="footnote text"/>
    <w:basedOn w:val="Normal"/>
    <w:link w:val="FootnoteTextChar"/>
    <w:semiHidden/>
    <w:rsid w:val="00FF2129"/>
    <w:rPr>
      <w:sz w:val="18"/>
      <w:szCs w:val="20"/>
    </w:rPr>
  </w:style>
  <w:style w:type="paragraph" w:styleId="Header">
    <w:name w:val="header"/>
    <w:basedOn w:val="Normal"/>
    <w:link w:val="HeaderChar"/>
    <w:rsid w:val="00FF2129"/>
    <w:pPr>
      <w:pBdr>
        <w:bottom w:val="single" w:sz="4" w:space="1" w:color="auto"/>
      </w:pBdr>
      <w:tabs>
        <w:tab w:val="center" w:pos="4680"/>
        <w:tab w:val="right" w:pos="9360"/>
      </w:tabs>
      <w:jc w:val="right"/>
    </w:pPr>
    <w:rPr>
      <w:smallCaps/>
      <w:sz w:val="20"/>
      <w:szCs w:val="20"/>
      <w:lang w:val="x-none" w:eastAsia="x-none"/>
    </w:rPr>
  </w:style>
  <w:style w:type="character" w:styleId="Hyperlink">
    <w:name w:val="Hyperlink"/>
    <w:uiPriority w:val="99"/>
    <w:rsid w:val="00FF2129"/>
    <w:rPr>
      <w:color w:val="0000FF"/>
      <w:u w:val="single"/>
    </w:rPr>
  </w:style>
  <w:style w:type="paragraph" w:styleId="TOC1">
    <w:name w:val="toc 1"/>
    <w:basedOn w:val="Normal"/>
    <w:next w:val="Normal"/>
    <w:autoRedefine/>
    <w:uiPriority w:val="39"/>
    <w:rsid w:val="002E0760"/>
    <w:pPr>
      <w:tabs>
        <w:tab w:val="left" w:pos="540"/>
        <w:tab w:val="right" w:leader="dot" w:pos="9360"/>
      </w:tabs>
      <w:spacing w:before="120" w:after="120"/>
      <w:ind w:left="540" w:right="720" w:hanging="540"/>
    </w:pPr>
    <w:rPr>
      <w:rFonts w:ascii="Times New Roman Bold" w:hAnsi="Times New Roman Bold"/>
      <w:b/>
      <w:bCs/>
      <w:noProof/>
    </w:rPr>
  </w:style>
  <w:style w:type="paragraph" w:styleId="TOC2">
    <w:name w:val="toc 2"/>
    <w:basedOn w:val="Normal"/>
    <w:next w:val="Normal"/>
    <w:autoRedefine/>
    <w:uiPriority w:val="39"/>
    <w:rsid w:val="00FF2129"/>
    <w:pPr>
      <w:tabs>
        <w:tab w:val="left" w:pos="1260"/>
        <w:tab w:val="right" w:leader="dot" w:pos="9360"/>
      </w:tabs>
      <w:ind w:left="1260" w:right="720" w:hanging="720"/>
    </w:pPr>
    <w:rPr>
      <w:sz w:val="20"/>
      <w:szCs w:val="20"/>
    </w:rPr>
  </w:style>
  <w:style w:type="paragraph" w:styleId="TOC3">
    <w:name w:val="toc 3"/>
    <w:basedOn w:val="Normal"/>
    <w:next w:val="Normal"/>
    <w:autoRedefine/>
    <w:uiPriority w:val="39"/>
    <w:rsid w:val="00FF2129"/>
    <w:pPr>
      <w:tabs>
        <w:tab w:val="left" w:pos="1980"/>
        <w:tab w:val="right" w:leader="dot" w:pos="9360"/>
      </w:tabs>
      <w:ind w:left="1980" w:right="720" w:hanging="900"/>
    </w:pPr>
    <w:rPr>
      <w:i/>
      <w:iCs/>
      <w:sz w:val="20"/>
      <w:szCs w:val="20"/>
    </w:rPr>
  </w:style>
  <w:style w:type="character" w:styleId="PageNumber">
    <w:name w:val="page number"/>
    <w:basedOn w:val="DefaultParagraphFont"/>
    <w:rsid w:val="00FF2129"/>
  </w:style>
  <w:style w:type="paragraph" w:styleId="TOC4">
    <w:name w:val="toc 4"/>
    <w:basedOn w:val="Normal"/>
    <w:next w:val="Normal"/>
    <w:autoRedefine/>
    <w:uiPriority w:val="39"/>
    <w:rsid w:val="00B3531E"/>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rsid w:val="006D5105"/>
    <w:pPr>
      <w:tabs>
        <w:tab w:val="left" w:pos="3600"/>
        <w:tab w:val="right" w:leader="dot" w:pos="9360"/>
      </w:tabs>
      <w:ind w:left="3600" w:right="720" w:hanging="1260"/>
    </w:pPr>
    <w:rPr>
      <w:i/>
      <w:noProof/>
      <w:sz w:val="18"/>
      <w:szCs w:val="18"/>
    </w:rPr>
  </w:style>
  <w:style w:type="paragraph" w:styleId="TOC6">
    <w:name w:val="toc 6"/>
    <w:basedOn w:val="Normal"/>
    <w:next w:val="Normal"/>
    <w:autoRedefine/>
    <w:uiPriority w:val="39"/>
    <w:rsid w:val="00FF2129"/>
    <w:pPr>
      <w:tabs>
        <w:tab w:val="left" w:pos="4500"/>
        <w:tab w:val="right" w:leader="dot" w:pos="9360"/>
      </w:tabs>
      <w:ind w:left="4500" w:right="720" w:hanging="1440"/>
    </w:pPr>
    <w:rPr>
      <w:sz w:val="18"/>
      <w:szCs w:val="18"/>
    </w:rPr>
  </w:style>
  <w:style w:type="paragraph" w:styleId="TOC7">
    <w:name w:val="toc 7"/>
    <w:basedOn w:val="Normal"/>
    <w:next w:val="Normal"/>
    <w:autoRedefine/>
    <w:uiPriority w:val="39"/>
    <w:rsid w:val="00FF2129"/>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rsid w:val="00FF2129"/>
    <w:pPr>
      <w:ind w:left="1680"/>
    </w:pPr>
    <w:rPr>
      <w:sz w:val="18"/>
      <w:szCs w:val="18"/>
    </w:rPr>
  </w:style>
  <w:style w:type="paragraph" w:styleId="TOC9">
    <w:name w:val="toc 9"/>
    <w:basedOn w:val="Normal"/>
    <w:next w:val="Normal"/>
    <w:autoRedefine/>
    <w:uiPriority w:val="39"/>
    <w:rsid w:val="00FF2129"/>
    <w:pPr>
      <w:ind w:left="1920"/>
    </w:pPr>
    <w:rPr>
      <w:sz w:val="18"/>
      <w:szCs w:val="18"/>
    </w:rPr>
  </w:style>
  <w:style w:type="paragraph" w:customStyle="1" w:styleId="H2">
    <w:name w:val="H2"/>
    <w:basedOn w:val="Heading2"/>
    <w:next w:val="BodyText"/>
    <w:link w:val="H2Char"/>
    <w:rsid w:val="00FF2129"/>
    <w:pPr>
      <w:tabs>
        <w:tab w:val="clear" w:pos="720"/>
        <w:tab w:val="left" w:pos="900"/>
      </w:tabs>
      <w:ind w:left="900" w:hanging="900"/>
    </w:pPr>
    <w:rPr>
      <w:szCs w:val="24"/>
    </w:rPr>
  </w:style>
  <w:style w:type="paragraph" w:customStyle="1" w:styleId="H6">
    <w:name w:val="H6"/>
    <w:basedOn w:val="Heading6"/>
    <w:next w:val="BodyText"/>
    <w:rsid w:val="00FF2129"/>
    <w:pPr>
      <w:tabs>
        <w:tab w:val="clear" w:pos="1584"/>
        <w:tab w:val="left" w:pos="1800"/>
      </w:tabs>
      <w:ind w:left="1800" w:hanging="1800"/>
    </w:pPr>
  </w:style>
  <w:style w:type="paragraph" w:customStyle="1" w:styleId="H7">
    <w:name w:val="H7"/>
    <w:basedOn w:val="Heading7"/>
    <w:next w:val="BodyText"/>
    <w:rsid w:val="00FF2129"/>
    <w:pPr>
      <w:tabs>
        <w:tab w:val="clear" w:pos="1296"/>
        <w:tab w:val="clear" w:pos="1728"/>
        <w:tab w:val="left" w:pos="1980"/>
      </w:tabs>
      <w:ind w:left="1980" w:hanging="1980"/>
    </w:pPr>
    <w:rPr>
      <w:b/>
      <w:i/>
    </w:rPr>
  </w:style>
  <w:style w:type="paragraph" w:customStyle="1" w:styleId="H8">
    <w:name w:val="H8"/>
    <w:basedOn w:val="Heading8"/>
    <w:next w:val="BodyText"/>
    <w:rsid w:val="00FF2129"/>
    <w:pPr>
      <w:tabs>
        <w:tab w:val="clear" w:pos="1440"/>
        <w:tab w:val="clear" w:pos="1872"/>
        <w:tab w:val="left" w:pos="2160"/>
      </w:tabs>
      <w:ind w:left="2160" w:hanging="2160"/>
    </w:pPr>
    <w:rPr>
      <w:b/>
      <w:i w:val="0"/>
    </w:rPr>
  </w:style>
  <w:style w:type="paragraph" w:customStyle="1" w:styleId="H9">
    <w:name w:val="H9"/>
    <w:basedOn w:val="Heading9"/>
    <w:next w:val="BodyText"/>
    <w:rsid w:val="00FF2129"/>
    <w:pPr>
      <w:tabs>
        <w:tab w:val="clear" w:pos="1584"/>
        <w:tab w:val="clear" w:pos="2160"/>
        <w:tab w:val="left" w:pos="2340"/>
      </w:tabs>
      <w:ind w:left="2340" w:hanging="2340"/>
    </w:pPr>
    <w:rPr>
      <w:i/>
    </w:rPr>
  </w:style>
  <w:style w:type="paragraph" w:customStyle="1" w:styleId="ListIntroduction">
    <w:name w:val="List Introduction"/>
    <w:basedOn w:val="BodyText"/>
    <w:link w:val="ListIntroductionChar"/>
    <w:rsid w:val="00FF2129"/>
    <w:pPr>
      <w:keepNext/>
    </w:pPr>
    <w:rPr>
      <w:iCs w:val="0"/>
    </w:rPr>
  </w:style>
  <w:style w:type="character" w:customStyle="1" w:styleId="BodyTextIndentChar">
    <w:name w:val="Body Text Indent Char"/>
    <w:aliases w:val=" Char Char"/>
    <w:link w:val="BodyTextIndent"/>
    <w:rsid w:val="00FF2129"/>
    <w:rPr>
      <w:iCs/>
      <w:sz w:val="24"/>
      <w:szCs w:val="24"/>
      <w:lang w:val="en-US" w:eastAsia="en-US" w:bidi="ar-SA"/>
    </w:rPr>
  </w:style>
  <w:style w:type="paragraph" w:styleId="BalloonText">
    <w:name w:val="Balloon Text"/>
    <w:basedOn w:val="Normal"/>
    <w:semiHidden/>
    <w:rsid w:val="00FF2129"/>
    <w:rPr>
      <w:rFonts w:ascii="Tahoma" w:hAnsi="Tahoma" w:cs="Tahoma"/>
      <w:sz w:val="16"/>
      <w:szCs w:val="16"/>
    </w:rPr>
  </w:style>
  <w:style w:type="character" w:customStyle="1" w:styleId="List2Char">
    <w:name w:val="List 2 Char"/>
    <w:aliases w:val=" Char2 Char Char Char, Char2 Char"/>
    <w:link w:val="List2"/>
    <w:rsid w:val="00FF2129"/>
    <w:rPr>
      <w:sz w:val="24"/>
      <w:szCs w:val="24"/>
      <w:lang w:val="en-US" w:eastAsia="en-US" w:bidi="ar-SA"/>
    </w:rPr>
  </w:style>
  <w:style w:type="paragraph" w:styleId="CommentText">
    <w:name w:val="annotation text"/>
    <w:basedOn w:val="Normal"/>
    <w:link w:val="CommentTextChar"/>
    <w:rsid w:val="00FF2129"/>
    <w:rPr>
      <w:sz w:val="20"/>
      <w:szCs w:val="20"/>
    </w:rPr>
  </w:style>
  <w:style w:type="paragraph" w:customStyle="1" w:styleId="VariableDefinition">
    <w:name w:val="Variable Definition"/>
    <w:basedOn w:val="BodyTextIndent"/>
    <w:link w:val="VariableDefinitionChar"/>
    <w:rsid w:val="00FF2129"/>
    <w:pPr>
      <w:tabs>
        <w:tab w:val="left" w:pos="2160"/>
      </w:tabs>
      <w:ind w:left="2160" w:hanging="1440"/>
      <w:contextualSpacing/>
    </w:pPr>
    <w:rPr>
      <w:iCs w:val="0"/>
    </w:rPr>
  </w:style>
  <w:style w:type="paragraph" w:customStyle="1" w:styleId="FormulaBold">
    <w:name w:val="Formula Bold"/>
    <w:basedOn w:val="Normal"/>
    <w:link w:val="FormulaBoldChar"/>
    <w:autoRedefine/>
    <w:rsid w:val="00E30EAB"/>
    <w:pPr>
      <w:tabs>
        <w:tab w:val="left" w:pos="2352"/>
        <w:tab w:val="left" w:pos="3420"/>
        <w:tab w:val="left" w:pos="3822"/>
      </w:tabs>
      <w:spacing w:before="240" w:after="240"/>
      <w:ind w:left="1440" w:hanging="720"/>
    </w:pPr>
    <w:rPr>
      <w:bCs/>
      <w:iCs/>
      <w:lang w:val="x-none" w:eastAsia="x-none"/>
    </w:rPr>
  </w:style>
  <w:style w:type="paragraph" w:customStyle="1" w:styleId="Formula">
    <w:name w:val="Formula"/>
    <w:basedOn w:val="Normal"/>
    <w:link w:val="FormulaChar"/>
    <w:autoRedefine/>
    <w:rsid w:val="00D46800"/>
    <w:pPr>
      <w:tabs>
        <w:tab w:val="left" w:pos="2340"/>
        <w:tab w:val="left" w:pos="2700"/>
      </w:tabs>
      <w:spacing w:after="240"/>
      <w:ind w:left="3060" w:hanging="2340"/>
    </w:pPr>
    <w:rPr>
      <w:bCs/>
      <w:lang w:val="x-none" w:eastAsia="x-none"/>
    </w:rPr>
  </w:style>
  <w:style w:type="paragraph" w:customStyle="1" w:styleId="ListSub">
    <w:name w:val="List Sub"/>
    <w:basedOn w:val="List"/>
    <w:link w:val="ListSubChar"/>
    <w:rsid w:val="00FF2129"/>
    <w:pPr>
      <w:ind w:firstLine="0"/>
    </w:pPr>
  </w:style>
  <w:style w:type="character" w:styleId="CommentReference">
    <w:name w:val="annotation reference"/>
    <w:rsid w:val="00FF2129"/>
    <w:rPr>
      <w:sz w:val="16"/>
      <w:szCs w:val="16"/>
    </w:rPr>
  </w:style>
  <w:style w:type="paragraph" w:styleId="CommentSubject">
    <w:name w:val="annotation subject"/>
    <w:basedOn w:val="CommentText"/>
    <w:next w:val="CommentText"/>
    <w:semiHidden/>
    <w:rsid w:val="00FF2129"/>
    <w:rPr>
      <w:b/>
      <w:bCs/>
    </w:rPr>
  </w:style>
  <w:style w:type="character" w:customStyle="1" w:styleId="CharChar3">
    <w:name w:val="Char Char3"/>
    <w:rsid w:val="00FF2129"/>
    <w:rPr>
      <w:sz w:val="24"/>
      <w:lang w:val="en-US" w:eastAsia="en-US" w:bidi="ar-SA"/>
    </w:rPr>
  </w:style>
  <w:style w:type="paragraph" w:customStyle="1" w:styleId="Default">
    <w:name w:val="Default"/>
    <w:rsid w:val="00FF2129"/>
    <w:pPr>
      <w:autoSpaceDE w:val="0"/>
      <w:autoSpaceDN w:val="0"/>
      <w:adjustRightInd w:val="0"/>
    </w:pPr>
    <w:rPr>
      <w:rFonts w:ascii="Arial" w:hAnsi="Arial" w:cs="Arial"/>
      <w:color w:val="000000"/>
      <w:sz w:val="24"/>
      <w:szCs w:val="24"/>
    </w:rPr>
  </w:style>
  <w:style w:type="paragraph" w:customStyle="1" w:styleId="PJMNormal">
    <w:name w:val="PJM_Normal"/>
    <w:basedOn w:val="Default"/>
    <w:next w:val="Default"/>
    <w:rsid w:val="00FF2129"/>
    <w:pPr>
      <w:spacing w:before="120" w:after="120"/>
    </w:pPr>
    <w:rPr>
      <w:rFonts w:cs="Times New Roman"/>
      <w:color w:val="auto"/>
    </w:rPr>
  </w:style>
  <w:style w:type="paragraph" w:customStyle="1" w:styleId="PJMListOutline1">
    <w:name w:val="PJM_List_Outline_1"/>
    <w:basedOn w:val="Default"/>
    <w:next w:val="Default"/>
    <w:rsid w:val="00FF2129"/>
    <w:pPr>
      <w:spacing w:before="120" w:after="120"/>
    </w:pPr>
    <w:rPr>
      <w:rFonts w:cs="Times New Roman"/>
      <w:color w:val="auto"/>
    </w:rPr>
  </w:style>
  <w:style w:type="character" w:customStyle="1" w:styleId="CharChar">
    <w:name w:val="Char Char"/>
    <w:rsid w:val="00FF2129"/>
    <w:rPr>
      <w:iCs/>
      <w:sz w:val="24"/>
      <w:lang w:val="en-US" w:eastAsia="en-US" w:bidi="ar-SA"/>
    </w:rPr>
  </w:style>
  <w:style w:type="paragraph" w:customStyle="1" w:styleId="tablecontents">
    <w:name w:val="table contents"/>
    <w:basedOn w:val="Normal"/>
    <w:rsid w:val="00FF2129"/>
    <w:rPr>
      <w:sz w:val="20"/>
      <w:szCs w:val="20"/>
    </w:rPr>
  </w:style>
  <w:style w:type="character" w:customStyle="1" w:styleId="BulletIndentChar">
    <w:name w:val="Bullet Indent Char"/>
    <w:link w:val="BulletIndent"/>
    <w:rsid w:val="00FF2129"/>
    <w:rPr>
      <w:sz w:val="24"/>
      <w:szCs w:val="24"/>
    </w:rPr>
  </w:style>
  <w:style w:type="paragraph" w:customStyle="1" w:styleId="Bullet">
    <w:name w:val="Bullet"/>
    <w:basedOn w:val="Normal"/>
    <w:link w:val="BulletChar"/>
    <w:rsid w:val="00FF2129"/>
    <w:pPr>
      <w:numPr>
        <w:numId w:val="1"/>
      </w:numPr>
      <w:tabs>
        <w:tab w:val="clear" w:pos="450"/>
        <w:tab w:val="num" w:pos="432"/>
        <w:tab w:val="num" w:pos="1080"/>
      </w:tabs>
      <w:spacing w:after="180"/>
      <w:ind w:left="1080" w:hanging="432"/>
    </w:pPr>
  </w:style>
  <w:style w:type="table" w:customStyle="1" w:styleId="VariableTable">
    <w:name w:val="Variable Table"/>
    <w:basedOn w:val="TableNormal"/>
    <w:rsid w:val="00FF2129"/>
    <w:tblPr/>
  </w:style>
  <w:style w:type="table" w:customStyle="1" w:styleId="FormulaVariableTable">
    <w:name w:val="Formula Variable Table"/>
    <w:basedOn w:val="TableNormal"/>
    <w:rsid w:val="00FF2129"/>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character" w:customStyle="1" w:styleId="CharChar2">
    <w:name w:val="Char Char2"/>
    <w:rsid w:val="00FF2129"/>
    <w:rPr>
      <w:iCs/>
      <w:sz w:val="24"/>
      <w:lang w:val="en-US" w:eastAsia="en-US" w:bidi="ar-SA"/>
    </w:rPr>
  </w:style>
  <w:style w:type="character" w:customStyle="1" w:styleId="ListIntroductionChar">
    <w:name w:val="List Introduction Char"/>
    <w:link w:val="ListIntroduction"/>
    <w:rsid w:val="00FF2129"/>
    <w:rPr>
      <w:iCs w:val="0"/>
      <w:sz w:val="24"/>
      <w:szCs w:val="24"/>
      <w:lang w:val="en-US" w:eastAsia="en-US" w:bidi="ar-SA"/>
    </w:rPr>
  </w:style>
  <w:style w:type="character" w:customStyle="1" w:styleId="BodyTextCharChar">
    <w:name w:val="Body Text Char Char"/>
    <w:aliases w:val=" Char Char Char Char1"/>
    <w:rsid w:val="00FF2129"/>
    <w:rPr>
      <w:iCs/>
      <w:sz w:val="24"/>
      <w:lang w:val="en-US" w:eastAsia="en-US" w:bidi="ar-SA"/>
    </w:rPr>
  </w:style>
  <w:style w:type="character" w:customStyle="1" w:styleId="CharChar1">
    <w:name w:val="Char Char1"/>
    <w:rsid w:val="00FF2129"/>
    <w:rPr>
      <w:iCs/>
      <w:sz w:val="24"/>
      <w:lang w:val="en-US" w:eastAsia="en-US" w:bidi="ar-SA"/>
    </w:rPr>
  </w:style>
  <w:style w:type="character" w:customStyle="1" w:styleId="ListSubChar">
    <w:name w:val="List Sub Char"/>
    <w:link w:val="ListSub"/>
    <w:rsid w:val="00FF2129"/>
    <w:rPr>
      <w:sz w:val="24"/>
      <w:szCs w:val="24"/>
      <w:lang w:val="en-US" w:eastAsia="en-US" w:bidi="ar-SA"/>
    </w:rPr>
  </w:style>
  <w:style w:type="character" w:customStyle="1" w:styleId="BodyTextChar1">
    <w:name w:val="Body Text Char1"/>
    <w:locked/>
    <w:rsid w:val="00FF2129"/>
    <w:rPr>
      <w:iCs/>
      <w:sz w:val="24"/>
      <w:lang w:val="en-US" w:eastAsia="en-US" w:bidi="ar-SA"/>
    </w:rPr>
  </w:style>
  <w:style w:type="paragraph" w:customStyle="1" w:styleId="HeadSub">
    <w:name w:val="Head Sub"/>
    <w:basedOn w:val="BodyText"/>
    <w:next w:val="BodyText"/>
    <w:rsid w:val="00FF2129"/>
    <w:pPr>
      <w:keepNext/>
      <w:spacing w:before="240"/>
    </w:pPr>
    <w:rPr>
      <w:b/>
      <w:szCs w:val="20"/>
    </w:rPr>
  </w:style>
  <w:style w:type="paragraph" w:customStyle="1" w:styleId="TableBody">
    <w:name w:val="Table Body"/>
    <w:basedOn w:val="BodyText"/>
    <w:rsid w:val="00FF2129"/>
    <w:pPr>
      <w:spacing w:after="60"/>
    </w:pPr>
    <w:rPr>
      <w:sz w:val="20"/>
      <w:szCs w:val="20"/>
    </w:rPr>
  </w:style>
  <w:style w:type="paragraph" w:customStyle="1" w:styleId="TableHead">
    <w:name w:val="Table Head"/>
    <w:basedOn w:val="BodyText"/>
    <w:rsid w:val="00FF2129"/>
    <w:pPr>
      <w:spacing w:after="120"/>
    </w:pPr>
    <w:rPr>
      <w:b/>
      <w:sz w:val="20"/>
      <w:szCs w:val="20"/>
    </w:rPr>
  </w:style>
  <w:style w:type="paragraph" w:customStyle="1" w:styleId="TableBullet">
    <w:name w:val="Table Bullet"/>
    <w:basedOn w:val="TableBody"/>
    <w:rsid w:val="00FF2129"/>
    <w:pPr>
      <w:numPr>
        <w:numId w:val="3"/>
      </w:numPr>
    </w:pPr>
  </w:style>
  <w:style w:type="paragraph" w:styleId="DocumentMap">
    <w:name w:val="Document Map"/>
    <w:basedOn w:val="Normal"/>
    <w:semiHidden/>
    <w:rsid w:val="00FF2129"/>
    <w:pPr>
      <w:shd w:val="clear" w:color="auto" w:fill="000080"/>
    </w:pPr>
    <w:rPr>
      <w:rFonts w:ascii="Tahoma" w:hAnsi="Tahoma" w:cs="Tahoma"/>
      <w:sz w:val="20"/>
      <w:szCs w:val="20"/>
    </w:rPr>
  </w:style>
  <w:style w:type="paragraph" w:customStyle="1" w:styleId="equals">
    <w:name w:val="equals"/>
    <w:basedOn w:val="BodyText"/>
    <w:rsid w:val="00FF2129"/>
    <w:pPr>
      <w:ind w:left="3168" w:hanging="2880"/>
    </w:pPr>
    <w:rPr>
      <w:szCs w:val="20"/>
    </w:rPr>
  </w:style>
  <w:style w:type="paragraph" w:customStyle="1" w:styleId="VariableDefinitionwide">
    <w:name w:val="Variable Definition wide"/>
    <w:basedOn w:val="BodyTextIndent"/>
    <w:rsid w:val="00FF2129"/>
    <w:pPr>
      <w:tabs>
        <w:tab w:val="left" w:pos="2160"/>
      </w:tabs>
      <w:ind w:left="4320" w:hanging="3600"/>
      <w:contextualSpacing/>
    </w:pPr>
  </w:style>
  <w:style w:type="paragraph" w:styleId="BlockText">
    <w:name w:val="Block Text"/>
    <w:basedOn w:val="Normal"/>
    <w:rsid w:val="00FF2129"/>
    <w:pPr>
      <w:spacing w:after="120"/>
      <w:ind w:left="1440" w:right="1440"/>
    </w:pPr>
    <w:rPr>
      <w:szCs w:val="20"/>
    </w:rPr>
  </w:style>
  <w:style w:type="paragraph" w:styleId="BodyText2">
    <w:name w:val="Body Text 2"/>
    <w:basedOn w:val="Normal"/>
    <w:rsid w:val="00FF2129"/>
    <w:pPr>
      <w:spacing w:after="120" w:line="480" w:lineRule="auto"/>
    </w:pPr>
    <w:rPr>
      <w:szCs w:val="20"/>
    </w:rPr>
  </w:style>
  <w:style w:type="character" w:customStyle="1" w:styleId="CharChar5">
    <w:name w:val="Char Char5"/>
    <w:rsid w:val="00FF2129"/>
    <w:rPr>
      <w:iCs/>
      <w:sz w:val="24"/>
      <w:lang w:val="en-US" w:eastAsia="en-US" w:bidi="ar-SA"/>
    </w:rPr>
  </w:style>
  <w:style w:type="character" w:customStyle="1" w:styleId="CharCharCharCharChar">
    <w:name w:val="Char Char Char Char Char"/>
    <w:aliases w:val="Body Text Char2 Char, Char Char Char Char Char1"/>
    <w:rsid w:val="00FF2129"/>
    <w:rPr>
      <w:iCs/>
      <w:sz w:val="24"/>
      <w:lang w:val="en-US" w:eastAsia="en-US" w:bidi="ar-SA"/>
    </w:rPr>
  </w:style>
  <w:style w:type="character" w:customStyle="1" w:styleId="CharCharCharChar">
    <w:name w:val="Char Char Char Char"/>
    <w:aliases w:val="Body Text Char2 Char Char"/>
    <w:rsid w:val="00FF2129"/>
    <w:rPr>
      <w:iCs/>
      <w:sz w:val="24"/>
      <w:lang w:val="en-US" w:eastAsia="en-US" w:bidi="ar-SA"/>
    </w:rPr>
  </w:style>
  <w:style w:type="character" w:customStyle="1" w:styleId="CharCharChar1">
    <w:name w:val="Char Char Char1"/>
    <w:aliases w:val=" Char11, Char Char Char Char Char2, Char1 Char Char1,Body Text Char2 Char Char2,Body Text Char2 Char Char Char Char Char Char Char Char Char Char Char1,Body Text Char2 Char3,Body Text Char2 Char4"/>
    <w:rsid w:val="00FF2129"/>
    <w:rPr>
      <w:sz w:val="24"/>
      <w:lang w:val="en-US" w:eastAsia="en-US" w:bidi="ar-SA"/>
    </w:rPr>
  </w:style>
  <w:style w:type="character" w:customStyle="1" w:styleId="CharChar4">
    <w:name w:val="Char Char4"/>
    <w:rsid w:val="00FF2129"/>
    <w:rPr>
      <w:sz w:val="24"/>
      <w:lang w:val="en-US" w:eastAsia="en-US" w:bidi="ar-SA"/>
    </w:rPr>
  </w:style>
  <w:style w:type="character" w:customStyle="1" w:styleId="Char1CharChar">
    <w:name w:val="Char1 Char Char"/>
    <w:rsid w:val="00FF2129"/>
    <w:rPr>
      <w:sz w:val="24"/>
      <w:lang w:val="en-US" w:eastAsia="en-US" w:bidi="ar-SA"/>
    </w:rPr>
  </w:style>
  <w:style w:type="paragraph" w:styleId="NormalWeb">
    <w:name w:val="Normal (Web)"/>
    <w:basedOn w:val="Normal"/>
    <w:rsid w:val="00FF2129"/>
    <w:pPr>
      <w:spacing w:before="100" w:beforeAutospacing="1" w:after="100" w:afterAutospacing="1"/>
    </w:pPr>
  </w:style>
  <w:style w:type="paragraph" w:customStyle="1" w:styleId="Bullet15">
    <w:name w:val="Bullet (1.5)"/>
    <w:basedOn w:val="Normal"/>
    <w:rsid w:val="00FF2129"/>
    <w:pPr>
      <w:numPr>
        <w:numId w:val="4"/>
      </w:numPr>
      <w:spacing w:after="120"/>
    </w:pPr>
    <w:rPr>
      <w:szCs w:val="20"/>
    </w:rPr>
  </w:style>
  <w:style w:type="paragraph" w:customStyle="1" w:styleId="BulletCharChar">
    <w:name w:val="Bullet Char Char"/>
    <w:basedOn w:val="Normal"/>
    <w:link w:val="BulletCharCharChar"/>
    <w:rsid w:val="00FF2129"/>
    <w:pPr>
      <w:tabs>
        <w:tab w:val="num" w:pos="450"/>
      </w:tabs>
      <w:spacing w:after="180"/>
      <w:ind w:left="450" w:hanging="360"/>
    </w:pPr>
  </w:style>
  <w:style w:type="character" w:customStyle="1" w:styleId="BulletCharCharChar">
    <w:name w:val="Bullet Char Char Char"/>
    <w:link w:val="BulletCharChar"/>
    <w:rsid w:val="00FF2129"/>
    <w:rPr>
      <w:sz w:val="24"/>
      <w:szCs w:val="24"/>
      <w:lang w:val="en-US" w:eastAsia="en-US" w:bidi="ar-SA"/>
    </w:rPr>
  </w:style>
  <w:style w:type="character" w:customStyle="1" w:styleId="CharCharChar2">
    <w:name w:val="Char Char Char2"/>
    <w:rsid w:val="00FF2129"/>
    <w:rPr>
      <w:iCs/>
      <w:sz w:val="24"/>
      <w:lang w:val="en-US" w:eastAsia="en-US" w:bidi="ar-SA"/>
    </w:rPr>
  </w:style>
  <w:style w:type="character" w:customStyle="1" w:styleId="CharCharCharChar2">
    <w:name w:val="Char Char Char Char2"/>
    <w:aliases w:val=" Char1 Char,Body Text Char Char Char1, Char Char Char Char Char Char1, Char1 Char Char Char1,Body Text Char2 Char Char Char,Body Text Char2 Char Char Char Char Char Char Char Char Char Char Char Char,Body Text Char2 Char Char1"/>
    <w:rsid w:val="00FF2129"/>
    <w:rPr>
      <w:iCs/>
      <w:sz w:val="24"/>
      <w:lang w:val="en-US" w:eastAsia="en-US" w:bidi="ar-SA"/>
    </w:rPr>
  </w:style>
  <w:style w:type="character" w:customStyle="1" w:styleId="H2Char">
    <w:name w:val="H2 Char"/>
    <w:link w:val="H2"/>
    <w:rsid w:val="00FF2129"/>
    <w:rPr>
      <w:b/>
      <w:sz w:val="24"/>
      <w:szCs w:val="24"/>
    </w:rPr>
  </w:style>
  <w:style w:type="character" w:customStyle="1" w:styleId="Char2CharCharChar">
    <w:name w:val="Char2 Char Char Char"/>
    <w:aliases w:val=" Char2 Char Char2"/>
    <w:rsid w:val="00FF2129"/>
    <w:rPr>
      <w:sz w:val="24"/>
      <w:lang w:val="en-US" w:eastAsia="en-US" w:bidi="ar-SA"/>
    </w:rPr>
  </w:style>
  <w:style w:type="paragraph" w:customStyle="1" w:styleId="note">
    <w:name w:val="note"/>
    <w:basedOn w:val="Spaceafterbox"/>
    <w:rsid w:val="00FF2129"/>
    <w:rPr>
      <w:sz w:val="22"/>
    </w:rPr>
  </w:style>
  <w:style w:type="character" w:customStyle="1" w:styleId="ListIntroductionCharChar">
    <w:name w:val="List Introduction Char Char"/>
    <w:rsid w:val="00FF2129"/>
    <w:rPr>
      <w:iCs/>
      <w:sz w:val="24"/>
      <w:lang w:val="en-US" w:eastAsia="en-US" w:bidi="ar-SA"/>
    </w:rPr>
  </w:style>
  <w:style w:type="paragraph" w:customStyle="1" w:styleId="NormalArial">
    <w:name w:val="Normal+Arial"/>
    <w:basedOn w:val="Normal"/>
    <w:link w:val="NormalArialChar"/>
    <w:rsid w:val="00FF2129"/>
    <w:rPr>
      <w:rFonts w:ascii="Arial" w:hAnsi="Arial"/>
    </w:rPr>
  </w:style>
  <w:style w:type="paragraph" w:customStyle="1" w:styleId="VariableDefinition1">
    <w:name w:val="Variable Definition+1"/>
    <w:basedOn w:val="Default"/>
    <w:next w:val="Default"/>
    <w:rsid w:val="00FF2129"/>
    <w:pPr>
      <w:spacing w:after="240"/>
    </w:pPr>
    <w:rPr>
      <w:rFonts w:ascii="Times New Roman" w:hAnsi="Times New Roman" w:cs="Times New Roman"/>
      <w:color w:val="auto"/>
    </w:rPr>
  </w:style>
  <w:style w:type="character" w:customStyle="1" w:styleId="Char1CharChar1">
    <w:name w:val="Char1 Char Char1"/>
    <w:rsid w:val="00FF2129"/>
    <w:rPr>
      <w:sz w:val="24"/>
      <w:lang w:val="en-US" w:eastAsia="en-US" w:bidi="ar-SA"/>
    </w:rPr>
  </w:style>
  <w:style w:type="character" w:styleId="FollowedHyperlink">
    <w:name w:val="FollowedHyperlink"/>
    <w:rsid w:val="00FF2129"/>
    <w:rPr>
      <w:color w:val="800080"/>
      <w:u w:val="single"/>
    </w:rPr>
  </w:style>
  <w:style w:type="character" w:customStyle="1" w:styleId="BodyTextCharChar1">
    <w:name w:val="Body Text Char Char1"/>
    <w:rsid w:val="00FF2129"/>
    <w:rPr>
      <w:iCs/>
      <w:sz w:val="24"/>
      <w:lang w:val="en-US" w:eastAsia="en-US" w:bidi="ar-SA"/>
    </w:rPr>
  </w:style>
  <w:style w:type="character" w:customStyle="1" w:styleId="Heading5Char">
    <w:name w:val="Heading 5 Char"/>
    <w:aliases w:val="h5 Char"/>
    <w:link w:val="Heading5"/>
    <w:rsid w:val="00FF2129"/>
    <w:rPr>
      <w:b/>
      <w:bCs/>
      <w:i/>
      <w:iCs/>
      <w:sz w:val="26"/>
      <w:szCs w:val="26"/>
    </w:rPr>
  </w:style>
  <w:style w:type="paragraph" w:customStyle="1" w:styleId="ListSub2">
    <w:name w:val="List Sub+2"/>
    <w:basedOn w:val="Default"/>
    <w:next w:val="Default"/>
    <w:rsid w:val="00FF2129"/>
    <w:pPr>
      <w:spacing w:after="240"/>
    </w:pPr>
    <w:rPr>
      <w:rFonts w:ascii="Times New Roman" w:hAnsi="Times New Roman" w:cs="Times New Roman"/>
      <w:color w:val="auto"/>
    </w:rPr>
  </w:style>
  <w:style w:type="character" w:customStyle="1" w:styleId="BulletChar">
    <w:name w:val="Bullet Char"/>
    <w:link w:val="Bullet"/>
    <w:rsid w:val="00FF2129"/>
    <w:rPr>
      <w:sz w:val="24"/>
      <w:szCs w:val="24"/>
    </w:rPr>
  </w:style>
  <w:style w:type="character" w:customStyle="1" w:styleId="BodyTextNumberedCharChar">
    <w:name w:val="Body Text Numbered Char Char"/>
    <w:rsid w:val="00FF2129"/>
    <w:rPr>
      <w:iCs/>
      <w:sz w:val="24"/>
      <w:lang w:val="en-US" w:eastAsia="en-US" w:bidi="ar-SA"/>
    </w:rPr>
  </w:style>
  <w:style w:type="character" w:customStyle="1" w:styleId="Heading3Char">
    <w:name w:val="Heading 3 Char"/>
    <w:aliases w:val="h3 Char"/>
    <w:link w:val="Heading3"/>
    <w:rsid w:val="00FF2129"/>
    <w:rPr>
      <w:rFonts w:ascii="Arial" w:hAnsi="Arial" w:cs="Arial"/>
      <w:b/>
      <w:bCs/>
      <w:sz w:val="26"/>
      <w:szCs w:val="26"/>
    </w:rPr>
  </w:style>
  <w:style w:type="paragraph" w:styleId="BodyText3">
    <w:name w:val="Body Text 3"/>
    <w:basedOn w:val="Normal"/>
    <w:link w:val="BodyText3Char"/>
    <w:rsid w:val="00FF2129"/>
    <w:pPr>
      <w:spacing w:after="120"/>
    </w:pPr>
    <w:rPr>
      <w:sz w:val="16"/>
      <w:szCs w:val="16"/>
    </w:rPr>
  </w:style>
  <w:style w:type="character" w:customStyle="1" w:styleId="BodyText1Char">
    <w:name w:val="Body Text1 Char"/>
    <w:aliases w:val=" Char11 Char, Char Char Char Char Char Char Char Char Char Char Char Char Char Char Char Char Char Char Char Char Char Char Char Char"/>
    <w:rsid w:val="00FF2129"/>
    <w:rPr>
      <w:iCs/>
      <w:sz w:val="24"/>
      <w:lang w:val="en-US" w:eastAsia="en-US" w:bidi="ar-SA"/>
    </w:rPr>
  </w:style>
  <w:style w:type="character" w:customStyle="1" w:styleId="Char1Char1">
    <w:name w:val="Char1 Char1"/>
    <w:rsid w:val="00FF2129"/>
    <w:rPr>
      <w:sz w:val="24"/>
      <w:lang w:val="en-US" w:eastAsia="en-US" w:bidi="ar-SA"/>
    </w:rPr>
  </w:style>
  <w:style w:type="paragraph" w:customStyle="1" w:styleId="H">
    <w:name w:val="H%"/>
    <w:basedOn w:val="H4"/>
    <w:rsid w:val="00FF2129"/>
  </w:style>
  <w:style w:type="character" w:styleId="FootnoteReference">
    <w:name w:val="footnote reference"/>
    <w:rsid w:val="00FF2129"/>
    <w:rPr>
      <w:vertAlign w:val="superscript"/>
    </w:rPr>
  </w:style>
  <w:style w:type="paragraph" w:customStyle="1" w:styleId="Style1">
    <w:name w:val="Style1"/>
    <w:basedOn w:val="H5"/>
    <w:rsid w:val="00FF2129"/>
  </w:style>
  <w:style w:type="paragraph" w:customStyle="1" w:styleId="Style2">
    <w:name w:val="Style2"/>
    <w:basedOn w:val="H5"/>
    <w:autoRedefine/>
    <w:rsid w:val="00FF2129"/>
    <w:rPr>
      <w:i w:val="0"/>
    </w:rPr>
  </w:style>
  <w:style w:type="character" w:customStyle="1" w:styleId="msoins0">
    <w:name w:val="msoins"/>
    <w:rsid w:val="00FF2129"/>
    <w:rPr>
      <w:u w:val="single"/>
    </w:rPr>
  </w:style>
  <w:style w:type="paragraph" w:customStyle="1" w:styleId="listintroduction0">
    <w:name w:val="listintroduction"/>
    <w:basedOn w:val="Normal"/>
    <w:rsid w:val="00FF2129"/>
    <w:pPr>
      <w:keepNext/>
      <w:spacing w:after="240"/>
    </w:pPr>
  </w:style>
  <w:style w:type="paragraph" w:customStyle="1" w:styleId="bodytextnumbered0">
    <w:name w:val="bodytextnumbered"/>
    <w:basedOn w:val="Normal"/>
    <w:rsid w:val="00FF2129"/>
    <w:pPr>
      <w:spacing w:after="240"/>
      <w:ind w:left="720" w:hanging="720"/>
    </w:pPr>
  </w:style>
  <w:style w:type="character" w:customStyle="1" w:styleId="FormulaBoldChar">
    <w:name w:val="Formula Bold Char"/>
    <w:link w:val="FormulaBold"/>
    <w:rsid w:val="00E30EAB"/>
    <w:rPr>
      <w:bCs/>
      <w:iCs/>
      <w:sz w:val="24"/>
      <w:szCs w:val="24"/>
      <w:lang w:val="x-none" w:eastAsia="x-none"/>
    </w:rPr>
  </w:style>
  <w:style w:type="paragraph" w:customStyle="1" w:styleId="InstructionsCharCharCharCharCharChar">
    <w:name w:val="Instructions Char Char Char Char Char Char"/>
    <w:basedOn w:val="Normal"/>
    <w:link w:val="InstructionsCharCharCharCharCharCharChar"/>
    <w:rsid w:val="00FF2129"/>
    <w:pPr>
      <w:spacing w:after="240"/>
      <w:ind w:left="720" w:hanging="720"/>
    </w:pPr>
    <w:rPr>
      <w:b/>
      <w:i/>
      <w:iCs/>
    </w:rPr>
  </w:style>
  <w:style w:type="character" w:customStyle="1" w:styleId="InstructionsCharCharCharCharCharCharChar">
    <w:name w:val="Instructions Char Char Char Char Char Char Char"/>
    <w:link w:val="InstructionsCharCharCharCharCharChar"/>
    <w:rsid w:val="00FF2129"/>
    <w:rPr>
      <w:b/>
      <w:i/>
      <w:iCs/>
      <w:sz w:val="24"/>
      <w:szCs w:val="24"/>
      <w:lang w:val="en-US" w:eastAsia="en-US" w:bidi="ar-SA"/>
    </w:rPr>
  </w:style>
  <w:style w:type="paragraph" w:customStyle="1" w:styleId="RegularText">
    <w:name w:val="Regular Text"/>
    <w:basedOn w:val="Normal"/>
    <w:rsid w:val="00FF2129"/>
    <w:pPr>
      <w:spacing w:before="120" w:after="120"/>
      <w:ind w:left="432"/>
      <w:jc w:val="both"/>
    </w:pPr>
    <w:rPr>
      <w:szCs w:val="20"/>
    </w:rPr>
  </w:style>
  <w:style w:type="character" w:customStyle="1" w:styleId="TextChar">
    <w:name w:val="Text Char"/>
    <w:rsid w:val="00FF2129"/>
    <w:rPr>
      <w:iCs/>
      <w:sz w:val="24"/>
      <w:lang w:val="en-US" w:eastAsia="en-US" w:bidi="ar-SA"/>
    </w:rPr>
  </w:style>
  <w:style w:type="character" w:customStyle="1" w:styleId="FormulaChar">
    <w:name w:val="Formula Char"/>
    <w:link w:val="Formula"/>
    <w:rsid w:val="00D46800"/>
    <w:rPr>
      <w:bCs/>
      <w:sz w:val="24"/>
      <w:szCs w:val="24"/>
      <w:lang w:val="x-none" w:eastAsia="x-none"/>
    </w:rPr>
  </w:style>
  <w:style w:type="character" w:customStyle="1" w:styleId="NormalArialChar">
    <w:name w:val="Normal+Arial Char"/>
    <w:link w:val="NormalArial"/>
    <w:rsid w:val="00FF2129"/>
    <w:rPr>
      <w:rFonts w:ascii="Arial" w:hAnsi="Arial"/>
      <w:sz w:val="24"/>
      <w:szCs w:val="24"/>
      <w:lang w:val="en-US" w:eastAsia="en-US" w:bidi="ar-SA"/>
    </w:rPr>
  </w:style>
  <w:style w:type="character" w:customStyle="1" w:styleId="BodyTextNumberedChar1">
    <w:name w:val="Body Text Numbered Char1"/>
    <w:rsid w:val="00FF2129"/>
    <w:rPr>
      <w:iCs/>
      <w:sz w:val="24"/>
      <w:lang w:val="en-US" w:eastAsia="en-US" w:bidi="ar-SA"/>
    </w:rPr>
  </w:style>
  <w:style w:type="paragraph" w:customStyle="1" w:styleId="Char3">
    <w:name w:val="Char3"/>
    <w:basedOn w:val="Normal"/>
    <w:rsid w:val="00FF2129"/>
    <w:pPr>
      <w:spacing w:after="160" w:line="240" w:lineRule="exact"/>
    </w:pPr>
    <w:rPr>
      <w:rFonts w:ascii="Verdana" w:hAnsi="Verdana"/>
      <w:sz w:val="16"/>
      <w:szCs w:val="20"/>
    </w:rPr>
  </w:style>
  <w:style w:type="paragraph" w:customStyle="1" w:styleId="Char4">
    <w:name w:val="Char4"/>
    <w:basedOn w:val="Normal"/>
    <w:rsid w:val="00FF2129"/>
    <w:pPr>
      <w:spacing w:after="160" w:line="240" w:lineRule="exact"/>
    </w:pPr>
    <w:rPr>
      <w:rFonts w:ascii="Verdana" w:hAnsi="Verdana"/>
      <w:sz w:val="16"/>
      <w:szCs w:val="20"/>
    </w:rPr>
  </w:style>
  <w:style w:type="paragraph" w:customStyle="1" w:styleId="Char31">
    <w:name w:val="Char31"/>
    <w:basedOn w:val="Normal"/>
    <w:rsid w:val="00FF2129"/>
    <w:pPr>
      <w:spacing w:after="160" w:line="240" w:lineRule="exact"/>
    </w:pPr>
    <w:rPr>
      <w:rFonts w:ascii="Verdana" w:hAnsi="Verdana"/>
      <w:sz w:val="16"/>
      <w:szCs w:val="20"/>
    </w:rPr>
  </w:style>
  <w:style w:type="paragraph" w:styleId="Revision">
    <w:name w:val="Revision"/>
    <w:hidden/>
    <w:semiHidden/>
    <w:rsid w:val="00E12A3D"/>
    <w:rPr>
      <w:sz w:val="24"/>
      <w:szCs w:val="24"/>
    </w:rPr>
  </w:style>
  <w:style w:type="character" w:styleId="Strong">
    <w:name w:val="Strong"/>
    <w:qFormat/>
    <w:rsid w:val="00904765"/>
    <w:rPr>
      <w:b/>
      <w:bCs/>
    </w:rPr>
  </w:style>
  <w:style w:type="character" w:customStyle="1" w:styleId="Heading1Char">
    <w:name w:val="Heading 1 Char"/>
    <w:aliases w:val="h1 Char"/>
    <w:link w:val="Heading1"/>
    <w:locked/>
    <w:rsid w:val="004A1BC5"/>
    <w:rPr>
      <w:b/>
      <w:caps/>
      <w:sz w:val="24"/>
      <w:lang w:val="x-none" w:eastAsia="x-none"/>
    </w:rPr>
  </w:style>
  <w:style w:type="character" w:customStyle="1" w:styleId="HeaderChar">
    <w:name w:val="Header Char"/>
    <w:link w:val="Header"/>
    <w:rsid w:val="007646BF"/>
    <w:rPr>
      <w:smallCaps/>
    </w:rPr>
  </w:style>
  <w:style w:type="character" w:customStyle="1" w:styleId="FooterChar">
    <w:name w:val="Footer Char"/>
    <w:link w:val="Footer"/>
    <w:rsid w:val="001037C0"/>
    <w:rPr>
      <w:smallCaps/>
    </w:rPr>
  </w:style>
  <w:style w:type="paragraph" w:customStyle="1" w:styleId="TXUNormal">
    <w:name w:val="TXUNormal"/>
    <w:rsid w:val="00716EA4"/>
    <w:pPr>
      <w:spacing w:after="120"/>
    </w:pPr>
  </w:style>
  <w:style w:type="character" w:customStyle="1" w:styleId="CommentTextChar">
    <w:name w:val="Comment Text Char"/>
    <w:link w:val="CommentText"/>
    <w:rsid w:val="0050051D"/>
  </w:style>
  <w:style w:type="character" w:customStyle="1" w:styleId="FootnoteTextChar">
    <w:name w:val="Footnote Text Char"/>
    <w:link w:val="FootnoteText"/>
    <w:semiHidden/>
    <w:rsid w:val="00462435"/>
    <w:rPr>
      <w:sz w:val="18"/>
    </w:rPr>
  </w:style>
  <w:style w:type="character" w:customStyle="1" w:styleId="BodyText3Char">
    <w:name w:val="Body Text 3 Char"/>
    <w:link w:val="BodyText3"/>
    <w:rsid w:val="00A7138D"/>
    <w:rPr>
      <w:sz w:val="16"/>
      <w:szCs w:val="16"/>
    </w:rPr>
  </w:style>
  <w:style w:type="character" w:styleId="UnresolvedMention">
    <w:name w:val="Unresolved Mention"/>
    <w:basedOn w:val="DefaultParagraphFont"/>
    <w:uiPriority w:val="99"/>
    <w:semiHidden/>
    <w:unhideWhenUsed/>
    <w:rsid w:val="00A82EF4"/>
    <w:rPr>
      <w:color w:val="605E5C"/>
      <w:shd w:val="clear" w:color="auto" w:fill="E1DFDD"/>
    </w:rPr>
  </w:style>
  <w:style w:type="paragraph" w:styleId="ListParagraph">
    <w:name w:val="List Paragraph"/>
    <w:basedOn w:val="Normal"/>
    <w:uiPriority w:val="34"/>
    <w:qFormat/>
    <w:rsid w:val="00AE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6.wmf"/><Relationship Id="rId42" Type="http://schemas.openxmlformats.org/officeDocument/2006/relationships/oleObject" Target="embeddings/oleObject14.bin"/><Relationship Id="rId47" Type="http://schemas.openxmlformats.org/officeDocument/2006/relationships/oleObject" Target="embeddings/oleObject18.bin"/><Relationship Id="rId63" Type="http://schemas.openxmlformats.org/officeDocument/2006/relationships/oleObject" Target="embeddings/oleObject32.bin"/><Relationship Id="rId68" Type="http://schemas.openxmlformats.org/officeDocument/2006/relationships/image" Target="media/image20.wmf"/><Relationship Id="rId84" Type="http://schemas.openxmlformats.org/officeDocument/2006/relationships/oleObject" Target="embeddings/oleObject44.bin"/><Relationship Id="rId89" Type="http://schemas.openxmlformats.org/officeDocument/2006/relationships/oleObject" Target="embeddings/oleObject46.bin"/><Relationship Id="rId16" Type="http://schemas.openxmlformats.org/officeDocument/2006/relationships/oleObject" Target="embeddings/oleObject1.bin"/><Relationship Id="rId11" Type="http://schemas.openxmlformats.org/officeDocument/2006/relationships/footer" Target="footer2.xml"/><Relationship Id="rId32" Type="http://schemas.openxmlformats.org/officeDocument/2006/relationships/image" Target="media/image13.wmf"/><Relationship Id="rId37" Type="http://schemas.openxmlformats.org/officeDocument/2006/relationships/oleObject" Target="embeddings/oleObject10.bin"/><Relationship Id="rId53" Type="http://schemas.openxmlformats.org/officeDocument/2006/relationships/oleObject" Target="embeddings/oleObject23.bin"/><Relationship Id="rId58" Type="http://schemas.openxmlformats.org/officeDocument/2006/relationships/oleObject" Target="embeddings/oleObject28.bin"/><Relationship Id="rId74" Type="http://schemas.openxmlformats.org/officeDocument/2006/relationships/image" Target="media/image25.wmf"/><Relationship Id="rId79" Type="http://schemas.openxmlformats.org/officeDocument/2006/relationships/oleObject" Target="embeddings/oleObject42.bin"/><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3.wmf"/><Relationship Id="rId95" Type="http://schemas.openxmlformats.org/officeDocument/2006/relationships/oleObject" Target="embeddings/oleObject49.bin"/><Relationship Id="rId22" Type="http://schemas.openxmlformats.org/officeDocument/2006/relationships/oleObject" Target="embeddings/oleObject4.bin"/><Relationship Id="rId27" Type="http://schemas.openxmlformats.org/officeDocument/2006/relationships/image" Target="media/image9.wmf"/><Relationship Id="rId43" Type="http://schemas.openxmlformats.org/officeDocument/2006/relationships/oleObject" Target="embeddings/oleObject15.bin"/><Relationship Id="rId48" Type="http://schemas.openxmlformats.org/officeDocument/2006/relationships/oleObject" Target="embeddings/oleObject19.bin"/><Relationship Id="rId64" Type="http://schemas.openxmlformats.org/officeDocument/2006/relationships/oleObject" Target="embeddings/oleObject33.bin"/><Relationship Id="rId69" Type="http://schemas.openxmlformats.org/officeDocument/2006/relationships/image" Target="media/image21.wmf"/><Relationship Id="rId80" Type="http://schemas.openxmlformats.org/officeDocument/2006/relationships/image" Target="media/image28.wmf"/><Relationship Id="rId85" Type="http://schemas.openxmlformats.org/officeDocument/2006/relationships/image" Target="media/image30.wmf"/><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oleObject" Target="embeddings/oleObject8.bin"/><Relationship Id="rId38" Type="http://schemas.openxmlformats.org/officeDocument/2006/relationships/oleObject" Target="embeddings/oleObject11.bin"/><Relationship Id="rId46" Type="http://schemas.openxmlformats.org/officeDocument/2006/relationships/oleObject" Target="embeddings/oleObject17.bin"/><Relationship Id="rId59" Type="http://schemas.openxmlformats.org/officeDocument/2006/relationships/image" Target="media/image19.wmf"/><Relationship Id="rId67" Type="http://schemas.openxmlformats.org/officeDocument/2006/relationships/oleObject" Target="embeddings/oleObject36.bin"/><Relationship Id="rId103" Type="http://schemas.openxmlformats.org/officeDocument/2006/relationships/theme" Target="theme/theme1.xml"/><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oleObject" Target="embeddings/oleObject24.bin"/><Relationship Id="rId62" Type="http://schemas.openxmlformats.org/officeDocument/2006/relationships/oleObject" Target="embeddings/oleObject31.bin"/><Relationship Id="rId70" Type="http://schemas.openxmlformats.org/officeDocument/2006/relationships/image" Target="media/image23.wmf"/><Relationship Id="rId75" Type="http://schemas.openxmlformats.org/officeDocument/2006/relationships/oleObject" Target="embeddings/oleObject40.bin"/><Relationship Id="rId83" Type="http://schemas.openxmlformats.org/officeDocument/2006/relationships/image" Target="media/image29.wmf"/><Relationship Id="rId88" Type="http://schemas.openxmlformats.org/officeDocument/2006/relationships/image" Target="media/image32.wmf"/><Relationship Id="rId91" Type="http://schemas.openxmlformats.org/officeDocument/2006/relationships/oleObject" Target="embeddings/oleObject47.bin"/><Relationship Id="rId96" Type="http://schemas.openxmlformats.org/officeDocument/2006/relationships/image" Target="media/image3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7.bin"/><Relationship Id="rId10" Type="http://schemas.openxmlformats.org/officeDocument/2006/relationships/header" Target="header2.xml"/><Relationship Id="rId31" Type="http://schemas.openxmlformats.org/officeDocument/2006/relationships/oleObject" Target="embeddings/oleObject7.bin"/><Relationship Id="rId44" Type="http://schemas.openxmlformats.org/officeDocument/2006/relationships/oleObject" Target="embeddings/oleObject16.bin"/><Relationship Id="rId52" Type="http://schemas.openxmlformats.org/officeDocument/2006/relationships/oleObject" Target="embeddings/oleObject22.bin"/><Relationship Id="rId60" Type="http://schemas.openxmlformats.org/officeDocument/2006/relationships/oleObject" Target="embeddings/oleObject29.bin"/><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image" Target="media/image27.wmf"/><Relationship Id="rId81" Type="http://schemas.openxmlformats.org/officeDocument/2006/relationships/image" Target="media/image22.wmf"/><Relationship Id="rId86" Type="http://schemas.openxmlformats.org/officeDocument/2006/relationships/oleObject" Target="embeddings/oleObject45.bin"/><Relationship Id="rId94" Type="http://schemas.openxmlformats.org/officeDocument/2006/relationships/image" Target="media/image35.wmf"/><Relationship Id="rId99" Type="http://schemas.openxmlformats.org/officeDocument/2006/relationships/oleObject" Target="embeddings/oleObject51.bin"/><Relationship Id="rId10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oleObject" Target="embeddings/oleObject3.bin"/><Relationship Id="rId39" Type="http://schemas.openxmlformats.org/officeDocument/2006/relationships/oleObject" Target="embeddings/oleObject12.bin"/><Relationship Id="rId34" Type="http://schemas.openxmlformats.org/officeDocument/2006/relationships/image" Target="media/image14.wmf"/><Relationship Id="rId50" Type="http://schemas.openxmlformats.org/officeDocument/2006/relationships/image" Target="media/image18.wmf"/><Relationship Id="rId55" Type="http://schemas.openxmlformats.org/officeDocument/2006/relationships/oleObject" Target="embeddings/oleObject25.bin"/><Relationship Id="rId76" Type="http://schemas.openxmlformats.org/officeDocument/2006/relationships/image" Target="media/image26.wmf"/><Relationship Id="rId97" Type="http://schemas.openxmlformats.org/officeDocument/2006/relationships/oleObject" Target="embeddings/oleObject50.bin"/><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5.bin"/><Relationship Id="rId40" Type="http://schemas.openxmlformats.org/officeDocument/2006/relationships/image" Target="media/image16.wmf"/><Relationship Id="rId45" Type="http://schemas.openxmlformats.org/officeDocument/2006/relationships/image" Target="media/image17.wmf"/><Relationship Id="rId66" Type="http://schemas.openxmlformats.org/officeDocument/2006/relationships/oleObject" Target="embeddings/oleObject35.bin"/><Relationship Id="rId87" Type="http://schemas.openxmlformats.org/officeDocument/2006/relationships/image" Target="media/image31.wmf"/><Relationship Id="rId61" Type="http://schemas.openxmlformats.org/officeDocument/2006/relationships/oleObject" Target="embeddings/oleObject30.bin"/><Relationship Id="rId82" Type="http://schemas.openxmlformats.org/officeDocument/2006/relationships/oleObject" Target="embeddings/oleObject43.bin"/><Relationship Id="rId19" Type="http://schemas.openxmlformats.org/officeDocument/2006/relationships/image" Target="media/image4.wmf"/><Relationship Id="rId14" Type="http://schemas.openxmlformats.org/officeDocument/2006/relationships/image" Target="media/image2.png"/><Relationship Id="rId30" Type="http://schemas.openxmlformats.org/officeDocument/2006/relationships/image" Target="media/image12.wmf"/><Relationship Id="rId35" Type="http://schemas.openxmlformats.org/officeDocument/2006/relationships/oleObject" Target="embeddings/oleObject9.bin"/><Relationship Id="rId56" Type="http://schemas.openxmlformats.org/officeDocument/2006/relationships/oleObject" Target="embeddings/oleObject26.bin"/><Relationship Id="rId77" Type="http://schemas.openxmlformats.org/officeDocument/2006/relationships/oleObject" Target="embeddings/oleObject41.bin"/><Relationship Id="rId100" Type="http://schemas.openxmlformats.org/officeDocument/2006/relationships/header" Target="header3.xml"/><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24.wmf"/><Relationship Id="rId93" Type="http://schemas.openxmlformats.org/officeDocument/2006/relationships/oleObject" Target="embeddings/oleObject48.bin"/><Relationship Id="rId98" Type="http://schemas.openxmlformats.org/officeDocument/2006/relationships/image" Target="media/image37.wmf"/><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7.bin"/><Relationship Id="rId1"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0722C-6C9C-43A7-B8BD-2B095E05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144</Pages>
  <Words>46080</Words>
  <Characters>262661</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5</vt:lpstr>
    </vt:vector>
  </TitlesOfParts>
  <Company>Burford &amp; Ryburn, L.L.P.</Company>
  <LinksUpToDate>false</LinksUpToDate>
  <CharactersWithSpaces>308125</CharactersWithSpaces>
  <SharedDoc>false</SharedDoc>
  <HLinks>
    <vt:vector size="582" baseType="variant">
      <vt:variant>
        <vt:i4>1703986</vt:i4>
      </vt:variant>
      <vt:variant>
        <vt:i4>578</vt:i4>
      </vt:variant>
      <vt:variant>
        <vt:i4>0</vt:i4>
      </vt:variant>
      <vt:variant>
        <vt:i4>5</vt:i4>
      </vt:variant>
      <vt:variant>
        <vt:lpwstr/>
      </vt:variant>
      <vt:variant>
        <vt:lpwstr>_Toc17707832</vt:lpwstr>
      </vt:variant>
      <vt:variant>
        <vt:i4>1638450</vt:i4>
      </vt:variant>
      <vt:variant>
        <vt:i4>572</vt:i4>
      </vt:variant>
      <vt:variant>
        <vt:i4>0</vt:i4>
      </vt:variant>
      <vt:variant>
        <vt:i4>5</vt:i4>
      </vt:variant>
      <vt:variant>
        <vt:lpwstr/>
      </vt:variant>
      <vt:variant>
        <vt:lpwstr>_Toc17707831</vt:lpwstr>
      </vt:variant>
      <vt:variant>
        <vt:i4>1572914</vt:i4>
      </vt:variant>
      <vt:variant>
        <vt:i4>566</vt:i4>
      </vt:variant>
      <vt:variant>
        <vt:i4>0</vt:i4>
      </vt:variant>
      <vt:variant>
        <vt:i4>5</vt:i4>
      </vt:variant>
      <vt:variant>
        <vt:lpwstr/>
      </vt:variant>
      <vt:variant>
        <vt:lpwstr>_Toc17707830</vt:lpwstr>
      </vt:variant>
      <vt:variant>
        <vt:i4>1048627</vt:i4>
      </vt:variant>
      <vt:variant>
        <vt:i4>560</vt:i4>
      </vt:variant>
      <vt:variant>
        <vt:i4>0</vt:i4>
      </vt:variant>
      <vt:variant>
        <vt:i4>5</vt:i4>
      </vt:variant>
      <vt:variant>
        <vt:lpwstr/>
      </vt:variant>
      <vt:variant>
        <vt:lpwstr>_Toc17707828</vt:lpwstr>
      </vt:variant>
      <vt:variant>
        <vt:i4>2031667</vt:i4>
      </vt:variant>
      <vt:variant>
        <vt:i4>554</vt:i4>
      </vt:variant>
      <vt:variant>
        <vt:i4>0</vt:i4>
      </vt:variant>
      <vt:variant>
        <vt:i4>5</vt:i4>
      </vt:variant>
      <vt:variant>
        <vt:lpwstr/>
      </vt:variant>
      <vt:variant>
        <vt:lpwstr>_Toc17707827</vt:lpwstr>
      </vt:variant>
      <vt:variant>
        <vt:i4>1966131</vt:i4>
      </vt:variant>
      <vt:variant>
        <vt:i4>548</vt:i4>
      </vt:variant>
      <vt:variant>
        <vt:i4>0</vt:i4>
      </vt:variant>
      <vt:variant>
        <vt:i4>5</vt:i4>
      </vt:variant>
      <vt:variant>
        <vt:lpwstr/>
      </vt:variant>
      <vt:variant>
        <vt:lpwstr>_Toc17707826</vt:lpwstr>
      </vt:variant>
      <vt:variant>
        <vt:i4>1900595</vt:i4>
      </vt:variant>
      <vt:variant>
        <vt:i4>542</vt:i4>
      </vt:variant>
      <vt:variant>
        <vt:i4>0</vt:i4>
      </vt:variant>
      <vt:variant>
        <vt:i4>5</vt:i4>
      </vt:variant>
      <vt:variant>
        <vt:lpwstr/>
      </vt:variant>
      <vt:variant>
        <vt:lpwstr>_Toc17707825</vt:lpwstr>
      </vt:variant>
      <vt:variant>
        <vt:i4>1835059</vt:i4>
      </vt:variant>
      <vt:variant>
        <vt:i4>536</vt:i4>
      </vt:variant>
      <vt:variant>
        <vt:i4>0</vt:i4>
      </vt:variant>
      <vt:variant>
        <vt:i4>5</vt:i4>
      </vt:variant>
      <vt:variant>
        <vt:lpwstr/>
      </vt:variant>
      <vt:variant>
        <vt:lpwstr>_Toc17707824</vt:lpwstr>
      </vt:variant>
      <vt:variant>
        <vt:i4>1769523</vt:i4>
      </vt:variant>
      <vt:variant>
        <vt:i4>530</vt:i4>
      </vt:variant>
      <vt:variant>
        <vt:i4>0</vt:i4>
      </vt:variant>
      <vt:variant>
        <vt:i4>5</vt:i4>
      </vt:variant>
      <vt:variant>
        <vt:lpwstr/>
      </vt:variant>
      <vt:variant>
        <vt:lpwstr>_Toc17707823</vt:lpwstr>
      </vt:variant>
      <vt:variant>
        <vt:i4>1638451</vt:i4>
      </vt:variant>
      <vt:variant>
        <vt:i4>524</vt:i4>
      </vt:variant>
      <vt:variant>
        <vt:i4>0</vt:i4>
      </vt:variant>
      <vt:variant>
        <vt:i4>5</vt:i4>
      </vt:variant>
      <vt:variant>
        <vt:lpwstr/>
      </vt:variant>
      <vt:variant>
        <vt:lpwstr>_Toc17707821</vt:lpwstr>
      </vt:variant>
      <vt:variant>
        <vt:i4>1572915</vt:i4>
      </vt:variant>
      <vt:variant>
        <vt:i4>518</vt:i4>
      </vt:variant>
      <vt:variant>
        <vt:i4>0</vt:i4>
      </vt:variant>
      <vt:variant>
        <vt:i4>5</vt:i4>
      </vt:variant>
      <vt:variant>
        <vt:lpwstr/>
      </vt:variant>
      <vt:variant>
        <vt:lpwstr>_Toc17707820</vt:lpwstr>
      </vt:variant>
      <vt:variant>
        <vt:i4>1114160</vt:i4>
      </vt:variant>
      <vt:variant>
        <vt:i4>512</vt:i4>
      </vt:variant>
      <vt:variant>
        <vt:i4>0</vt:i4>
      </vt:variant>
      <vt:variant>
        <vt:i4>5</vt:i4>
      </vt:variant>
      <vt:variant>
        <vt:lpwstr/>
      </vt:variant>
      <vt:variant>
        <vt:lpwstr>_Toc17707819</vt:lpwstr>
      </vt:variant>
      <vt:variant>
        <vt:i4>1048624</vt:i4>
      </vt:variant>
      <vt:variant>
        <vt:i4>506</vt:i4>
      </vt:variant>
      <vt:variant>
        <vt:i4>0</vt:i4>
      </vt:variant>
      <vt:variant>
        <vt:i4>5</vt:i4>
      </vt:variant>
      <vt:variant>
        <vt:lpwstr/>
      </vt:variant>
      <vt:variant>
        <vt:lpwstr>_Toc17707818</vt:lpwstr>
      </vt:variant>
      <vt:variant>
        <vt:i4>2031664</vt:i4>
      </vt:variant>
      <vt:variant>
        <vt:i4>500</vt:i4>
      </vt:variant>
      <vt:variant>
        <vt:i4>0</vt:i4>
      </vt:variant>
      <vt:variant>
        <vt:i4>5</vt:i4>
      </vt:variant>
      <vt:variant>
        <vt:lpwstr/>
      </vt:variant>
      <vt:variant>
        <vt:lpwstr>_Toc17707817</vt:lpwstr>
      </vt:variant>
      <vt:variant>
        <vt:i4>1966128</vt:i4>
      </vt:variant>
      <vt:variant>
        <vt:i4>494</vt:i4>
      </vt:variant>
      <vt:variant>
        <vt:i4>0</vt:i4>
      </vt:variant>
      <vt:variant>
        <vt:i4>5</vt:i4>
      </vt:variant>
      <vt:variant>
        <vt:lpwstr/>
      </vt:variant>
      <vt:variant>
        <vt:lpwstr>_Toc17707816</vt:lpwstr>
      </vt:variant>
      <vt:variant>
        <vt:i4>1900592</vt:i4>
      </vt:variant>
      <vt:variant>
        <vt:i4>488</vt:i4>
      </vt:variant>
      <vt:variant>
        <vt:i4>0</vt:i4>
      </vt:variant>
      <vt:variant>
        <vt:i4>5</vt:i4>
      </vt:variant>
      <vt:variant>
        <vt:lpwstr/>
      </vt:variant>
      <vt:variant>
        <vt:lpwstr>_Toc17707815</vt:lpwstr>
      </vt:variant>
      <vt:variant>
        <vt:i4>1835056</vt:i4>
      </vt:variant>
      <vt:variant>
        <vt:i4>482</vt:i4>
      </vt:variant>
      <vt:variant>
        <vt:i4>0</vt:i4>
      </vt:variant>
      <vt:variant>
        <vt:i4>5</vt:i4>
      </vt:variant>
      <vt:variant>
        <vt:lpwstr/>
      </vt:variant>
      <vt:variant>
        <vt:lpwstr>_Toc17707814</vt:lpwstr>
      </vt:variant>
      <vt:variant>
        <vt:i4>1769520</vt:i4>
      </vt:variant>
      <vt:variant>
        <vt:i4>476</vt:i4>
      </vt:variant>
      <vt:variant>
        <vt:i4>0</vt:i4>
      </vt:variant>
      <vt:variant>
        <vt:i4>5</vt:i4>
      </vt:variant>
      <vt:variant>
        <vt:lpwstr/>
      </vt:variant>
      <vt:variant>
        <vt:lpwstr>_Toc17707813</vt:lpwstr>
      </vt:variant>
      <vt:variant>
        <vt:i4>1703984</vt:i4>
      </vt:variant>
      <vt:variant>
        <vt:i4>470</vt:i4>
      </vt:variant>
      <vt:variant>
        <vt:i4>0</vt:i4>
      </vt:variant>
      <vt:variant>
        <vt:i4>5</vt:i4>
      </vt:variant>
      <vt:variant>
        <vt:lpwstr/>
      </vt:variant>
      <vt:variant>
        <vt:lpwstr>_Toc17707812</vt:lpwstr>
      </vt:variant>
      <vt:variant>
        <vt:i4>1638448</vt:i4>
      </vt:variant>
      <vt:variant>
        <vt:i4>464</vt:i4>
      </vt:variant>
      <vt:variant>
        <vt:i4>0</vt:i4>
      </vt:variant>
      <vt:variant>
        <vt:i4>5</vt:i4>
      </vt:variant>
      <vt:variant>
        <vt:lpwstr/>
      </vt:variant>
      <vt:variant>
        <vt:lpwstr>_Toc17707811</vt:lpwstr>
      </vt:variant>
      <vt:variant>
        <vt:i4>1572912</vt:i4>
      </vt:variant>
      <vt:variant>
        <vt:i4>458</vt:i4>
      </vt:variant>
      <vt:variant>
        <vt:i4>0</vt:i4>
      </vt:variant>
      <vt:variant>
        <vt:i4>5</vt:i4>
      </vt:variant>
      <vt:variant>
        <vt:lpwstr/>
      </vt:variant>
      <vt:variant>
        <vt:lpwstr>_Toc17707810</vt:lpwstr>
      </vt:variant>
      <vt:variant>
        <vt:i4>1114161</vt:i4>
      </vt:variant>
      <vt:variant>
        <vt:i4>452</vt:i4>
      </vt:variant>
      <vt:variant>
        <vt:i4>0</vt:i4>
      </vt:variant>
      <vt:variant>
        <vt:i4>5</vt:i4>
      </vt:variant>
      <vt:variant>
        <vt:lpwstr/>
      </vt:variant>
      <vt:variant>
        <vt:lpwstr>_Toc17707809</vt:lpwstr>
      </vt:variant>
      <vt:variant>
        <vt:i4>1048625</vt:i4>
      </vt:variant>
      <vt:variant>
        <vt:i4>446</vt:i4>
      </vt:variant>
      <vt:variant>
        <vt:i4>0</vt:i4>
      </vt:variant>
      <vt:variant>
        <vt:i4>5</vt:i4>
      </vt:variant>
      <vt:variant>
        <vt:lpwstr/>
      </vt:variant>
      <vt:variant>
        <vt:lpwstr>_Toc17707808</vt:lpwstr>
      </vt:variant>
      <vt:variant>
        <vt:i4>2031665</vt:i4>
      </vt:variant>
      <vt:variant>
        <vt:i4>440</vt:i4>
      </vt:variant>
      <vt:variant>
        <vt:i4>0</vt:i4>
      </vt:variant>
      <vt:variant>
        <vt:i4>5</vt:i4>
      </vt:variant>
      <vt:variant>
        <vt:lpwstr/>
      </vt:variant>
      <vt:variant>
        <vt:lpwstr>_Toc17707807</vt:lpwstr>
      </vt:variant>
      <vt:variant>
        <vt:i4>1966129</vt:i4>
      </vt:variant>
      <vt:variant>
        <vt:i4>434</vt:i4>
      </vt:variant>
      <vt:variant>
        <vt:i4>0</vt:i4>
      </vt:variant>
      <vt:variant>
        <vt:i4>5</vt:i4>
      </vt:variant>
      <vt:variant>
        <vt:lpwstr/>
      </vt:variant>
      <vt:variant>
        <vt:lpwstr>_Toc17707806</vt:lpwstr>
      </vt:variant>
      <vt:variant>
        <vt:i4>1900593</vt:i4>
      </vt:variant>
      <vt:variant>
        <vt:i4>428</vt:i4>
      </vt:variant>
      <vt:variant>
        <vt:i4>0</vt:i4>
      </vt:variant>
      <vt:variant>
        <vt:i4>5</vt:i4>
      </vt:variant>
      <vt:variant>
        <vt:lpwstr/>
      </vt:variant>
      <vt:variant>
        <vt:lpwstr>_Toc17707805</vt:lpwstr>
      </vt:variant>
      <vt:variant>
        <vt:i4>1835057</vt:i4>
      </vt:variant>
      <vt:variant>
        <vt:i4>422</vt:i4>
      </vt:variant>
      <vt:variant>
        <vt:i4>0</vt:i4>
      </vt:variant>
      <vt:variant>
        <vt:i4>5</vt:i4>
      </vt:variant>
      <vt:variant>
        <vt:lpwstr/>
      </vt:variant>
      <vt:variant>
        <vt:lpwstr>_Toc17707804</vt:lpwstr>
      </vt:variant>
      <vt:variant>
        <vt:i4>1769521</vt:i4>
      </vt:variant>
      <vt:variant>
        <vt:i4>416</vt:i4>
      </vt:variant>
      <vt:variant>
        <vt:i4>0</vt:i4>
      </vt:variant>
      <vt:variant>
        <vt:i4>5</vt:i4>
      </vt:variant>
      <vt:variant>
        <vt:lpwstr/>
      </vt:variant>
      <vt:variant>
        <vt:lpwstr>_Toc17707803</vt:lpwstr>
      </vt:variant>
      <vt:variant>
        <vt:i4>1703985</vt:i4>
      </vt:variant>
      <vt:variant>
        <vt:i4>410</vt:i4>
      </vt:variant>
      <vt:variant>
        <vt:i4>0</vt:i4>
      </vt:variant>
      <vt:variant>
        <vt:i4>5</vt:i4>
      </vt:variant>
      <vt:variant>
        <vt:lpwstr/>
      </vt:variant>
      <vt:variant>
        <vt:lpwstr>_Toc17707802</vt:lpwstr>
      </vt:variant>
      <vt:variant>
        <vt:i4>1638449</vt:i4>
      </vt:variant>
      <vt:variant>
        <vt:i4>404</vt:i4>
      </vt:variant>
      <vt:variant>
        <vt:i4>0</vt:i4>
      </vt:variant>
      <vt:variant>
        <vt:i4>5</vt:i4>
      </vt:variant>
      <vt:variant>
        <vt:lpwstr/>
      </vt:variant>
      <vt:variant>
        <vt:lpwstr>_Toc17707801</vt:lpwstr>
      </vt:variant>
      <vt:variant>
        <vt:i4>1572913</vt:i4>
      </vt:variant>
      <vt:variant>
        <vt:i4>398</vt:i4>
      </vt:variant>
      <vt:variant>
        <vt:i4>0</vt:i4>
      </vt:variant>
      <vt:variant>
        <vt:i4>5</vt:i4>
      </vt:variant>
      <vt:variant>
        <vt:lpwstr/>
      </vt:variant>
      <vt:variant>
        <vt:lpwstr>_Toc17707800</vt:lpwstr>
      </vt:variant>
      <vt:variant>
        <vt:i4>1966136</vt:i4>
      </vt:variant>
      <vt:variant>
        <vt:i4>392</vt:i4>
      </vt:variant>
      <vt:variant>
        <vt:i4>0</vt:i4>
      </vt:variant>
      <vt:variant>
        <vt:i4>5</vt:i4>
      </vt:variant>
      <vt:variant>
        <vt:lpwstr/>
      </vt:variant>
      <vt:variant>
        <vt:lpwstr>_Toc17707799</vt:lpwstr>
      </vt:variant>
      <vt:variant>
        <vt:i4>2031672</vt:i4>
      </vt:variant>
      <vt:variant>
        <vt:i4>386</vt:i4>
      </vt:variant>
      <vt:variant>
        <vt:i4>0</vt:i4>
      </vt:variant>
      <vt:variant>
        <vt:i4>5</vt:i4>
      </vt:variant>
      <vt:variant>
        <vt:lpwstr/>
      </vt:variant>
      <vt:variant>
        <vt:lpwstr>_Toc17707798</vt:lpwstr>
      </vt:variant>
      <vt:variant>
        <vt:i4>1048632</vt:i4>
      </vt:variant>
      <vt:variant>
        <vt:i4>380</vt:i4>
      </vt:variant>
      <vt:variant>
        <vt:i4>0</vt:i4>
      </vt:variant>
      <vt:variant>
        <vt:i4>5</vt:i4>
      </vt:variant>
      <vt:variant>
        <vt:lpwstr/>
      </vt:variant>
      <vt:variant>
        <vt:lpwstr>_Toc17707797</vt:lpwstr>
      </vt:variant>
      <vt:variant>
        <vt:i4>1114168</vt:i4>
      </vt:variant>
      <vt:variant>
        <vt:i4>374</vt:i4>
      </vt:variant>
      <vt:variant>
        <vt:i4>0</vt:i4>
      </vt:variant>
      <vt:variant>
        <vt:i4>5</vt:i4>
      </vt:variant>
      <vt:variant>
        <vt:lpwstr/>
      </vt:variant>
      <vt:variant>
        <vt:lpwstr>_Toc17707796</vt:lpwstr>
      </vt:variant>
      <vt:variant>
        <vt:i4>1179704</vt:i4>
      </vt:variant>
      <vt:variant>
        <vt:i4>368</vt:i4>
      </vt:variant>
      <vt:variant>
        <vt:i4>0</vt:i4>
      </vt:variant>
      <vt:variant>
        <vt:i4>5</vt:i4>
      </vt:variant>
      <vt:variant>
        <vt:lpwstr/>
      </vt:variant>
      <vt:variant>
        <vt:lpwstr>_Toc17707795</vt:lpwstr>
      </vt:variant>
      <vt:variant>
        <vt:i4>1245240</vt:i4>
      </vt:variant>
      <vt:variant>
        <vt:i4>362</vt:i4>
      </vt:variant>
      <vt:variant>
        <vt:i4>0</vt:i4>
      </vt:variant>
      <vt:variant>
        <vt:i4>5</vt:i4>
      </vt:variant>
      <vt:variant>
        <vt:lpwstr/>
      </vt:variant>
      <vt:variant>
        <vt:lpwstr>_Toc17707794</vt:lpwstr>
      </vt:variant>
      <vt:variant>
        <vt:i4>1310776</vt:i4>
      </vt:variant>
      <vt:variant>
        <vt:i4>356</vt:i4>
      </vt:variant>
      <vt:variant>
        <vt:i4>0</vt:i4>
      </vt:variant>
      <vt:variant>
        <vt:i4>5</vt:i4>
      </vt:variant>
      <vt:variant>
        <vt:lpwstr/>
      </vt:variant>
      <vt:variant>
        <vt:lpwstr>_Toc17707793</vt:lpwstr>
      </vt:variant>
      <vt:variant>
        <vt:i4>1376312</vt:i4>
      </vt:variant>
      <vt:variant>
        <vt:i4>350</vt:i4>
      </vt:variant>
      <vt:variant>
        <vt:i4>0</vt:i4>
      </vt:variant>
      <vt:variant>
        <vt:i4>5</vt:i4>
      </vt:variant>
      <vt:variant>
        <vt:lpwstr/>
      </vt:variant>
      <vt:variant>
        <vt:lpwstr>_Toc17707792</vt:lpwstr>
      </vt:variant>
      <vt:variant>
        <vt:i4>1441848</vt:i4>
      </vt:variant>
      <vt:variant>
        <vt:i4>344</vt:i4>
      </vt:variant>
      <vt:variant>
        <vt:i4>0</vt:i4>
      </vt:variant>
      <vt:variant>
        <vt:i4>5</vt:i4>
      </vt:variant>
      <vt:variant>
        <vt:lpwstr/>
      </vt:variant>
      <vt:variant>
        <vt:lpwstr>_Toc17707791</vt:lpwstr>
      </vt:variant>
      <vt:variant>
        <vt:i4>1507384</vt:i4>
      </vt:variant>
      <vt:variant>
        <vt:i4>338</vt:i4>
      </vt:variant>
      <vt:variant>
        <vt:i4>0</vt:i4>
      </vt:variant>
      <vt:variant>
        <vt:i4>5</vt:i4>
      </vt:variant>
      <vt:variant>
        <vt:lpwstr/>
      </vt:variant>
      <vt:variant>
        <vt:lpwstr>_Toc17707790</vt:lpwstr>
      </vt:variant>
      <vt:variant>
        <vt:i4>1966137</vt:i4>
      </vt:variant>
      <vt:variant>
        <vt:i4>332</vt:i4>
      </vt:variant>
      <vt:variant>
        <vt:i4>0</vt:i4>
      </vt:variant>
      <vt:variant>
        <vt:i4>5</vt:i4>
      </vt:variant>
      <vt:variant>
        <vt:lpwstr/>
      </vt:variant>
      <vt:variant>
        <vt:lpwstr>_Toc17707789</vt:lpwstr>
      </vt:variant>
      <vt:variant>
        <vt:i4>2031673</vt:i4>
      </vt:variant>
      <vt:variant>
        <vt:i4>326</vt:i4>
      </vt:variant>
      <vt:variant>
        <vt:i4>0</vt:i4>
      </vt:variant>
      <vt:variant>
        <vt:i4>5</vt:i4>
      </vt:variant>
      <vt:variant>
        <vt:lpwstr/>
      </vt:variant>
      <vt:variant>
        <vt:lpwstr>_Toc17707788</vt:lpwstr>
      </vt:variant>
      <vt:variant>
        <vt:i4>1048633</vt:i4>
      </vt:variant>
      <vt:variant>
        <vt:i4>320</vt:i4>
      </vt:variant>
      <vt:variant>
        <vt:i4>0</vt:i4>
      </vt:variant>
      <vt:variant>
        <vt:i4>5</vt:i4>
      </vt:variant>
      <vt:variant>
        <vt:lpwstr/>
      </vt:variant>
      <vt:variant>
        <vt:lpwstr>_Toc17707787</vt:lpwstr>
      </vt:variant>
      <vt:variant>
        <vt:i4>1114169</vt:i4>
      </vt:variant>
      <vt:variant>
        <vt:i4>314</vt:i4>
      </vt:variant>
      <vt:variant>
        <vt:i4>0</vt:i4>
      </vt:variant>
      <vt:variant>
        <vt:i4>5</vt:i4>
      </vt:variant>
      <vt:variant>
        <vt:lpwstr/>
      </vt:variant>
      <vt:variant>
        <vt:lpwstr>_Toc17707786</vt:lpwstr>
      </vt:variant>
      <vt:variant>
        <vt:i4>1179705</vt:i4>
      </vt:variant>
      <vt:variant>
        <vt:i4>308</vt:i4>
      </vt:variant>
      <vt:variant>
        <vt:i4>0</vt:i4>
      </vt:variant>
      <vt:variant>
        <vt:i4>5</vt:i4>
      </vt:variant>
      <vt:variant>
        <vt:lpwstr/>
      </vt:variant>
      <vt:variant>
        <vt:lpwstr>_Toc17707785</vt:lpwstr>
      </vt:variant>
      <vt:variant>
        <vt:i4>1245241</vt:i4>
      </vt:variant>
      <vt:variant>
        <vt:i4>302</vt:i4>
      </vt:variant>
      <vt:variant>
        <vt:i4>0</vt:i4>
      </vt:variant>
      <vt:variant>
        <vt:i4>5</vt:i4>
      </vt:variant>
      <vt:variant>
        <vt:lpwstr/>
      </vt:variant>
      <vt:variant>
        <vt:lpwstr>_Toc17707784</vt:lpwstr>
      </vt:variant>
      <vt:variant>
        <vt:i4>1310777</vt:i4>
      </vt:variant>
      <vt:variant>
        <vt:i4>296</vt:i4>
      </vt:variant>
      <vt:variant>
        <vt:i4>0</vt:i4>
      </vt:variant>
      <vt:variant>
        <vt:i4>5</vt:i4>
      </vt:variant>
      <vt:variant>
        <vt:lpwstr/>
      </vt:variant>
      <vt:variant>
        <vt:lpwstr>_Toc17707783</vt:lpwstr>
      </vt:variant>
      <vt:variant>
        <vt:i4>1376313</vt:i4>
      </vt:variant>
      <vt:variant>
        <vt:i4>290</vt:i4>
      </vt:variant>
      <vt:variant>
        <vt:i4>0</vt:i4>
      </vt:variant>
      <vt:variant>
        <vt:i4>5</vt:i4>
      </vt:variant>
      <vt:variant>
        <vt:lpwstr/>
      </vt:variant>
      <vt:variant>
        <vt:lpwstr>_Toc17707782</vt:lpwstr>
      </vt:variant>
      <vt:variant>
        <vt:i4>1441849</vt:i4>
      </vt:variant>
      <vt:variant>
        <vt:i4>284</vt:i4>
      </vt:variant>
      <vt:variant>
        <vt:i4>0</vt:i4>
      </vt:variant>
      <vt:variant>
        <vt:i4>5</vt:i4>
      </vt:variant>
      <vt:variant>
        <vt:lpwstr/>
      </vt:variant>
      <vt:variant>
        <vt:lpwstr>_Toc17707781</vt:lpwstr>
      </vt:variant>
      <vt:variant>
        <vt:i4>1507385</vt:i4>
      </vt:variant>
      <vt:variant>
        <vt:i4>278</vt:i4>
      </vt:variant>
      <vt:variant>
        <vt:i4>0</vt:i4>
      </vt:variant>
      <vt:variant>
        <vt:i4>5</vt:i4>
      </vt:variant>
      <vt:variant>
        <vt:lpwstr/>
      </vt:variant>
      <vt:variant>
        <vt:lpwstr>_Toc17707780</vt:lpwstr>
      </vt:variant>
      <vt:variant>
        <vt:i4>1966134</vt:i4>
      </vt:variant>
      <vt:variant>
        <vt:i4>272</vt:i4>
      </vt:variant>
      <vt:variant>
        <vt:i4>0</vt:i4>
      </vt:variant>
      <vt:variant>
        <vt:i4>5</vt:i4>
      </vt:variant>
      <vt:variant>
        <vt:lpwstr/>
      </vt:variant>
      <vt:variant>
        <vt:lpwstr>_Toc17707779</vt:lpwstr>
      </vt:variant>
      <vt:variant>
        <vt:i4>2031670</vt:i4>
      </vt:variant>
      <vt:variant>
        <vt:i4>266</vt:i4>
      </vt:variant>
      <vt:variant>
        <vt:i4>0</vt:i4>
      </vt:variant>
      <vt:variant>
        <vt:i4>5</vt:i4>
      </vt:variant>
      <vt:variant>
        <vt:lpwstr/>
      </vt:variant>
      <vt:variant>
        <vt:lpwstr>_Toc17707778</vt:lpwstr>
      </vt:variant>
      <vt:variant>
        <vt:i4>1048630</vt:i4>
      </vt:variant>
      <vt:variant>
        <vt:i4>260</vt:i4>
      </vt:variant>
      <vt:variant>
        <vt:i4>0</vt:i4>
      </vt:variant>
      <vt:variant>
        <vt:i4>5</vt:i4>
      </vt:variant>
      <vt:variant>
        <vt:lpwstr/>
      </vt:variant>
      <vt:variant>
        <vt:lpwstr>_Toc17707777</vt:lpwstr>
      </vt:variant>
      <vt:variant>
        <vt:i4>1114166</vt:i4>
      </vt:variant>
      <vt:variant>
        <vt:i4>254</vt:i4>
      </vt:variant>
      <vt:variant>
        <vt:i4>0</vt:i4>
      </vt:variant>
      <vt:variant>
        <vt:i4>5</vt:i4>
      </vt:variant>
      <vt:variant>
        <vt:lpwstr/>
      </vt:variant>
      <vt:variant>
        <vt:lpwstr>_Toc17707776</vt:lpwstr>
      </vt:variant>
      <vt:variant>
        <vt:i4>1179702</vt:i4>
      </vt:variant>
      <vt:variant>
        <vt:i4>248</vt:i4>
      </vt:variant>
      <vt:variant>
        <vt:i4>0</vt:i4>
      </vt:variant>
      <vt:variant>
        <vt:i4>5</vt:i4>
      </vt:variant>
      <vt:variant>
        <vt:lpwstr/>
      </vt:variant>
      <vt:variant>
        <vt:lpwstr>_Toc17707775</vt:lpwstr>
      </vt:variant>
      <vt:variant>
        <vt:i4>1245238</vt:i4>
      </vt:variant>
      <vt:variant>
        <vt:i4>242</vt:i4>
      </vt:variant>
      <vt:variant>
        <vt:i4>0</vt:i4>
      </vt:variant>
      <vt:variant>
        <vt:i4>5</vt:i4>
      </vt:variant>
      <vt:variant>
        <vt:lpwstr/>
      </vt:variant>
      <vt:variant>
        <vt:lpwstr>_Toc17707774</vt:lpwstr>
      </vt:variant>
      <vt:variant>
        <vt:i4>1310774</vt:i4>
      </vt:variant>
      <vt:variant>
        <vt:i4>236</vt:i4>
      </vt:variant>
      <vt:variant>
        <vt:i4>0</vt:i4>
      </vt:variant>
      <vt:variant>
        <vt:i4>5</vt:i4>
      </vt:variant>
      <vt:variant>
        <vt:lpwstr/>
      </vt:variant>
      <vt:variant>
        <vt:lpwstr>_Toc17707773</vt:lpwstr>
      </vt:variant>
      <vt:variant>
        <vt:i4>1376310</vt:i4>
      </vt:variant>
      <vt:variant>
        <vt:i4>230</vt:i4>
      </vt:variant>
      <vt:variant>
        <vt:i4>0</vt:i4>
      </vt:variant>
      <vt:variant>
        <vt:i4>5</vt:i4>
      </vt:variant>
      <vt:variant>
        <vt:lpwstr/>
      </vt:variant>
      <vt:variant>
        <vt:lpwstr>_Toc17707772</vt:lpwstr>
      </vt:variant>
      <vt:variant>
        <vt:i4>1441846</vt:i4>
      </vt:variant>
      <vt:variant>
        <vt:i4>224</vt:i4>
      </vt:variant>
      <vt:variant>
        <vt:i4>0</vt:i4>
      </vt:variant>
      <vt:variant>
        <vt:i4>5</vt:i4>
      </vt:variant>
      <vt:variant>
        <vt:lpwstr/>
      </vt:variant>
      <vt:variant>
        <vt:lpwstr>_Toc17707771</vt:lpwstr>
      </vt:variant>
      <vt:variant>
        <vt:i4>1507382</vt:i4>
      </vt:variant>
      <vt:variant>
        <vt:i4>218</vt:i4>
      </vt:variant>
      <vt:variant>
        <vt:i4>0</vt:i4>
      </vt:variant>
      <vt:variant>
        <vt:i4>5</vt:i4>
      </vt:variant>
      <vt:variant>
        <vt:lpwstr/>
      </vt:variant>
      <vt:variant>
        <vt:lpwstr>_Toc17707770</vt:lpwstr>
      </vt:variant>
      <vt:variant>
        <vt:i4>1966135</vt:i4>
      </vt:variant>
      <vt:variant>
        <vt:i4>212</vt:i4>
      </vt:variant>
      <vt:variant>
        <vt:i4>0</vt:i4>
      </vt:variant>
      <vt:variant>
        <vt:i4>5</vt:i4>
      </vt:variant>
      <vt:variant>
        <vt:lpwstr/>
      </vt:variant>
      <vt:variant>
        <vt:lpwstr>_Toc17707769</vt:lpwstr>
      </vt:variant>
      <vt:variant>
        <vt:i4>2031671</vt:i4>
      </vt:variant>
      <vt:variant>
        <vt:i4>206</vt:i4>
      </vt:variant>
      <vt:variant>
        <vt:i4>0</vt:i4>
      </vt:variant>
      <vt:variant>
        <vt:i4>5</vt:i4>
      </vt:variant>
      <vt:variant>
        <vt:lpwstr/>
      </vt:variant>
      <vt:variant>
        <vt:lpwstr>_Toc17707768</vt:lpwstr>
      </vt:variant>
      <vt:variant>
        <vt:i4>1048631</vt:i4>
      </vt:variant>
      <vt:variant>
        <vt:i4>200</vt:i4>
      </vt:variant>
      <vt:variant>
        <vt:i4>0</vt:i4>
      </vt:variant>
      <vt:variant>
        <vt:i4>5</vt:i4>
      </vt:variant>
      <vt:variant>
        <vt:lpwstr/>
      </vt:variant>
      <vt:variant>
        <vt:lpwstr>_Toc17707767</vt:lpwstr>
      </vt:variant>
      <vt:variant>
        <vt:i4>1114167</vt:i4>
      </vt:variant>
      <vt:variant>
        <vt:i4>194</vt:i4>
      </vt:variant>
      <vt:variant>
        <vt:i4>0</vt:i4>
      </vt:variant>
      <vt:variant>
        <vt:i4>5</vt:i4>
      </vt:variant>
      <vt:variant>
        <vt:lpwstr/>
      </vt:variant>
      <vt:variant>
        <vt:lpwstr>_Toc17707766</vt:lpwstr>
      </vt:variant>
      <vt:variant>
        <vt:i4>1179703</vt:i4>
      </vt:variant>
      <vt:variant>
        <vt:i4>188</vt:i4>
      </vt:variant>
      <vt:variant>
        <vt:i4>0</vt:i4>
      </vt:variant>
      <vt:variant>
        <vt:i4>5</vt:i4>
      </vt:variant>
      <vt:variant>
        <vt:lpwstr/>
      </vt:variant>
      <vt:variant>
        <vt:lpwstr>_Toc17707765</vt:lpwstr>
      </vt:variant>
      <vt:variant>
        <vt:i4>1245239</vt:i4>
      </vt:variant>
      <vt:variant>
        <vt:i4>182</vt:i4>
      </vt:variant>
      <vt:variant>
        <vt:i4>0</vt:i4>
      </vt:variant>
      <vt:variant>
        <vt:i4>5</vt:i4>
      </vt:variant>
      <vt:variant>
        <vt:lpwstr/>
      </vt:variant>
      <vt:variant>
        <vt:lpwstr>_Toc17707764</vt:lpwstr>
      </vt:variant>
      <vt:variant>
        <vt:i4>1310775</vt:i4>
      </vt:variant>
      <vt:variant>
        <vt:i4>176</vt:i4>
      </vt:variant>
      <vt:variant>
        <vt:i4>0</vt:i4>
      </vt:variant>
      <vt:variant>
        <vt:i4>5</vt:i4>
      </vt:variant>
      <vt:variant>
        <vt:lpwstr/>
      </vt:variant>
      <vt:variant>
        <vt:lpwstr>_Toc17707763</vt:lpwstr>
      </vt:variant>
      <vt:variant>
        <vt:i4>1376311</vt:i4>
      </vt:variant>
      <vt:variant>
        <vt:i4>170</vt:i4>
      </vt:variant>
      <vt:variant>
        <vt:i4>0</vt:i4>
      </vt:variant>
      <vt:variant>
        <vt:i4>5</vt:i4>
      </vt:variant>
      <vt:variant>
        <vt:lpwstr/>
      </vt:variant>
      <vt:variant>
        <vt:lpwstr>_Toc17707762</vt:lpwstr>
      </vt:variant>
      <vt:variant>
        <vt:i4>1441847</vt:i4>
      </vt:variant>
      <vt:variant>
        <vt:i4>164</vt:i4>
      </vt:variant>
      <vt:variant>
        <vt:i4>0</vt:i4>
      </vt:variant>
      <vt:variant>
        <vt:i4>5</vt:i4>
      </vt:variant>
      <vt:variant>
        <vt:lpwstr/>
      </vt:variant>
      <vt:variant>
        <vt:lpwstr>_Toc17707761</vt:lpwstr>
      </vt:variant>
      <vt:variant>
        <vt:i4>1507383</vt:i4>
      </vt:variant>
      <vt:variant>
        <vt:i4>158</vt:i4>
      </vt:variant>
      <vt:variant>
        <vt:i4>0</vt:i4>
      </vt:variant>
      <vt:variant>
        <vt:i4>5</vt:i4>
      </vt:variant>
      <vt:variant>
        <vt:lpwstr/>
      </vt:variant>
      <vt:variant>
        <vt:lpwstr>_Toc17707760</vt:lpwstr>
      </vt:variant>
      <vt:variant>
        <vt:i4>1966132</vt:i4>
      </vt:variant>
      <vt:variant>
        <vt:i4>152</vt:i4>
      </vt:variant>
      <vt:variant>
        <vt:i4>0</vt:i4>
      </vt:variant>
      <vt:variant>
        <vt:i4>5</vt:i4>
      </vt:variant>
      <vt:variant>
        <vt:lpwstr/>
      </vt:variant>
      <vt:variant>
        <vt:lpwstr>_Toc17707759</vt:lpwstr>
      </vt:variant>
      <vt:variant>
        <vt:i4>2031668</vt:i4>
      </vt:variant>
      <vt:variant>
        <vt:i4>146</vt:i4>
      </vt:variant>
      <vt:variant>
        <vt:i4>0</vt:i4>
      </vt:variant>
      <vt:variant>
        <vt:i4>5</vt:i4>
      </vt:variant>
      <vt:variant>
        <vt:lpwstr/>
      </vt:variant>
      <vt:variant>
        <vt:lpwstr>_Toc17707758</vt:lpwstr>
      </vt:variant>
      <vt:variant>
        <vt:i4>1048628</vt:i4>
      </vt:variant>
      <vt:variant>
        <vt:i4>140</vt:i4>
      </vt:variant>
      <vt:variant>
        <vt:i4>0</vt:i4>
      </vt:variant>
      <vt:variant>
        <vt:i4>5</vt:i4>
      </vt:variant>
      <vt:variant>
        <vt:lpwstr/>
      </vt:variant>
      <vt:variant>
        <vt:lpwstr>_Toc17707757</vt:lpwstr>
      </vt:variant>
      <vt:variant>
        <vt:i4>1114164</vt:i4>
      </vt:variant>
      <vt:variant>
        <vt:i4>134</vt:i4>
      </vt:variant>
      <vt:variant>
        <vt:i4>0</vt:i4>
      </vt:variant>
      <vt:variant>
        <vt:i4>5</vt:i4>
      </vt:variant>
      <vt:variant>
        <vt:lpwstr/>
      </vt:variant>
      <vt:variant>
        <vt:lpwstr>_Toc17707756</vt:lpwstr>
      </vt:variant>
      <vt:variant>
        <vt:i4>1179700</vt:i4>
      </vt:variant>
      <vt:variant>
        <vt:i4>128</vt:i4>
      </vt:variant>
      <vt:variant>
        <vt:i4>0</vt:i4>
      </vt:variant>
      <vt:variant>
        <vt:i4>5</vt:i4>
      </vt:variant>
      <vt:variant>
        <vt:lpwstr/>
      </vt:variant>
      <vt:variant>
        <vt:lpwstr>_Toc17707755</vt:lpwstr>
      </vt:variant>
      <vt:variant>
        <vt:i4>1245236</vt:i4>
      </vt:variant>
      <vt:variant>
        <vt:i4>122</vt:i4>
      </vt:variant>
      <vt:variant>
        <vt:i4>0</vt:i4>
      </vt:variant>
      <vt:variant>
        <vt:i4>5</vt:i4>
      </vt:variant>
      <vt:variant>
        <vt:lpwstr/>
      </vt:variant>
      <vt:variant>
        <vt:lpwstr>_Toc17707754</vt:lpwstr>
      </vt:variant>
      <vt:variant>
        <vt:i4>1310772</vt:i4>
      </vt:variant>
      <vt:variant>
        <vt:i4>116</vt:i4>
      </vt:variant>
      <vt:variant>
        <vt:i4>0</vt:i4>
      </vt:variant>
      <vt:variant>
        <vt:i4>5</vt:i4>
      </vt:variant>
      <vt:variant>
        <vt:lpwstr/>
      </vt:variant>
      <vt:variant>
        <vt:lpwstr>_Toc17707753</vt:lpwstr>
      </vt:variant>
      <vt:variant>
        <vt:i4>1376308</vt:i4>
      </vt:variant>
      <vt:variant>
        <vt:i4>110</vt:i4>
      </vt:variant>
      <vt:variant>
        <vt:i4>0</vt:i4>
      </vt:variant>
      <vt:variant>
        <vt:i4>5</vt:i4>
      </vt:variant>
      <vt:variant>
        <vt:lpwstr/>
      </vt:variant>
      <vt:variant>
        <vt:lpwstr>_Toc17707752</vt:lpwstr>
      </vt:variant>
      <vt:variant>
        <vt:i4>1441844</vt:i4>
      </vt:variant>
      <vt:variant>
        <vt:i4>104</vt:i4>
      </vt:variant>
      <vt:variant>
        <vt:i4>0</vt:i4>
      </vt:variant>
      <vt:variant>
        <vt:i4>5</vt:i4>
      </vt:variant>
      <vt:variant>
        <vt:lpwstr/>
      </vt:variant>
      <vt:variant>
        <vt:lpwstr>_Toc17707751</vt:lpwstr>
      </vt:variant>
      <vt:variant>
        <vt:i4>1507380</vt:i4>
      </vt:variant>
      <vt:variant>
        <vt:i4>98</vt:i4>
      </vt:variant>
      <vt:variant>
        <vt:i4>0</vt:i4>
      </vt:variant>
      <vt:variant>
        <vt:i4>5</vt:i4>
      </vt:variant>
      <vt:variant>
        <vt:lpwstr/>
      </vt:variant>
      <vt:variant>
        <vt:lpwstr>_Toc17707750</vt:lpwstr>
      </vt:variant>
      <vt:variant>
        <vt:i4>1966133</vt:i4>
      </vt:variant>
      <vt:variant>
        <vt:i4>92</vt:i4>
      </vt:variant>
      <vt:variant>
        <vt:i4>0</vt:i4>
      </vt:variant>
      <vt:variant>
        <vt:i4>5</vt:i4>
      </vt:variant>
      <vt:variant>
        <vt:lpwstr/>
      </vt:variant>
      <vt:variant>
        <vt:lpwstr>_Toc17707749</vt:lpwstr>
      </vt:variant>
      <vt:variant>
        <vt:i4>2031669</vt:i4>
      </vt:variant>
      <vt:variant>
        <vt:i4>86</vt:i4>
      </vt:variant>
      <vt:variant>
        <vt:i4>0</vt:i4>
      </vt:variant>
      <vt:variant>
        <vt:i4>5</vt:i4>
      </vt:variant>
      <vt:variant>
        <vt:lpwstr/>
      </vt:variant>
      <vt:variant>
        <vt:lpwstr>_Toc17707748</vt:lpwstr>
      </vt:variant>
      <vt:variant>
        <vt:i4>1048629</vt:i4>
      </vt:variant>
      <vt:variant>
        <vt:i4>80</vt:i4>
      </vt:variant>
      <vt:variant>
        <vt:i4>0</vt:i4>
      </vt:variant>
      <vt:variant>
        <vt:i4>5</vt:i4>
      </vt:variant>
      <vt:variant>
        <vt:lpwstr/>
      </vt:variant>
      <vt:variant>
        <vt:lpwstr>_Toc17707747</vt:lpwstr>
      </vt:variant>
      <vt:variant>
        <vt:i4>1114165</vt:i4>
      </vt:variant>
      <vt:variant>
        <vt:i4>74</vt:i4>
      </vt:variant>
      <vt:variant>
        <vt:i4>0</vt:i4>
      </vt:variant>
      <vt:variant>
        <vt:i4>5</vt:i4>
      </vt:variant>
      <vt:variant>
        <vt:lpwstr/>
      </vt:variant>
      <vt:variant>
        <vt:lpwstr>_Toc17707746</vt:lpwstr>
      </vt:variant>
      <vt:variant>
        <vt:i4>1179701</vt:i4>
      </vt:variant>
      <vt:variant>
        <vt:i4>68</vt:i4>
      </vt:variant>
      <vt:variant>
        <vt:i4>0</vt:i4>
      </vt:variant>
      <vt:variant>
        <vt:i4>5</vt:i4>
      </vt:variant>
      <vt:variant>
        <vt:lpwstr/>
      </vt:variant>
      <vt:variant>
        <vt:lpwstr>_Toc17707745</vt:lpwstr>
      </vt:variant>
      <vt:variant>
        <vt:i4>1245237</vt:i4>
      </vt:variant>
      <vt:variant>
        <vt:i4>62</vt:i4>
      </vt:variant>
      <vt:variant>
        <vt:i4>0</vt:i4>
      </vt:variant>
      <vt:variant>
        <vt:i4>5</vt:i4>
      </vt:variant>
      <vt:variant>
        <vt:lpwstr/>
      </vt:variant>
      <vt:variant>
        <vt:lpwstr>_Toc17707744</vt:lpwstr>
      </vt:variant>
      <vt:variant>
        <vt:i4>1310773</vt:i4>
      </vt:variant>
      <vt:variant>
        <vt:i4>56</vt:i4>
      </vt:variant>
      <vt:variant>
        <vt:i4>0</vt:i4>
      </vt:variant>
      <vt:variant>
        <vt:i4>5</vt:i4>
      </vt:variant>
      <vt:variant>
        <vt:lpwstr/>
      </vt:variant>
      <vt:variant>
        <vt:lpwstr>_Toc17707743</vt:lpwstr>
      </vt:variant>
      <vt:variant>
        <vt:i4>1376309</vt:i4>
      </vt:variant>
      <vt:variant>
        <vt:i4>50</vt:i4>
      </vt:variant>
      <vt:variant>
        <vt:i4>0</vt:i4>
      </vt:variant>
      <vt:variant>
        <vt:i4>5</vt:i4>
      </vt:variant>
      <vt:variant>
        <vt:lpwstr/>
      </vt:variant>
      <vt:variant>
        <vt:lpwstr>_Toc17707742</vt:lpwstr>
      </vt:variant>
      <vt:variant>
        <vt:i4>1441845</vt:i4>
      </vt:variant>
      <vt:variant>
        <vt:i4>44</vt:i4>
      </vt:variant>
      <vt:variant>
        <vt:i4>0</vt:i4>
      </vt:variant>
      <vt:variant>
        <vt:i4>5</vt:i4>
      </vt:variant>
      <vt:variant>
        <vt:lpwstr/>
      </vt:variant>
      <vt:variant>
        <vt:lpwstr>_Toc17707741</vt:lpwstr>
      </vt:variant>
      <vt:variant>
        <vt:i4>1507381</vt:i4>
      </vt:variant>
      <vt:variant>
        <vt:i4>38</vt:i4>
      </vt:variant>
      <vt:variant>
        <vt:i4>0</vt:i4>
      </vt:variant>
      <vt:variant>
        <vt:i4>5</vt:i4>
      </vt:variant>
      <vt:variant>
        <vt:lpwstr/>
      </vt:variant>
      <vt:variant>
        <vt:lpwstr>_Toc17707740</vt:lpwstr>
      </vt:variant>
      <vt:variant>
        <vt:i4>1966130</vt:i4>
      </vt:variant>
      <vt:variant>
        <vt:i4>32</vt:i4>
      </vt:variant>
      <vt:variant>
        <vt:i4>0</vt:i4>
      </vt:variant>
      <vt:variant>
        <vt:i4>5</vt:i4>
      </vt:variant>
      <vt:variant>
        <vt:lpwstr/>
      </vt:variant>
      <vt:variant>
        <vt:lpwstr>_Toc17707739</vt:lpwstr>
      </vt:variant>
      <vt:variant>
        <vt:i4>2031666</vt:i4>
      </vt:variant>
      <vt:variant>
        <vt:i4>26</vt:i4>
      </vt:variant>
      <vt:variant>
        <vt:i4>0</vt:i4>
      </vt:variant>
      <vt:variant>
        <vt:i4>5</vt:i4>
      </vt:variant>
      <vt:variant>
        <vt:lpwstr/>
      </vt:variant>
      <vt:variant>
        <vt:lpwstr>_Toc17707738</vt:lpwstr>
      </vt:variant>
      <vt:variant>
        <vt:i4>1048626</vt:i4>
      </vt:variant>
      <vt:variant>
        <vt:i4>20</vt:i4>
      </vt:variant>
      <vt:variant>
        <vt:i4>0</vt:i4>
      </vt:variant>
      <vt:variant>
        <vt:i4>5</vt:i4>
      </vt:variant>
      <vt:variant>
        <vt:lpwstr/>
      </vt:variant>
      <vt:variant>
        <vt:lpwstr>_Toc17707737</vt:lpwstr>
      </vt:variant>
      <vt:variant>
        <vt:i4>1114162</vt:i4>
      </vt:variant>
      <vt:variant>
        <vt:i4>14</vt:i4>
      </vt:variant>
      <vt:variant>
        <vt:i4>0</vt:i4>
      </vt:variant>
      <vt:variant>
        <vt:i4>5</vt:i4>
      </vt:variant>
      <vt:variant>
        <vt:lpwstr/>
      </vt:variant>
      <vt:variant>
        <vt:lpwstr>_Toc17707736</vt:lpwstr>
      </vt:variant>
      <vt:variant>
        <vt:i4>1179698</vt:i4>
      </vt:variant>
      <vt:variant>
        <vt:i4>8</vt:i4>
      </vt:variant>
      <vt:variant>
        <vt:i4>0</vt:i4>
      </vt:variant>
      <vt:variant>
        <vt:i4>5</vt:i4>
      </vt:variant>
      <vt:variant>
        <vt:lpwstr/>
      </vt:variant>
      <vt:variant>
        <vt:lpwstr>_Toc17707735</vt:lpwstr>
      </vt:variant>
      <vt:variant>
        <vt:i4>1245234</vt:i4>
      </vt:variant>
      <vt:variant>
        <vt:i4>2</vt:i4>
      </vt:variant>
      <vt:variant>
        <vt:i4>0</vt:i4>
      </vt:variant>
      <vt:variant>
        <vt:i4>5</vt:i4>
      </vt:variant>
      <vt:variant>
        <vt:lpwstr/>
      </vt:variant>
      <vt:variant>
        <vt:lpwstr>_Toc17707734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ERCOT</dc:creator>
  <cp:keywords/>
  <cp:lastModifiedBy>TCPA 04XX24</cp:lastModifiedBy>
  <cp:revision>2</cp:revision>
  <cp:lastPrinted>2019-04-29T17:21:00Z</cp:lastPrinted>
  <dcterms:created xsi:type="dcterms:W3CDTF">2024-04-22T13:55:00Z</dcterms:created>
  <dcterms:modified xsi:type="dcterms:W3CDTF">2024-04-22T13:55:00Z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2023-08-23T19:42:27Z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e783bf01-12b5-48db-9a65-f6bc52e5bec5</vt:lpwstr>
  </property>
  <property fmtid="{D5CDD505-2E9C-101B-9397-08002B2CF9AE}" pid="8" name="MSIP_Label_7084cbda-52b8-46fb-a7b7-cb5bd465ed85_ContentBits">
    <vt:lpwstr>0</vt:lpwstr>
  </property>
</Properties>
</file>