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7B468" w14:textId="77777777" w:rsidR="00F80C33" w:rsidRDefault="00723BFB">
      <w:pPr>
        <w:spacing w:before="2400"/>
        <w:jc w:val="center"/>
        <w:rPr>
          <w:b/>
          <w:sz w:val="36"/>
          <w:szCs w:val="36"/>
        </w:rPr>
      </w:pPr>
      <w:r>
        <w:rPr>
          <w:b/>
          <w:sz w:val="36"/>
          <w:szCs w:val="36"/>
        </w:rPr>
        <w:t>ERCOT Nodal Protocols</w:t>
      </w:r>
    </w:p>
    <w:p w14:paraId="30D0F15E" w14:textId="77777777" w:rsidR="00F80C33" w:rsidRDefault="00F80C33">
      <w:pPr>
        <w:jc w:val="center"/>
        <w:rPr>
          <w:b/>
          <w:sz w:val="36"/>
          <w:szCs w:val="36"/>
        </w:rPr>
      </w:pPr>
    </w:p>
    <w:p w14:paraId="5AC87917" w14:textId="77777777" w:rsidR="00F80C33" w:rsidRDefault="00723BFB">
      <w:pPr>
        <w:jc w:val="center"/>
        <w:rPr>
          <w:b/>
          <w:sz w:val="36"/>
          <w:szCs w:val="36"/>
        </w:rPr>
      </w:pPr>
      <w:r>
        <w:rPr>
          <w:b/>
          <w:sz w:val="36"/>
          <w:szCs w:val="36"/>
        </w:rPr>
        <w:t xml:space="preserve">Section 5: </w:t>
      </w:r>
      <w:r w:rsidR="00ED0E66">
        <w:rPr>
          <w:b/>
          <w:sz w:val="36"/>
          <w:szCs w:val="36"/>
        </w:rPr>
        <w:t xml:space="preserve"> </w:t>
      </w:r>
      <w:r>
        <w:rPr>
          <w:b/>
          <w:sz w:val="36"/>
          <w:szCs w:val="36"/>
        </w:rPr>
        <w:t>Transmission Security Analysis and Reliability Unit Commitment</w:t>
      </w:r>
    </w:p>
    <w:p w14:paraId="57DA4E4E" w14:textId="77777777" w:rsidR="00F80C33" w:rsidRDefault="00F80C33">
      <w:pPr>
        <w:pStyle w:val="BodyText"/>
        <w:jc w:val="center"/>
        <w:rPr>
          <w:b/>
          <w:szCs w:val="24"/>
        </w:rPr>
      </w:pPr>
    </w:p>
    <w:p w14:paraId="6CFAF634" w14:textId="5D3D27C3" w:rsidR="00F80C33" w:rsidRDefault="004E03B9">
      <w:pPr>
        <w:pStyle w:val="BodyText"/>
        <w:jc w:val="center"/>
        <w:rPr>
          <w:b/>
          <w:szCs w:val="24"/>
        </w:rPr>
      </w:pPr>
      <w:r>
        <w:rPr>
          <w:b/>
          <w:szCs w:val="24"/>
        </w:rPr>
        <w:t>Ma</w:t>
      </w:r>
      <w:r w:rsidR="00CF6344">
        <w:rPr>
          <w:b/>
          <w:szCs w:val="24"/>
        </w:rPr>
        <w:t>y</w:t>
      </w:r>
      <w:r w:rsidR="00B243B1">
        <w:rPr>
          <w:b/>
          <w:szCs w:val="24"/>
        </w:rPr>
        <w:t xml:space="preserve"> </w:t>
      </w:r>
      <w:r>
        <w:rPr>
          <w:b/>
          <w:szCs w:val="24"/>
        </w:rPr>
        <w:t>1</w:t>
      </w:r>
      <w:r w:rsidR="00057B6E">
        <w:rPr>
          <w:b/>
          <w:szCs w:val="24"/>
        </w:rPr>
        <w:t>, 20</w:t>
      </w:r>
      <w:r w:rsidR="00533E48">
        <w:rPr>
          <w:b/>
          <w:szCs w:val="24"/>
        </w:rPr>
        <w:t>2</w:t>
      </w:r>
      <w:r w:rsidR="00B243B1">
        <w:rPr>
          <w:b/>
          <w:szCs w:val="24"/>
        </w:rPr>
        <w:t>4</w:t>
      </w:r>
    </w:p>
    <w:p w14:paraId="72C409FF" w14:textId="77777777" w:rsidR="00F80C33" w:rsidRDefault="00F80C33">
      <w:pPr>
        <w:pStyle w:val="BodyText"/>
        <w:jc w:val="center"/>
        <w:rPr>
          <w:b/>
          <w:szCs w:val="24"/>
        </w:rPr>
      </w:pPr>
    </w:p>
    <w:p w14:paraId="65C0650F" w14:textId="77777777" w:rsidR="00F80C33" w:rsidRDefault="00F80C33">
      <w:pPr>
        <w:spacing w:before="360"/>
        <w:rPr>
          <w:b/>
          <w:sz w:val="20"/>
        </w:rPr>
      </w:pPr>
    </w:p>
    <w:p w14:paraId="20F1E02B" w14:textId="77777777" w:rsidR="00F80C33" w:rsidRDefault="00F80C33">
      <w:pPr>
        <w:pBdr>
          <w:top w:val="single" w:sz="4" w:space="1" w:color="auto"/>
        </w:pBdr>
        <w:rPr>
          <w:b/>
          <w:sz w:val="20"/>
        </w:rPr>
      </w:pPr>
    </w:p>
    <w:p w14:paraId="7A31A4CA" w14:textId="77777777" w:rsidR="00F80C33" w:rsidRDefault="00F80C33">
      <w:pPr>
        <w:pBdr>
          <w:top w:val="single" w:sz="4" w:space="1" w:color="auto"/>
        </w:pBdr>
        <w:spacing w:before="960"/>
        <w:jc w:val="both"/>
        <w:rPr>
          <w:b/>
          <w:sz w:val="20"/>
        </w:rPr>
      </w:pPr>
    </w:p>
    <w:p w14:paraId="5D8BCB0C" w14:textId="77777777" w:rsidR="00F80C33" w:rsidRDefault="00F80C33">
      <w:pPr>
        <w:sectPr w:rsidR="00F80C33" w:rsidSect="00AA2617">
          <w:headerReference w:type="default" r:id="rId8"/>
          <w:footerReference w:type="even" r:id="rId9"/>
          <w:footerReference w:type="default" r:id="rId10"/>
          <w:pgSz w:w="12240" w:h="15840" w:code="1"/>
          <w:pgMar w:top="1440" w:right="1440" w:bottom="1440" w:left="1440" w:header="720" w:footer="720" w:gutter="0"/>
          <w:pgNumType w:start="1" w:chapStyle="1"/>
          <w:cols w:space="720"/>
        </w:sectPr>
      </w:pPr>
    </w:p>
    <w:p w14:paraId="157BC405" w14:textId="00C477D0" w:rsidR="00300C4D" w:rsidRDefault="005D5F32">
      <w:pPr>
        <w:pStyle w:val="TOC1"/>
        <w:rPr>
          <w:rFonts w:asciiTheme="minorHAnsi" w:eastAsiaTheme="minorEastAsia" w:hAnsiTheme="minorHAnsi" w:cstheme="minorBidi"/>
          <w:b w:val="0"/>
          <w:bCs w:val="0"/>
          <w:sz w:val="22"/>
          <w:szCs w:val="22"/>
        </w:rPr>
      </w:pPr>
      <w:r w:rsidRPr="00546D25">
        <w:lastRenderedPageBreak/>
        <w:fldChar w:fldCharType="begin"/>
      </w:r>
      <w:r w:rsidR="00723BFB" w:rsidRPr="00546D25">
        <w:instrText xml:space="preserve"> TOC \o "1-6" \h \z \u </w:instrText>
      </w:r>
      <w:r w:rsidRPr="00546D25">
        <w:fldChar w:fldCharType="separate"/>
      </w:r>
      <w:hyperlink w:anchor="_Toc60038327" w:history="1">
        <w:r w:rsidR="00300C4D" w:rsidRPr="00534DA2">
          <w:rPr>
            <w:rStyle w:val="Hyperlink"/>
          </w:rPr>
          <w:t>5</w:t>
        </w:r>
        <w:r w:rsidR="00300C4D">
          <w:rPr>
            <w:rFonts w:asciiTheme="minorHAnsi" w:eastAsiaTheme="minorEastAsia" w:hAnsiTheme="minorHAnsi" w:cstheme="minorBidi"/>
            <w:b w:val="0"/>
            <w:bCs w:val="0"/>
            <w:sz w:val="22"/>
            <w:szCs w:val="22"/>
          </w:rPr>
          <w:tab/>
        </w:r>
        <w:r w:rsidR="00300C4D" w:rsidRPr="00534DA2">
          <w:rPr>
            <w:rStyle w:val="Hyperlink"/>
          </w:rPr>
          <w:t>Transmission Security Analysis and Reliability Unit Commitment</w:t>
        </w:r>
        <w:r w:rsidR="00300C4D">
          <w:rPr>
            <w:webHidden/>
          </w:rPr>
          <w:tab/>
        </w:r>
        <w:r w:rsidR="00300C4D">
          <w:rPr>
            <w:webHidden/>
          </w:rPr>
          <w:fldChar w:fldCharType="begin"/>
        </w:r>
        <w:r w:rsidR="00300C4D">
          <w:rPr>
            <w:webHidden/>
          </w:rPr>
          <w:instrText xml:space="preserve"> PAGEREF _Toc60038327 \h </w:instrText>
        </w:r>
        <w:r w:rsidR="00300C4D">
          <w:rPr>
            <w:webHidden/>
          </w:rPr>
        </w:r>
        <w:r w:rsidR="00300C4D">
          <w:rPr>
            <w:webHidden/>
          </w:rPr>
          <w:fldChar w:fldCharType="separate"/>
        </w:r>
        <w:r w:rsidR="006D1005">
          <w:rPr>
            <w:webHidden/>
          </w:rPr>
          <w:t>5-1</w:t>
        </w:r>
        <w:r w:rsidR="00300C4D">
          <w:rPr>
            <w:webHidden/>
          </w:rPr>
          <w:fldChar w:fldCharType="end"/>
        </w:r>
      </w:hyperlink>
    </w:p>
    <w:p w14:paraId="481BC33D" w14:textId="3B0EA64C" w:rsidR="00300C4D" w:rsidRPr="006D1005" w:rsidRDefault="006D1005">
      <w:pPr>
        <w:pStyle w:val="TOC2"/>
        <w:rPr>
          <w:rFonts w:asciiTheme="minorHAnsi" w:eastAsiaTheme="minorEastAsia" w:hAnsiTheme="minorHAnsi" w:cstheme="minorBidi"/>
          <w:noProof/>
        </w:rPr>
      </w:pPr>
      <w:hyperlink w:anchor="_Toc60038328" w:history="1">
        <w:r w:rsidR="00300C4D" w:rsidRPr="006D1005">
          <w:rPr>
            <w:rStyle w:val="Hyperlink"/>
            <w:noProof/>
          </w:rPr>
          <w:t>5.1</w:t>
        </w:r>
        <w:r w:rsidR="00300C4D" w:rsidRPr="006D1005">
          <w:rPr>
            <w:rFonts w:asciiTheme="minorHAnsi" w:eastAsiaTheme="minorEastAsia" w:hAnsiTheme="minorHAnsi" w:cstheme="minorBidi"/>
            <w:noProof/>
          </w:rPr>
          <w:tab/>
        </w:r>
        <w:r w:rsidR="00300C4D" w:rsidRPr="006D1005">
          <w:rPr>
            <w:rStyle w:val="Hyperlink"/>
            <w:noProof/>
          </w:rPr>
          <w:t>Introduction</w:t>
        </w:r>
        <w:r w:rsidR="00300C4D" w:rsidRPr="006D1005">
          <w:rPr>
            <w:noProof/>
            <w:webHidden/>
          </w:rPr>
          <w:tab/>
        </w:r>
        <w:r w:rsidR="00300C4D" w:rsidRPr="006D1005">
          <w:rPr>
            <w:noProof/>
            <w:webHidden/>
          </w:rPr>
          <w:fldChar w:fldCharType="begin"/>
        </w:r>
        <w:r w:rsidR="00300C4D" w:rsidRPr="006D1005">
          <w:rPr>
            <w:noProof/>
            <w:webHidden/>
          </w:rPr>
          <w:instrText xml:space="preserve"> PAGEREF _Toc60038328 \h </w:instrText>
        </w:r>
        <w:r w:rsidR="00300C4D" w:rsidRPr="006D1005">
          <w:rPr>
            <w:noProof/>
            <w:webHidden/>
          </w:rPr>
        </w:r>
        <w:r w:rsidR="00300C4D" w:rsidRPr="006D1005">
          <w:rPr>
            <w:noProof/>
            <w:webHidden/>
          </w:rPr>
          <w:fldChar w:fldCharType="separate"/>
        </w:r>
        <w:r w:rsidRPr="006D1005">
          <w:rPr>
            <w:noProof/>
            <w:webHidden/>
          </w:rPr>
          <w:t>5-1</w:t>
        </w:r>
        <w:r w:rsidR="00300C4D" w:rsidRPr="006D1005">
          <w:rPr>
            <w:noProof/>
            <w:webHidden/>
          </w:rPr>
          <w:fldChar w:fldCharType="end"/>
        </w:r>
      </w:hyperlink>
    </w:p>
    <w:p w14:paraId="6C1DE9AD" w14:textId="2E2F0D96" w:rsidR="00300C4D" w:rsidRPr="006D1005" w:rsidRDefault="006D1005">
      <w:pPr>
        <w:pStyle w:val="TOC2"/>
        <w:rPr>
          <w:rFonts w:asciiTheme="minorHAnsi" w:eastAsiaTheme="minorEastAsia" w:hAnsiTheme="minorHAnsi" w:cstheme="minorBidi"/>
          <w:noProof/>
        </w:rPr>
      </w:pPr>
      <w:hyperlink w:anchor="_Toc60038329" w:history="1">
        <w:r w:rsidR="00300C4D" w:rsidRPr="006D1005">
          <w:rPr>
            <w:rStyle w:val="Hyperlink"/>
            <w:noProof/>
          </w:rPr>
          <w:t>5.2</w:t>
        </w:r>
        <w:r w:rsidR="00300C4D" w:rsidRPr="006D1005">
          <w:rPr>
            <w:rFonts w:asciiTheme="minorHAnsi" w:eastAsiaTheme="minorEastAsia" w:hAnsiTheme="minorHAnsi" w:cstheme="minorBidi"/>
            <w:noProof/>
          </w:rPr>
          <w:tab/>
        </w:r>
        <w:r w:rsidR="00300C4D" w:rsidRPr="006D1005">
          <w:rPr>
            <w:rStyle w:val="Hyperlink"/>
            <w:noProof/>
          </w:rPr>
          <w:t>Reliability Unit Commitment Timeline Summary</w:t>
        </w:r>
        <w:r w:rsidR="00300C4D" w:rsidRPr="006D1005">
          <w:rPr>
            <w:noProof/>
            <w:webHidden/>
          </w:rPr>
          <w:tab/>
        </w:r>
        <w:r w:rsidR="00300C4D" w:rsidRPr="006D1005">
          <w:rPr>
            <w:noProof/>
            <w:webHidden/>
          </w:rPr>
          <w:fldChar w:fldCharType="begin"/>
        </w:r>
        <w:r w:rsidR="00300C4D" w:rsidRPr="006D1005">
          <w:rPr>
            <w:noProof/>
            <w:webHidden/>
          </w:rPr>
          <w:instrText xml:space="preserve"> PAGEREF _Toc60038329 \h </w:instrText>
        </w:r>
        <w:r w:rsidR="00300C4D" w:rsidRPr="006D1005">
          <w:rPr>
            <w:noProof/>
            <w:webHidden/>
          </w:rPr>
        </w:r>
        <w:r w:rsidR="00300C4D" w:rsidRPr="006D1005">
          <w:rPr>
            <w:noProof/>
            <w:webHidden/>
          </w:rPr>
          <w:fldChar w:fldCharType="separate"/>
        </w:r>
        <w:r w:rsidRPr="006D1005">
          <w:rPr>
            <w:noProof/>
            <w:webHidden/>
          </w:rPr>
          <w:t>5-3</w:t>
        </w:r>
        <w:r w:rsidR="00300C4D" w:rsidRPr="006D1005">
          <w:rPr>
            <w:noProof/>
            <w:webHidden/>
          </w:rPr>
          <w:fldChar w:fldCharType="end"/>
        </w:r>
      </w:hyperlink>
    </w:p>
    <w:p w14:paraId="529A8EFA" w14:textId="6D8F5AD4" w:rsidR="00300C4D" w:rsidRPr="006D1005" w:rsidRDefault="006D1005">
      <w:pPr>
        <w:pStyle w:val="TOC3"/>
        <w:rPr>
          <w:rFonts w:asciiTheme="minorHAnsi" w:eastAsiaTheme="minorEastAsia" w:hAnsiTheme="minorHAnsi" w:cstheme="minorBidi"/>
          <w:i w:val="0"/>
          <w:iCs w:val="0"/>
          <w:noProof/>
        </w:rPr>
      </w:pPr>
      <w:hyperlink w:anchor="_Toc60038330" w:history="1">
        <w:r w:rsidR="00300C4D" w:rsidRPr="006D1005">
          <w:rPr>
            <w:rStyle w:val="Hyperlink"/>
            <w:bCs/>
            <w:i w:val="0"/>
            <w:iCs w:val="0"/>
            <w:noProof/>
          </w:rPr>
          <w:t>5.2.1</w:t>
        </w:r>
        <w:r w:rsidR="00300C4D" w:rsidRPr="006D1005">
          <w:rPr>
            <w:rFonts w:asciiTheme="minorHAnsi" w:eastAsiaTheme="minorEastAsia" w:hAnsiTheme="minorHAnsi" w:cstheme="minorBidi"/>
            <w:i w:val="0"/>
            <w:iCs w:val="0"/>
            <w:noProof/>
          </w:rPr>
          <w:tab/>
        </w:r>
        <w:r w:rsidR="00300C4D" w:rsidRPr="006D1005">
          <w:rPr>
            <w:rStyle w:val="Hyperlink"/>
            <w:bCs/>
            <w:i w:val="0"/>
            <w:iCs w:val="0"/>
            <w:noProof/>
          </w:rPr>
          <w:t>RUC Normal Timeline Summary</w:t>
        </w:r>
        <w:r w:rsidR="00300C4D" w:rsidRPr="006D1005">
          <w:rPr>
            <w:i w:val="0"/>
            <w:iCs w:val="0"/>
            <w:noProof/>
            <w:webHidden/>
          </w:rPr>
          <w:tab/>
        </w:r>
        <w:r w:rsidR="00300C4D" w:rsidRPr="006D1005">
          <w:rPr>
            <w:i w:val="0"/>
            <w:iCs w:val="0"/>
            <w:noProof/>
            <w:webHidden/>
          </w:rPr>
          <w:fldChar w:fldCharType="begin"/>
        </w:r>
        <w:r w:rsidR="00300C4D" w:rsidRPr="006D1005">
          <w:rPr>
            <w:i w:val="0"/>
            <w:iCs w:val="0"/>
            <w:noProof/>
            <w:webHidden/>
          </w:rPr>
          <w:instrText xml:space="preserve"> PAGEREF _Toc60038330 \h </w:instrText>
        </w:r>
        <w:r w:rsidR="00300C4D" w:rsidRPr="006D1005">
          <w:rPr>
            <w:i w:val="0"/>
            <w:iCs w:val="0"/>
            <w:noProof/>
            <w:webHidden/>
          </w:rPr>
        </w:r>
        <w:r w:rsidR="00300C4D" w:rsidRPr="006D1005">
          <w:rPr>
            <w:i w:val="0"/>
            <w:iCs w:val="0"/>
            <w:noProof/>
            <w:webHidden/>
          </w:rPr>
          <w:fldChar w:fldCharType="separate"/>
        </w:r>
        <w:r w:rsidRPr="006D1005">
          <w:rPr>
            <w:i w:val="0"/>
            <w:iCs w:val="0"/>
            <w:noProof/>
            <w:webHidden/>
          </w:rPr>
          <w:t>5-3</w:t>
        </w:r>
        <w:r w:rsidR="00300C4D" w:rsidRPr="006D1005">
          <w:rPr>
            <w:i w:val="0"/>
            <w:iCs w:val="0"/>
            <w:noProof/>
            <w:webHidden/>
          </w:rPr>
          <w:fldChar w:fldCharType="end"/>
        </w:r>
      </w:hyperlink>
    </w:p>
    <w:p w14:paraId="0E6BF3DA" w14:textId="616AA2DF" w:rsidR="00300C4D" w:rsidRPr="006D1005" w:rsidRDefault="006D1005">
      <w:pPr>
        <w:pStyle w:val="TOC3"/>
        <w:rPr>
          <w:rFonts w:asciiTheme="minorHAnsi" w:eastAsiaTheme="minorEastAsia" w:hAnsiTheme="minorHAnsi" w:cstheme="minorBidi"/>
          <w:i w:val="0"/>
          <w:iCs w:val="0"/>
          <w:noProof/>
        </w:rPr>
      </w:pPr>
      <w:hyperlink w:anchor="_Toc60038331" w:history="1">
        <w:r w:rsidR="00300C4D" w:rsidRPr="006D1005">
          <w:rPr>
            <w:rStyle w:val="Hyperlink"/>
            <w:i w:val="0"/>
            <w:iCs w:val="0"/>
            <w:noProof/>
          </w:rPr>
          <w:t>5.2.2</w:t>
        </w:r>
        <w:r w:rsidR="00300C4D" w:rsidRPr="006D1005">
          <w:rPr>
            <w:rFonts w:asciiTheme="minorHAnsi" w:eastAsiaTheme="minorEastAsia" w:hAnsiTheme="minorHAnsi" w:cstheme="minorBidi"/>
            <w:i w:val="0"/>
            <w:iCs w:val="0"/>
            <w:noProof/>
          </w:rPr>
          <w:tab/>
        </w:r>
        <w:r w:rsidR="00300C4D" w:rsidRPr="006D1005">
          <w:rPr>
            <w:rStyle w:val="Hyperlink"/>
            <w:i w:val="0"/>
            <w:iCs w:val="0"/>
            <w:noProof/>
          </w:rPr>
          <w:t>RUC Process Timing Deviations</w:t>
        </w:r>
        <w:r w:rsidR="00300C4D" w:rsidRPr="006D1005">
          <w:rPr>
            <w:i w:val="0"/>
            <w:iCs w:val="0"/>
            <w:noProof/>
            <w:webHidden/>
          </w:rPr>
          <w:tab/>
        </w:r>
        <w:r w:rsidR="00300C4D" w:rsidRPr="006D1005">
          <w:rPr>
            <w:i w:val="0"/>
            <w:iCs w:val="0"/>
            <w:noProof/>
            <w:webHidden/>
          </w:rPr>
          <w:fldChar w:fldCharType="begin"/>
        </w:r>
        <w:r w:rsidR="00300C4D" w:rsidRPr="006D1005">
          <w:rPr>
            <w:i w:val="0"/>
            <w:iCs w:val="0"/>
            <w:noProof/>
            <w:webHidden/>
          </w:rPr>
          <w:instrText xml:space="preserve"> PAGEREF _Toc60038331 \h </w:instrText>
        </w:r>
        <w:r w:rsidR="00300C4D" w:rsidRPr="006D1005">
          <w:rPr>
            <w:i w:val="0"/>
            <w:iCs w:val="0"/>
            <w:noProof/>
            <w:webHidden/>
          </w:rPr>
        </w:r>
        <w:r w:rsidR="00300C4D" w:rsidRPr="006D1005">
          <w:rPr>
            <w:i w:val="0"/>
            <w:iCs w:val="0"/>
            <w:noProof/>
            <w:webHidden/>
          </w:rPr>
          <w:fldChar w:fldCharType="separate"/>
        </w:r>
        <w:r w:rsidRPr="006D1005">
          <w:rPr>
            <w:i w:val="0"/>
            <w:iCs w:val="0"/>
            <w:noProof/>
            <w:webHidden/>
          </w:rPr>
          <w:t>5-4</w:t>
        </w:r>
        <w:r w:rsidR="00300C4D" w:rsidRPr="006D1005">
          <w:rPr>
            <w:i w:val="0"/>
            <w:iCs w:val="0"/>
            <w:noProof/>
            <w:webHidden/>
          </w:rPr>
          <w:fldChar w:fldCharType="end"/>
        </w:r>
      </w:hyperlink>
    </w:p>
    <w:p w14:paraId="5E769C4E" w14:textId="42C955EB" w:rsidR="00300C4D" w:rsidRPr="006D1005" w:rsidRDefault="006D1005">
      <w:pPr>
        <w:pStyle w:val="TOC4"/>
        <w:rPr>
          <w:rFonts w:asciiTheme="minorHAnsi" w:eastAsiaTheme="minorEastAsia" w:hAnsiTheme="minorHAnsi" w:cstheme="minorBidi"/>
          <w:noProof/>
          <w:sz w:val="20"/>
          <w:szCs w:val="20"/>
        </w:rPr>
      </w:pPr>
      <w:hyperlink w:anchor="_Toc60038332" w:history="1">
        <w:r w:rsidR="00300C4D" w:rsidRPr="006D1005">
          <w:rPr>
            <w:rStyle w:val="Hyperlink"/>
            <w:bCs/>
            <w:noProof/>
            <w:sz w:val="20"/>
            <w:szCs w:val="20"/>
          </w:rPr>
          <w:t>5.2.2.1</w:t>
        </w:r>
        <w:r w:rsidR="00300C4D" w:rsidRPr="006D1005">
          <w:rPr>
            <w:rFonts w:asciiTheme="minorHAnsi" w:eastAsiaTheme="minorEastAsia" w:hAnsiTheme="minorHAnsi" w:cstheme="minorBidi"/>
            <w:noProof/>
            <w:sz w:val="20"/>
            <w:szCs w:val="20"/>
          </w:rPr>
          <w:tab/>
        </w:r>
        <w:r w:rsidR="00300C4D" w:rsidRPr="006D1005">
          <w:rPr>
            <w:rStyle w:val="Hyperlink"/>
            <w:noProof/>
            <w:sz w:val="20"/>
            <w:szCs w:val="20"/>
          </w:rPr>
          <w:t>RUC Process Timeline After a Delay of the Day-Ahead Market</w:t>
        </w:r>
        <w:r w:rsidR="00300C4D" w:rsidRPr="006D1005">
          <w:rPr>
            <w:noProof/>
            <w:webHidden/>
            <w:sz w:val="20"/>
            <w:szCs w:val="20"/>
          </w:rPr>
          <w:tab/>
        </w:r>
        <w:r w:rsidR="00300C4D" w:rsidRPr="006D1005">
          <w:rPr>
            <w:noProof/>
            <w:webHidden/>
            <w:sz w:val="20"/>
            <w:szCs w:val="20"/>
          </w:rPr>
          <w:fldChar w:fldCharType="begin"/>
        </w:r>
        <w:r w:rsidR="00300C4D" w:rsidRPr="006D1005">
          <w:rPr>
            <w:noProof/>
            <w:webHidden/>
            <w:sz w:val="20"/>
            <w:szCs w:val="20"/>
          </w:rPr>
          <w:instrText xml:space="preserve"> PAGEREF _Toc60038332 \h </w:instrText>
        </w:r>
        <w:r w:rsidR="00300C4D" w:rsidRPr="006D1005">
          <w:rPr>
            <w:noProof/>
            <w:webHidden/>
            <w:sz w:val="20"/>
            <w:szCs w:val="20"/>
          </w:rPr>
        </w:r>
        <w:r w:rsidR="00300C4D" w:rsidRPr="006D1005">
          <w:rPr>
            <w:noProof/>
            <w:webHidden/>
            <w:sz w:val="20"/>
            <w:szCs w:val="20"/>
          </w:rPr>
          <w:fldChar w:fldCharType="separate"/>
        </w:r>
        <w:r w:rsidRPr="006D1005">
          <w:rPr>
            <w:noProof/>
            <w:webHidden/>
            <w:sz w:val="20"/>
            <w:szCs w:val="20"/>
          </w:rPr>
          <w:t>5-4</w:t>
        </w:r>
        <w:r w:rsidR="00300C4D" w:rsidRPr="006D1005">
          <w:rPr>
            <w:noProof/>
            <w:webHidden/>
            <w:sz w:val="20"/>
            <w:szCs w:val="20"/>
          </w:rPr>
          <w:fldChar w:fldCharType="end"/>
        </w:r>
      </w:hyperlink>
    </w:p>
    <w:p w14:paraId="07573953" w14:textId="023F7ADD" w:rsidR="00300C4D" w:rsidRPr="006D1005" w:rsidRDefault="006D1005">
      <w:pPr>
        <w:pStyle w:val="TOC4"/>
        <w:rPr>
          <w:rFonts w:asciiTheme="minorHAnsi" w:eastAsiaTheme="minorEastAsia" w:hAnsiTheme="minorHAnsi" w:cstheme="minorBidi"/>
          <w:noProof/>
          <w:sz w:val="20"/>
          <w:szCs w:val="20"/>
        </w:rPr>
      </w:pPr>
      <w:hyperlink w:anchor="_Toc60038333" w:history="1">
        <w:r w:rsidR="00300C4D" w:rsidRPr="006D1005">
          <w:rPr>
            <w:rStyle w:val="Hyperlink"/>
            <w:noProof/>
            <w:sz w:val="20"/>
            <w:szCs w:val="20"/>
          </w:rPr>
          <w:t>5.2.2.2</w:t>
        </w:r>
        <w:r w:rsidR="00300C4D" w:rsidRPr="006D1005">
          <w:rPr>
            <w:rFonts w:asciiTheme="minorHAnsi" w:eastAsiaTheme="minorEastAsia" w:hAnsiTheme="minorHAnsi" w:cstheme="minorBidi"/>
            <w:noProof/>
            <w:sz w:val="20"/>
            <w:szCs w:val="20"/>
          </w:rPr>
          <w:tab/>
        </w:r>
        <w:r w:rsidR="00300C4D" w:rsidRPr="006D1005">
          <w:rPr>
            <w:rStyle w:val="Hyperlink"/>
            <w:noProof/>
            <w:sz w:val="20"/>
            <w:szCs w:val="20"/>
          </w:rPr>
          <w:t>RUC Process Timeline After an Aborted Day-Ahead Market</w:t>
        </w:r>
        <w:r w:rsidR="00300C4D" w:rsidRPr="006D1005">
          <w:rPr>
            <w:noProof/>
            <w:webHidden/>
            <w:sz w:val="20"/>
            <w:szCs w:val="20"/>
          </w:rPr>
          <w:tab/>
        </w:r>
        <w:r w:rsidR="00300C4D" w:rsidRPr="006D1005">
          <w:rPr>
            <w:noProof/>
            <w:webHidden/>
            <w:sz w:val="20"/>
            <w:szCs w:val="20"/>
          </w:rPr>
          <w:fldChar w:fldCharType="begin"/>
        </w:r>
        <w:r w:rsidR="00300C4D" w:rsidRPr="006D1005">
          <w:rPr>
            <w:noProof/>
            <w:webHidden/>
            <w:sz w:val="20"/>
            <w:szCs w:val="20"/>
          </w:rPr>
          <w:instrText xml:space="preserve"> PAGEREF _Toc60038333 \h </w:instrText>
        </w:r>
        <w:r w:rsidR="00300C4D" w:rsidRPr="006D1005">
          <w:rPr>
            <w:noProof/>
            <w:webHidden/>
            <w:sz w:val="20"/>
            <w:szCs w:val="20"/>
          </w:rPr>
        </w:r>
        <w:r w:rsidR="00300C4D" w:rsidRPr="006D1005">
          <w:rPr>
            <w:noProof/>
            <w:webHidden/>
            <w:sz w:val="20"/>
            <w:szCs w:val="20"/>
          </w:rPr>
          <w:fldChar w:fldCharType="separate"/>
        </w:r>
        <w:r w:rsidRPr="006D1005">
          <w:rPr>
            <w:noProof/>
            <w:webHidden/>
            <w:sz w:val="20"/>
            <w:szCs w:val="20"/>
          </w:rPr>
          <w:t>5-5</w:t>
        </w:r>
        <w:r w:rsidR="00300C4D" w:rsidRPr="006D1005">
          <w:rPr>
            <w:noProof/>
            <w:webHidden/>
            <w:sz w:val="20"/>
            <w:szCs w:val="20"/>
          </w:rPr>
          <w:fldChar w:fldCharType="end"/>
        </w:r>
      </w:hyperlink>
    </w:p>
    <w:p w14:paraId="606DAE9D" w14:textId="46C046BE" w:rsidR="00300C4D" w:rsidRPr="006D1005" w:rsidRDefault="006D1005">
      <w:pPr>
        <w:pStyle w:val="TOC2"/>
        <w:rPr>
          <w:rFonts w:asciiTheme="minorHAnsi" w:eastAsiaTheme="minorEastAsia" w:hAnsiTheme="minorHAnsi" w:cstheme="minorBidi"/>
          <w:noProof/>
        </w:rPr>
      </w:pPr>
      <w:hyperlink w:anchor="_Toc60038335" w:history="1">
        <w:r w:rsidR="00300C4D" w:rsidRPr="006D1005">
          <w:rPr>
            <w:rStyle w:val="Hyperlink"/>
            <w:noProof/>
          </w:rPr>
          <w:t>5.3</w:t>
        </w:r>
        <w:r w:rsidR="00300C4D" w:rsidRPr="006D1005">
          <w:rPr>
            <w:rFonts w:asciiTheme="minorHAnsi" w:eastAsiaTheme="minorEastAsia" w:hAnsiTheme="minorHAnsi" w:cstheme="minorBidi"/>
            <w:noProof/>
          </w:rPr>
          <w:tab/>
        </w:r>
        <w:r w:rsidR="00300C4D" w:rsidRPr="006D1005">
          <w:rPr>
            <w:rStyle w:val="Hyperlink"/>
            <w:noProof/>
          </w:rPr>
          <w:t>ERCOT Security Sequence Responsibilities</w:t>
        </w:r>
        <w:r w:rsidR="00300C4D" w:rsidRPr="006D1005">
          <w:rPr>
            <w:noProof/>
            <w:webHidden/>
          </w:rPr>
          <w:tab/>
        </w:r>
        <w:r w:rsidR="00300C4D" w:rsidRPr="006D1005">
          <w:rPr>
            <w:noProof/>
            <w:webHidden/>
          </w:rPr>
          <w:fldChar w:fldCharType="begin"/>
        </w:r>
        <w:r w:rsidR="00300C4D" w:rsidRPr="006D1005">
          <w:rPr>
            <w:noProof/>
            <w:webHidden/>
          </w:rPr>
          <w:instrText xml:space="preserve"> PAGEREF _Toc60038335 \h </w:instrText>
        </w:r>
        <w:r w:rsidR="00300C4D" w:rsidRPr="006D1005">
          <w:rPr>
            <w:noProof/>
            <w:webHidden/>
          </w:rPr>
        </w:r>
        <w:r w:rsidR="00300C4D" w:rsidRPr="006D1005">
          <w:rPr>
            <w:noProof/>
            <w:webHidden/>
          </w:rPr>
          <w:fldChar w:fldCharType="separate"/>
        </w:r>
        <w:r w:rsidRPr="006D1005">
          <w:rPr>
            <w:noProof/>
            <w:webHidden/>
          </w:rPr>
          <w:t>5-7</w:t>
        </w:r>
        <w:r w:rsidR="00300C4D" w:rsidRPr="006D1005">
          <w:rPr>
            <w:noProof/>
            <w:webHidden/>
          </w:rPr>
          <w:fldChar w:fldCharType="end"/>
        </w:r>
      </w:hyperlink>
    </w:p>
    <w:p w14:paraId="6AD09AFE" w14:textId="1D8516E8" w:rsidR="00300C4D" w:rsidRPr="006D1005" w:rsidRDefault="006D1005">
      <w:pPr>
        <w:pStyle w:val="TOC2"/>
        <w:rPr>
          <w:rFonts w:asciiTheme="minorHAnsi" w:eastAsiaTheme="minorEastAsia" w:hAnsiTheme="minorHAnsi" w:cstheme="minorBidi"/>
          <w:noProof/>
        </w:rPr>
      </w:pPr>
      <w:hyperlink w:anchor="_Toc60038336" w:history="1">
        <w:r w:rsidR="00300C4D" w:rsidRPr="006D1005">
          <w:rPr>
            <w:rStyle w:val="Hyperlink"/>
            <w:noProof/>
          </w:rPr>
          <w:t>5.4</w:t>
        </w:r>
        <w:r w:rsidR="00300C4D" w:rsidRPr="006D1005">
          <w:rPr>
            <w:rFonts w:asciiTheme="minorHAnsi" w:eastAsiaTheme="minorEastAsia" w:hAnsiTheme="minorHAnsi" w:cstheme="minorBidi"/>
            <w:noProof/>
          </w:rPr>
          <w:tab/>
        </w:r>
        <w:r w:rsidR="00300C4D" w:rsidRPr="006D1005">
          <w:rPr>
            <w:rStyle w:val="Hyperlink"/>
            <w:noProof/>
          </w:rPr>
          <w:t>QSE Security Sequence Responsibilities</w:t>
        </w:r>
        <w:r w:rsidR="00300C4D" w:rsidRPr="006D1005">
          <w:rPr>
            <w:noProof/>
            <w:webHidden/>
          </w:rPr>
          <w:tab/>
        </w:r>
        <w:r w:rsidR="00300C4D" w:rsidRPr="006D1005">
          <w:rPr>
            <w:noProof/>
            <w:webHidden/>
          </w:rPr>
          <w:fldChar w:fldCharType="begin"/>
        </w:r>
        <w:r w:rsidR="00300C4D" w:rsidRPr="006D1005">
          <w:rPr>
            <w:noProof/>
            <w:webHidden/>
          </w:rPr>
          <w:instrText xml:space="preserve"> PAGEREF _Toc60038336 \h </w:instrText>
        </w:r>
        <w:r w:rsidR="00300C4D" w:rsidRPr="006D1005">
          <w:rPr>
            <w:noProof/>
            <w:webHidden/>
          </w:rPr>
        </w:r>
        <w:r w:rsidR="00300C4D" w:rsidRPr="006D1005">
          <w:rPr>
            <w:noProof/>
            <w:webHidden/>
          </w:rPr>
          <w:fldChar w:fldCharType="separate"/>
        </w:r>
        <w:r w:rsidRPr="006D1005">
          <w:rPr>
            <w:noProof/>
            <w:webHidden/>
          </w:rPr>
          <w:t>5-8</w:t>
        </w:r>
        <w:r w:rsidR="00300C4D" w:rsidRPr="006D1005">
          <w:rPr>
            <w:noProof/>
            <w:webHidden/>
          </w:rPr>
          <w:fldChar w:fldCharType="end"/>
        </w:r>
      </w:hyperlink>
    </w:p>
    <w:p w14:paraId="5FD6F9EF" w14:textId="4460221F" w:rsidR="00300C4D" w:rsidRPr="006D1005" w:rsidRDefault="006D1005">
      <w:pPr>
        <w:pStyle w:val="TOC3"/>
        <w:rPr>
          <w:rFonts w:asciiTheme="minorHAnsi" w:eastAsiaTheme="minorEastAsia" w:hAnsiTheme="minorHAnsi" w:cstheme="minorBidi"/>
          <w:i w:val="0"/>
          <w:iCs w:val="0"/>
          <w:noProof/>
        </w:rPr>
      </w:pPr>
      <w:hyperlink w:anchor="_Toc60038337" w:history="1">
        <w:r w:rsidR="00300C4D" w:rsidRPr="006D1005">
          <w:rPr>
            <w:rStyle w:val="Hyperlink"/>
            <w:i w:val="0"/>
            <w:iCs w:val="0"/>
            <w:noProof/>
          </w:rPr>
          <w:t>5.4.1</w:t>
        </w:r>
        <w:r w:rsidR="00300C4D" w:rsidRPr="006D1005">
          <w:rPr>
            <w:rFonts w:asciiTheme="minorHAnsi" w:eastAsiaTheme="minorEastAsia" w:hAnsiTheme="minorHAnsi" w:cstheme="minorBidi"/>
            <w:i w:val="0"/>
            <w:iCs w:val="0"/>
            <w:noProof/>
          </w:rPr>
          <w:tab/>
        </w:r>
        <w:r w:rsidR="00300C4D" w:rsidRPr="006D1005">
          <w:rPr>
            <w:rStyle w:val="Hyperlink"/>
            <w:i w:val="0"/>
            <w:iCs w:val="0"/>
            <w:noProof/>
          </w:rPr>
          <w:t>Ancillary Service Positions</w:t>
        </w:r>
        <w:r w:rsidR="00300C4D" w:rsidRPr="006D1005">
          <w:rPr>
            <w:i w:val="0"/>
            <w:iCs w:val="0"/>
            <w:noProof/>
            <w:webHidden/>
          </w:rPr>
          <w:tab/>
        </w:r>
        <w:r w:rsidR="00300C4D" w:rsidRPr="006D1005">
          <w:rPr>
            <w:i w:val="0"/>
            <w:iCs w:val="0"/>
            <w:noProof/>
            <w:webHidden/>
          </w:rPr>
          <w:fldChar w:fldCharType="begin"/>
        </w:r>
        <w:r w:rsidR="00300C4D" w:rsidRPr="006D1005">
          <w:rPr>
            <w:i w:val="0"/>
            <w:iCs w:val="0"/>
            <w:noProof/>
            <w:webHidden/>
          </w:rPr>
          <w:instrText xml:space="preserve"> PAGEREF _Toc60038337 \h </w:instrText>
        </w:r>
        <w:r w:rsidR="00300C4D" w:rsidRPr="006D1005">
          <w:rPr>
            <w:i w:val="0"/>
            <w:iCs w:val="0"/>
            <w:noProof/>
            <w:webHidden/>
          </w:rPr>
        </w:r>
        <w:r w:rsidR="00300C4D" w:rsidRPr="006D1005">
          <w:rPr>
            <w:i w:val="0"/>
            <w:iCs w:val="0"/>
            <w:noProof/>
            <w:webHidden/>
          </w:rPr>
          <w:fldChar w:fldCharType="separate"/>
        </w:r>
        <w:r w:rsidRPr="006D1005">
          <w:rPr>
            <w:i w:val="0"/>
            <w:iCs w:val="0"/>
            <w:noProof/>
            <w:webHidden/>
          </w:rPr>
          <w:t>5-10</w:t>
        </w:r>
        <w:r w:rsidR="00300C4D" w:rsidRPr="006D1005">
          <w:rPr>
            <w:i w:val="0"/>
            <w:iCs w:val="0"/>
            <w:noProof/>
            <w:webHidden/>
          </w:rPr>
          <w:fldChar w:fldCharType="end"/>
        </w:r>
      </w:hyperlink>
    </w:p>
    <w:p w14:paraId="553F22CF" w14:textId="41FD20A1" w:rsidR="00300C4D" w:rsidRPr="006D1005" w:rsidRDefault="006D1005">
      <w:pPr>
        <w:pStyle w:val="TOC2"/>
        <w:rPr>
          <w:rFonts w:asciiTheme="minorHAnsi" w:eastAsiaTheme="minorEastAsia" w:hAnsiTheme="minorHAnsi" w:cstheme="minorBidi"/>
          <w:noProof/>
        </w:rPr>
      </w:pPr>
      <w:hyperlink w:anchor="_Toc60038338" w:history="1">
        <w:r w:rsidR="00300C4D" w:rsidRPr="006D1005">
          <w:rPr>
            <w:rStyle w:val="Hyperlink"/>
            <w:noProof/>
          </w:rPr>
          <w:t>5.5</w:t>
        </w:r>
        <w:r w:rsidR="00300C4D" w:rsidRPr="006D1005">
          <w:rPr>
            <w:rFonts w:asciiTheme="minorHAnsi" w:eastAsiaTheme="minorEastAsia" w:hAnsiTheme="minorHAnsi" w:cstheme="minorBidi"/>
            <w:noProof/>
          </w:rPr>
          <w:tab/>
        </w:r>
        <w:r w:rsidR="00300C4D" w:rsidRPr="006D1005">
          <w:rPr>
            <w:rStyle w:val="Hyperlink"/>
            <w:noProof/>
          </w:rPr>
          <w:t>Security Sequence, Including RUC</w:t>
        </w:r>
        <w:r w:rsidR="00300C4D" w:rsidRPr="006D1005">
          <w:rPr>
            <w:noProof/>
            <w:webHidden/>
          </w:rPr>
          <w:tab/>
        </w:r>
        <w:r w:rsidR="00300C4D" w:rsidRPr="006D1005">
          <w:rPr>
            <w:noProof/>
            <w:webHidden/>
          </w:rPr>
          <w:fldChar w:fldCharType="begin"/>
        </w:r>
        <w:r w:rsidR="00300C4D" w:rsidRPr="006D1005">
          <w:rPr>
            <w:noProof/>
            <w:webHidden/>
          </w:rPr>
          <w:instrText xml:space="preserve"> PAGEREF _Toc60038338 \h </w:instrText>
        </w:r>
        <w:r w:rsidR="00300C4D" w:rsidRPr="006D1005">
          <w:rPr>
            <w:noProof/>
            <w:webHidden/>
          </w:rPr>
        </w:r>
        <w:r w:rsidR="00300C4D" w:rsidRPr="006D1005">
          <w:rPr>
            <w:noProof/>
            <w:webHidden/>
          </w:rPr>
          <w:fldChar w:fldCharType="separate"/>
        </w:r>
        <w:r w:rsidRPr="006D1005">
          <w:rPr>
            <w:noProof/>
            <w:webHidden/>
          </w:rPr>
          <w:t>5-10</w:t>
        </w:r>
        <w:r w:rsidR="00300C4D" w:rsidRPr="006D1005">
          <w:rPr>
            <w:noProof/>
            <w:webHidden/>
          </w:rPr>
          <w:fldChar w:fldCharType="end"/>
        </w:r>
      </w:hyperlink>
    </w:p>
    <w:p w14:paraId="722748FF" w14:textId="21D85D9F" w:rsidR="00300C4D" w:rsidRPr="006D1005" w:rsidRDefault="006D1005">
      <w:pPr>
        <w:pStyle w:val="TOC3"/>
        <w:rPr>
          <w:rFonts w:asciiTheme="minorHAnsi" w:eastAsiaTheme="minorEastAsia" w:hAnsiTheme="minorHAnsi" w:cstheme="minorBidi"/>
          <w:i w:val="0"/>
          <w:iCs w:val="0"/>
          <w:noProof/>
        </w:rPr>
      </w:pPr>
      <w:hyperlink w:anchor="_Toc60038339" w:history="1">
        <w:r w:rsidR="00300C4D" w:rsidRPr="006D1005">
          <w:rPr>
            <w:rStyle w:val="Hyperlink"/>
            <w:i w:val="0"/>
            <w:iCs w:val="0"/>
            <w:noProof/>
          </w:rPr>
          <w:t>5.5.1</w:t>
        </w:r>
        <w:r w:rsidR="00300C4D" w:rsidRPr="006D1005">
          <w:rPr>
            <w:rFonts w:asciiTheme="minorHAnsi" w:eastAsiaTheme="minorEastAsia" w:hAnsiTheme="minorHAnsi" w:cstheme="minorBidi"/>
            <w:i w:val="0"/>
            <w:iCs w:val="0"/>
            <w:noProof/>
          </w:rPr>
          <w:tab/>
        </w:r>
        <w:r w:rsidR="00300C4D" w:rsidRPr="006D1005">
          <w:rPr>
            <w:rStyle w:val="Hyperlink"/>
            <w:i w:val="0"/>
            <w:iCs w:val="0"/>
            <w:noProof/>
          </w:rPr>
          <w:t>Security Sequence</w:t>
        </w:r>
        <w:r w:rsidR="00300C4D" w:rsidRPr="006D1005">
          <w:rPr>
            <w:i w:val="0"/>
            <w:iCs w:val="0"/>
            <w:noProof/>
            <w:webHidden/>
          </w:rPr>
          <w:tab/>
        </w:r>
        <w:r w:rsidR="00300C4D" w:rsidRPr="006D1005">
          <w:rPr>
            <w:i w:val="0"/>
            <w:iCs w:val="0"/>
            <w:noProof/>
            <w:webHidden/>
          </w:rPr>
          <w:fldChar w:fldCharType="begin"/>
        </w:r>
        <w:r w:rsidR="00300C4D" w:rsidRPr="006D1005">
          <w:rPr>
            <w:i w:val="0"/>
            <w:iCs w:val="0"/>
            <w:noProof/>
            <w:webHidden/>
          </w:rPr>
          <w:instrText xml:space="preserve"> PAGEREF _Toc60038339 \h </w:instrText>
        </w:r>
        <w:r w:rsidR="00300C4D" w:rsidRPr="006D1005">
          <w:rPr>
            <w:i w:val="0"/>
            <w:iCs w:val="0"/>
            <w:noProof/>
            <w:webHidden/>
          </w:rPr>
        </w:r>
        <w:r w:rsidR="00300C4D" w:rsidRPr="006D1005">
          <w:rPr>
            <w:i w:val="0"/>
            <w:iCs w:val="0"/>
            <w:noProof/>
            <w:webHidden/>
          </w:rPr>
          <w:fldChar w:fldCharType="separate"/>
        </w:r>
        <w:r w:rsidRPr="006D1005">
          <w:rPr>
            <w:i w:val="0"/>
            <w:iCs w:val="0"/>
            <w:noProof/>
            <w:webHidden/>
          </w:rPr>
          <w:t>5-10</w:t>
        </w:r>
        <w:r w:rsidR="00300C4D" w:rsidRPr="006D1005">
          <w:rPr>
            <w:i w:val="0"/>
            <w:iCs w:val="0"/>
            <w:noProof/>
            <w:webHidden/>
          </w:rPr>
          <w:fldChar w:fldCharType="end"/>
        </w:r>
      </w:hyperlink>
    </w:p>
    <w:p w14:paraId="68284AC2" w14:textId="75EC5AE9" w:rsidR="00300C4D" w:rsidRPr="006D1005" w:rsidRDefault="006D1005">
      <w:pPr>
        <w:pStyle w:val="TOC3"/>
        <w:rPr>
          <w:rFonts w:asciiTheme="minorHAnsi" w:eastAsiaTheme="minorEastAsia" w:hAnsiTheme="minorHAnsi" w:cstheme="minorBidi"/>
          <w:i w:val="0"/>
          <w:iCs w:val="0"/>
          <w:noProof/>
        </w:rPr>
      </w:pPr>
      <w:hyperlink w:anchor="_Toc60038340" w:history="1">
        <w:r w:rsidR="00300C4D" w:rsidRPr="006D1005">
          <w:rPr>
            <w:rStyle w:val="Hyperlink"/>
            <w:i w:val="0"/>
            <w:iCs w:val="0"/>
            <w:noProof/>
          </w:rPr>
          <w:t>5.5.2</w:t>
        </w:r>
        <w:r w:rsidR="00300C4D" w:rsidRPr="006D1005">
          <w:rPr>
            <w:rFonts w:asciiTheme="minorHAnsi" w:eastAsiaTheme="minorEastAsia" w:hAnsiTheme="minorHAnsi" w:cstheme="minorBidi"/>
            <w:i w:val="0"/>
            <w:iCs w:val="0"/>
            <w:noProof/>
          </w:rPr>
          <w:tab/>
        </w:r>
        <w:r w:rsidR="00300C4D" w:rsidRPr="006D1005">
          <w:rPr>
            <w:rStyle w:val="Hyperlink"/>
            <w:i w:val="0"/>
            <w:iCs w:val="0"/>
            <w:noProof/>
          </w:rPr>
          <w:t>Reliability Unit Commitment (RUC) Process</w:t>
        </w:r>
        <w:r w:rsidR="00300C4D" w:rsidRPr="006D1005">
          <w:rPr>
            <w:i w:val="0"/>
            <w:iCs w:val="0"/>
            <w:noProof/>
            <w:webHidden/>
          </w:rPr>
          <w:tab/>
        </w:r>
        <w:r w:rsidR="00300C4D" w:rsidRPr="006D1005">
          <w:rPr>
            <w:i w:val="0"/>
            <w:iCs w:val="0"/>
            <w:noProof/>
            <w:webHidden/>
          </w:rPr>
          <w:fldChar w:fldCharType="begin"/>
        </w:r>
        <w:r w:rsidR="00300C4D" w:rsidRPr="006D1005">
          <w:rPr>
            <w:i w:val="0"/>
            <w:iCs w:val="0"/>
            <w:noProof/>
            <w:webHidden/>
          </w:rPr>
          <w:instrText xml:space="preserve"> PAGEREF _Toc60038340 \h </w:instrText>
        </w:r>
        <w:r w:rsidR="00300C4D" w:rsidRPr="006D1005">
          <w:rPr>
            <w:i w:val="0"/>
            <w:iCs w:val="0"/>
            <w:noProof/>
            <w:webHidden/>
          </w:rPr>
        </w:r>
        <w:r w:rsidR="00300C4D" w:rsidRPr="006D1005">
          <w:rPr>
            <w:i w:val="0"/>
            <w:iCs w:val="0"/>
            <w:noProof/>
            <w:webHidden/>
          </w:rPr>
          <w:fldChar w:fldCharType="separate"/>
        </w:r>
        <w:r w:rsidRPr="006D1005">
          <w:rPr>
            <w:i w:val="0"/>
            <w:iCs w:val="0"/>
            <w:noProof/>
            <w:webHidden/>
          </w:rPr>
          <w:t>5-12</w:t>
        </w:r>
        <w:r w:rsidR="00300C4D" w:rsidRPr="006D1005">
          <w:rPr>
            <w:i w:val="0"/>
            <w:iCs w:val="0"/>
            <w:noProof/>
            <w:webHidden/>
          </w:rPr>
          <w:fldChar w:fldCharType="end"/>
        </w:r>
      </w:hyperlink>
    </w:p>
    <w:p w14:paraId="6F40C3DA" w14:textId="777EFCD7" w:rsidR="00300C4D" w:rsidRPr="006D1005" w:rsidRDefault="006D1005">
      <w:pPr>
        <w:pStyle w:val="TOC3"/>
        <w:rPr>
          <w:rFonts w:asciiTheme="minorHAnsi" w:eastAsiaTheme="minorEastAsia" w:hAnsiTheme="minorHAnsi" w:cstheme="minorBidi"/>
          <w:i w:val="0"/>
          <w:iCs w:val="0"/>
          <w:noProof/>
        </w:rPr>
      </w:pPr>
      <w:hyperlink w:anchor="_Toc60038342" w:history="1">
        <w:r w:rsidR="00300C4D" w:rsidRPr="006D1005">
          <w:rPr>
            <w:rStyle w:val="Hyperlink"/>
            <w:i w:val="0"/>
            <w:iCs w:val="0"/>
            <w:noProof/>
          </w:rPr>
          <w:t>5.5.3</w:t>
        </w:r>
        <w:r w:rsidR="00300C4D" w:rsidRPr="006D1005">
          <w:rPr>
            <w:rFonts w:asciiTheme="minorHAnsi" w:eastAsiaTheme="minorEastAsia" w:hAnsiTheme="minorHAnsi" w:cstheme="minorBidi"/>
            <w:i w:val="0"/>
            <w:iCs w:val="0"/>
            <w:noProof/>
          </w:rPr>
          <w:tab/>
        </w:r>
        <w:r w:rsidR="00300C4D" w:rsidRPr="006D1005">
          <w:rPr>
            <w:rStyle w:val="Hyperlink"/>
            <w:i w:val="0"/>
            <w:iCs w:val="0"/>
            <w:noProof/>
          </w:rPr>
          <w:t>Communication of RUC Commitments and Decommitments</w:t>
        </w:r>
        <w:r w:rsidR="00300C4D" w:rsidRPr="006D1005">
          <w:rPr>
            <w:i w:val="0"/>
            <w:iCs w:val="0"/>
            <w:noProof/>
            <w:webHidden/>
          </w:rPr>
          <w:tab/>
        </w:r>
        <w:r w:rsidR="00300C4D" w:rsidRPr="006D1005">
          <w:rPr>
            <w:i w:val="0"/>
            <w:iCs w:val="0"/>
            <w:noProof/>
            <w:webHidden/>
          </w:rPr>
          <w:fldChar w:fldCharType="begin"/>
        </w:r>
        <w:r w:rsidR="00300C4D" w:rsidRPr="006D1005">
          <w:rPr>
            <w:i w:val="0"/>
            <w:iCs w:val="0"/>
            <w:noProof/>
            <w:webHidden/>
          </w:rPr>
          <w:instrText xml:space="preserve"> PAGEREF _Toc60038342 \h </w:instrText>
        </w:r>
        <w:r w:rsidR="00300C4D" w:rsidRPr="006D1005">
          <w:rPr>
            <w:i w:val="0"/>
            <w:iCs w:val="0"/>
            <w:noProof/>
            <w:webHidden/>
          </w:rPr>
        </w:r>
        <w:r w:rsidR="00300C4D" w:rsidRPr="006D1005">
          <w:rPr>
            <w:i w:val="0"/>
            <w:iCs w:val="0"/>
            <w:noProof/>
            <w:webHidden/>
          </w:rPr>
          <w:fldChar w:fldCharType="separate"/>
        </w:r>
        <w:r w:rsidRPr="006D1005">
          <w:rPr>
            <w:i w:val="0"/>
            <w:iCs w:val="0"/>
            <w:noProof/>
            <w:webHidden/>
          </w:rPr>
          <w:t>5-25</w:t>
        </w:r>
        <w:r w:rsidR="00300C4D" w:rsidRPr="006D1005">
          <w:rPr>
            <w:i w:val="0"/>
            <w:iCs w:val="0"/>
            <w:noProof/>
            <w:webHidden/>
          </w:rPr>
          <w:fldChar w:fldCharType="end"/>
        </w:r>
      </w:hyperlink>
    </w:p>
    <w:p w14:paraId="22A68180" w14:textId="12E89AF9" w:rsidR="00300C4D" w:rsidRPr="006D1005" w:rsidRDefault="006D1005">
      <w:pPr>
        <w:pStyle w:val="TOC2"/>
        <w:rPr>
          <w:rFonts w:asciiTheme="minorHAnsi" w:eastAsiaTheme="minorEastAsia" w:hAnsiTheme="minorHAnsi" w:cstheme="minorBidi"/>
          <w:noProof/>
        </w:rPr>
      </w:pPr>
      <w:hyperlink w:anchor="_Toc60038343" w:history="1">
        <w:r w:rsidR="00300C4D" w:rsidRPr="006D1005">
          <w:rPr>
            <w:rStyle w:val="Hyperlink"/>
            <w:noProof/>
          </w:rPr>
          <w:t>5.6</w:t>
        </w:r>
        <w:r w:rsidR="00300C4D" w:rsidRPr="006D1005">
          <w:rPr>
            <w:rFonts w:asciiTheme="minorHAnsi" w:eastAsiaTheme="minorEastAsia" w:hAnsiTheme="minorHAnsi" w:cstheme="minorBidi"/>
            <w:noProof/>
          </w:rPr>
          <w:tab/>
        </w:r>
        <w:r w:rsidR="00300C4D" w:rsidRPr="006D1005">
          <w:rPr>
            <w:rStyle w:val="Hyperlink"/>
            <w:noProof/>
          </w:rPr>
          <w:t>RUC Cost Eligibility</w:t>
        </w:r>
        <w:r w:rsidR="00300C4D" w:rsidRPr="006D1005">
          <w:rPr>
            <w:noProof/>
            <w:webHidden/>
          </w:rPr>
          <w:tab/>
        </w:r>
        <w:r w:rsidR="00300C4D" w:rsidRPr="006D1005">
          <w:rPr>
            <w:noProof/>
            <w:webHidden/>
          </w:rPr>
          <w:fldChar w:fldCharType="begin"/>
        </w:r>
        <w:r w:rsidR="00300C4D" w:rsidRPr="006D1005">
          <w:rPr>
            <w:noProof/>
            <w:webHidden/>
          </w:rPr>
          <w:instrText xml:space="preserve"> PAGEREF _Toc60038343 \h </w:instrText>
        </w:r>
        <w:r w:rsidR="00300C4D" w:rsidRPr="006D1005">
          <w:rPr>
            <w:noProof/>
            <w:webHidden/>
          </w:rPr>
        </w:r>
        <w:r w:rsidR="00300C4D" w:rsidRPr="006D1005">
          <w:rPr>
            <w:noProof/>
            <w:webHidden/>
          </w:rPr>
          <w:fldChar w:fldCharType="separate"/>
        </w:r>
        <w:r w:rsidRPr="006D1005">
          <w:rPr>
            <w:noProof/>
            <w:webHidden/>
          </w:rPr>
          <w:t>5-25</w:t>
        </w:r>
        <w:r w:rsidR="00300C4D" w:rsidRPr="006D1005">
          <w:rPr>
            <w:noProof/>
            <w:webHidden/>
          </w:rPr>
          <w:fldChar w:fldCharType="end"/>
        </w:r>
      </w:hyperlink>
    </w:p>
    <w:p w14:paraId="68C2D65A" w14:textId="628FC8A8" w:rsidR="00300C4D" w:rsidRPr="006D1005" w:rsidRDefault="006D1005">
      <w:pPr>
        <w:pStyle w:val="TOC3"/>
        <w:rPr>
          <w:rFonts w:asciiTheme="minorHAnsi" w:eastAsiaTheme="minorEastAsia" w:hAnsiTheme="minorHAnsi" w:cstheme="minorBidi"/>
          <w:i w:val="0"/>
          <w:iCs w:val="0"/>
          <w:noProof/>
        </w:rPr>
      </w:pPr>
      <w:hyperlink w:anchor="_Toc60038344" w:history="1">
        <w:r w:rsidR="00300C4D" w:rsidRPr="006D1005">
          <w:rPr>
            <w:rStyle w:val="Hyperlink"/>
            <w:i w:val="0"/>
            <w:iCs w:val="0"/>
            <w:noProof/>
          </w:rPr>
          <w:t>5.6.1</w:t>
        </w:r>
        <w:r w:rsidR="00300C4D" w:rsidRPr="006D1005">
          <w:rPr>
            <w:rFonts w:asciiTheme="minorHAnsi" w:eastAsiaTheme="minorEastAsia" w:hAnsiTheme="minorHAnsi" w:cstheme="minorBidi"/>
            <w:i w:val="0"/>
            <w:iCs w:val="0"/>
            <w:noProof/>
          </w:rPr>
          <w:tab/>
        </w:r>
        <w:r w:rsidR="00300C4D" w:rsidRPr="006D1005">
          <w:rPr>
            <w:rStyle w:val="Hyperlink"/>
            <w:i w:val="0"/>
            <w:iCs w:val="0"/>
            <w:noProof/>
          </w:rPr>
          <w:t>Verifiable Costs</w:t>
        </w:r>
        <w:r w:rsidR="00300C4D" w:rsidRPr="006D1005">
          <w:rPr>
            <w:i w:val="0"/>
            <w:iCs w:val="0"/>
            <w:noProof/>
            <w:webHidden/>
          </w:rPr>
          <w:tab/>
        </w:r>
        <w:r w:rsidR="00300C4D" w:rsidRPr="006D1005">
          <w:rPr>
            <w:i w:val="0"/>
            <w:iCs w:val="0"/>
            <w:noProof/>
            <w:webHidden/>
          </w:rPr>
          <w:fldChar w:fldCharType="begin"/>
        </w:r>
        <w:r w:rsidR="00300C4D" w:rsidRPr="006D1005">
          <w:rPr>
            <w:i w:val="0"/>
            <w:iCs w:val="0"/>
            <w:noProof/>
            <w:webHidden/>
          </w:rPr>
          <w:instrText xml:space="preserve"> PAGEREF _Toc60038344 \h </w:instrText>
        </w:r>
        <w:r w:rsidR="00300C4D" w:rsidRPr="006D1005">
          <w:rPr>
            <w:i w:val="0"/>
            <w:iCs w:val="0"/>
            <w:noProof/>
            <w:webHidden/>
          </w:rPr>
        </w:r>
        <w:r w:rsidR="00300C4D" w:rsidRPr="006D1005">
          <w:rPr>
            <w:i w:val="0"/>
            <w:iCs w:val="0"/>
            <w:noProof/>
            <w:webHidden/>
          </w:rPr>
          <w:fldChar w:fldCharType="separate"/>
        </w:r>
        <w:r w:rsidRPr="006D1005">
          <w:rPr>
            <w:i w:val="0"/>
            <w:iCs w:val="0"/>
            <w:noProof/>
            <w:webHidden/>
          </w:rPr>
          <w:t>5-25</w:t>
        </w:r>
        <w:r w:rsidR="00300C4D" w:rsidRPr="006D1005">
          <w:rPr>
            <w:i w:val="0"/>
            <w:iCs w:val="0"/>
            <w:noProof/>
            <w:webHidden/>
          </w:rPr>
          <w:fldChar w:fldCharType="end"/>
        </w:r>
      </w:hyperlink>
    </w:p>
    <w:p w14:paraId="15A62625" w14:textId="620AF314" w:rsidR="00300C4D" w:rsidRPr="006D1005" w:rsidRDefault="006D1005">
      <w:pPr>
        <w:pStyle w:val="TOC4"/>
        <w:rPr>
          <w:rFonts w:asciiTheme="minorHAnsi" w:eastAsiaTheme="minorEastAsia" w:hAnsiTheme="minorHAnsi" w:cstheme="minorBidi"/>
          <w:noProof/>
          <w:sz w:val="20"/>
          <w:szCs w:val="20"/>
        </w:rPr>
      </w:pPr>
      <w:hyperlink w:anchor="_Toc60038345" w:history="1">
        <w:r w:rsidR="00300C4D" w:rsidRPr="006D1005">
          <w:rPr>
            <w:rStyle w:val="Hyperlink"/>
            <w:noProof/>
            <w:sz w:val="20"/>
            <w:szCs w:val="20"/>
          </w:rPr>
          <w:t>5.6.1.1</w:t>
        </w:r>
        <w:r w:rsidR="00300C4D" w:rsidRPr="006D1005">
          <w:rPr>
            <w:rFonts w:asciiTheme="minorHAnsi" w:eastAsiaTheme="minorEastAsia" w:hAnsiTheme="minorHAnsi" w:cstheme="minorBidi"/>
            <w:noProof/>
            <w:sz w:val="20"/>
            <w:szCs w:val="20"/>
          </w:rPr>
          <w:tab/>
        </w:r>
        <w:r w:rsidR="00300C4D" w:rsidRPr="006D1005">
          <w:rPr>
            <w:rStyle w:val="Hyperlink"/>
            <w:noProof/>
            <w:sz w:val="20"/>
            <w:szCs w:val="20"/>
          </w:rPr>
          <w:t>Verifiable Startup Costs</w:t>
        </w:r>
        <w:r w:rsidR="00300C4D" w:rsidRPr="006D1005">
          <w:rPr>
            <w:noProof/>
            <w:webHidden/>
            <w:sz w:val="20"/>
            <w:szCs w:val="20"/>
          </w:rPr>
          <w:tab/>
        </w:r>
        <w:r w:rsidR="00300C4D" w:rsidRPr="006D1005">
          <w:rPr>
            <w:noProof/>
            <w:webHidden/>
            <w:sz w:val="20"/>
            <w:szCs w:val="20"/>
          </w:rPr>
          <w:fldChar w:fldCharType="begin"/>
        </w:r>
        <w:r w:rsidR="00300C4D" w:rsidRPr="006D1005">
          <w:rPr>
            <w:noProof/>
            <w:webHidden/>
            <w:sz w:val="20"/>
            <w:szCs w:val="20"/>
          </w:rPr>
          <w:instrText xml:space="preserve"> PAGEREF _Toc60038345 \h </w:instrText>
        </w:r>
        <w:r w:rsidR="00300C4D" w:rsidRPr="006D1005">
          <w:rPr>
            <w:noProof/>
            <w:webHidden/>
            <w:sz w:val="20"/>
            <w:szCs w:val="20"/>
          </w:rPr>
        </w:r>
        <w:r w:rsidR="00300C4D" w:rsidRPr="006D1005">
          <w:rPr>
            <w:noProof/>
            <w:webHidden/>
            <w:sz w:val="20"/>
            <w:szCs w:val="20"/>
          </w:rPr>
          <w:fldChar w:fldCharType="separate"/>
        </w:r>
        <w:r w:rsidRPr="006D1005">
          <w:rPr>
            <w:noProof/>
            <w:webHidden/>
            <w:sz w:val="20"/>
            <w:szCs w:val="20"/>
          </w:rPr>
          <w:t>5-31</w:t>
        </w:r>
        <w:r w:rsidR="00300C4D" w:rsidRPr="006D1005">
          <w:rPr>
            <w:noProof/>
            <w:webHidden/>
            <w:sz w:val="20"/>
            <w:szCs w:val="20"/>
          </w:rPr>
          <w:fldChar w:fldCharType="end"/>
        </w:r>
      </w:hyperlink>
    </w:p>
    <w:p w14:paraId="22121F0D" w14:textId="1DE5508E" w:rsidR="00300C4D" w:rsidRPr="006D1005" w:rsidRDefault="006D1005">
      <w:pPr>
        <w:pStyle w:val="TOC4"/>
        <w:rPr>
          <w:rFonts w:asciiTheme="minorHAnsi" w:eastAsiaTheme="minorEastAsia" w:hAnsiTheme="minorHAnsi" w:cstheme="minorBidi"/>
          <w:noProof/>
          <w:sz w:val="20"/>
          <w:szCs w:val="20"/>
        </w:rPr>
      </w:pPr>
      <w:hyperlink w:anchor="_Toc60038346" w:history="1">
        <w:r w:rsidR="00300C4D" w:rsidRPr="006D1005">
          <w:rPr>
            <w:rStyle w:val="Hyperlink"/>
            <w:noProof/>
            <w:sz w:val="20"/>
            <w:szCs w:val="20"/>
          </w:rPr>
          <w:t>5.6.1.2</w:t>
        </w:r>
        <w:r w:rsidR="00300C4D" w:rsidRPr="006D1005">
          <w:rPr>
            <w:rFonts w:asciiTheme="minorHAnsi" w:eastAsiaTheme="minorEastAsia" w:hAnsiTheme="minorHAnsi" w:cstheme="minorBidi"/>
            <w:noProof/>
            <w:sz w:val="20"/>
            <w:szCs w:val="20"/>
          </w:rPr>
          <w:tab/>
        </w:r>
        <w:r w:rsidR="00300C4D" w:rsidRPr="006D1005">
          <w:rPr>
            <w:rStyle w:val="Hyperlink"/>
            <w:noProof/>
            <w:sz w:val="20"/>
            <w:szCs w:val="20"/>
          </w:rPr>
          <w:t>Verifiable Minimum-Energy Costs</w:t>
        </w:r>
        <w:r w:rsidR="00300C4D" w:rsidRPr="006D1005">
          <w:rPr>
            <w:noProof/>
            <w:webHidden/>
            <w:sz w:val="20"/>
            <w:szCs w:val="20"/>
          </w:rPr>
          <w:tab/>
        </w:r>
        <w:r w:rsidR="00300C4D" w:rsidRPr="006D1005">
          <w:rPr>
            <w:noProof/>
            <w:webHidden/>
            <w:sz w:val="20"/>
            <w:szCs w:val="20"/>
          </w:rPr>
          <w:fldChar w:fldCharType="begin"/>
        </w:r>
        <w:r w:rsidR="00300C4D" w:rsidRPr="006D1005">
          <w:rPr>
            <w:noProof/>
            <w:webHidden/>
            <w:sz w:val="20"/>
            <w:szCs w:val="20"/>
          </w:rPr>
          <w:instrText xml:space="preserve"> PAGEREF _Toc60038346 \h </w:instrText>
        </w:r>
        <w:r w:rsidR="00300C4D" w:rsidRPr="006D1005">
          <w:rPr>
            <w:noProof/>
            <w:webHidden/>
            <w:sz w:val="20"/>
            <w:szCs w:val="20"/>
          </w:rPr>
        </w:r>
        <w:r w:rsidR="00300C4D" w:rsidRPr="006D1005">
          <w:rPr>
            <w:noProof/>
            <w:webHidden/>
            <w:sz w:val="20"/>
            <w:szCs w:val="20"/>
          </w:rPr>
          <w:fldChar w:fldCharType="separate"/>
        </w:r>
        <w:r w:rsidRPr="006D1005">
          <w:rPr>
            <w:noProof/>
            <w:webHidden/>
            <w:sz w:val="20"/>
            <w:szCs w:val="20"/>
          </w:rPr>
          <w:t>5-31</w:t>
        </w:r>
        <w:r w:rsidR="00300C4D" w:rsidRPr="006D1005">
          <w:rPr>
            <w:noProof/>
            <w:webHidden/>
            <w:sz w:val="20"/>
            <w:szCs w:val="20"/>
          </w:rPr>
          <w:fldChar w:fldCharType="end"/>
        </w:r>
      </w:hyperlink>
    </w:p>
    <w:p w14:paraId="2C3E05BF" w14:textId="17E67B52" w:rsidR="00300C4D" w:rsidRPr="006D1005" w:rsidRDefault="006D1005">
      <w:pPr>
        <w:pStyle w:val="TOC3"/>
        <w:rPr>
          <w:rFonts w:asciiTheme="minorHAnsi" w:eastAsiaTheme="minorEastAsia" w:hAnsiTheme="minorHAnsi" w:cstheme="minorBidi"/>
          <w:i w:val="0"/>
          <w:iCs w:val="0"/>
          <w:noProof/>
        </w:rPr>
      </w:pPr>
      <w:hyperlink w:anchor="_Toc60038347" w:history="1">
        <w:r w:rsidR="00300C4D" w:rsidRPr="006D1005">
          <w:rPr>
            <w:rStyle w:val="Hyperlink"/>
            <w:i w:val="0"/>
            <w:iCs w:val="0"/>
            <w:noProof/>
          </w:rPr>
          <w:t>5.6.2</w:t>
        </w:r>
        <w:r w:rsidR="00300C4D" w:rsidRPr="006D1005">
          <w:rPr>
            <w:rFonts w:asciiTheme="minorHAnsi" w:eastAsiaTheme="minorEastAsia" w:hAnsiTheme="minorHAnsi" w:cstheme="minorBidi"/>
            <w:i w:val="0"/>
            <w:iCs w:val="0"/>
            <w:noProof/>
          </w:rPr>
          <w:tab/>
        </w:r>
        <w:r w:rsidR="00300C4D" w:rsidRPr="006D1005">
          <w:rPr>
            <w:rStyle w:val="Hyperlink"/>
            <w:i w:val="0"/>
            <w:iCs w:val="0"/>
            <w:noProof/>
          </w:rPr>
          <w:t>RUC Startup Cost Eligibility</w:t>
        </w:r>
        <w:r w:rsidR="00300C4D" w:rsidRPr="006D1005">
          <w:rPr>
            <w:i w:val="0"/>
            <w:iCs w:val="0"/>
            <w:noProof/>
            <w:webHidden/>
          </w:rPr>
          <w:tab/>
        </w:r>
        <w:r w:rsidR="00300C4D" w:rsidRPr="006D1005">
          <w:rPr>
            <w:i w:val="0"/>
            <w:iCs w:val="0"/>
            <w:noProof/>
            <w:webHidden/>
          </w:rPr>
          <w:fldChar w:fldCharType="begin"/>
        </w:r>
        <w:r w:rsidR="00300C4D" w:rsidRPr="006D1005">
          <w:rPr>
            <w:i w:val="0"/>
            <w:iCs w:val="0"/>
            <w:noProof/>
            <w:webHidden/>
          </w:rPr>
          <w:instrText xml:space="preserve"> PAGEREF _Toc60038347 \h </w:instrText>
        </w:r>
        <w:r w:rsidR="00300C4D" w:rsidRPr="006D1005">
          <w:rPr>
            <w:i w:val="0"/>
            <w:iCs w:val="0"/>
            <w:noProof/>
            <w:webHidden/>
          </w:rPr>
        </w:r>
        <w:r w:rsidR="00300C4D" w:rsidRPr="006D1005">
          <w:rPr>
            <w:i w:val="0"/>
            <w:iCs w:val="0"/>
            <w:noProof/>
            <w:webHidden/>
          </w:rPr>
          <w:fldChar w:fldCharType="separate"/>
        </w:r>
        <w:r w:rsidRPr="006D1005">
          <w:rPr>
            <w:i w:val="0"/>
            <w:iCs w:val="0"/>
            <w:noProof/>
            <w:webHidden/>
          </w:rPr>
          <w:t>5-32</w:t>
        </w:r>
        <w:r w:rsidR="00300C4D" w:rsidRPr="006D1005">
          <w:rPr>
            <w:i w:val="0"/>
            <w:iCs w:val="0"/>
            <w:noProof/>
            <w:webHidden/>
          </w:rPr>
          <w:fldChar w:fldCharType="end"/>
        </w:r>
      </w:hyperlink>
    </w:p>
    <w:p w14:paraId="626F49ED" w14:textId="66FF64A1" w:rsidR="00300C4D" w:rsidRPr="006D1005" w:rsidRDefault="006D1005">
      <w:pPr>
        <w:pStyle w:val="TOC3"/>
        <w:rPr>
          <w:rFonts w:asciiTheme="minorHAnsi" w:eastAsiaTheme="minorEastAsia" w:hAnsiTheme="minorHAnsi" w:cstheme="minorBidi"/>
          <w:i w:val="0"/>
          <w:iCs w:val="0"/>
          <w:noProof/>
        </w:rPr>
      </w:pPr>
      <w:hyperlink w:anchor="_Toc60038348" w:history="1">
        <w:r w:rsidR="00300C4D" w:rsidRPr="006D1005">
          <w:rPr>
            <w:rStyle w:val="Hyperlink"/>
            <w:i w:val="0"/>
            <w:iCs w:val="0"/>
            <w:noProof/>
          </w:rPr>
          <w:t>5.6.3</w:t>
        </w:r>
        <w:r w:rsidR="00300C4D" w:rsidRPr="006D1005">
          <w:rPr>
            <w:rFonts w:asciiTheme="minorHAnsi" w:eastAsiaTheme="minorEastAsia" w:hAnsiTheme="minorHAnsi" w:cstheme="minorBidi"/>
            <w:i w:val="0"/>
            <w:iCs w:val="0"/>
            <w:noProof/>
          </w:rPr>
          <w:tab/>
        </w:r>
        <w:r w:rsidR="00300C4D" w:rsidRPr="006D1005">
          <w:rPr>
            <w:rStyle w:val="Hyperlink"/>
            <w:i w:val="0"/>
            <w:iCs w:val="0"/>
            <w:noProof/>
          </w:rPr>
          <w:t>Forced Outage of a RUC-Committed Resource</w:t>
        </w:r>
        <w:r w:rsidR="00300C4D" w:rsidRPr="006D1005">
          <w:rPr>
            <w:i w:val="0"/>
            <w:iCs w:val="0"/>
            <w:noProof/>
            <w:webHidden/>
          </w:rPr>
          <w:tab/>
        </w:r>
        <w:r w:rsidR="00300C4D" w:rsidRPr="006D1005">
          <w:rPr>
            <w:i w:val="0"/>
            <w:iCs w:val="0"/>
            <w:noProof/>
            <w:webHidden/>
          </w:rPr>
          <w:fldChar w:fldCharType="begin"/>
        </w:r>
        <w:r w:rsidR="00300C4D" w:rsidRPr="006D1005">
          <w:rPr>
            <w:i w:val="0"/>
            <w:iCs w:val="0"/>
            <w:noProof/>
            <w:webHidden/>
          </w:rPr>
          <w:instrText xml:space="preserve"> PAGEREF _Toc60038348 \h </w:instrText>
        </w:r>
        <w:r w:rsidR="00300C4D" w:rsidRPr="006D1005">
          <w:rPr>
            <w:i w:val="0"/>
            <w:iCs w:val="0"/>
            <w:noProof/>
            <w:webHidden/>
          </w:rPr>
        </w:r>
        <w:r w:rsidR="00300C4D" w:rsidRPr="006D1005">
          <w:rPr>
            <w:i w:val="0"/>
            <w:iCs w:val="0"/>
            <w:noProof/>
            <w:webHidden/>
          </w:rPr>
          <w:fldChar w:fldCharType="separate"/>
        </w:r>
        <w:r w:rsidRPr="006D1005">
          <w:rPr>
            <w:i w:val="0"/>
            <w:iCs w:val="0"/>
            <w:noProof/>
            <w:webHidden/>
          </w:rPr>
          <w:t>5-33</w:t>
        </w:r>
        <w:r w:rsidR="00300C4D" w:rsidRPr="006D1005">
          <w:rPr>
            <w:i w:val="0"/>
            <w:iCs w:val="0"/>
            <w:noProof/>
            <w:webHidden/>
          </w:rPr>
          <w:fldChar w:fldCharType="end"/>
        </w:r>
      </w:hyperlink>
    </w:p>
    <w:p w14:paraId="6273E542" w14:textId="2ACF577C" w:rsidR="00300C4D" w:rsidRPr="006D1005" w:rsidRDefault="006D1005">
      <w:pPr>
        <w:pStyle w:val="TOC3"/>
        <w:rPr>
          <w:rFonts w:asciiTheme="minorHAnsi" w:eastAsiaTheme="minorEastAsia" w:hAnsiTheme="minorHAnsi" w:cstheme="minorBidi"/>
          <w:i w:val="0"/>
          <w:iCs w:val="0"/>
          <w:noProof/>
        </w:rPr>
      </w:pPr>
      <w:hyperlink w:anchor="_Toc60038349" w:history="1">
        <w:r w:rsidR="00300C4D" w:rsidRPr="006D1005">
          <w:rPr>
            <w:rStyle w:val="Hyperlink"/>
            <w:i w:val="0"/>
            <w:iCs w:val="0"/>
            <w:noProof/>
          </w:rPr>
          <w:t>5.6.4</w:t>
        </w:r>
        <w:r w:rsidR="00300C4D" w:rsidRPr="006D1005">
          <w:rPr>
            <w:rFonts w:asciiTheme="minorHAnsi" w:eastAsiaTheme="minorEastAsia" w:hAnsiTheme="minorHAnsi" w:cstheme="minorBidi"/>
            <w:i w:val="0"/>
            <w:iCs w:val="0"/>
            <w:noProof/>
          </w:rPr>
          <w:tab/>
        </w:r>
        <w:r w:rsidR="00300C4D" w:rsidRPr="006D1005">
          <w:rPr>
            <w:rStyle w:val="Hyperlink"/>
            <w:i w:val="0"/>
            <w:iCs w:val="0"/>
            <w:noProof/>
          </w:rPr>
          <w:t>Cancellation of a RUC Commitment</w:t>
        </w:r>
        <w:r w:rsidR="00300C4D" w:rsidRPr="006D1005">
          <w:rPr>
            <w:i w:val="0"/>
            <w:iCs w:val="0"/>
            <w:noProof/>
            <w:webHidden/>
          </w:rPr>
          <w:tab/>
        </w:r>
        <w:r w:rsidR="00300C4D" w:rsidRPr="006D1005">
          <w:rPr>
            <w:i w:val="0"/>
            <w:iCs w:val="0"/>
            <w:noProof/>
            <w:webHidden/>
          </w:rPr>
          <w:fldChar w:fldCharType="begin"/>
        </w:r>
        <w:r w:rsidR="00300C4D" w:rsidRPr="006D1005">
          <w:rPr>
            <w:i w:val="0"/>
            <w:iCs w:val="0"/>
            <w:noProof/>
            <w:webHidden/>
          </w:rPr>
          <w:instrText xml:space="preserve"> PAGEREF _Toc60038349 \h </w:instrText>
        </w:r>
        <w:r w:rsidR="00300C4D" w:rsidRPr="006D1005">
          <w:rPr>
            <w:i w:val="0"/>
            <w:iCs w:val="0"/>
            <w:noProof/>
            <w:webHidden/>
          </w:rPr>
        </w:r>
        <w:r w:rsidR="00300C4D" w:rsidRPr="006D1005">
          <w:rPr>
            <w:i w:val="0"/>
            <w:iCs w:val="0"/>
            <w:noProof/>
            <w:webHidden/>
          </w:rPr>
          <w:fldChar w:fldCharType="separate"/>
        </w:r>
        <w:r w:rsidRPr="006D1005">
          <w:rPr>
            <w:i w:val="0"/>
            <w:iCs w:val="0"/>
            <w:noProof/>
            <w:webHidden/>
          </w:rPr>
          <w:t>5-34</w:t>
        </w:r>
        <w:r w:rsidR="00300C4D" w:rsidRPr="006D1005">
          <w:rPr>
            <w:i w:val="0"/>
            <w:iCs w:val="0"/>
            <w:noProof/>
            <w:webHidden/>
          </w:rPr>
          <w:fldChar w:fldCharType="end"/>
        </w:r>
      </w:hyperlink>
    </w:p>
    <w:p w14:paraId="132EFEDA" w14:textId="707FDA02" w:rsidR="00300C4D" w:rsidRPr="006D1005" w:rsidRDefault="006D1005">
      <w:pPr>
        <w:pStyle w:val="TOC3"/>
        <w:rPr>
          <w:rFonts w:asciiTheme="minorHAnsi" w:eastAsiaTheme="minorEastAsia" w:hAnsiTheme="minorHAnsi" w:cstheme="minorBidi"/>
          <w:i w:val="0"/>
          <w:iCs w:val="0"/>
          <w:noProof/>
        </w:rPr>
      </w:pPr>
      <w:hyperlink w:anchor="_Toc60038350" w:history="1">
        <w:r w:rsidR="00300C4D" w:rsidRPr="006D1005">
          <w:rPr>
            <w:rStyle w:val="Hyperlink"/>
            <w:i w:val="0"/>
            <w:iCs w:val="0"/>
            <w:noProof/>
          </w:rPr>
          <w:t>5.6.5</w:t>
        </w:r>
        <w:r w:rsidR="00300C4D" w:rsidRPr="006D1005">
          <w:rPr>
            <w:rFonts w:asciiTheme="minorHAnsi" w:eastAsiaTheme="minorEastAsia" w:hAnsiTheme="minorHAnsi" w:cstheme="minorBidi"/>
            <w:i w:val="0"/>
            <w:iCs w:val="0"/>
            <w:noProof/>
          </w:rPr>
          <w:tab/>
        </w:r>
        <w:r w:rsidR="00300C4D" w:rsidRPr="006D1005">
          <w:rPr>
            <w:rStyle w:val="Hyperlink"/>
            <w:i w:val="0"/>
            <w:iCs w:val="0"/>
            <w:noProof/>
          </w:rPr>
          <w:t>Settlement for Canceled or Delayed Outages for Outage Schedule Adjustments (OSAs)</w:t>
        </w:r>
        <w:r w:rsidR="00300C4D" w:rsidRPr="006D1005">
          <w:rPr>
            <w:i w:val="0"/>
            <w:iCs w:val="0"/>
            <w:noProof/>
            <w:webHidden/>
          </w:rPr>
          <w:tab/>
        </w:r>
        <w:r w:rsidR="00300C4D" w:rsidRPr="006D1005">
          <w:rPr>
            <w:i w:val="0"/>
            <w:iCs w:val="0"/>
            <w:noProof/>
            <w:webHidden/>
          </w:rPr>
          <w:fldChar w:fldCharType="begin"/>
        </w:r>
        <w:r w:rsidR="00300C4D" w:rsidRPr="006D1005">
          <w:rPr>
            <w:i w:val="0"/>
            <w:iCs w:val="0"/>
            <w:noProof/>
            <w:webHidden/>
          </w:rPr>
          <w:instrText xml:space="preserve"> PAGEREF _Toc60038350 \h </w:instrText>
        </w:r>
        <w:r w:rsidR="00300C4D" w:rsidRPr="006D1005">
          <w:rPr>
            <w:i w:val="0"/>
            <w:iCs w:val="0"/>
            <w:noProof/>
            <w:webHidden/>
          </w:rPr>
        </w:r>
        <w:r w:rsidR="00300C4D" w:rsidRPr="006D1005">
          <w:rPr>
            <w:i w:val="0"/>
            <w:iCs w:val="0"/>
            <w:noProof/>
            <w:webHidden/>
          </w:rPr>
          <w:fldChar w:fldCharType="separate"/>
        </w:r>
        <w:r w:rsidRPr="006D1005">
          <w:rPr>
            <w:i w:val="0"/>
            <w:iCs w:val="0"/>
            <w:noProof/>
            <w:webHidden/>
          </w:rPr>
          <w:t>5-34</w:t>
        </w:r>
        <w:r w:rsidR="00300C4D" w:rsidRPr="006D1005">
          <w:rPr>
            <w:i w:val="0"/>
            <w:iCs w:val="0"/>
            <w:noProof/>
            <w:webHidden/>
          </w:rPr>
          <w:fldChar w:fldCharType="end"/>
        </w:r>
      </w:hyperlink>
    </w:p>
    <w:p w14:paraId="0CF3BDED" w14:textId="21AB663E" w:rsidR="00300C4D" w:rsidRPr="006D1005" w:rsidRDefault="006D1005">
      <w:pPr>
        <w:pStyle w:val="TOC4"/>
        <w:rPr>
          <w:rFonts w:asciiTheme="minorHAnsi" w:eastAsiaTheme="minorEastAsia" w:hAnsiTheme="minorHAnsi" w:cstheme="minorBidi"/>
          <w:noProof/>
          <w:sz w:val="20"/>
          <w:szCs w:val="20"/>
        </w:rPr>
      </w:pPr>
      <w:hyperlink w:anchor="_Toc60038351" w:history="1">
        <w:r w:rsidR="00300C4D" w:rsidRPr="006D1005">
          <w:rPr>
            <w:rStyle w:val="Hyperlink"/>
            <w:noProof/>
            <w:sz w:val="20"/>
            <w:szCs w:val="20"/>
          </w:rPr>
          <w:t>5.6.5.1</w:t>
        </w:r>
        <w:r w:rsidR="00300C4D" w:rsidRPr="006D1005">
          <w:rPr>
            <w:rFonts w:asciiTheme="minorHAnsi" w:eastAsiaTheme="minorEastAsia" w:hAnsiTheme="minorHAnsi" w:cstheme="minorBidi"/>
            <w:noProof/>
            <w:sz w:val="20"/>
            <w:szCs w:val="20"/>
          </w:rPr>
          <w:tab/>
        </w:r>
        <w:r w:rsidR="00300C4D" w:rsidRPr="006D1005">
          <w:rPr>
            <w:rStyle w:val="Hyperlink"/>
            <w:noProof/>
            <w:sz w:val="20"/>
            <w:szCs w:val="20"/>
          </w:rPr>
          <w:t>Make-Whole Payment for Canceled or Delayed Outages for OSAs</w:t>
        </w:r>
        <w:r w:rsidR="00300C4D" w:rsidRPr="006D1005">
          <w:rPr>
            <w:noProof/>
            <w:webHidden/>
            <w:sz w:val="20"/>
            <w:szCs w:val="20"/>
          </w:rPr>
          <w:tab/>
        </w:r>
        <w:r w:rsidR="00300C4D" w:rsidRPr="006D1005">
          <w:rPr>
            <w:noProof/>
            <w:webHidden/>
            <w:sz w:val="20"/>
            <w:szCs w:val="20"/>
          </w:rPr>
          <w:fldChar w:fldCharType="begin"/>
        </w:r>
        <w:r w:rsidR="00300C4D" w:rsidRPr="006D1005">
          <w:rPr>
            <w:noProof/>
            <w:webHidden/>
            <w:sz w:val="20"/>
            <w:szCs w:val="20"/>
          </w:rPr>
          <w:instrText xml:space="preserve"> PAGEREF _Toc60038351 \h </w:instrText>
        </w:r>
        <w:r w:rsidR="00300C4D" w:rsidRPr="006D1005">
          <w:rPr>
            <w:noProof/>
            <w:webHidden/>
            <w:sz w:val="20"/>
            <w:szCs w:val="20"/>
          </w:rPr>
        </w:r>
        <w:r w:rsidR="00300C4D" w:rsidRPr="006D1005">
          <w:rPr>
            <w:noProof/>
            <w:webHidden/>
            <w:sz w:val="20"/>
            <w:szCs w:val="20"/>
          </w:rPr>
          <w:fldChar w:fldCharType="separate"/>
        </w:r>
        <w:r w:rsidRPr="006D1005">
          <w:rPr>
            <w:noProof/>
            <w:webHidden/>
            <w:sz w:val="20"/>
            <w:szCs w:val="20"/>
          </w:rPr>
          <w:t>5-34</w:t>
        </w:r>
        <w:r w:rsidR="00300C4D" w:rsidRPr="006D1005">
          <w:rPr>
            <w:noProof/>
            <w:webHidden/>
            <w:sz w:val="20"/>
            <w:szCs w:val="20"/>
          </w:rPr>
          <w:fldChar w:fldCharType="end"/>
        </w:r>
      </w:hyperlink>
    </w:p>
    <w:p w14:paraId="7DC9E092" w14:textId="08FAE5D6" w:rsidR="00300C4D" w:rsidRPr="006D1005" w:rsidRDefault="006D1005" w:rsidP="00300C4D">
      <w:pPr>
        <w:pStyle w:val="TOC4"/>
        <w:rPr>
          <w:rFonts w:asciiTheme="minorHAnsi" w:eastAsiaTheme="minorEastAsia" w:hAnsiTheme="minorHAnsi" w:cstheme="minorBidi"/>
          <w:noProof/>
          <w:sz w:val="20"/>
          <w:szCs w:val="20"/>
        </w:rPr>
      </w:pPr>
      <w:hyperlink w:anchor="_Toc60038352" w:history="1">
        <w:r w:rsidR="00300C4D" w:rsidRPr="006D1005">
          <w:rPr>
            <w:rStyle w:val="Hyperlink"/>
            <w:bCs/>
            <w:noProof/>
            <w:sz w:val="20"/>
            <w:szCs w:val="20"/>
          </w:rPr>
          <w:t>5.6.5.2</w:t>
        </w:r>
        <w:r w:rsidR="00300C4D" w:rsidRPr="006D1005">
          <w:rPr>
            <w:rFonts w:asciiTheme="minorHAnsi" w:eastAsiaTheme="minorEastAsia" w:hAnsiTheme="minorHAnsi" w:cstheme="minorBidi"/>
            <w:noProof/>
            <w:sz w:val="20"/>
            <w:szCs w:val="20"/>
          </w:rPr>
          <w:tab/>
        </w:r>
        <w:r w:rsidR="00300C4D" w:rsidRPr="006D1005">
          <w:rPr>
            <w:rStyle w:val="Hyperlink"/>
            <w:noProof/>
            <w:sz w:val="20"/>
            <w:szCs w:val="20"/>
          </w:rPr>
          <w:t>RUC</w:t>
        </w:r>
        <w:r w:rsidR="00300C4D" w:rsidRPr="006D1005">
          <w:rPr>
            <w:rStyle w:val="Hyperlink"/>
            <w:bCs/>
            <w:noProof/>
            <w:sz w:val="20"/>
            <w:szCs w:val="20"/>
          </w:rPr>
          <w:t xml:space="preserve"> Make-Whole Payment and RUC Clawback Charge for Resources Receiving OSAs</w:t>
        </w:r>
        <w:r w:rsidR="00300C4D" w:rsidRPr="006D1005">
          <w:rPr>
            <w:noProof/>
            <w:webHidden/>
            <w:sz w:val="20"/>
            <w:szCs w:val="20"/>
          </w:rPr>
          <w:tab/>
        </w:r>
        <w:r w:rsidR="00300C4D" w:rsidRPr="006D1005">
          <w:rPr>
            <w:noProof/>
            <w:webHidden/>
            <w:sz w:val="20"/>
            <w:szCs w:val="20"/>
          </w:rPr>
          <w:fldChar w:fldCharType="begin"/>
        </w:r>
        <w:r w:rsidR="00300C4D" w:rsidRPr="006D1005">
          <w:rPr>
            <w:noProof/>
            <w:webHidden/>
            <w:sz w:val="20"/>
            <w:szCs w:val="20"/>
          </w:rPr>
          <w:instrText xml:space="preserve"> PAGEREF _Toc60038352 \h </w:instrText>
        </w:r>
        <w:r w:rsidR="00300C4D" w:rsidRPr="006D1005">
          <w:rPr>
            <w:noProof/>
            <w:webHidden/>
            <w:sz w:val="20"/>
            <w:szCs w:val="20"/>
          </w:rPr>
        </w:r>
        <w:r w:rsidR="00300C4D" w:rsidRPr="006D1005">
          <w:rPr>
            <w:noProof/>
            <w:webHidden/>
            <w:sz w:val="20"/>
            <w:szCs w:val="20"/>
          </w:rPr>
          <w:fldChar w:fldCharType="separate"/>
        </w:r>
        <w:r w:rsidRPr="006D1005">
          <w:rPr>
            <w:noProof/>
            <w:webHidden/>
            <w:sz w:val="20"/>
            <w:szCs w:val="20"/>
          </w:rPr>
          <w:t>5-35</w:t>
        </w:r>
        <w:r w:rsidR="00300C4D" w:rsidRPr="006D1005">
          <w:rPr>
            <w:noProof/>
            <w:webHidden/>
            <w:sz w:val="20"/>
            <w:szCs w:val="20"/>
          </w:rPr>
          <w:fldChar w:fldCharType="end"/>
        </w:r>
      </w:hyperlink>
    </w:p>
    <w:p w14:paraId="44B93913" w14:textId="76F12BDF" w:rsidR="00300C4D" w:rsidRPr="006D1005" w:rsidRDefault="006D1005" w:rsidP="00300C4D">
      <w:pPr>
        <w:pStyle w:val="TOC4"/>
        <w:rPr>
          <w:rFonts w:asciiTheme="minorHAnsi" w:eastAsiaTheme="minorEastAsia" w:hAnsiTheme="minorHAnsi" w:cstheme="minorBidi"/>
          <w:noProof/>
          <w:sz w:val="20"/>
          <w:szCs w:val="20"/>
        </w:rPr>
      </w:pPr>
      <w:hyperlink w:anchor="_Toc60038353" w:history="1">
        <w:r w:rsidR="00300C4D" w:rsidRPr="006D1005">
          <w:rPr>
            <w:rStyle w:val="Hyperlink"/>
            <w:bCs/>
            <w:noProof/>
            <w:sz w:val="20"/>
            <w:szCs w:val="20"/>
          </w:rPr>
          <w:t>5.6.5.3</w:t>
        </w:r>
        <w:r w:rsidR="00300C4D" w:rsidRPr="006D1005">
          <w:rPr>
            <w:rFonts w:asciiTheme="minorHAnsi" w:eastAsiaTheme="minorEastAsia" w:hAnsiTheme="minorHAnsi" w:cstheme="minorBidi"/>
            <w:noProof/>
            <w:sz w:val="20"/>
            <w:szCs w:val="20"/>
          </w:rPr>
          <w:tab/>
        </w:r>
        <w:r w:rsidR="00300C4D" w:rsidRPr="006D1005">
          <w:rPr>
            <w:rStyle w:val="Hyperlink"/>
            <w:noProof/>
            <w:sz w:val="20"/>
            <w:szCs w:val="20"/>
          </w:rPr>
          <w:t>Timeline</w:t>
        </w:r>
        <w:r w:rsidR="00300C4D" w:rsidRPr="006D1005">
          <w:rPr>
            <w:rStyle w:val="Hyperlink"/>
            <w:bCs/>
            <w:noProof/>
            <w:sz w:val="20"/>
            <w:szCs w:val="20"/>
          </w:rPr>
          <w:t xml:space="preserve"> for Calculating RUC Clawback Charges for Resources Receiving OSAs</w:t>
        </w:r>
        <w:r w:rsidR="00300C4D" w:rsidRPr="006D1005">
          <w:rPr>
            <w:noProof/>
            <w:webHidden/>
            <w:sz w:val="20"/>
            <w:szCs w:val="20"/>
          </w:rPr>
          <w:tab/>
        </w:r>
        <w:r w:rsidR="00300C4D" w:rsidRPr="006D1005">
          <w:rPr>
            <w:noProof/>
            <w:webHidden/>
            <w:sz w:val="20"/>
            <w:szCs w:val="20"/>
          </w:rPr>
          <w:fldChar w:fldCharType="begin"/>
        </w:r>
        <w:r w:rsidR="00300C4D" w:rsidRPr="006D1005">
          <w:rPr>
            <w:noProof/>
            <w:webHidden/>
            <w:sz w:val="20"/>
            <w:szCs w:val="20"/>
          </w:rPr>
          <w:instrText xml:space="preserve"> PAGEREF _Toc60038353 \h </w:instrText>
        </w:r>
        <w:r w:rsidR="00300C4D" w:rsidRPr="006D1005">
          <w:rPr>
            <w:noProof/>
            <w:webHidden/>
            <w:sz w:val="20"/>
            <w:szCs w:val="20"/>
          </w:rPr>
        </w:r>
        <w:r w:rsidR="00300C4D" w:rsidRPr="006D1005">
          <w:rPr>
            <w:noProof/>
            <w:webHidden/>
            <w:sz w:val="20"/>
            <w:szCs w:val="20"/>
          </w:rPr>
          <w:fldChar w:fldCharType="separate"/>
        </w:r>
        <w:r w:rsidRPr="006D1005">
          <w:rPr>
            <w:noProof/>
            <w:webHidden/>
            <w:sz w:val="20"/>
            <w:szCs w:val="20"/>
          </w:rPr>
          <w:t>5-37</w:t>
        </w:r>
        <w:r w:rsidR="00300C4D" w:rsidRPr="006D1005">
          <w:rPr>
            <w:noProof/>
            <w:webHidden/>
            <w:sz w:val="20"/>
            <w:szCs w:val="20"/>
          </w:rPr>
          <w:fldChar w:fldCharType="end"/>
        </w:r>
      </w:hyperlink>
    </w:p>
    <w:p w14:paraId="10CF6772" w14:textId="4A726594" w:rsidR="00300C4D" w:rsidRPr="006D1005" w:rsidRDefault="006D1005">
      <w:pPr>
        <w:pStyle w:val="TOC2"/>
        <w:rPr>
          <w:rFonts w:asciiTheme="minorHAnsi" w:eastAsiaTheme="minorEastAsia" w:hAnsiTheme="minorHAnsi" w:cstheme="minorBidi"/>
          <w:noProof/>
        </w:rPr>
      </w:pPr>
      <w:hyperlink w:anchor="_Toc60038354" w:history="1">
        <w:r w:rsidR="00300C4D" w:rsidRPr="006D1005">
          <w:rPr>
            <w:rStyle w:val="Hyperlink"/>
            <w:noProof/>
          </w:rPr>
          <w:t>5.7</w:t>
        </w:r>
        <w:r w:rsidR="00300C4D" w:rsidRPr="006D1005">
          <w:rPr>
            <w:rFonts w:asciiTheme="minorHAnsi" w:eastAsiaTheme="minorEastAsia" w:hAnsiTheme="minorHAnsi" w:cstheme="minorBidi"/>
            <w:noProof/>
          </w:rPr>
          <w:tab/>
        </w:r>
        <w:r w:rsidR="00300C4D" w:rsidRPr="006D1005">
          <w:rPr>
            <w:rStyle w:val="Hyperlink"/>
            <w:noProof/>
          </w:rPr>
          <w:t>Settlement for RUC Process</w:t>
        </w:r>
        <w:r w:rsidR="00300C4D" w:rsidRPr="006D1005">
          <w:rPr>
            <w:noProof/>
            <w:webHidden/>
          </w:rPr>
          <w:tab/>
        </w:r>
        <w:r w:rsidR="00300C4D" w:rsidRPr="006D1005">
          <w:rPr>
            <w:noProof/>
            <w:webHidden/>
          </w:rPr>
          <w:fldChar w:fldCharType="begin"/>
        </w:r>
        <w:r w:rsidR="00300C4D" w:rsidRPr="006D1005">
          <w:rPr>
            <w:noProof/>
            <w:webHidden/>
          </w:rPr>
          <w:instrText xml:space="preserve"> PAGEREF _Toc60038354 \h </w:instrText>
        </w:r>
        <w:r w:rsidR="00300C4D" w:rsidRPr="006D1005">
          <w:rPr>
            <w:noProof/>
            <w:webHidden/>
          </w:rPr>
        </w:r>
        <w:r w:rsidR="00300C4D" w:rsidRPr="006D1005">
          <w:rPr>
            <w:noProof/>
            <w:webHidden/>
          </w:rPr>
          <w:fldChar w:fldCharType="separate"/>
        </w:r>
        <w:r w:rsidRPr="006D1005">
          <w:rPr>
            <w:noProof/>
            <w:webHidden/>
          </w:rPr>
          <w:t>5-37</w:t>
        </w:r>
        <w:r w:rsidR="00300C4D" w:rsidRPr="006D1005">
          <w:rPr>
            <w:noProof/>
            <w:webHidden/>
          </w:rPr>
          <w:fldChar w:fldCharType="end"/>
        </w:r>
      </w:hyperlink>
    </w:p>
    <w:p w14:paraId="7FC03636" w14:textId="61628986" w:rsidR="00300C4D" w:rsidRPr="006D1005" w:rsidRDefault="006D1005">
      <w:pPr>
        <w:pStyle w:val="TOC3"/>
        <w:rPr>
          <w:rFonts w:asciiTheme="minorHAnsi" w:eastAsiaTheme="minorEastAsia" w:hAnsiTheme="minorHAnsi" w:cstheme="minorBidi"/>
          <w:i w:val="0"/>
          <w:iCs w:val="0"/>
          <w:noProof/>
        </w:rPr>
      </w:pPr>
      <w:hyperlink w:anchor="_Toc60038355" w:history="1">
        <w:r w:rsidR="00300C4D" w:rsidRPr="006D1005">
          <w:rPr>
            <w:rStyle w:val="Hyperlink"/>
            <w:i w:val="0"/>
            <w:iCs w:val="0"/>
            <w:noProof/>
          </w:rPr>
          <w:t>5.7.1</w:t>
        </w:r>
        <w:r w:rsidR="00300C4D" w:rsidRPr="006D1005">
          <w:rPr>
            <w:rFonts w:asciiTheme="minorHAnsi" w:eastAsiaTheme="minorEastAsia" w:hAnsiTheme="minorHAnsi" w:cstheme="minorBidi"/>
            <w:i w:val="0"/>
            <w:iCs w:val="0"/>
            <w:noProof/>
          </w:rPr>
          <w:tab/>
        </w:r>
        <w:r w:rsidR="00300C4D" w:rsidRPr="006D1005">
          <w:rPr>
            <w:rStyle w:val="Hyperlink"/>
            <w:i w:val="0"/>
            <w:iCs w:val="0"/>
            <w:noProof/>
          </w:rPr>
          <w:t>RUC Make-Whole Payment</w:t>
        </w:r>
        <w:r w:rsidR="00300C4D" w:rsidRPr="006D1005">
          <w:rPr>
            <w:i w:val="0"/>
            <w:iCs w:val="0"/>
            <w:noProof/>
            <w:webHidden/>
          </w:rPr>
          <w:tab/>
        </w:r>
        <w:r w:rsidR="00300C4D" w:rsidRPr="006D1005">
          <w:rPr>
            <w:i w:val="0"/>
            <w:iCs w:val="0"/>
            <w:noProof/>
            <w:webHidden/>
          </w:rPr>
          <w:fldChar w:fldCharType="begin"/>
        </w:r>
        <w:r w:rsidR="00300C4D" w:rsidRPr="006D1005">
          <w:rPr>
            <w:i w:val="0"/>
            <w:iCs w:val="0"/>
            <w:noProof/>
            <w:webHidden/>
          </w:rPr>
          <w:instrText xml:space="preserve"> PAGEREF _Toc60038355 \h </w:instrText>
        </w:r>
        <w:r w:rsidR="00300C4D" w:rsidRPr="006D1005">
          <w:rPr>
            <w:i w:val="0"/>
            <w:iCs w:val="0"/>
            <w:noProof/>
            <w:webHidden/>
          </w:rPr>
        </w:r>
        <w:r w:rsidR="00300C4D" w:rsidRPr="006D1005">
          <w:rPr>
            <w:i w:val="0"/>
            <w:iCs w:val="0"/>
            <w:noProof/>
            <w:webHidden/>
          </w:rPr>
          <w:fldChar w:fldCharType="separate"/>
        </w:r>
        <w:r w:rsidRPr="006D1005">
          <w:rPr>
            <w:i w:val="0"/>
            <w:iCs w:val="0"/>
            <w:noProof/>
            <w:webHidden/>
          </w:rPr>
          <w:t>5-37</w:t>
        </w:r>
        <w:r w:rsidR="00300C4D" w:rsidRPr="006D1005">
          <w:rPr>
            <w:i w:val="0"/>
            <w:iCs w:val="0"/>
            <w:noProof/>
            <w:webHidden/>
          </w:rPr>
          <w:fldChar w:fldCharType="end"/>
        </w:r>
      </w:hyperlink>
    </w:p>
    <w:p w14:paraId="0BEC9F7F" w14:textId="0F52A2C9" w:rsidR="00300C4D" w:rsidRPr="006D1005" w:rsidRDefault="006D1005">
      <w:pPr>
        <w:pStyle w:val="TOC4"/>
        <w:rPr>
          <w:rFonts w:asciiTheme="minorHAnsi" w:eastAsiaTheme="minorEastAsia" w:hAnsiTheme="minorHAnsi" w:cstheme="minorBidi"/>
          <w:noProof/>
          <w:sz w:val="20"/>
          <w:szCs w:val="20"/>
        </w:rPr>
      </w:pPr>
      <w:hyperlink w:anchor="_Toc60038356" w:history="1">
        <w:r w:rsidR="00300C4D" w:rsidRPr="006D1005">
          <w:rPr>
            <w:rStyle w:val="Hyperlink"/>
            <w:noProof/>
            <w:sz w:val="20"/>
            <w:szCs w:val="20"/>
          </w:rPr>
          <w:t>5.7.1.1</w:t>
        </w:r>
        <w:r w:rsidR="00300C4D" w:rsidRPr="006D1005">
          <w:rPr>
            <w:rFonts w:asciiTheme="minorHAnsi" w:eastAsiaTheme="minorEastAsia" w:hAnsiTheme="minorHAnsi" w:cstheme="minorBidi"/>
            <w:noProof/>
            <w:sz w:val="20"/>
            <w:szCs w:val="20"/>
          </w:rPr>
          <w:tab/>
        </w:r>
        <w:r w:rsidR="00300C4D" w:rsidRPr="006D1005">
          <w:rPr>
            <w:rStyle w:val="Hyperlink"/>
            <w:noProof/>
            <w:sz w:val="20"/>
            <w:szCs w:val="20"/>
          </w:rPr>
          <w:t>RUC Guarantee</w:t>
        </w:r>
        <w:r w:rsidR="00300C4D" w:rsidRPr="006D1005">
          <w:rPr>
            <w:noProof/>
            <w:webHidden/>
            <w:sz w:val="20"/>
            <w:szCs w:val="20"/>
          </w:rPr>
          <w:tab/>
        </w:r>
        <w:r w:rsidR="00300C4D" w:rsidRPr="006D1005">
          <w:rPr>
            <w:noProof/>
            <w:webHidden/>
            <w:sz w:val="20"/>
            <w:szCs w:val="20"/>
          </w:rPr>
          <w:fldChar w:fldCharType="begin"/>
        </w:r>
        <w:r w:rsidR="00300C4D" w:rsidRPr="006D1005">
          <w:rPr>
            <w:noProof/>
            <w:webHidden/>
            <w:sz w:val="20"/>
            <w:szCs w:val="20"/>
          </w:rPr>
          <w:instrText xml:space="preserve"> PAGEREF _Toc60038356 \h </w:instrText>
        </w:r>
        <w:r w:rsidR="00300C4D" w:rsidRPr="006D1005">
          <w:rPr>
            <w:noProof/>
            <w:webHidden/>
            <w:sz w:val="20"/>
            <w:szCs w:val="20"/>
          </w:rPr>
        </w:r>
        <w:r w:rsidR="00300C4D" w:rsidRPr="006D1005">
          <w:rPr>
            <w:noProof/>
            <w:webHidden/>
            <w:sz w:val="20"/>
            <w:szCs w:val="20"/>
          </w:rPr>
          <w:fldChar w:fldCharType="separate"/>
        </w:r>
        <w:r w:rsidRPr="006D1005">
          <w:rPr>
            <w:noProof/>
            <w:webHidden/>
            <w:sz w:val="20"/>
            <w:szCs w:val="20"/>
          </w:rPr>
          <w:t>5-39</w:t>
        </w:r>
        <w:r w:rsidR="00300C4D" w:rsidRPr="006D1005">
          <w:rPr>
            <w:noProof/>
            <w:webHidden/>
            <w:sz w:val="20"/>
            <w:szCs w:val="20"/>
          </w:rPr>
          <w:fldChar w:fldCharType="end"/>
        </w:r>
      </w:hyperlink>
    </w:p>
    <w:p w14:paraId="0FAF7194" w14:textId="756C1408" w:rsidR="00300C4D" w:rsidRPr="006D1005" w:rsidRDefault="006D1005">
      <w:pPr>
        <w:pStyle w:val="TOC4"/>
        <w:rPr>
          <w:rFonts w:asciiTheme="minorHAnsi" w:eastAsiaTheme="minorEastAsia" w:hAnsiTheme="minorHAnsi" w:cstheme="minorBidi"/>
          <w:noProof/>
          <w:sz w:val="20"/>
          <w:szCs w:val="20"/>
        </w:rPr>
      </w:pPr>
      <w:hyperlink w:anchor="_Toc60038357" w:history="1">
        <w:r w:rsidR="00300C4D" w:rsidRPr="006D1005">
          <w:rPr>
            <w:rStyle w:val="Hyperlink"/>
            <w:noProof/>
            <w:sz w:val="20"/>
            <w:szCs w:val="20"/>
          </w:rPr>
          <w:t>5.7.1.2</w:t>
        </w:r>
        <w:r w:rsidR="00300C4D" w:rsidRPr="006D1005">
          <w:rPr>
            <w:rFonts w:asciiTheme="minorHAnsi" w:eastAsiaTheme="minorEastAsia" w:hAnsiTheme="minorHAnsi" w:cstheme="minorBidi"/>
            <w:noProof/>
            <w:sz w:val="20"/>
            <w:szCs w:val="20"/>
          </w:rPr>
          <w:tab/>
        </w:r>
        <w:r w:rsidR="00300C4D" w:rsidRPr="006D1005">
          <w:rPr>
            <w:rStyle w:val="Hyperlink"/>
            <w:noProof/>
            <w:sz w:val="20"/>
            <w:szCs w:val="20"/>
          </w:rPr>
          <w:t>RUC Minimum-Energy Revenue</w:t>
        </w:r>
        <w:r w:rsidR="00300C4D" w:rsidRPr="006D1005">
          <w:rPr>
            <w:noProof/>
            <w:webHidden/>
            <w:sz w:val="20"/>
            <w:szCs w:val="20"/>
          </w:rPr>
          <w:tab/>
        </w:r>
        <w:r w:rsidR="00300C4D" w:rsidRPr="006D1005">
          <w:rPr>
            <w:noProof/>
            <w:webHidden/>
            <w:sz w:val="20"/>
            <w:szCs w:val="20"/>
          </w:rPr>
          <w:fldChar w:fldCharType="begin"/>
        </w:r>
        <w:r w:rsidR="00300C4D" w:rsidRPr="006D1005">
          <w:rPr>
            <w:noProof/>
            <w:webHidden/>
            <w:sz w:val="20"/>
            <w:szCs w:val="20"/>
          </w:rPr>
          <w:instrText xml:space="preserve"> PAGEREF _Toc60038357 \h </w:instrText>
        </w:r>
        <w:r w:rsidR="00300C4D" w:rsidRPr="006D1005">
          <w:rPr>
            <w:noProof/>
            <w:webHidden/>
            <w:sz w:val="20"/>
            <w:szCs w:val="20"/>
          </w:rPr>
        </w:r>
        <w:r w:rsidR="00300C4D" w:rsidRPr="006D1005">
          <w:rPr>
            <w:noProof/>
            <w:webHidden/>
            <w:sz w:val="20"/>
            <w:szCs w:val="20"/>
          </w:rPr>
          <w:fldChar w:fldCharType="separate"/>
        </w:r>
        <w:r w:rsidRPr="006D1005">
          <w:rPr>
            <w:noProof/>
            <w:webHidden/>
            <w:sz w:val="20"/>
            <w:szCs w:val="20"/>
          </w:rPr>
          <w:t>5-44</w:t>
        </w:r>
        <w:r w:rsidR="00300C4D" w:rsidRPr="006D1005">
          <w:rPr>
            <w:noProof/>
            <w:webHidden/>
            <w:sz w:val="20"/>
            <w:szCs w:val="20"/>
          </w:rPr>
          <w:fldChar w:fldCharType="end"/>
        </w:r>
      </w:hyperlink>
    </w:p>
    <w:p w14:paraId="58A4F535" w14:textId="325D09C7" w:rsidR="00300C4D" w:rsidRPr="006D1005" w:rsidRDefault="006D1005">
      <w:pPr>
        <w:pStyle w:val="TOC4"/>
        <w:rPr>
          <w:rFonts w:asciiTheme="minorHAnsi" w:eastAsiaTheme="minorEastAsia" w:hAnsiTheme="minorHAnsi" w:cstheme="minorBidi"/>
          <w:noProof/>
          <w:sz w:val="20"/>
          <w:szCs w:val="20"/>
        </w:rPr>
      </w:pPr>
      <w:hyperlink w:anchor="_Toc60038358" w:history="1">
        <w:r w:rsidR="00300C4D" w:rsidRPr="006D1005">
          <w:rPr>
            <w:rStyle w:val="Hyperlink"/>
            <w:noProof/>
            <w:sz w:val="20"/>
            <w:szCs w:val="20"/>
          </w:rPr>
          <w:t>5.7.1.3</w:t>
        </w:r>
        <w:r w:rsidR="00300C4D" w:rsidRPr="006D1005">
          <w:rPr>
            <w:rFonts w:asciiTheme="minorHAnsi" w:eastAsiaTheme="minorEastAsia" w:hAnsiTheme="minorHAnsi" w:cstheme="minorBidi"/>
            <w:noProof/>
            <w:sz w:val="20"/>
            <w:szCs w:val="20"/>
          </w:rPr>
          <w:tab/>
        </w:r>
        <w:r w:rsidR="00300C4D" w:rsidRPr="006D1005">
          <w:rPr>
            <w:rStyle w:val="Hyperlink"/>
            <w:noProof/>
            <w:sz w:val="20"/>
            <w:szCs w:val="20"/>
          </w:rPr>
          <w:t>Revenue Less Cost Above LSL During RUC-Committed Hours</w:t>
        </w:r>
        <w:r w:rsidR="00300C4D" w:rsidRPr="006D1005">
          <w:rPr>
            <w:noProof/>
            <w:webHidden/>
            <w:sz w:val="20"/>
            <w:szCs w:val="20"/>
          </w:rPr>
          <w:tab/>
        </w:r>
        <w:r w:rsidR="00300C4D" w:rsidRPr="006D1005">
          <w:rPr>
            <w:noProof/>
            <w:webHidden/>
            <w:sz w:val="20"/>
            <w:szCs w:val="20"/>
          </w:rPr>
          <w:fldChar w:fldCharType="begin"/>
        </w:r>
        <w:r w:rsidR="00300C4D" w:rsidRPr="006D1005">
          <w:rPr>
            <w:noProof/>
            <w:webHidden/>
            <w:sz w:val="20"/>
            <w:szCs w:val="20"/>
          </w:rPr>
          <w:instrText xml:space="preserve"> PAGEREF _Toc60038358 \h </w:instrText>
        </w:r>
        <w:r w:rsidR="00300C4D" w:rsidRPr="006D1005">
          <w:rPr>
            <w:noProof/>
            <w:webHidden/>
            <w:sz w:val="20"/>
            <w:szCs w:val="20"/>
          </w:rPr>
        </w:r>
        <w:r w:rsidR="00300C4D" w:rsidRPr="006D1005">
          <w:rPr>
            <w:noProof/>
            <w:webHidden/>
            <w:sz w:val="20"/>
            <w:szCs w:val="20"/>
          </w:rPr>
          <w:fldChar w:fldCharType="separate"/>
        </w:r>
        <w:r w:rsidRPr="006D1005">
          <w:rPr>
            <w:noProof/>
            <w:webHidden/>
            <w:sz w:val="20"/>
            <w:szCs w:val="20"/>
          </w:rPr>
          <w:t>5-45</w:t>
        </w:r>
        <w:r w:rsidR="00300C4D" w:rsidRPr="006D1005">
          <w:rPr>
            <w:noProof/>
            <w:webHidden/>
            <w:sz w:val="20"/>
            <w:szCs w:val="20"/>
          </w:rPr>
          <w:fldChar w:fldCharType="end"/>
        </w:r>
      </w:hyperlink>
    </w:p>
    <w:p w14:paraId="4B5FE62B" w14:textId="3B67AF71" w:rsidR="00300C4D" w:rsidRPr="006D1005" w:rsidRDefault="006D1005">
      <w:pPr>
        <w:pStyle w:val="TOC4"/>
        <w:rPr>
          <w:rFonts w:asciiTheme="minorHAnsi" w:eastAsiaTheme="minorEastAsia" w:hAnsiTheme="minorHAnsi" w:cstheme="minorBidi"/>
          <w:noProof/>
          <w:sz w:val="20"/>
          <w:szCs w:val="20"/>
        </w:rPr>
      </w:pPr>
      <w:hyperlink w:anchor="_Toc60038359" w:history="1">
        <w:r w:rsidR="00300C4D" w:rsidRPr="006D1005">
          <w:rPr>
            <w:rStyle w:val="Hyperlink"/>
            <w:noProof/>
            <w:sz w:val="20"/>
            <w:szCs w:val="20"/>
          </w:rPr>
          <w:t>5.7.1.4</w:t>
        </w:r>
        <w:r w:rsidR="00300C4D" w:rsidRPr="006D1005">
          <w:rPr>
            <w:rFonts w:asciiTheme="minorHAnsi" w:eastAsiaTheme="minorEastAsia" w:hAnsiTheme="minorHAnsi" w:cstheme="minorBidi"/>
            <w:noProof/>
            <w:sz w:val="20"/>
            <w:szCs w:val="20"/>
          </w:rPr>
          <w:tab/>
        </w:r>
        <w:r w:rsidR="00300C4D" w:rsidRPr="006D1005">
          <w:rPr>
            <w:rStyle w:val="Hyperlink"/>
            <w:noProof/>
            <w:sz w:val="20"/>
            <w:szCs w:val="20"/>
          </w:rPr>
          <w:t>Revenue Less Cost During QSE Clawback Intervals</w:t>
        </w:r>
        <w:r w:rsidR="00300C4D" w:rsidRPr="006D1005">
          <w:rPr>
            <w:noProof/>
            <w:webHidden/>
            <w:sz w:val="20"/>
            <w:szCs w:val="20"/>
          </w:rPr>
          <w:tab/>
        </w:r>
        <w:r w:rsidR="00300C4D" w:rsidRPr="006D1005">
          <w:rPr>
            <w:noProof/>
            <w:webHidden/>
            <w:sz w:val="20"/>
            <w:szCs w:val="20"/>
          </w:rPr>
          <w:fldChar w:fldCharType="begin"/>
        </w:r>
        <w:r w:rsidR="00300C4D" w:rsidRPr="006D1005">
          <w:rPr>
            <w:noProof/>
            <w:webHidden/>
            <w:sz w:val="20"/>
            <w:szCs w:val="20"/>
          </w:rPr>
          <w:instrText xml:space="preserve"> PAGEREF _Toc60038359 \h </w:instrText>
        </w:r>
        <w:r w:rsidR="00300C4D" w:rsidRPr="006D1005">
          <w:rPr>
            <w:noProof/>
            <w:webHidden/>
            <w:sz w:val="20"/>
            <w:szCs w:val="20"/>
          </w:rPr>
        </w:r>
        <w:r w:rsidR="00300C4D" w:rsidRPr="006D1005">
          <w:rPr>
            <w:noProof/>
            <w:webHidden/>
            <w:sz w:val="20"/>
            <w:szCs w:val="20"/>
          </w:rPr>
          <w:fldChar w:fldCharType="separate"/>
        </w:r>
        <w:r w:rsidRPr="006D1005">
          <w:rPr>
            <w:noProof/>
            <w:webHidden/>
            <w:sz w:val="20"/>
            <w:szCs w:val="20"/>
          </w:rPr>
          <w:t>5-49</w:t>
        </w:r>
        <w:r w:rsidR="00300C4D" w:rsidRPr="006D1005">
          <w:rPr>
            <w:noProof/>
            <w:webHidden/>
            <w:sz w:val="20"/>
            <w:szCs w:val="20"/>
          </w:rPr>
          <w:fldChar w:fldCharType="end"/>
        </w:r>
      </w:hyperlink>
    </w:p>
    <w:p w14:paraId="390DD963" w14:textId="6F68AF16" w:rsidR="00300C4D" w:rsidRPr="006D1005" w:rsidRDefault="006D1005">
      <w:pPr>
        <w:pStyle w:val="TOC3"/>
        <w:rPr>
          <w:rFonts w:asciiTheme="minorHAnsi" w:eastAsiaTheme="minorEastAsia" w:hAnsiTheme="minorHAnsi" w:cstheme="minorBidi"/>
          <w:i w:val="0"/>
          <w:iCs w:val="0"/>
          <w:noProof/>
        </w:rPr>
      </w:pPr>
      <w:hyperlink w:anchor="_Toc60038360" w:history="1">
        <w:r w:rsidR="00300C4D" w:rsidRPr="006D1005">
          <w:rPr>
            <w:rStyle w:val="Hyperlink"/>
            <w:i w:val="0"/>
            <w:iCs w:val="0"/>
            <w:noProof/>
          </w:rPr>
          <w:t>5.7.2</w:t>
        </w:r>
        <w:r w:rsidR="00300C4D" w:rsidRPr="006D1005">
          <w:rPr>
            <w:rFonts w:asciiTheme="minorHAnsi" w:eastAsiaTheme="minorEastAsia" w:hAnsiTheme="minorHAnsi" w:cstheme="minorBidi"/>
            <w:i w:val="0"/>
            <w:iCs w:val="0"/>
            <w:noProof/>
          </w:rPr>
          <w:tab/>
        </w:r>
        <w:r w:rsidR="00300C4D" w:rsidRPr="006D1005">
          <w:rPr>
            <w:rStyle w:val="Hyperlink"/>
            <w:i w:val="0"/>
            <w:iCs w:val="0"/>
            <w:noProof/>
          </w:rPr>
          <w:t>RUC Clawback Charge</w:t>
        </w:r>
        <w:r w:rsidR="00300C4D" w:rsidRPr="006D1005">
          <w:rPr>
            <w:i w:val="0"/>
            <w:iCs w:val="0"/>
            <w:noProof/>
            <w:webHidden/>
          </w:rPr>
          <w:tab/>
        </w:r>
        <w:r w:rsidR="00300C4D" w:rsidRPr="006D1005">
          <w:rPr>
            <w:i w:val="0"/>
            <w:iCs w:val="0"/>
            <w:noProof/>
            <w:webHidden/>
          </w:rPr>
          <w:fldChar w:fldCharType="begin"/>
        </w:r>
        <w:r w:rsidR="00300C4D" w:rsidRPr="006D1005">
          <w:rPr>
            <w:i w:val="0"/>
            <w:iCs w:val="0"/>
            <w:noProof/>
            <w:webHidden/>
          </w:rPr>
          <w:instrText xml:space="preserve"> PAGEREF _Toc60038360 \h </w:instrText>
        </w:r>
        <w:r w:rsidR="00300C4D" w:rsidRPr="006D1005">
          <w:rPr>
            <w:i w:val="0"/>
            <w:iCs w:val="0"/>
            <w:noProof/>
            <w:webHidden/>
          </w:rPr>
        </w:r>
        <w:r w:rsidR="00300C4D" w:rsidRPr="006D1005">
          <w:rPr>
            <w:i w:val="0"/>
            <w:iCs w:val="0"/>
            <w:noProof/>
            <w:webHidden/>
          </w:rPr>
          <w:fldChar w:fldCharType="separate"/>
        </w:r>
        <w:r w:rsidRPr="006D1005">
          <w:rPr>
            <w:i w:val="0"/>
            <w:iCs w:val="0"/>
            <w:noProof/>
            <w:webHidden/>
          </w:rPr>
          <w:t>5-54</w:t>
        </w:r>
        <w:r w:rsidR="00300C4D" w:rsidRPr="006D1005">
          <w:rPr>
            <w:i w:val="0"/>
            <w:iCs w:val="0"/>
            <w:noProof/>
            <w:webHidden/>
          </w:rPr>
          <w:fldChar w:fldCharType="end"/>
        </w:r>
      </w:hyperlink>
    </w:p>
    <w:p w14:paraId="635975AB" w14:textId="6A9D0E39" w:rsidR="00300C4D" w:rsidRPr="006D1005" w:rsidRDefault="006D1005">
      <w:pPr>
        <w:pStyle w:val="TOC3"/>
        <w:rPr>
          <w:rFonts w:asciiTheme="minorHAnsi" w:eastAsiaTheme="minorEastAsia" w:hAnsiTheme="minorHAnsi" w:cstheme="minorBidi"/>
          <w:i w:val="0"/>
          <w:iCs w:val="0"/>
          <w:noProof/>
        </w:rPr>
      </w:pPr>
      <w:hyperlink w:anchor="_Toc60038361" w:history="1">
        <w:r w:rsidR="00300C4D" w:rsidRPr="006D1005">
          <w:rPr>
            <w:rStyle w:val="Hyperlink"/>
            <w:i w:val="0"/>
            <w:iCs w:val="0"/>
            <w:noProof/>
          </w:rPr>
          <w:t>5.7.3</w:t>
        </w:r>
        <w:r w:rsidR="00300C4D" w:rsidRPr="006D1005">
          <w:rPr>
            <w:rFonts w:asciiTheme="minorHAnsi" w:eastAsiaTheme="minorEastAsia" w:hAnsiTheme="minorHAnsi" w:cstheme="minorBidi"/>
            <w:i w:val="0"/>
            <w:iCs w:val="0"/>
            <w:noProof/>
          </w:rPr>
          <w:tab/>
        </w:r>
        <w:r w:rsidR="00300C4D" w:rsidRPr="006D1005">
          <w:rPr>
            <w:rStyle w:val="Hyperlink"/>
            <w:i w:val="0"/>
            <w:iCs w:val="0"/>
            <w:noProof/>
          </w:rPr>
          <w:t>Payment When ERCOT Decommits a QSE-Committed Resource</w:t>
        </w:r>
        <w:r w:rsidR="00300C4D" w:rsidRPr="006D1005">
          <w:rPr>
            <w:i w:val="0"/>
            <w:iCs w:val="0"/>
            <w:noProof/>
            <w:webHidden/>
          </w:rPr>
          <w:tab/>
        </w:r>
        <w:r w:rsidR="00300C4D" w:rsidRPr="006D1005">
          <w:rPr>
            <w:i w:val="0"/>
            <w:iCs w:val="0"/>
            <w:noProof/>
            <w:webHidden/>
          </w:rPr>
          <w:fldChar w:fldCharType="begin"/>
        </w:r>
        <w:r w:rsidR="00300C4D" w:rsidRPr="006D1005">
          <w:rPr>
            <w:i w:val="0"/>
            <w:iCs w:val="0"/>
            <w:noProof/>
            <w:webHidden/>
          </w:rPr>
          <w:instrText xml:space="preserve"> PAGEREF _Toc60038361 \h </w:instrText>
        </w:r>
        <w:r w:rsidR="00300C4D" w:rsidRPr="006D1005">
          <w:rPr>
            <w:i w:val="0"/>
            <w:iCs w:val="0"/>
            <w:noProof/>
            <w:webHidden/>
          </w:rPr>
        </w:r>
        <w:r w:rsidR="00300C4D" w:rsidRPr="006D1005">
          <w:rPr>
            <w:i w:val="0"/>
            <w:iCs w:val="0"/>
            <w:noProof/>
            <w:webHidden/>
          </w:rPr>
          <w:fldChar w:fldCharType="separate"/>
        </w:r>
        <w:r w:rsidRPr="006D1005">
          <w:rPr>
            <w:i w:val="0"/>
            <w:iCs w:val="0"/>
            <w:noProof/>
            <w:webHidden/>
          </w:rPr>
          <w:t>5-57</w:t>
        </w:r>
        <w:r w:rsidR="00300C4D" w:rsidRPr="006D1005">
          <w:rPr>
            <w:i w:val="0"/>
            <w:iCs w:val="0"/>
            <w:noProof/>
            <w:webHidden/>
          </w:rPr>
          <w:fldChar w:fldCharType="end"/>
        </w:r>
      </w:hyperlink>
    </w:p>
    <w:p w14:paraId="7A03FEA1" w14:textId="3A61DBE5" w:rsidR="00300C4D" w:rsidRPr="006D1005" w:rsidRDefault="006D1005">
      <w:pPr>
        <w:pStyle w:val="TOC3"/>
        <w:rPr>
          <w:rFonts w:asciiTheme="minorHAnsi" w:eastAsiaTheme="minorEastAsia" w:hAnsiTheme="minorHAnsi" w:cstheme="minorBidi"/>
          <w:i w:val="0"/>
          <w:iCs w:val="0"/>
          <w:noProof/>
        </w:rPr>
      </w:pPr>
      <w:hyperlink w:anchor="_Toc60038362" w:history="1">
        <w:r w:rsidR="00300C4D" w:rsidRPr="006D1005">
          <w:rPr>
            <w:rStyle w:val="Hyperlink"/>
            <w:i w:val="0"/>
            <w:iCs w:val="0"/>
            <w:noProof/>
          </w:rPr>
          <w:t>5.7.4</w:t>
        </w:r>
        <w:r w:rsidR="00300C4D" w:rsidRPr="006D1005">
          <w:rPr>
            <w:rFonts w:asciiTheme="minorHAnsi" w:eastAsiaTheme="minorEastAsia" w:hAnsiTheme="minorHAnsi" w:cstheme="minorBidi"/>
            <w:i w:val="0"/>
            <w:iCs w:val="0"/>
            <w:noProof/>
          </w:rPr>
          <w:tab/>
        </w:r>
        <w:r w:rsidR="00300C4D" w:rsidRPr="006D1005">
          <w:rPr>
            <w:rStyle w:val="Hyperlink"/>
            <w:i w:val="0"/>
            <w:iCs w:val="0"/>
            <w:noProof/>
          </w:rPr>
          <w:t>RUC Make-Whole Charges</w:t>
        </w:r>
        <w:r w:rsidR="00300C4D" w:rsidRPr="006D1005">
          <w:rPr>
            <w:i w:val="0"/>
            <w:iCs w:val="0"/>
            <w:noProof/>
            <w:webHidden/>
          </w:rPr>
          <w:tab/>
        </w:r>
        <w:r w:rsidR="00300C4D" w:rsidRPr="006D1005">
          <w:rPr>
            <w:i w:val="0"/>
            <w:iCs w:val="0"/>
            <w:noProof/>
            <w:webHidden/>
          </w:rPr>
          <w:fldChar w:fldCharType="begin"/>
        </w:r>
        <w:r w:rsidR="00300C4D" w:rsidRPr="006D1005">
          <w:rPr>
            <w:i w:val="0"/>
            <w:iCs w:val="0"/>
            <w:noProof/>
            <w:webHidden/>
          </w:rPr>
          <w:instrText xml:space="preserve"> PAGEREF _Toc60038362 \h </w:instrText>
        </w:r>
        <w:r w:rsidR="00300C4D" w:rsidRPr="006D1005">
          <w:rPr>
            <w:i w:val="0"/>
            <w:iCs w:val="0"/>
            <w:noProof/>
            <w:webHidden/>
          </w:rPr>
        </w:r>
        <w:r w:rsidR="00300C4D" w:rsidRPr="006D1005">
          <w:rPr>
            <w:i w:val="0"/>
            <w:iCs w:val="0"/>
            <w:noProof/>
            <w:webHidden/>
          </w:rPr>
          <w:fldChar w:fldCharType="separate"/>
        </w:r>
        <w:r w:rsidRPr="006D1005">
          <w:rPr>
            <w:i w:val="0"/>
            <w:iCs w:val="0"/>
            <w:noProof/>
            <w:webHidden/>
          </w:rPr>
          <w:t>5-61</w:t>
        </w:r>
        <w:r w:rsidR="00300C4D" w:rsidRPr="006D1005">
          <w:rPr>
            <w:i w:val="0"/>
            <w:iCs w:val="0"/>
            <w:noProof/>
            <w:webHidden/>
          </w:rPr>
          <w:fldChar w:fldCharType="end"/>
        </w:r>
      </w:hyperlink>
    </w:p>
    <w:p w14:paraId="064C5AB5" w14:textId="03CBEFA9" w:rsidR="00300C4D" w:rsidRPr="006D1005" w:rsidRDefault="006D1005">
      <w:pPr>
        <w:pStyle w:val="TOC4"/>
        <w:rPr>
          <w:rFonts w:asciiTheme="minorHAnsi" w:eastAsiaTheme="minorEastAsia" w:hAnsiTheme="minorHAnsi" w:cstheme="minorBidi"/>
          <w:noProof/>
          <w:sz w:val="20"/>
          <w:szCs w:val="20"/>
        </w:rPr>
      </w:pPr>
      <w:hyperlink w:anchor="_Toc60038363" w:history="1">
        <w:r w:rsidR="00300C4D" w:rsidRPr="006D1005">
          <w:rPr>
            <w:rStyle w:val="Hyperlink"/>
            <w:noProof/>
            <w:sz w:val="20"/>
            <w:szCs w:val="20"/>
          </w:rPr>
          <w:t>5.7.4.1</w:t>
        </w:r>
        <w:r w:rsidR="00300C4D" w:rsidRPr="006D1005">
          <w:rPr>
            <w:rFonts w:asciiTheme="minorHAnsi" w:eastAsiaTheme="minorEastAsia" w:hAnsiTheme="minorHAnsi" w:cstheme="minorBidi"/>
            <w:noProof/>
            <w:sz w:val="20"/>
            <w:szCs w:val="20"/>
          </w:rPr>
          <w:tab/>
        </w:r>
        <w:r w:rsidR="00300C4D" w:rsidRPr="006D1005">
          <w:rPr>
            <w:rStyle w:val="Hyperlink"/>
            <w:noProof/>
            <w:sz w:val="20"/>
            <w:szCs w:val="20"/>
          </w:rPr>
          <w:t>RUC Capacity-Short Charge</w:t>
        </w:r>
        <w:r w:rsidR="00300C4D" w:rsidRPr="006D1005">
          <w:rPr>
            <w:noProof/>
            <w:webHidden/>
            <w:sz w:val="20"/>
            <w:szCs w:val="20"/>
          </w:rPr>
          <w:tab/>
        </w:r>
        <w:r w:rsidR="00300C4D" w:rsidRPr="006D1005">
          <w:rPr>
            <w:noProof/>
            <w:webHidden/>
            <w:sz w:val="20"/>
            <w:szCs w:val="20"/>
          </w:rPr>
          <w:fldChar w:fldCharType="begin"/>
        </w:r>
        <w:r w:rsidR="00300C4D" w:rsidRPr="006D1005">
          <w:rPr>
            <w:noProof/>
            <w:webHidden/>
            <w:sz w:val="20"/>
            <w:szCs w:val="20"/>
          </w:rPr>
          <w:instrText xml:space="preserve"> PAGEREF _Toc60038363 \h </w:instrText>
        </w:r>
        <w:r w:rsidR="00300C4D" w:rsidRPr="006D1005">
          <w:rPr>
            <w:noProof/>
            <w:webHidden/>
            <w:sz w:val="20"/>
            <w:szCs w:val="20"/>
          </w:rPr>
        </w:r>
        <w:r w:rsidR="00300C4D" w:rsidRPr="006D1005">
          <w:rPr>
            <w:noProof/>
            <w:webHidden/>
            <w:sz w:val="20"/>
            <w:szCs w:val="20"/>
          </w:rPr>
          <w:fldChar w:fldCharType="separate"/>
        </w:r>
        <w:r w:rsidRPr="006D1005">
          <w:rPr>
            <w:noProof/>
            <w:webHidden/>
            <w:sz w:val="20"/>
            <w:szCs w:val="20"/>
          </w:rPr>
          <w:t>5-62</w:t>
        </w:r>
        <w:r w:rsidR="00300C4D" w:rsidRPr="006D1005">
          <w:rPr>
            <w:noProof/>
            <w:webHidden/>
            <w:sz w:val="20"/>
            <w:szCs w:val="20"/>
          </w:rPr>
          <w:fldChar w:fldCharType="end"/>
        </w:r>
      </w:hyperlink>
    </w:p>
    <w:p w14:paraId="3A407ABE" w14:textId="63DE3768" w:rsidR="00300C4D" w:rsidRPr="006D1005" w:rsidRDefault="006D1005">
      <w:pPr>
        <w:pStyle w:val="TOC5"/>
        <w:rPr>
          <w:rFonts w:asciiTheme="minorHAnsi" w:eastAsiaTheme="minorEastAsia" w:hAnsiTheme="minorHAnsi" w:cstheme="minorBidi"/>
          <w:i w:val="0"/>
          <w:sz w:val="20"/>
          <w:szCs w:val="20"/>
        </w:rPr>
      </w:pPr>
      <w:hyperlink w:anchor="_Toc60038364" w:history="1">
        <w:r w:rsidR="00300C4D" w:rsidRPr="006D1005">
          <w:rPr>
            <w:rStyle w:val="Hyperlink"/>
            <w:i w:val="0"/>
            <w:sz w:val="20"/>
            <w:szCs w:val="20"/>
          </w:rPr>
          <w:t>5.7.4.1.1</w:t>
        </w:r>
        <w:r w:rsidR="00300C4D" w:rsidRPr="006D1005">
          <w:rPr>
            <w:rFonts w:asciiTheme="minorHAnsi" w:eastAsiaTheme="minorEastAsia" w:hAnsiTheme="minorHAnsi" w:cstheme="minorBidi"/>
            <w:i w:val="0"/>
            <w:sz w:val="20"/>
            <w:szCs w:val="20"/>
          </w:rPr>
          <w:tab/>
        </w:r>
        <w:r w:rsidR="00300C4D" w:rsidRPr="006D1005">
          <w:rPr>
            <w:rStyle w:val="Hyperlink"/>
            <w:i w:val="0"/>
            <w:sz w:val="20"/>
            <w:szCs w:val="20"/>
          </w:rPr>
          <w:t>Capacity Shortfall Ratio Share</w:t>
        </w:r>
        <w:r w:rsidR="00300C4D" w:rsidRPr="006D1005">
          <w:rPr>
            <w:i w:val="0"/>
            <w:webHidden/>
            <w:sz w:val="20"/>
            <w:szCs w:val="20"/>
          </w:rPr>
          <w:tab/>
        </w:r>
        <w:r w:rsidR="00300C4D" w:rsidRPr="006D1005">
          <w:rPr>
            <w:i w:val="0"/>
            <w:webHidden/>
            <w:sz w:val="20"/>
            <w:szCs w:val="20"/>
          </w:rPr>
          <w:fldChar w:fldCharType="begin"/>
        </w:r>
        <w:r w:rsidR="00300C4D" w:rsidRPr="006D1005">
          <w:rPr>
            <w:i w:val="0"/>
            <w:webHidden/>
            <w:sz w:val="20"/>
            <w:szCs w:val="20"/>
          </w:rPr>
          <w:instrText xml:space="preserve"> PAGEREF _Toc60038364 \h </w:instrText>
        </w:r>
        <w:r w:rsidR="00300C4D" w:rsidRPr="006D1005">
          <w:rPr>
            <w:i w:val="0"/>
            <w:webHidden/>
            <w:sz w:val="20"/>
            <w:szCs w:val="20"/>
          </w:rPr>
        </w:r>
        <w:r w:rsidR="00300C4D" w:rsidRPr="006D1005">
          <w:rPr>
            <w:i w:val="0"/>
            <w:webHidden/>
            <w:sz w:val="20"/>
            <w:szCs w:val="20"/>
          </w:rPr>
          <w:fldChar w:fldCharType="separate"/>
        </w:r>
        <w:r w:rsidRPr="006D1005">
          <w:rPr>
            <w:i w:val="0"/>
            <w:webHidden/>
            <w:sz w:val="20"/>
            <w:szCs w:val="20"/>
          </w:rPr>
          <w:t>5-63</w:t>
        </w:r>
        <w:r w:rsidR="00300C4D" w:rsidRPr="006D1005">
          <w:rPr>
            <w:i w:val="0"/>
            <w:webHidden/>
            <w:sz w:val="20"/>
            <w:szCs w:val="20"/>
          </w:rPr>
          <w:fldChar w:fldCharType="end"/>
        </w:r>
      </w:hyperlink>
    </w:p>
    <w:p w14:paraId="56B18C36" w14:textId="312955B4" w:rsidR="00300C4D" w:rsidRPr="006D1005" w:rsidRDefault="006D1005">
      <w:pPr>
        <w:pStyle w:val="TOC5"/>
        <w:rPr>
          <w:rFonts w:asciiTheme="minorHAnsi" w:eastAsiaTheme="minorEastAsia" w:hAnsiTheme="minorHAnsi" w:cstheme="minorBidi"/>
          <w:i w:val="0"/>
          <w:sz w:val="20"/>
          <w:szCs w:val="20"/>
        </w:rPr>
      </w:pPr>
      <w:hyperlink w:anchor="_Toc60038365" w:history="1">
        <w:r w:rsidR="00300C4D" w:rsidRPr="006D1005">
          <w:rPr>
            <w:rStyle w:val="Hyperlink"/>
            <w:i w:val="0"/>
            <w:sz w:val="20"/>
            <w:szCs w:val="20"/>
          </w:rPr>
          <w:t>5.7.4.1.2</w:t>
        </w:r>
        <w:r w:rsidR="00300C4D" w:rsidRPr="006D1005">
          <w:rPr>
            <w:rFonts w:asciiTheme="minorHAnsi" w:eastAsiaTheme="minorEastAsia" w:hAnsiTheme="minorHAnsi" w:cstheme="minorBidi"/>
            <w:i w:val="0"/>
            <w:sz w:val="20"/>
            <w:szCs w:val="20"/>
          </w:rPr>
          <w:tab/>
        </w:r>
        <w:r w:rsidR="00300C4D" w:rsidRPr="006D1005">
          <w:rPr>
            <w:rStyle w:val="Hyperlink"/>
            <w:i w:val="0"/>
            <w:sz w:val="20"/>
            <w:szCs w:val="20"/>
          </w:rPr>
          <w:t>RUC Capacity Credit</w:t>
        </w:r>
        <w:r w:rsidR="00300C4D" w:rsidRPr="006D1005">
          <w:rPr>
            <w:i w:val="0"/>
            <w:webHidden/>
            <w:sz w:val="20"/>
            <w:szCs w:val="20"/>
          </w:rPr>
          <w:tab/>
        </w:r>
        <w:r w:rsidR="00300C4D" w:rsidRPr="006D1005">
          <w:rPr>
            <w:i w:val="0"/>
            <w:webHidden/>
            <w:sz w:val="20"/>
            <w:szCs w:val="20"/>
          </w:rPr>
          <w:fldChar w:fldCharType="begin"/>
        </w:r>
        <w:r w:rsidR="00300C4D" w:rsidRPr="006D1005">
          <w:rPr>
            <w:i w:val="0"/>
            <w:webHidden/>
            <w:sz w:val="20"/>
            <w:szCs w:val="20"/>
          </w:rPr>
          <w:instrText xml:space="preserve"> PAGEREF _Toc60038365 \h </w:instrText>
        </w:r>
        <w:r w:rsidR="00300C4D" w:rsidRPr="006D1005">
          <w:rPr>
            <w:i w:val="0"/>
            <w:webHidden/>
            <w:sz w:val="20"/>
            <w:szCs w:val="20"/>
          </w:rPr>
        </w:r>
        <w:r w:rsidR="00300C4D" w:rsidRPr="006D1005">
          <w:rPr>
            <w:i w:val="0"/>
            <w:webHidden/>
            <w:sz w:val="20"/>
            <w:szCs w:val="20"/>
          </w:rPr>
          <w:fldChar w:fldCharType="separate"/>
        </w:r>
        <w:r w:rsidRPr="006D1005">
          <w:rPr>
            <w:i w:val="0"/>
            <w:webHidden/>
            <w:sz w:val="20"/>
            <w:szCs w:val="20"/>
          </w:rPr>
          <w:t>5-78</w:t>
        </w:r>
        <w:r w:rsidR="00300C4D" w:rsidRPr="006D1005">
          <w:rPr>
            <w:i w:val="0"/>
            <w:webHidden/>
            <w:sz w:val="20"/>
            <w:szCs w:val="20"/>
          </w:rPr>
          <w:fldChar w:fldCharType="end"/>
        </w:r>
      </w:hyperlink>
    </w:p>
    <w:p w14:paraId="745CCE81" w14:textId="7D6DE5A7" w:rsidR="00300C4D" w:rsidRPr="006D1005" w:rsidRDefault="006D1005">
      <w:pPr>
        <w:pStyle w:val="TOC4"/>
        <w:rPr>
          <w:rFonts w:asciiTheme="minorHAnsi" w:eastAsiaTheme="minorEastAsia" w:hAnsiTheme="minorHAnsi" w:cstheme="minorBidi"/>
          <w:noProof/>
          <w:sz w:val="20"/>
          <w:szCs w:val="20"/>
        </w:rPr>
      </w:pPr>
      <w:hyperlink w:anchor="_Toc60038366" w:history="1">
        <w:r w:rsidR="00300C4D" w:rsidRPr="006D1005">
          <w:rPr>
            <w:rStyle w:val="Hyperlink"/>
            <w:noProof/>
            <w:sz w:val="20"/>
            <w:szCs w:val="20"/>
          </w:rPr>
          <w:t>5.7.4.2</w:t>
        </w:r>
        <w:r w:rsidR="00300C4D" w:rsidRPr="006D1005">
          <w:rPr>
            <w:rFonts w:asciiTheme="minorHAnsi" w:eastAsiaTheme="minorEastAsia" w:hAnsiTheme="minorHAnsi" w:cstheme="minorBidi"/>
            <w:noProof/>
            <w:sz w:val="20"/>
            <w:szCs w:val="20"/>
          </w:rPr>
          <w:tab/>
        </w:r>
        <w:r w:rsidR="00300C4D" w:rsidRPr="006D1005">
          <w:rPr>
            <w:rStyle w:val="Hyperlink"/>
            <w:noProof/>
            <w:sz w:val="20"/>
            <w:szCs w:val="20"/>
          </w:rPr>
          <w:t>RUC Make-Whole Uplift Charge</w:t>
        </w:r>
        <w:r w:rsidR="00300C4D" w:rsidRPr="006D1005">
          <w:rPr>
            <w:noProof/>
            <w:webHidden/>
            <w:sz w:val="20"/>
            <w:szCs w:val="20"/>
          </w:rPr>
          <w:tab/>
        </w:r>
        <w:r w:rsidR="00300C4D" w:rsidRPr="006D1005">
          <w:rPr>
            <w:noProof/>
            <w:webHidden/>
            <w:sz w:val="20"/>
            <w:szCs w:val="20"/>
          </w:rPr>
          <w:fldChar w:fldCharType="begin"/>
        </w:r>
        <w:r w:rsidR="00300C4D" w:rsidRPr="006D1005">
          <w:rPr>
            <w:noProof/>
            <w:webHidden/>
            <w:sz w:val="20"/>
            <w:szCs w:val="20"/>
          </w:rPr>
          <w:instrText xml:space="preserve"> PAGEREF _Toc60038366 \h </w:instrText>
        </w:r>
        <w:r w:rsidR="00300C4D" w:rsidRPr="006D1005">
          <w:rPr>
            <w:noProof/>
            <w:webHidden/>
            <w:sz w:val="20"/>
            <w:szCs w:val="20"/>
          </w:rPr>
        </w:r>
        <w:r w:rsidR="00300C4D" w:rsidRPr="006D1005">
          <w:rPr>
            <w:noProof/>
            <w:webHidden/>
            <w:sz w:val="20"/>
            <w:szCs w:val="20"/>
          </w:rPr>
          <w:fldChar w:fldCharType="separate"/>
        </w:r>
        <w:r w:rsidRPr="006D1005">
          <w:rPr>
            <w:noProof/>
            <w:webHidden/>
            <w:sz w:val="20"/>
            <w:szCs w:val="20"/>
          </w:rPr>
          <w:t>5-79</w:t>
        </w:r>
        <w:r w:rsidR="00300C4D" w:rsidRPr="006D1005">
          <w:rPr>
            <w:noProof/>
            <w:webHidden/>
            <w:sz w:val="20"/>
            <w:szCs w:val="20"/>
          </w:rPr>
          <w:fldChar w:fldCharType="end"/>
        </w:r>
      </w:hyperlink>
    </w:p>
    <w:p w14:paraId="276B115E" w14:textId="51753C62" w:rsidR="00300C4D" w:rsidRPr="006D1005" w:rsidRDefault="006D1005">
      <w:pPr>
        <w:pStyle w:val="TOC3"/>
        <w:rPr>
          <w:rFonts w:asciiTheme="minorHAnsi" w:eastAsiaTheme="minorEastAsia" w:hAnsiTheme="minorHAnsi" w:cstheme="minorBidi"/>
          <w:i w:val="0"/>
          <w:iCs w:val="0"/>
          <w:noProof/>
        </w:rPr>
      </w:pPr>
      <w:hyperlink w:anchor="_Toc60038367" w:history="1">
        <w:r w:rsidR="00300C4D" w:rsidRPr="006D1005">
          <w:rPr>
            <w:rStyle w:val="Hyperlink"/>
            <w:i w:val="0"/>
            <w:iCs w:val="0"/>
            <w:noProof/>
          </w:rPr>
          <w:t>5.7.5</w:t>
        </w:r>
        <w:r w:rsidR="00300C4D" w:rsidRPr="006D1005">
          <w:rPr>
            <w:rFonts w:asciiTheme="minorHAnsi" w:eastAsiaTheme="minorEastAsia" w:hAnsiTheme="minorHAnsi" w:cstheme="minorBidi"/>
            <w:i w:val="0"/>
            <w:iCs w:val="0"/>
            <w:noProof/>
          </w:rPr>
          <w:tab/>
        </w:r>
        <w:r w:rsidR="00300C4D" w:rsidRPr="006D1005">
          <w:rPr>
            <w:rStyle w:val="Hyperlink"/>
            <w:i w:val="0"/>
            <w:iCs w:val="0"/>
            <w:noProof/>
          </w:rPr>
          <w:t>RUC Clawback Payment</w:t>
        </w:r>
        <w:r w:rsidR="00300C4D" w:rsidRPr="006D1005">
          <w:rPr>
            <w:i w:val="0"/>
            <w:iCs w:val="0"/>
            <w:noProof/>
            <w:webHidden/>
          </w:rPr>
          <w:tab/>
        </w:r>
        <w:r w:rsidR="00300C4D" w:rsidRPr="006D1005">
          <w:rPr>
            <w:i w:val="0"/>
            <w:iCs w:val="0"/>
            <w:noProof/>
            <w:webHidden/>
          </w:rPr>
          <w:fldChar w:fldCharType="begin"/>
        </w:r>
        <w:r w:rsidR="00300C4D" w:rsidRPr="006D1005">
          <w:rPr>
            <w:i w:val="0"/>
            <w:iCs w:val="0"/>
            <w:noProof/>
            <w:webHidden/>
          </w:rPr>
          <w:instrText xml:space="preserve"> PAGEREF _Toc60038367 \h </w:instrText>
        </w:r>
        <w:r w:rsidR="00300C4D" w:rsidRPr="006D1005">
          <w:rPr>
            <w:i w:val="0"/>
            <w:iCs w:val="0"/>
            <w:noProof/>
            <w:webHidden/>
          </w:rPr>
        </w:r>
        <w:r w:rsidR="00300C4D" w:rsidRPr="006D1005">
          <w:rPr>
            <w:i w:val="0"/>
            <w:iCs w:val="0"/>
            <w:noProof/>
            <w:webHidden/>
          </w:rPr>
          <w:fldChar w:fldCharType="separate"/>
        </w:r>
        <w:r w:rsidRPr="006D1005">
          <w:rPr>
            <w:i w:val="0"/>
            <w:iCs w:val="0"/>
            <w:noProof/>
            <w:webHidden/>
          </w:rPr>
          <w:t>5-80</w:t>
        </w:r>
        <w:r w:rsidR="00300C4D" w:rsidRPr="006D1005">
          <w:rPr>
            <w:i w:val="0"/>
            <w:iCs w:val="0"/>
            <w:noProof/>
            <w:webHidden/>
          </w:rPr>
          <w:fldChar w:fldCharType="end"/>
        </w:r>
      </w:hyperlink>
    </w:p>
    <w:p w14:paraId="51860935" w14:textId="432487FD" w:rsidR="00300C4D" w:rsidRPr="006D1005" w:rsidRDefault="006D1005">
      <w:pPr>
        <w:pStyle w:val="TOC3"/>
        <w:rPr>
          <w:rFonts w:asciiTheme="minorHAnsi" w:eastAsiaTheme="minorEastAsia" w:hAnsiTheme="minorHAnsi" w:cstheme="minorBidi"/>
          <w:i w:val="0"/>
          <w:iCs w:val="0"/>
          <w:noProof/>
        </w:rPr>
      </w:pPr>
      <w:hyperlink w:anchor="_Toc60038368" w:history="1">
        <w:r w:rsidR="00300C4D" w:rsidRPr="006D1005">
          <w:rPr>
            <w:rStyle w:val="Hyperlink"/>
            <w:i w:val="0"/>
            <w:iCs w:val="0"/>
            <w:noProof/>
          </w:rPr>
          <w:t>5.7.6</w:t>
        </w:r>
        <w:r w:rsidR="00300C4D" w:rsidRPr="006D1005">
          <w:rPr>
            <w:rFonts w:asciiTheme="minorHAnsi" w:eastAsiaTheme="minorEastAsia" w:hAnsiTheme="minorHAnsi" w:cstheme="minorBidi"/>
            <w:i w:val="0"/>
            <w:iCs w:val="0"/>
            <w:noProof/>
          </w:rPr>
          <w:tab/>
        </w:r>
        <w:r w:rsidR="00300C4D" w:rsidRPr="006D1005">
          <w:rPr>
            <w:rStyle w:val="Hyperlink"/>
            <w:i w:val="0"/>
            <w:iCs w:val="0"/>
            <w:noProof/>
          </w:rPr>
          <w:t>RUC Decommitment Charge</w:t>
        </w:r>
        <w:r w:rsidR="00300C4D" w:rsidRPr="006D1005">
          <w:rPr>
            <w:i w:val="0"/>
            <w:iCs w:val="0"/>
            <w:noProof/>
            <w:webHidden/>
          </w:rPr>
          <w:tab/>
        </w:r>
        <w:r w:rsidR="00300C4D" w:rsidRPr="006D1005">
          <w:rPr>
            <w:i w:val="0"/>
            <w:iCs w:val="0"/>
            <w:noProof/>
            <w:webHidden/>
          </w:rPr>
          <w:fldChar w:fldCharType="begin"/>
        </w:r>
        <w:r w:rsidR="00300C4D" w:rsidRPr="006D1005">
          <w:rPr>
            <w:i w:val="0"/>
            <w:iCs w:val="0"/>
            <w:noProof/>
            <w:webHidden/>
          </w:rPr>
          <w:instrText xml:space="preserve"> PAGEREF _Toc60038368 \h </w:instrText>
        </w:r>
        <w:r w:rsidR="00300C4D" w:rsidRPr="006D1005">
          <w:rPr>
            <w:i w:val="0"/>
            <w:iCs w:val="0"/>
            <w:noProof/>
            <w:webHidden/>
          </w:rPr>
        </w:r>
        <w:r w:rsidR="00300C4D" w:rsidRPr="006D1005">
          <w:rPr>
            <w:i w:val="0"/>
            <w:iCs w:val="0"/>
            <w:noProof/>
            <w:webHidden/>
          </w:rPr>
          <w:fldChar w:fldCharType="separate"/>
        </w:r>
        <w:r w:rsidRPr="006D1005">
          <w:rPr>
            <w:i w:val="0"/>
            <w:iCs w:val="0"/>
            <w:noProof/>
            <w:webHidden/>
          </w:rPr>
          <w:t>5-81</w:t>
        </w:r>
        <w:r w:rsidR="00300C4D" w:rsidRPr="006D1005">
          <w:rPr>
            <w:i w:val="0"/>
            <w:iCs w:val="0"/>
            <w:noProof/>
            <w:webHidden/>
          </w:rPr>
          <w:fldChar w:fldCharType="end"/>
        </w:r>
      </w:hyperlink>
    </w:p>
    <w:p w14:paraId="1E1C09BA" w14:textId="14BB8B12" w:rsidR="00300C4D" w:rsidRPr="006D1005" w:rsidRDefault="006D1005">
      <w:pPr>
        <w:pStyle w:val="TOC3"/>
        <w:rPr>
          <w:rFonts w:asciiTheme="minorHAnsi" w:eastAsiaTheme="minorEastAsia" w:hAnsiTheme="minorHAnsi" w:cstheme="minorBidi"/>
          <w:i w:val="0"/>
          <w:iCs w:val="0"/>
          <w:noProof/>
        </w:rPr>
      </w:pPr>
      <w:hyperlink w:anchor="_Toc60038369" w:history="1">
        <w:r w:rsidR="00300C4D" w:rsidRPr="006D1005">
          <w:rPr>
            <w:rStyle w:val="Hyperlink"/>
            <w:i w:val="0"/>
            <w:iCs w:val="0"/>
            <w:noProof/>
          </w:rPr>
          <w:t xml:space="preserve">5.7.7 </w:t>
        </w:r>
        <w:r w:rsidR="00300C4D" w:rsidRPr="006D1005">
          <w:rPr>
            <w:rFonts w:asciiTheme="minorHAnsi" w:eastAsiaTheme="minorEastAsia" w:hAnsiTheme="minorHAnsi" w:cstheme="minorBidi"/>
            <w:i w:val="0"/>
            <w:iCs w:val="0"/>
            <w:noProof/>
          </w:rPr>
          <w:tab/>
        </w:r>
        <w:r w:rsidR="00300C4D" w:rsidRPr="006D1005">
          <w:rPr>
            <w:rStyle w:val="Hyperlink"/>
            <w:i w:val="0"/>
            <w:iCs w:val="0"/>
            <w:noProof/>
          </w:rPr>
          <w:t>Settlement of Switchable Generation Resources (SWGRs) Operating in a Non-ERCOT Control Area</w:t>
        </w:r>
        <w:r w:rsidR="00300C4D" w:rsidRPr="006D1005">
          <w:rPr>
            <w:i w:val="0"/>
            <w:iCs w:val="0"/>
            <w:noProof/>
            <w:webHidden/>
          </w:rPr>
          <w:tab/>
        </w:r>
        <w:r w:rsidR="00300C4D" w:rsidRPr="006D1005">
          <w:rPr>
            <w:i w:val="0"/>
            <w:iCs w:val="0"/>
            <w:noProof/>
            <w:webHidden/>
          </w:rPr>
          <w:fldChar w:fldCharType="begin"/>
        </w:r>
        <w:r w:rsidR="00300C4D" w:rsidRPr="006D1005">
          <w:rPr>
            <w:i w:val="0"/>
            <w:iCs w:val="0"/>
            <w:noProof/>
            <w:webHidden/>
          </w:rPr>
          <w:instrText xml:space="preserve"> PAGEREF _Toc60038369 \h </w:instrText>
        </w:r>
        <w:r w:rsidR="00300C4D" w:rsidRPr="006D1005">
          <w:rPr>
            <w:i w:val="0"/>
            <w:iCs w:val="0"/>
            <w:noProof/>
            <w:webHidden/>
          </w:rPr>
        </w:r>
        <w:r w:rsidR="00300C4D" w:rsidRPr="006D1005">
          <w:rPr>
            <w:i w:val="0"/>
            <w:iCs w:val="0"/>
            <w:noProof/>
            <w:webHidden/>
          </w:rPr>
          <w:fldChar w:fldCharType="separate"/>
        </w:r>
        <w:r w:rsidRPr="006D1005">
          <w:rPr>
            <w:i w:val="0"/>
            <w:iCs w:val="0"/>
            <w:noProof/>
            <w:webHidden/>
          </w:rPr>
          <w:t>5-81</w:t>
        </w:r>
        <w:r w:rsidR="00300C4D" w:rsidRPr="006D1005">
          <w:rPr>
            <w:i w:val="0"/>
            <w:iCs w:val="0"/>
            <w:noProof/>
            <w:webHidden/>
          </w:rPr>
          <w:fldChar w:fldCharType="end"/>
        </w:r>
      </w:hyperlink>
    </w:p>
    <w:p w14:paraId="34ADE562" w14:textId="43114A64" w:rsidR="00300C4D" w:rsidRPr="006D1005" w:rsidRDefault="006D1005">
      <w:pPr>
        <w:pStyle w:val="TOC2"/>
        <w:rPr>
          <w:rFonts w:asciiTheme="minorHAnsi" w:eastAsiaTheme="minorEastAsia" w:hAnsiTheme="minorHAnsi" w:cstheme="minorBidi"/>
          <w:noProof/>
        </w:rPr>
      </w:pPr>
      <w:hyperlink w:anchor="_Toc60038370" w:history="1">
        <w:r w:rsidR="00300C4D" w:rsidRPr="006D1005">
          <w:rPr>
            <w:rStyle w:val="Hyperlink"/>
            <w:noProof/>
          </w:rPr>
          <w:t>5.8</w:t>
        </w:r>
        <w:r w:rsidR="00300C4D" w:rsidRPr="006D1005">
          <w:rPr>
            <w:rFonts w:asciiTheme="minorHAnsi" w:eastAsiaTheme="minorEastAsia" w:hAnsiTheme="minorHAnsi" w:cstheme="minorBidi"/>
            <w:noProof/>
          </w:rPr>
          <w:tab/>
        </w:r>
        <w:r w:rsidR="00300C4D" w:rsidRPr="006D1005">
          <w:rPr>
            <w:rStyle w:val="Hyperlink"/>
            <w:noProof/>
          </w:rPr>
          <w:t>Annual RUC Reporting Requirement</w:t>
        </w:r>
        <w:r w:rsidR="00300C4D" w:rsidRPr="006D1005">
          <w:rPr>
            <w:noProof/>
            <w:webHidden/>
          </w:rPr>
          <w:tab/>
        </w:r>
        <w:r w:rsidR="00300C4D" w:rsidRPr="006D1005">
          <w:rPr>
            <w:noProof/>
            <w:webHidden/>
          </w:rPr>
          <w:fldChar w:fldCharType="begin"/>
        </w:r>
        <w:r w:rsidR="00300C4D" w:rsidRPr="006D1005">
          <w:rPr>
            <w:noProof/>
            <w:webHidden/>
          </w:rPr>
          <w:instrText xml:space="preserve"> PAGEREF _Toc60038370 \h </w:instrText>
        </w:r>
        <w:r w:rsidR="00300C4D" w:rsidRPr="006D1005">
          <w:rPr>
            <w:noProof/>
            <w:webHidden/>
          </w:rPr>
        </w:r>
        <w:r w:rsidR="00300C4D" w:rsidRPr="006D1005">
          <w:rPr>
            <w:noProof/>
            <w:webHidden/>
          </w:rPr>
          <w:fldChar w:fldCharType="separate"/>
        </w:r>
        <w:r w:rsidRPr="006D1005">
          <w:rPr>
            <w:noProof/>
            <w:webHidden/>
          </w:rPr>
          <w:t>5-82</w:t>
        </w:r>
        <w:r w:rsidR="00300C4D" w:rsidRPr="006D1005">
          <w:rPr>
            <w:noProof/>
            <w:webHidden/>
          </w:rPr>
          <w:fldChar w:fldCharType="end"/>
        </w:r>
      </w:hyperlink>
    </w:p>
    <w:p w14:paraId="51987FF6" w14:textId="77777777" w:rsidR="00F80C33" w:rsidRPr="00546D25" w:rsidRDefault="005D5F32">
      <w:r w:rsidRPr="00546D25">
        <w:rPr>
          <w:szCs w:val="24"/>
        </w:rPr>
        <w:fldChar w:fldCharType="end"/>
      </w:r>
      <w:r w:rsidR="00723BFB" w:rsidRPr="00546D25">
        <w:t xml:space="preserve"> </w:t>
      </w:r>
    </w:p>
    <w:p w14:paraId="6271E884" w14:textId="77777777" w:rsidR="00F80C33" w:rsidRPr="00546D25" w:rsidRDefault="00F80C33">
      <w:pPr>
        <w:sectPr w:rsidR="00F80C33" w:rsidRPr="00546D25" w:rsidSect="00AA2617">
          <w:headerReference w:type="default" r:id="rId11"/>
          <w:footerReference w:type="default" r:id="rId12"/>
          <w:pgSz w:w="12240" w:h="15840" w:code="1"/>
          <w:pgMar w:top="1440" w:right="1440" w:bottom="1440" w:left="1440" w:header="720" w:footer="720" w:gutter="0"/>
          <w:pgNumType w:chapStyle="1"/>
          <w:cols w:space="720"/>
        </w:sectPr>
      </w:pPr>
    </w:p>
    <w:p w14:paraId="46F1FC39" w14:textId="77777777" w:rsidR="00F80C33" w:rsidRDefault="00723BFB" w:rsidP="00F21C1B">
      <w:pPr>
        <w:pStyle w:val="Heading1"/>
      </w:pPr>
      <w:bookmarkStart w:id="0" w:name="_Toc400547165"/>
      <w:bookmarkStart w:id="1" w:name="_Toc405384270"/>
      <w:bookmarkStart w:id="2" w:name="_Toc405543537"/>
      <w:bookmarkStart w:id="3" w:name="_Toc428178046"/>
      <w:bookmarkStart w:id="4" w:name="_Toc440872677"/>
      <w:bookmarkStart w:id="5" w:name="_Toc458766222"/>
      <w:bookmarkStart w:id="6" w:name="_Toc459292627"/>
      <w:bookmarkStart w:id="7" w:name="_Toc60038327"/>
      <w:r>
        <w:lastRenderedPageBreak/>
        <w:t>Transmission Security Analysis and Reliability Unit Commitment</w:t>
      </w:r>
      <w:bookmarkEnd w:id="0"/>
      <w:bookmarkEnd w:id="1"/>
      <w:bookmarkEnd w:id="2"/>
      <w:bookmarkEnd w:id="3"/>
      <w:bookmarkEnd w:id="4"/>
      <w:bookmarkEnd w:id="5"/>
      <w:bookmarkEnd w:id="6"/>
      <w:bookmarkEnd w:id="7"/>
      <w:r>
        <w:t xml:space="preserve"> </w:t>
      </w:r>
    </w:p>
    <w:p w14:paraId="4C66029A" w14:textId="77777777" w:rsidR="00F80C33" w:rsidRDefault="00723BFB">
      <w:pPr>
        <w:pStyle w:val="H2"/>
      </w:pPr>
      <w:bookmarkStart w:id="8" w:name="_Toc73215970"/>
      <w:bookmarkStart w:id="9" w:name="_Toc400547166"/>
      <w:bookmarkStart w:id="10" w:name="_Toc405384271"/>
      <w:bookmarkStart w:id="11" w:name="_Toc405543538"/>
      <w:bookmarkStart w:id="12" w:name="_Toc428178047"/>
      <w:bookmarkStart w:id="13" w:name="_Toc440872678"/>
      <w:bookmarkStart w:id="14" w:name="_Toc458766223"/>
      <w:bookmarkStart w:id="15" w:name="_Toc459292628"/>
      <w:bookmarkStart w:id="16" w:name="_Toc60038328"/>
      <w:r>
        <w:t>5.1</w:t>
      </w:r>
      <w:r>
        <w:tab/>
        <w:t>Introduction</w:t>
      </w:r>
      <w:bookmarkEnd w:id="8"/>
      <w:bookmarkEnd w:id="9"/>
      <w:bookmarkEnd w:id="10"/>
      <w:bookmarkEnd w:id="11"/>
      <w:bookmarkEnd w:id="12"/>
      <w:bookmarkEnd w:id="13"/>
      <w:bookmarkEnd w:id="14"/>
      <w:bookmarkEnd w:id="15"/>
      <w:bookmarkEnd w:id="16"/>
    </w:p>
    <w:p w14:paraId="007EBD5E" w14:textId="77777777" w:rsidR="00F80C33" w:rsidRDefault="00723BFB">
      <w:pPr>
        <w:pStyle w:val="BodyTextNumberedChar"/>
      </w:pPr>
      <w:r>
        <w:t>(1)</w:t>
      </w:r>
      <w:r>
        <w:tab/>
        <w:t xml:space="preserve">Transmission </w:t>
      </w:r>
      <w:r w:rsidR="003159CA">
        <w:t>s</w:t>
      </w:r>
      <w:r>
        <w:t xml:space="preserve">ecurity </w:t>
      </w:r>
      <w:r w:rsidR="003159CA">
        <w:t>a</w:t>
      </w:r>
      <w:r>
        <w:t xml:space="preserve">nalysis and Reliability Unit Commitment (RUC) are used to ensure </w:t>
      </w:r>
      <w:r w:rsidR="003159CA">
        <w:t xml:space="preserve">ERCOT </w:t>
      </w:r>
      <w:r>
        <w:t>System reliability and to ensure that enough Resource capacity, in addition to Ancillary Service capacity, is committed in the right locations to reliably serve the forecasted Load on the ERCOT System</w:t>
      </w:r>
      <w:r w:rsidR="00A11569">
        <w:t xml:space="preserve"> including </w:t>
      </w:r>
      <w:r w:rsidR="00117B3E">
        <w:t>Direct Current Tie (</w:t>
      </w:r>
      <w:r w:rsidR="00A11569">
        <w:t>DC Tie</w:t>
      </w:r>
      <w:r w:rsidR="00117B3E">
        <w:t>)</w:t>
      </w:r>
      <w:r w:rsidR="00A11569">
        <w:t xml:space="preserve"> Load that has not been curtailed</w:t>
      </w:r>
      <w:r>
        <w:t xml:space="preserve">.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FA3373" w:rsidRPr="004B32CF" w14:paraId="36D7AB93" w14:textId="77777777" w:rsidTr="00FA3373">
        <w:trPr>
          <w:trHeight w:val="1205"/>
        </w:trPr>
        <w:tc>
          <w:tcPr>
            <w:tcW w:w="9350" w:type="dxa"/>
            <w:shd w:val="pct12" w:color="auto" w:fill="auto"/>
          </w:tcPr>
          <w:p w14:paraId="57CA74C5" w14:textId="10C2D3D4" w:rsidR="00FA3373" w:rsidRPr="004B32CF" w:rsidRDefault="00FA3373" w:rsidP="00FA3373">
            <w:pPr>
              <w:spacing w:after="240"/>
              <w:rPr>
                <w:b/>
                <w:i/>
                <w:iCs/>
              </w:rPr>
            </w:pPr>
            <w:r w:rsidRPr="004B32CF">
              <w:rPr>
                <w:b/>
                <w:i/>
                <w:iCs/>
              </w:rPr>
              <w:t>[NPR</w:t>
            </w:r>
            <w:r>
              <w:rPr>
                <w:b/>
                <w:i/>
                <w:iCs/>
              </w:rPr>
              <w:t>R1009</w:t>
            </w:r>
            <w:r w:rsidRPr="004B32CF">
              <w:rPr>
                <w:b/>
                <w:i/>
                <w:iCs/>
              </w:rPr>
              <w:t>:  Replace paragraph (</w:t>
            </w:r>
            <w:r>
              <w:rPr>
                <w:b/>
                <w:i/>
                <w:iCs/>
              </w:rPr>
              <w:t>1</w:t>
            </w:r>
            <w:r w:rsidRPr="004B32CF">
              <w:rPr>
                <w:b/>
                <w:i/>
                <w:iCs/>
              </w:rPr>
              <w:t>) above with the following upon system implementation</w:t>
            </w:r>
            <w:r>
              <w:rPr>
                <w:b/>
                <w:i/>
                <w:iCs/>
              </w:rPr>
              <w:t xml:space="preserve"> of the Real-Time Co-Optimization (RTC) project</w:t>
            </w:r>
            <w:r w:rsidRPr="004B32CF">
              <w:rPr>
                <w:b/>
                <w:i/>
                <w:iCs/>
              </w:rPr>
              <w:t>:]</w:t>
            </w:r>
          </w:p>
          <w:p w14:paraId="0CEE8E59" w14:textId="7FDA9DCF" w:rsidR="00FA3373" w:rsidRPr="00FA3373" w:rsidRDefault="00FA3373" w:rsidP="00FA3373">
            <w:pPr>
              <w:spacing w:after="240"/>
              <w:ind w:left="720" w:hanging="720"/>
            </w:pPr>
            <w:r w:rsidRPr="003166ED">
              <w:t>(1)</w:t>
            </w:r>
            <w:r w:rsidRPr="003166ED">
              <w:tab/>
              <w:t>Transmission security analysis and Reliability Unit Commitment (RUC) are used to ensure ERCOT System reliability and to ensure that enough Resource capacity</w:t>
            </w:r>
            <w:r>
              <w:t xml:space="preserve"> and qualified</w:t>
            </w:r>
            <w:r w:rsidRPr="003166ED">
              <w:t xml:space="preserve"> Ancillary Service capacity</w:t>
            </w:r>
            <w:r>
              <w:t xml:space="preserve"> are</w:t>
            </w:r>
            <w:r w:rsidRPr="003166ED">
              <w:t xml:space="preserve"> committed in the right locations to reliably serve the forecasted Load </w:t>
            </w:r>
            <w:r>
              <w:t xml:space="preserve">and Ancillary Service needs </w:t>
            </w:r>
            <w:r w:rsidRPr="003166ED">
              <w:t>on the ERCOT System including Direct Current Tie (DC Tie) Lo</w:t>
            </w:r>
            <w:r>
              <w:t>ad that has not been curtailed.</w:t>
            </w:r>
          </w:p>
        </w:tc>
      </w:tr>
    </w:tbl>
    <w:p w14:paraId="19337673" w14:textId="7DBCCA3B" w:rsidR="00F80C33" w:rsidRDefault="00723BFB" w:rsidP="00300C4D">
      <w:pPr>
        <w:pStyle w:val="BodyTextNumberedChar"/>
        <w:spacing w:before="240"/>
      </w:pPr>
      <w:r>
        <w:t>(2)</w:t>
      </w:r>
      <w:r>
        <w:tab/>
        <w:t xml:space="preserve">ERCOT shall conduct at least one Day-Ahead </w:t>
      </w:r>
      <w:r w:rsidR="002C69E9" w:rsidRPr="00B641E0">
        <w:rPr>
          <w:bCs/>
        </w:rPr>
        <w:t>Reliability Unit Commitment</w:t>
      </w:r>
      <w:r>
        <w:t xml:space="preserve"> (DRUC) and at least one Hourly </w:t>
      </w:r>
      <w:r w:rsidR="002C69E9" w:rsidRPr="00B641E0">
        <w:rPr>
          <w:bCs/>
        </w:rPr>
        <w:t>Reliability Unit Commitment</w:t>
      </w:r>
      <w:r>
        <w:t xml:space="preserve"> (HRUC) before each hour of the Operating Day.  ERCOT, in its sole discretion, may conduct a RUC at any time to evaluate and resolve reliability issues.</w:t>
      </w:r>
    </w:p>
    <w:p w14:paraId="6653CF33" w14:textId="77777777" w:rsidR="00F80C33" w:rsidRDefault="00723BFB">
      <w:pPr>
        <w:pStyle w:val="BodyTextNumberedChar"/>
      </w:pPr>
      <w:r>
        <w:t>(3)</w:t>
      </w:r>
      <w:r>
        <w:tab/>
        <w:t xml:space="preserve">The DRUC must be run after the close of the Day-Ahead Market (DAM). </w:t>
      </w:r>
    </w:p>
    <w:p w14:paraId="3840D06D" w14:textId="77777777" w:rsidR="00F80C33" w:rsidRDefault="00723BFB">
      <w:pPr>
        <w:pStyle w:val="BodyTextNumberedChar"/>
      </w:pPr>
      <w:r>
        <w:t>(4)</w:t>
      </w:r>
      <w:r>
        <w:tab/>
        <w:t>The DRUC uses Three-Part Supply Offers</w:t>
      </w:r>
      <w:r w:rsidR="00665FD4" w:rsidRPr="006A7952">
        <w:t>, capped at the maximum of generic or verifiable minimum energy and Startup Costs,</w:t>
      </w:r>
      <w:r>
        <w:t xml:space="preserve"> submitted before the DAM by </w:t>
      </w:r>
      <w:r w:rsidR="003159CA">
        <w:t>Qualified Scheduling Entities (</w:t>
      </w:r>
      <w:r>
        <w:t>QSEs</w:t>
      </w:r>
      <w:r w:rsidR="003159CA">
        <w:t>)</w:t>
      </w:r>
      <w:r>
        <w:t xml:space="preserve"> that were considered in the DAM but not awarded in the DAM.  A QSE may not submit a Three-Part Supply Offer to be considered in the DRUC unless the offer was also submitted for consideration in the DAM.</w:t>
      </w:r>
    </w:p>
    <w:p w14:paraId="2988AF2E" w14:textId="77777777" w:rsidR="00F80C33" w:rsidRDefault="00723BFB" w:rsidP="008538EE">
      <w:pPr>
        <w:pStyle w:val="BodyTextNumberedChar"/>
      </w:pPr>
      <w:r>
        <w:t>(5)</w:t>
      </w:r>
      <w:r>
        <w:tab/>
        <w:t xml:space="preserve">ERCOT must initiate the HRUC process at least one hour before the Operating Hour to fine-tune the Resource commitments using updated Load forecasts and updated Outage information. </w:t>
      </w:r>
    </w:p>
    <w:p w14:paraId="7BB5396B" w14:textId="77777777" w:rsidR="00F80C33" w:rsidRDefault="00723BFB">
      <w:pPr>
        <w:pStyle w:val="BodyTextNumberedChar"/>
      </w:pPr>
      <w:r>
        <w:t>(6)</w:t>
      </w:r>
      <w:r>
        <w:tab/>
        <w:t xml:space="preserve">The RUC Study Period for DRUC is the next Operating Day. </w:t>
      </w:r>
      <w:r w:rsidR="003159CA">
        <w:t xml:space="preserve"> </w:t>
      </w:r>
      <w:r>
        <w:t xml:space="preserve">The RUC Study Period for HRUC is the balance of the current Operating Day plus the next Operating Day if the DRUC for the Operating Day has been solved. </w:t>
      </w:r>
    </w:p>
    <w:p w14:paraId="7268C989" w14:textId="77777777" w:rsidR="00F80C33" w:rsidRDefault="00723BFB">
      <w:pPr>
        <w:pStyle w:val="BodyTextNumberedChar"/>
      </w:pPr>
      <w:r>
        <w:t>(7)</w:t>
      </w:r>
      <w:r>
        <w:tab/>
        <w:t xml:space="preserve">HRUC may decommit Resources only to maintain the reliability of the ERCOT System. </w:t>
      </w:r>
    </w:p>
    <w:p w14:paraId="39087CCA" w14:textId="77777777" w:rsidR="00F80C33" w:rsidRDefault="00723BFB">
      <w:pPr>
        <w:pStyle w:val="BodyTextNumberedChar"/>
      </w:pPr>
      <w:r>
        <w:t>(8)</w:t>
      </w:r>
      <w:r>
        <w:tab/>
      </w:r>
      <w:r w:rsidR="00CF7E9A">
        <w:t>For each RUC Study Period, the RUC considers capacity requirements for each hour of the RUC Study Period with the objective of minimizing costs based on logic described in Section 5.5.2, Reliability Unit Commitment (RUC) Process.</w:t>
      </w:r>
    </w:p>
    <w:p w14:paraId="15A81A24" w14:textId="77777777" w:rsidR="00F80C33" w:rsidRDefault="00723BFB" w:rsidP="003201F1">
      <w:pPr>
        <w:pStyle w:val="BodyTextNumberedChar"/>
      </w:pPr>
      <w:r>
        <w:lastRenderedPageBreak/>
        <w:t>(9)</w:t>
      </w:r>
      <w:r>
        <w:tab/>
        <w:t>The calculated Resource commitments arising from each RUC process</w:t>
      </w:r>
      <w:r w:rsidR="00C16730" w:rsidRPr="00AA0692">
        <w:t>, and a list of Off-</w:t>
      </w:r>
      <w:r w:rsidR="00C16730">
        <w:t>L</w:t>
      </w:r>
      <w:r w:rsidR="00C16730" w:rsidRPr="00AA0692">
        <w:t>ine Available Resources having a start-up time of one hour or less,</w:t>
      </w:r>
      <w:r>
        <w:t xml:space="preserve"> must be reviewed by ERCOT before issuing Dispatch Instructions to QSEs to commit, extend, or decommit Resources.</w:t>
      </w:r>
    </w:p>
    <w:p w14:paraId="6CFF98DD" w14:textId="77777777" w:rsidR="00F80C33" w:rsidRDefault="00723BFB" w:rsidP="00083F9B">
      <w:pPr>
        <w:pStyle w:val="BodyTextNumberedChar"/>
      </w:pPr>
      <w:r>
        <w:t>(10)</w:t>
      </w:r>
      <w:r>
        <w:tab/>
        <w:t xml:space="preserve">The Security Sequence is a set of prerequisite processes for RUC that describes the key system components and inputs that are required to support the RUC process, the RUC process itself, and the ERCOT review of the Resource commitment recommendations made by the RUC process. </w:t>
      </w:r>
    </w:p>
    <w:p w14:paraId="2498428F" w14:textId="77777777" w:rsidR="00F80C33" w:rsidRDefault="00723BFB">
      <w:pPr>
        <w:pStyle w:val="BodyTextNumberedChar"/>
      </w:pPr>
      <w:r>
        <w:t>(11)</w:t>
      </w:r>
      <w:r>
        <w:tab/>
        <w:t xml:space="preserve">The RUC process may not be used to buy Ancillary Service unless the Ancillary Service Offers submitted in the DAM are insufficient to meet the requirements of the Ancillary Service Plan.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761147" w:rsidRPr="004B32CF" w14:paraId="69607B84" w14:textId="77777777" w:rsidTr="00761147">
        <w:trPr>
          <w:trHeight w:val="683"/>
        </w:trPr>
        <w:tc>
          <w:tcPr>
            <w:tcW w:w="9350" w:type="dxa"/>
            <w:shd w:val="pct12" w:color="auto" w:fill="auto"/>
          </w:tcPr>
          <w:p w14:paraId="65222133" w14:textId="410F130A" w:rsidR="00761147" w:rsidRPr="00761147" w:rsidRDefault="00761147" w:rsidP="00B970B6">
            <w:pPr>
              <w:spacing w:after="240"/>
              <w:rPr>
                <w:b/>
                <w:i/>
                <w:iCs/>
              </w:rPr>
            </w:pPr>
            <w:r w:rsidRPr="004B32CF">
              <w:rPr>
                <w:b/>
                <w:i/>
                <w:iCs/>
              </w:rPr>
              <w:t>[NPR</w:t>
            </w:r>
            <w:r>
              <w:rPr>
                <w:b/>
                <w:i/>
                <w:iCs/>
              </w:rPr>
              <w:t>R1009</w:t>
            </w:r>
            <w:r w:rsidRPr="004B32CF">
              <w:rPr>
                <w:b/>
                <w:i/>
                <w:iCs/>
              </w:rPr>
              <w:t xml:space="preserve">:  </w:t>
            </w:r>
            <w:r>
              <w:rPr>
                <w:b/>
                <w:i/>
                <w:iCs/>
              </w:rPr>
              <w:t>Delete</w:t>
            </w:r>
            <w:r w:rsidRPr="004B32CF">
              <w:rPr>
                <w:b/>
                <w:i/>
                <w:iCs/>
              </w:rPr>
              <w:t xml:space="preserve"> paragraph (</w:t>
            </w:r>
            <w:r>
              <w:rPr>
                <w:b/>
                <w:i/>
                <w:iCs/>
              </w:rPr>
              <w:t>11</w:t>
            </w:r>
            <w:r w:rsidRPr="004B32CF">
              <w:rPr>
                <w:b/>
                <w:i/>
                <w:iCs/>
              </w:rPr>
              <w:t>) above upon system implementation</w:t>
            </w:r>
            <w:r>
              <w:rPr>
                <w:b/>
                <w:i/>
                <w:iCs/>
              </w:rPr>
              <w:t xml:space="preserve"> of the Real-Time Co-Optimization (RTC) project and renumber accordingly</w:t>
            </w:r>
            <w:r w:rsidR="00B970B6">
              <w:rPr>
                <w:b/>
                <w:i/>
                <w:iCs/>
              </w:rPr>
              <w:t>.</w:t>
            </w:r>
            <w:r w:rsidRPr="004B32CF">
              <w:rPr>
                <w:b/>
                <w:i/>
                <w:iCs/>
              </w:rPr>
              <w:t>]</w:t>
            </w:r>
          </w:p>
        </w:tc>
      </w:tr>
    </w:tbl>
    <w:p w14:paraId="003E2D90" w14:textId="0B58A377" w:rsidR="003159CA" w:rsidRDefault="003159CA" w:rsidP="00300C4D">
      <w:pPr>
        <w:pStyle w:val="BodyTextNumberedChar"/>
        <w:spacing w:before="240"/>
      </w:pPr>
      <w:r>
        <w:t>(12)</w:t>
      </w:r>
      <w:r>
        <w:tab/>
        <w:t xml:space="preserve">After the use of market processes to the fullest extent practicable without jeopardizing the reliability of the ERCOT System, any ERCOT Dispatch Instructions for additional capacity that order a QSE to commit a specific Generation Resource to be On-Line shall be considered a RUC </w:t>
      </w:r>
      <w:r w:rsidR="00A11569">
        <w:t xml:space="preserve">Dispatch </w:t>
      </w:r>
      <w:r>
        <w:t xml:space="preserve">for the purpose of the Settlement of payments and charges related to the committed Generation Resource.  An Operating Condition Notice (OCN), Advisory, Watch, or Emergency Notice </w:t>
      </w:r>
      <w:r w:rsidRPr="00FB541F">
        <w:t xml:space="preserve">requesting the </w:t>
      </w:r>
      <w:r>
        <w:t>available capacity</w:t>
      </w:r>
      <w:r w:rsidRPr="00FB541F">
        <w:t xml:space="preserve"> of any currently available Generation Resources </w:t>
      </w:r>
      <w:r>
        <w:t xml:space="preserve">but not naming specific Generation Resources is not considered a RUC </w:t>
      </w:r>
      <w:r w:rsidR="00A11569">
        <w:t>D</w:t>
      </w:r>
      <w:r>
        <w:t>ispatch for purposes of Settlement.</w:t>
      </w:r>
    </w:p>
    <w:p w14:paraId="6C6696F8" w14:textId="77777777" w:rsidR="009F4CC8" w:rsidRDefault="009F4CC8">
      <w:pPr>
        <w:pStyle w:val="BodyTextNumberedChar"/>
        <w:rPr>
          <w:iCs/>
        </w:rPr>
      </w:pPr>
      <w:r>
        <w:rPr>
          <w:iCs/>
        </w:rPr>
        <w:t>(13)</w:t>
      </w:r>
      <w:r>
        <w:rPr>
          <w:iCs/>
        </w:rPr>
        <w:tab/>
      </w:r>
      <w:r w:rsidR="00984BA1" w:rsidRPr="009369D5">
        <w:rPr>
          <w:iCs/>
        </w:rPr>
        <w:t xml:space="preserve">ERCOT shall post on the Market Information System (MIS) Certified Area, for each Off-Line Generation Resource that may be selected by an HRUC process, the current </w:t>
      </w:r>
      <w:r w:rsidR="00984BA1" w:rsidRPr="009369D5">
        <w:t xml:space="preserve">time since the Generation Resource last went Off-Line (in hours) and the corresponding </w:t>
      </w:r>
      <w:r w:rsidR="00984BA1" w:rsidRPr="009369D5">
        <w:rPr>
          <w:iCs/>
        </w:rPr>
        <w:t xml:space="preserve">start-up times </w:t>
      </w:r>
      <w:r w:rsidR="00984BA1" w:rsidRPr="009369D5">
        <w:t xml:space="preserve">ERCOT is using </w:t>
      </w:r>
      <w:r w:rsidR="00984BA1" w:rsidRPr="009369D5">
        <w:rPr>
          <w:iCs/>
        </w:rPr>
        <w:t xml:space="preserve">for each such Off-Line Generation Resource.  The time </w:t>
      </w:r>
      <w:r w:rsidR="00984BA1" w:rsidRPr="009369D5">
        <w:t xml:space="preserve">since the Generation Resource last went Off-Line </w:t>
      </w:r>
      <w:r w:rsidR="00984BA1" w:rsidRPr="009369D5">
        <w:rPr>
          <w:iCs/>
        </w:rPr>
        <w:t>and start-up times shall be updated at least hourly.</w:t>
      </w:r>
    </w:p>
    <w:p w14:paraId="36BAA800" w14:textId="77777777" w:rsidR="00A11569" w:rsidRDefault="0085700C" w:rsidP="006D12D3">
      <w:pPr>
        <w:pStyle w:val="BodyTextNumberedChar"/>
      </w:pPr>
      <w:r>
        <w:t>(14</w:t>
      </w:r>
      <w:r w:rsidR="00A11569">
        <w:t>)</w:t>
      </w:r>
      <w:r w:rsidR="00A11569">
        <w:tab/>
        <w:t xml:space="preserve">Prior to 1330 in the Day-Ahead, ERCOT may issue a Weekly Reliability Unit Commitment (WRUC) Verbal Dispatch Instruction (VDI) to inform a QSE that a Resource is required to be On-Line for all or part of a future Operating Day.  Following the receipt of a WRUC: </w:t>
      </w:r>
    </w:p>
    <w:p w14:paraId="31CBCC43" w14:textId="77777777" w:rsidR="00A11569" w:rsidRDefault="00A11569" w:rsidP="00A11569">
      <w:pPr>
        <w:pStyle w:val="List2"/>
      </w:pPr>
      <w:r>
        <w:t>(a)</w:t>
      </w:r>
      <w:r>
        <w:tab/>
        <w:t xml:space="preserve">The QSE may self-commit the Resource for the WRUC-instructed hours by updating the Resource’s Current Operating Plan (COP) to reflect the appropriate On-Line Resource Status for the WRUC-instructed hours prior to the </w:t>
      </w:r>
      <w:r w:rsidRPr="00C7397F">
        <w:t>DRUC</w:t>
      </w:r>
      <w:r>
        <w:t xml:space="preserve"> process execution for the associated Operating Day.  Resources that have been self-committed by a QSE in accordance with a WRUC:</w:t>
      </w:r>
    </w:p>
    <w:p w14:paraId="7267EC05" w14:textId="77777777" w:rsidR="00A11569" w:rsidRDefault="00A11569" w:rsidP="00A11569">
      <w:pPr>
        <w:pStyle w:val="List3"/>
      </w:pPr>
      <w:r>
        <w:t>(i)</w:t>
      </w:r>
      <w:r>
        <w:tab/>
      </w:r>
      <w:r w:rsidRPr="00A02F0B">
        <w:t xml:space="preserve">May have a Three-Part Supply Offer submitted into the DAM, and any of the WRUC-instructed hours in which the Three-Part Supply Offer is </w:t>
      </w:r>
      <w:r w:rsidRPr="00A02F0B">
        <w:lastRenderedPageBreak/>
        <w:t>awarded in the DAM become DAM-Committed Intervals for the Resource and are settled accordingly</w:t>
      </w:r>
      <w:r>
        <w:t>; and</w:t>
      </w:r>
    </w:p>
    <w:p w14:paraId="17D6792D" w14:textId="77777777" w:rsidR="00A11569" w:rsidRDefault="00A11569" w:rsidP="00A11569">
      <w:pPr>
        <w:pStyle w:val="List3"/>
      </w:pPr>
      <w:r>
        <w:t>(ii)</w:t>
      </w:r>
      <w:r>
        <w:tab/>
        <w:t>Will not be issued a RUC commitment for the WRUC-instructed hours that were self-committed or DAM-committed.</w:t>
      </w:r>
    </w:p>
    <w:p w14:paraId="19F3627B" w14:textId="77777777" w:rsidR="00561365" w:rsidRDefault="00A11569">
      <w:pPr>
        <w:pStyle w:val="BodyTextNumberedChar"/>
        <w:ind w:left="1440"/>
      </w:pPr>
      <w:r>
        <w:t>(b)</w:t>
      </w:r>
      <w:r>
        <w:tab/>
        <w:t xml:space="preserve">ERCOT will commit the Resource as part of the DRUC process for the relevant Operating Day </w:t>
      </w:r>
      <w:r w:rsidRPr="006F201D">
        <w:t>for all WRUC-instructed hours not DAM-committed or QSE self-committed</w:t>
      </w:r>
      <w:r>
        <w:t xml:space="preserve">.  For all purposes, including RUC </w:t>
      </w:r>
      <w:r w:rsidRPr="00500EDE">
        <w:t>S</w:t>
      </w:r>
      <w:r>
        <w:t>ettlement, the Resource will be considered as committed by the DRUC for these hours.</w:t>
      </w:r>
    </w:p>
    <w:p w14:paraId="62F33FD6" w14:textId="76275A69" w:rsidR="00D96499" w:rsidRDefault="00D96499" w:rsidP="00D96499">
      <w:pPr>
        <w:pStyle w:val="BodyTextNumberedChar"/>
      </w:pPr>
      <w:r w:rsidRPr="00F057BA">
        <w:t>(15)</w:t>
      </w:r>
      <w:r w:rsidRPr="00F057BA">
        <w:tab/>
        <w:t>If ERCOT issues an Outage Schedule Adjustment (OSA)</w:t>
      </w:r>
      <w:r w:rsidRPr="00F057BA" w:rsidDel="00050731">
        <w:t xml:space="preserve"> </w:t>
      </w:r>
      <w:r w:rsidRPr="00F057BA">
        <w:t>pursuant to Section 3.1.4.6, Outage Coordination of Potential Transmission Emergency Conditions, or Section 3.1.6.9, Withdrawal of Approval and Rescheduling of Approved Planned Outages of Resource Facilities, QSEs with Resources that received an OSA shall be made whole to their actual costs incurred due to delaying or canceling and rescheduling the Outage as described in Section 5.6.5.1, Make-Whole Payment for Canceled or Delayed Outages for OSAs.</w:t>
      </w:r>
    </w:p>
    <w:p w14:paraId="49D95A8F" w14:textId="77777777" w:rsidR="007C3B91" w:rsidRDefault="00723BFB" w:rsidP="00B33756">
      <w:pPr>
        <w:pStyle w:val="H2"/>
        <w:ind w:left="907" w:hanging="907"/>
      </w:pPr>
      <w:bookmarkStart w:id="17" w:name="_Toc400547167"/>
      <w:bookmarkStart w:id="18" w:name="_Toc405384272"/>
      <w:bookmarkStart w:id="19" w:name="_Toc405543539"/>
      <w:bookmarkStart w:id="20" w:name="_Toc428178048"/>
      <w:bookmarkStart w:id="21" w:name="_Toc440872679"/>
      <w:bookmarkStart w:id="22" w:name="_Toc458766224"/>
      <w:bookmarkStart w:id="23" w:name="_Toc459292629"/>
      <w:bookmarkStart w:id="24" w:name="_Toc60038329"/>
      <w:r>
        <w:t>5.2</w:t>
      </w:r>
      <w:r>
        <w:tab/>
        <w:t>Reliability Unit Commitment Timeline Summary</w:t>
      </w:r>
      <w:bookmarkEnd w:id="17"/>
      <w:bookmarkEnd w:id="18"/>
      <w:bookmarkEnd w:id="19"/>
      <w:bookmarkEnd w:id="20"/>
      <w:bookmarkEnd w:id="21"/>
      <w:bookmarkEnd w:id="22"/>
      <w:bookmarkEnd w:id="23"/>
      <w:bookmarkEnd w:id="24"/>
      <w:r>
        <w:t xml:space="preserve"> </w:t>
      </w:r>
    </w:p>
    <w:p w14:paraId="3273F1C6" w14:textId="77777777" w:rsidR="008D477B" w:rsidRPr="00B641E0" w:rsidRDefault="008D477B" w:rsidP="008D477B">
      <w:pPr>
        <w:keepNext/>
        <w:tabs>
          <w:tab w:val="left" w:pos="1080"/>
        </w:tabs>
        <w:spacing w:before="240" w:after="240"/>
        <w:ind w:left="1080" w:hanging="1080"/>
        <w:outlineLvl w:val="2"/>
        <w:rPr>
          <w:b/>
          <w:bCs/>
          <w:i/>
        </w:rPr>
      </w:pPr>
      <w:bookmarkStart w:id="25" w:name="_Toc400547168"/>
      <w:bookmarkStart w:id="26" w:name="_Toc405384273"/>
      <w:bookmarkStart w:id="27" w:name="_Toc405543540"/>
      <w:bookmarkStart w:id="28" w:name="_Toc428178049"/>
      <w:bookmarkStart w:id="29" w:name="_Toc440872680"/>
      <w:bookmarkStart w:id="30" w:name="_Toc458766225"/>
      <w:bookmarkStart w:id="31" w:name="_Toc459292630"/>
      <w:bookmarkStart w:id="32" w:name="_Toc60038330"/>
      <w:r w:rsidRPr="00B641E0">
        <w:rPr>
          <w:b/>
          <w:bCs/>
          <w:i/>
        </w:rPr>
        <w:t>5.2.1</w:t>
      </w:r>
      <w:r w:rsidRPr="00B641E0">
        <w:rPr>
          <w:b/>
          <w:bCs/>
          <w:i/>
        </w:rPr>
        <w:tab/>
        <w:t>RUC Normal Timeline Summary</w:t>
      </w:r>
      <w:bookmarkEnd w:id="25"/>
      <w:bookmarkEnd w:id="26"/>
      <w:bookmarkEnd w:id="27"/>
      <w:bookmarkEnd w:id="28"/>
      <w:bookmarkEnd w:id="29"/>
      <w:bookmarkEnd w:id="30"/>
      <w:bookmarkEnd w:id="31"/>
      <w:bookmarkEnd w:id="32"/>
    </w:p>
    <w:p w14:paraId="250EF9E5" w14:textId="77777777" w:rsidR="00021A14" w:rsidRDefault="001609AC" w:rsidP="00083F9B">
      <w:pPr>
        <w:pStyle w:val="BodyTextNumberedChar"/>
        <w:rPr>
          <w:iCs/>
        </w:rPr>
      </w:pPr>
      <w:r>
        <w:rPr>
          <w:iCs/>
        </w:rPr>
        <w:t>(1)</w:t>
      </w:r>
      <w:r>
        <w:rPr>
          <w:iCs/>
        </w:rPr>
        <w:tab/>
      </w:r>
      <w:r w:rsidR="008D477B" w:rsidRPr="00B641E0">
        <w:rPr>
          <w:iCs/>
        </w:rPr>
        <w:t xml:space="preserve">The </w:t>
      </w:r>
      <w:r w:rsidR="008D477B" w:rsidRPr="001609AC">
        <w:t>following</w:t>
      </w:r>
      <w:r w:rsidR="008D477B" w:rsidRPr="00B641E0">
        <w:rPr>
          <w:iCs/>
        </w:rPr>
        <w:t xml:space="preserve"> Reliability Unit Commitment (RUC) Timeline Summary describes the normal timeline for RUC activities that occur in the Day-Ahead and Adjustment Periods.</w:t>
      </w:r>
    </w:p>
    <w:p w14:paraId="4A958C2D" w14:textId="77777777" w:rsidR="00F80C33" w:rsidRDefault="003B0E0D">
      <w:pPr>
        <w:pStyle w:val="BodyTextNumbered"/>
      </w:pPr>
      <w:bookmarkStart w:id="33" w:name="_Toc110757355"/>
      <w:r>
        <w:rPr>
          <w:noProof/>
        </w:rPr>
        <w:drawing>
          <wp:anchor distT="0" distB="0" distL="114300" distR="114300" simplePos="0" relativeHeight="251657728" behindDoc="0" locked="0" layoutInCell="1" allowOverlap="1" wp14:anchorId="41B9F444" wp14:editId="15DC9BBE">
            <wp:simplePos x="0" y="0"/>
            <wp:positionH relativeFrom="column">
              <wp:posOffset>-62865</wp:posOffset>
            </wp:positionH>
            <wp:positionV relativeFrom="paragraph">
              <wp:posOffset>101600</wp:posOffset>
            </wp:positionV>
            <wp:extent cx="4686300" cy="2400300"/>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6300" cy="2400300"/>
                    </a:xfrm>
                    <a:prstGeom prst="rect">
                      <a:avLst/>
                    </a:prstGeom>
                    <a:noFill/>
                    <a:effectLst/>
                  </pic:spPr>
                </pic:pic>
              </a:graphicData>
            </a:graphic>
            <wp14:sizeRelH relativeFrom="page">
              <wp14:pctWidth>0</wp14:pctWidth>
            </wp14:sizeRelH>
            <wp14:sizeRelV relativeFrom="page">
              <wp14:pctHeight>0</wp14:pctHeight>
            </wp14:sizeRelV>
          </wp:anchor>
        </w:drawing>
      </w:r>
      <w:bookmarkEnd w:id="33"/>
    </w:p>
    <w:p w14:paraId="662F66D9" w14:textId="77777777" w:rsidR="00F80C33" w:rsidRDefault="00F80C33">
      <w:pPr>
        <w:pStyle w:val="BodyText"/>
      </w:pPr>
    </w:p>
    <w:p w14:paraId="43897E21" w14:textId="77777777" w:rsidR="00F80C33" w:rsidRDefault="00F80C33">
      <w:pPr>
        <w:pStyle w:val="BodyText"/>
      </w:pPr>
    </w:p>
    <w:p w14:paraId="0CB89607" w14:textId="77777777" w:rsidR="00F80C33" w:rsidRDefault="00F80C33">
      <w:pPr>
        <w:pStyle w:val="BodyText"/>
      </w:pPr>
    </w:p>
    <w:p w14:paraId="20603C73" w14:textId="77777777" w:rsidR="00F80C33" w:rsidRDefault="00F80C33">
      <w:pPr>
        <w:pStyle w:val="BodyText"/>
      </w:pPr>
    </w:p>
    <w:p w14:paraId="26FBBA35" w14:textId="77777777" w:rsidR="00F80C33" w:rsidRDefault="00F80C33">
      <w:pPr>
        <w:pStyle w:val="BodyText"/>
      </w:pPr>
    </w:p>
    <w:p w14:paraId="22234019" w14:textId="77777777" w:rsidR="00F80C33" w:rsidRDefault="00F80C33">
      <w:pPr>
        <w:pStyle w:val="H2"/>
        <w:keepNext w:val="0"/>
        <w:widowControl w:val="0"/>
        <w:spacing w:before="120" w:after="120"/>
        <w:ind w:left="907" w:hanging="907"/>
      </w:pPr>
    </w:p>
    <w:p w14:paraId="3D5EC571" w14:textId="77777777" w:rsidR="00F80C33" w:rsidRDefault="00F80C33">
      <w:pPr>
        <w:pStyle w:val="BodyText"/>
      </w:pPr>
    </w:p>
    <w:p w14:paraId="77C94907" w14:textId="77777777" w:rsidR="00F80C33" w:rsidRDefault="00F80C33">
      <w:pPr>
        <w:pStyle w:val="H2"/>
        <w:keepNext w:val="0"/>
        <w:widowControl w:val="0"/>
        <w:spacing w:before="120" w:after="120"/>
        <w:ind w:left="907" w:hanging="907"/>
      </w:pPr>
    </w:p>
    <w:p w14:paraId="00038E9A" w14:textId="77777777" w:rsidR="00F80C33" w:rsidRDefault="003B0E0D">
      <w:pPr>
        <w:pStyle w:val="BodyTextNumbered"/>
      </w:pPr>
      <w:r>
        <w:rPr>
          <w:noProof/>
        </w:rPr>
        <w:lastRenderedPageBreak/>
        <w:drawing>
          <wp:inline distT="0" distB="0" distL="0" distR="0" wp14:anchorId="4B4F73A2" wp14:editId="4213DCC0">
            <wp:extent cx="4733925" cy="2876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3925" cy="2876550"/>
                    </a:xfrm>
                    <a:prstGeom prst="rect">
                      <a:avLst/>
                    </a:prstGeom>
                    <a:noFill/>
                    <a:ln>
                      <a:noFill/>
                    </a:ln>
                  </pic:spPr>
                </pic:pic>
              </a:graphicData>
            </a:graphic>
          </wp:inline>
        </w:drawing>
      </w:r>
    </w:p>
    <w:p w14:paraId="23826391" w14:textId="77777777" w:rsidR="00F80C33" w:rsidRDefault="00F80C33">
      <w:pPr>
        <w:pStyle w:val="H2"/>
        <w:keepNext w:val="0"/>
        <w:widowControl w:val="0"/>
        <w:spacing w:before="120" w:after="120"/>
        <w:ind w:left="907" w:hanging="907"/>
      </w:pPr>
    </w:p>
    <w:p w14:paraId="5C327F4D" w14:textId="77777777" w:rsidR="00F80C33" w:rsidRDefault="00F80C33">
      <w:pPr>
        <w:pStyle w:val="H2"/>
        <w:keepNext w:val="0"/>
        <w:widowControl w:val="0"/>
        <w:spacing w:before="120" w:after="120"/>
        <w:ind w:left="907" w:hanging="907"/>
      </w:pPr>
    </w:p>
    <w:p w14:paraId="184A9B88" w14:textId="77777777" w:rsidR="00F80C33" w:rsidRDefault="003B0E0D">
      <w:pPr>
        <w:pStyle w:val="BodyTextNumbered"/>
      </w:pPr>
      <w:r>
        <w:rPr>
          <w:noProof/>
        </w:rPr>
        <w:drawing>
          <wp:inline distT="0" distB="0" distL="0" distR="0" wp14:anchorId="0F0895DC" wp14:editId="5769BFCF">
            <wp:extent cx="4629150" cy="3038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9150" cy="3038475"/>
                    </a:xfrm>
                    <a:prstGeom prst="rect">
                      <a:avLst/>
                    </a:prstGeom>
                    <a:noFill/>
                    <a:ln>
                      <a:noFill/>
                    </a:ln>
                  </pic:spPr>
                </pic:pic>
              </a:graphicData>
            </a:graphic>
          </wp:inline>
        </w:drawing>
      </w:r>
    </w:p>
    <w:p w14:paraId="013D7771" w14:textId="77777777" w:rsidR="008D477B" w:rsidRPr="00B641E0" w:rsidRDefault="008D477B" w:rsidP="008D477B">
      <w:pPr>
        <w:keepNext/>
        <w:tabs>
          <w:tab w:val="left" w:pos="1080"/>
        </w:tabs>
        <w:spacing w:before="240" w:after="240"/>
        <w:ind w:left="1080" w:hanging="1080"/>
        <w:outlineLvl w:val="2"/>
        <w:rPr>
          <w:b/>
          <w:i/>
        </w:rPr>
      </w:pPr>
      <w:bookmarkStart w:id="34" w:name="_Toc241894430"/>
      <w:bookmarkStart w:id="35" w:name="_Toc400547169"/>
      <w:bookmarkStart w:id="36" w:name="_Toc405384274"/>
      <w:bookmarkStart w:id="37" w:name="_Toc405543541"/>
      <w:bookmarkStart w:id="38" w:name="_Toc428178050"/>
      <w:bookmarkStart w:id="39" w:name="_Toc440872681"/>
      <w:bookmarkStart w:id="40" w:name="_Toc458766226"/>
      <w:bookmarkStart w:id="41" w:name="_Toc459292631"/>
      <w:bookmarkStart w:id="42" w:name="_Toc60038331"/>
      <w:r w:rsidRPr="00B641E0">
        <w:rPr>
          <w:b/>
          <w:i/>
        </w:rPr>
        <w:t>5.2.2</w:t>
      </w:r>
      <w:r w:rsidRPr="00B641E0">
        <w:rPr>
          <w:b/>
          <w:i/>
        </w:rPr>
        <w:tab/>
        <w:t>RUC Process Timing Deviations</w:t>
      </w:r>
      <w:bookmarkEnd w:id="34"/>
      <w:bookmarkEnd w:id="35"/>
      <w:bookmarkEnd w:id="36"/>
      <w:bookmarkEnd w:id="37"/>
      <w:bookmarkEnd w:id="38"/>
      <w:bookmarkEnd w:id="39"/>
      <w:bookmarkEnd w:id="40"/>
      <w:bookmarkEnd w:id="41"/>
      <w:bookmarkEnd w:id="42"/>
    </w:p>
    <w:p w14:paraId="2E1BE505" w14:textId="77777777" w:rsidR="008D477B" w:rsidRPr="00B641E0" w:rsidRDefault="008D477B" w:rsidP="008D477B">
      <w:pPr>
        <w:keepNext/>
        <w:widowControl w:val="0"/>
        <w:tabs>
          <w:tab w:val="left" w:pos="1260"/>
        </w:tabs>
        <w:spacing w:before="240" w:after="240"/>
        <w:ind w:left="1260" w:hanging="1260"/>
        <w:outlineLvl w:val="3"/>
        <w:rPr>
          <w:b/>
        </w:rPr>
      </w:pPr>
      <w:bookmarkStart w:id="43" w:name="_Toc400547170"/>
      <w:bookmarkStart w:id="44" w:name="_Toc405384275"/>
      <w:bookmarkStart w:id="45" w:name="_Toc405543542"/>
      <w:bookmarkStart w:id="46" w:name="_Toc428178051"/>
      <w:bookmarkStart w:id="47" w:name="_Toc440872682"/>
      <w:bookmarkStart w:id="48" w:name="_Toc458766227"/>
      <w:bookmarkStart w:id="49" w:name="_Toc459292632"/>
      <w:bookmarkStart w:id="50" w:name="_Toc60038332"/>
      <w:r w:rsidRPr="007F2120">
        <w:rPr>
          <w:b/>
          <w:bCs/>
        </w:rPr>
        <w:t>5.2.2.1</w:t>
      </w:r>
      <w:r w:rsidRPr="007F2120">
        <w:rPr>
          <w:b/>
          <w:bCs/>
        </w:rPr>
        <w:tab/>
      </w:r>
      <w:r>
        <w:rPr>
          <w:b/>
        </w:rPr>
        <w:t xml:space="preserve">RUC Process Timeline After a </w:t>
      </w:r>
      <w:r w:rsidRPr="00B641E0">
        <w:rPr>
          <w:b/>
        </w:rPr>
        <w:t xml:space="preserve">Delay of the Day-Ahead </w:t>
      </w:r>
      <w:r>
        <w:rPr>
          <w:b/>
        </w:rPr>
        <w:t>Market</w:t>
      </w:r>
      <w:bookmarkEnd w:id="43"/>
      <w:bookmarkEnd w:id="44"/>
      <w:bookmarkEnd w:id="45"/>
      <w:bookmarkEnd w:id="46"/>
      <w:bookmarkEnd w:id="47"/>
      <w:bookmarkEnd w:id="48"/>
      <w:bookmarkEnd w:id="49"/>
      <w:bookmarkEnd w:id="50"/>
    </w:p>
    <w:p w14:paraId="7F2DC8C8" w14:textId="54528438" w:rsidR="008D477B" w:rsidRPr="00B641E0" w:rsidRDefault="001609AC" w:rsidP="00083F9B">
      <w:pPr>
        <w:pStyle w:val="BodyTextNumberedChar"/>
      </w:pPr>
      <w:r>
        <w:t>(1)</w:t>
      </w:r>
      <w:r>
        <w:tab/>
      </w:r>
      <w:r w:rsidR="008D477B" w:rsidRPr="00B641E0">
        <w:t xml:space="preserve">If </w:t>
      </w:r>
      <w:r w:rsidR="008D477B" w:rsidRPr="00B641E0">
        <w:rPr>
          <w:iCs/>
        </w:rPr>
        <w:t>the</w:t>
      </w:r>
      <w:r w:rsidR="008D477B" w:rsidRPr="00B641E0">
        <w:t xml:space="preserve"> Day-Ahead Market (DAM) execution is delayed in accordance with Section 4.1.2, Day-Ahead Process and Timing Deviations, ERCOT shall conduct a </w:t>
      </w:r>
      <w:r w:rsidR="008D477B" w:rsidRPr="00B641E0">
        <w:rPr>
          <w:bCs/>
        </w:rPr>
        <w:t xml:space="preserve">Day-Ahead </w:t>
      </w:r>
      <w:r w:rsidR="008D477B" w:rsidRPr="00B641E0">
        <w:rPr>
          <w:bCs/>
        </w:rPr>
        <w:lastRenderedPageBreak/>
        <w:t>Reliability Unit Commitment (</w:t>
      </w:r>
      <w:r w:rsidR="008D477B" w:rsidRPr="00B641E0">
        <w:t xml:space="preserve">DRUC) after 1430 in the Day-Ahead and no earlier than one hour following the posting of DAM awards information on the </w:t>
      </w:r>
      <w:r w:rsidR="009C118F">
        <w:t>ERCOT website</w:t>
      </w:r>
      <w:r w:rsidR="008D477B" w:rsidRPr="00B641E0">
        <w:t xml:space="preserve"> as set forth in Section 4.5.3, Communicating DAM Results.  In this event, ERCOT will use the Current Operating Plan (COP) and Trades Snapshot taken just prior to the execution of the DRUC to settle RUC charges.</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761147" w:rsidRPr="004B32CF" w14:paraId="42405087" w14:textId="77777777" w:rsidTr="00FD6A54">
        <w:trPr>
          <w:trHeight w:val="1205"/>
        </w:trPr>
        <w:tc>
          <w:tcPr>
            <w:tcW w:w="9350" w:type="dxa"/>
            <w:shd w:val="pct12" w:color="auto" w:fill="auto"/>
          </w:tcPr>
          <w:p w14:paraId="73526213" w14:textId="77777777" w:rsidR="00761147" w:rsidRPr="004B32CF" w:rsidRDefault="00761147" w:rsidP="00FD6A54">
            <w:pPr>
              <w:spacing w:after="240"/>
              <w:rPr>
                <w:b/>
                <w:i/>
                <w:iCs/>
              </w:rPr>
            </w:pPr>
            <w:bookmarkStart w:id="51" w:name="_Toc400547171"/>
            <w:bookmarkStart w:id="52" w:name="_Toc405384276"/>
            <w:bookmarkStart w:id="53" w:name="_Toc405543543"/>
            <w:bookmarkStart w:id="54" w:name="_Toc428178052"/>
            <w:bookmarkStart w:id="55" w:name="_Toc440872683"/>
            <w:bookmarkStart w:id="56" w:name="_Toc458766228"/>
            <w:bookmarkStart w:id="57" w:name="_Toc459292633"/>
            <w:r w:rsidRPr="004B32CF">
              <w:rPr>
                <w:b/>
                <w:i/>
                <w:iCs/>
              </w:rPr>
              <w:t>[NPR</w:t>
            </w:r>
            <w:r>
              <w:rPr>
                <w:b/>
                <w:i/>
                <w:iCs/>
              </w:rPr>
              <w:t>R1009</w:t>
            </w:r>
            <w:r w:rsidRPr="004B32CF">
              <w:rPr>
                <w:b/>
                <w:i/>
                <w:iCs/>
              </w:rPr>
              <w:t>:  Replace paragraph (</w:t>
            </w:r>
            <w:r>
              <w:rPr>
                <w:b/>
                <w:i/>
                <w:iCs/>
              </w:rPr>
              <w:t>1</w:t>
            </w:r>
            <w:r w:rsidRPr="004B32CF">
              <w:rPr>
                <w:b/>
                <w:i/>
                <w:iCs/>
              </w:rPr>
              <w:t>) above with the following upon system implementation</w:t>
            </w:r>
            <w:r>
              <w:rPr>
                <w:b/>
                <w:i/>
                <w:iCs/>
              </w:rPr>
              <w:t xml:space="preserve"> of the Real-Time Co-Optimization (RTC) project</w:t>
            </w:r>
            <w:r w:rsidRPr="004B32CF">
              <w:rPr>
                <w:b/>
                <w:i/>
                <w:iCs/>
              </w:rPr>
              <w:t>:]</w:t>
            </w:r>
          </w:p>
          <w:p w14:paraId="3A8959A1" w14:textId="0731F5E3" w:rsidR="00761147" w:rsidRPr="00FA3373" w:rsidRDefault="00761147" w:rsidP="00761147">
            <w:pPr>
              <w:spacing w:after="240"/>
              <w:ind w:left="720" w:hanging="720"/>
            </w:pPr>
            <w:r w:rsidRPr="003166ED">
              <w:t>(1)</w:t>
            </w:r>
            <w:r w:rsidRPr="003166ED">
              <w:tab/>
              <w:t xml:space="preserve">If </w:t>
            </w:r>
            <w:r w:rsidRPr="003166ED">
              <w:rPr>
                <w:iCs/>
              </w:rPr>
              <w:t>the</w:t>
            </w:r>
            <w:r w:rsidRPr="003166ED">
              <w:t xml:space="preserve"> Day-Ahead Market (DAM) execution is delayed in accordance with Section 4.1.2, Day-Ahead Process and Timing Deviations, ERCOT shall conduct a </w:t>
            </w:r>
            <w:r w:rsidRPr="003166ED">
              <w:rPr>
                <w:bCs/>
              </w:rPr>
              <w:t>Day-Ahead Reliability Unit Commitment (</w:t>
            </w:r>
            <w:r w:rsidRPr="003166ED">
              <w:t xml:space="preserve">DRUC) after 1430 in the Day-Ahead and no earlier than one hour following the posting of DAM awards information on the </w:t>
            </w:r>
            <w:r>
              <w:t>ERCOT website</w:t>
            </w:r>
            <w:r w:rsidRPr="003166ED">
              <w:t xml:space="preserve"> as set forth in Section 4.5.3, Communicating DAM Results.  In this event, ERCOT will use the </w:t>
            </w:r>
            <w:r>
              <w:t>RUC S</w:t>
            </w:r>
            <w:r w:rsidRPr="003166ED">
              <w:t>napshot taken just prior to the execution of the DRUC to settle RUC charges.</w:t>
            </w:r>
          </w:p>
        </w:tc>
      </w:tr>
    </w:tbl>
    <w:p w14:paraId="1A7C8F71" w14:textId="77777777" w:rsidR="008D477B" w:rsidRPr="00B641E0" w:rsidRDefault="008D477B" w:rsidP="00300C4D">
      <w:pPr>
        <w:keepNext/>
        <w:widowControl w:val="0"/>
        <w:tabs>
          <w:tab w:val="left" w:pos="1260"/>
        </w:tabs>
        <w:spacing w:before="480" w:after="240"/>
        <w:ind w:left="1260" w:hanging="1260"/>
        <w:outlineLvl w:val="3"/>
        <w:rPr>
          <w:b/>
        </w:rPr>
      </w:pPr>
      <w:bookmarkStart w:id="58" w:name="_Toc60038333"/>
      <w:r w:rsidRPr="00B641E0">
        <w:rPr>
          <w:b/>
        </w:rPr>
        <w:t>5.2.2.2</w:t>
      </w:r>
      <w:r w:rsidRPr="00B641E0">
        <w:rPr>
          <w:b/>
        </w:rPr>
        <w:tab/>
      </w:r>
      <w:r>
        <w:rPr>
          <w:b/>
        </w:rPr>
        <w:t xml:space="preserve">RUC Process Timeline After an </w:t>
      </w:r>
      <w:r w:rsidRPr="00B641E0">
        <w:rPr>
          <w:b/>
        </w:rPr>
        <w:t xml:space="preserve">Aborted Day-Ahead </w:t>
      </w:r>
      <w:r>
        <w:rPr>
          <w:b/>
        </w:rPr>
        <w:t>Market</w:t>
      </w:r>
      <w:bookmarkEnd w:id="51"/>
      <w:bookmarkEnd w:id="52"/>
      <w:bookmarkEnd w:id="53"/>
      <w:bookmarkEnd w:id="54"/>
      <w:bookmarkEnd w:id="55"/>
      <w:bookmarkEnd w:id="56"/>
      <w:bookmarkEnd w:id="57"/>
      <w:bookmarkEnd w:id="58"/>
    </w:p>
    <w:p w14:paraId="379797C6" w14:textId="77777777" w:rsidR="008D477B" w:rsidRDefault="008D477B" w:rsidP="008D477B">
      <w:pPr>
        <w:pStyle w:val="BodyTextNumberedChar"/>
      </w:pPr>
      <w:r>
        <w:t>(1)</w:t>
      </w:r>
      <w:r>
        <w:tab/>
      </w:r>
      <w:r w:rsidRPr="005002B8">
        <w:t xml:space="preserve">If ERCOT aborts all or part of the </w:t>
      </w:r>
      <w:r>
        <w:t>Day</w:t>
      </w:r>
      <w:r w:rsidR="00A15921">
        <w:t>-</w:t>
      </w:r>
      <w:r>
        <w:t>A</w:t>
      </w:r>
      <w:r w:rsidRPr="005002B8">
        <w:t xml:space="preserve">head process in accordance with </w:t>
      </w:r>
      <w:r>
        <w:t>S</w:t>
      </w:r>
      <w:r w:rsidRPr="005002B8">
        <w:t xml:space="preserve">ection 4.1.2, </w:t>
      </w:r>
      <w:r>
        <w:t>Day-Ahead</w:t>
      </w:r>
      <w:r w:rsidRPr="007D559B">
        <w:t xml:space="preserve"> Process and Timing Deviations, </w:t>
      </w:r>
      <w:r w:rsidR="00A15921" w:rsidRPr="0086627E">
        <w:t xml:space="preserve">for any reason not due to a Market Suspension, then </w:t>
      </w:r>
      <w:r w:rsidRPr="005002B8">
        <w:t xml:space="preserve">ERCOT shall </w:t>
      </w:r>
      <w:r w:rsidRPr="004215C4">
        <w:t xml:space="preserve">use the </w:t>
      </w:r>
      <w:r>
        <w:t xml:space="preserve">following </w:t>
      </w:r>
      <w:r w:rsidRPr="009653D8">
        <w:t>Supplemental Ancillary Service</w:t>
      </w:r>
      <w:r>
        <w:t>s</w:t>
      </w:r>
      <w:r w:rsidRPr="009653D8">
        <w:t xml:space="preserve"> Market </w:t>
      </w:r>
      <w:r>
        <w:t>(SASM) process to purchase Ancillary Services for the next Operating Day and the Hourly Reliability Unit Commitment (</w:t>
      </w:r>
      <w:r w:rsidRPr="004215C4">
        <w:t>HRUC</w:t>
      </w:r>
      <w:r>
        <w:t>)</w:t>
      </w:r>
      <w:r w:rsidRPr="004215C4">
        <w:t xml:space="preserve"> process described in this </w:t>
      </w:r>
      <w:r>
        <w:t>S</w:t>
      </w:r>
      <w:r w:rsidRPr="004215C4">
        <w:t>ection</w:t>
      </w:r>
      <w:r>
        <w:t xml:space="preserve"> in lieu of the DRUC process</w:t>
      </w:r>
      <w:r w:rsidRPr="004215C4">
        <w:t>.</w:t>
      </w:r>
      <w:r w:rsidR="00A15921" w:rsidRPr="00A15921">
        <w:t xml:space="preserve"> </w:t>
      </w:r>
      <w:r w:rsidR="00A15921">
        <w:t xml:space="preserve"> </w:t>
      </w:r>
      <w:r w:rsidR="00A15921" w:rsidRPr="0086627E">
        <w:t>If ERCOT aborts the Day-Ahead process due to a Market Suspension, it shall act in accordance with Section 25.3, Market Restart Processes.</w:t>
      </w:r>
    </w:p>
    <w:p w14:paraId="4DA669D6" w14:textId="77777777" w:rsidR="008D477B" w:rsidRPr="00C3003A" w:rsidRDefault="008D477B" w:rsidP="008D477B">
      <w:pPr>
        <w:pStyle w:val="BodyTextNumberedChar"/>
      </w:pPr>
      <w:r>
        <w:t>(2)</w:t>
      </w:r>
      <w:r>
        <w:tab/>
        <w:t xml:space="preserve">When the DAM is aborted, </w:t>
      </w:r>
      <w:r w:rsidRPr="005002B8">
        <w:t xml:space="preserve">ERCOT shall </w:t>
      </w:r>
      <w:r>
        <w:t xml:space="preserve">include in the </w:t>
      </w:r>
      <w:r w:rsidR="00A40DD2">
        <w:t>Watch</w:t>
      </w:r>
      <w:r>
        <w:t xml:space="preserve"> </w:t>
      </w:r>
      <w:r w:rsidR="00A40DD2">
        <w:t>notification</w:t>
      </w:r>
      <w:r>
        <w:t xml:space="preserve"> required by paragraph (2) of Section 4.1.2 the time when it intends to conduct the SASM described in this Section 5.2.2.2 </w:t>
      </w:r>
      <w:r w:rsidRPr="009653D8">
        <w:t xml:space="preserve">to procure the amounts of Ancillary Services necessary to meet the Ancillary Service Plan for the Operating Day affected by the aborted </w:t>
      </w:r>
      <w:r>
        <w:t>DAM</w:t>
      </w:r>
      <w:r w:rsidRPr="009653D8">
        <w:t>.</w:t>
      </w:r>
      <w:r>
        <w:t xml:space="preserve">  ERCOT shall allow at least one hour between the issuance of the </w:t>
      </w:r>
      <w:r w:rsidR="00A40DD2">
        <w:t>Watch</w:t>
      </w:r>
      <w:r>
        <w:t xml:space="preserve"> and the beginning of this SASM.</w:t>
      </w:r>
    </w:p>
    <w:p w14:paraId="04370798" w14:textId="77777777" w:rsidR="008D477B" w:rsidRDefault="008D477B" w:rsidP="008D477B">
      <w:pPr>
        <w:pStyle w:val="BodyTextNumberedChar"/>
      </w:pPr>
      <w:r>
        <w:t>(3)</w:t>
      </w:r>
      <w:r>
        <w:tab/>
        <w:t xml:space="preserve">After the issuance of the </w:t>
      </w:r>
      <w:r w:rsidR="00A40DD2">
        <w:t>Watch</w:t>
      </w:r>
      <w:r>
        <w:t xml:space="preserve"> described in paragraph (2) above and prior to the beginning of this SASM, a </w:t>
      </w:r>
      <w:r w:rsidR="00CA5737">
        <w:t>Qualified Scheduling Entity (</w:t>
      </w:r>
      <w:r w:rsidRPr="005002B8">
        <w:t>QSE</w:t>
      </w:r>
      <w:r w:rsidR="00CA5737">
        <w:t>)</w:t>
      </w:r>
      <w:r w:rsidRPr="005002B8">
        <w:t xml:space="preserve"> may </w:t>
      </w:r>
      <w:r>
        <w:t xml:space="preserve">cancel unexpired </w:t>
      </w:r>
      <w:r w:rsidRPr="005002B8">
        <w:t xml:space="preserve">Ancillary Service Offers </w:t>
      </w:r>
      <w:r>
        <w:t>that were submitted for the aborted DAM.</w:t>
      </w:r>
    </w:p>
    <w:p w14:paraId="4E2B0552" w14:textId="77777777" w:rsidR="008D477B" w:rsidRDefault="008D477B" w:rsidP="008D477B">
      <w:pPr>
        <w:pStyle w:val="BodyTextNumberedChar"/>
      </w:pPr>
      <w:r>
        <w:t>(4)</w:t>
      </w:r>
      <w:r>
        <w:tab/>
        <w:t xml:space="preserve">A QSE may submit </w:t>
      </w:r>
      <w:r w:rsidRPr="005002B8">
        <w:t xml:space="preserve">Ancillary Service Offers </w:t>
      </w:r>
      <w:r>
        <w:t xml:space="preserve">for this SASM after the issuance of the </w:t>
      </w:r>
      <w:r w:rsidR="00A40DD2">
        <w:t>Watch</w:t>
      </w:r>
      <w:r>
        <w:t xml:space="preserve"> described in paragraph (2) above and prior to the beginning of this SASM.</w:t>
      </w:r>
    </w:p>
    <w:p w14:paraId="6377EFFB" w14:textId="77777777" w:rsidR="008D477B" w:rsidRDefault="00B70762" w:rsidP="003F2225">
      <w:pPr>
        <w:pStyle w:val="BodyTextNumberedChar"/>
      </w:pPr>
      <w:r>
        <w:t>(5)</w:t>
      </w:r>
      <w:r>
        <w:tab/>
        <w:t>For this SASM, the QSE must submit the Self-Arranged Ancillary Service Quantity for the next Operating Day in accordance with the timeline described in paragraph (3) of Section 6.4.9.2, Supplemental Ancillary Services Market.  This amount may be different from the self-arrangement amounts previously submitted for the aborted DAM.</w:t>
      </w:r>
    </w:p>
    <w:p w14:paraId="0B3E5E2F" w14:textId="77777777" w:rsidR="008D477B" w:rsidRDefault="008D477B" w:rsidP="008D477B">
      <w:pPr>
        <w:pStyle w:val="BodyTextNumberedChar"/>
      </w:pPr>
      <w:r>
        <w:lastRenderedPageBreak/>
        <w:t>(6)</w:t>
      </w:r>
      <w:r>
        <w:tab/>
      </w:r>
      <w:r w:rsidRPr="005002B8">
        <w:t>The amount of each Ancillary Servic</w:t>
      </w:r>
      <w:r>
        <w:t xml:space="preserve">e to be procured by ERCOT in this </w:t>
      </w:r>
      <w:r w:rsidRPr="005002B8">
        <w:t>SASM</w:t>
      </w:r>
      <w:r>
        <w:t xml:space="preserve"> is the amount of each Ancillary Service specified in the ERCOT Ancillary Service Plan posted prior to the aborted DAM less the total amount of each Ancillary Service in the QSE submittals for self</w:t>
      </w:r>
      <w:r w:rsidR="00A87B82">
        <w:t>-</w:t>
      </w:r>
      <w:r>
        <w:t>arranged Ancillary Services for this SASM.</w:t>
      </w:r>
    </w:p>
    <w:p w14:paraId="72AFD70F" w14:textId="77777777" w:rsidR="008D477B" w:rsidRDefault="008D477B" w:rsidP="008D477B">
      <w:pPr>
        <w:pStyle w:val="BodyTextNumberedChar"/>
      </w:pPr>
      <w:r>
        <w:t>(7)</w:t>
      </w:r>
      <w:r>
        <w:tab/>
        <w:t>This SASM will settle in accordance with Section 6.7, Real-Time Settlement Calculations for the Ancillary Services.</w:t>
      </w:r>
    </w:p>
    <w:p w14:paraId="5EDA5E2C" w14:textId="77777777" w:rsidR="00B70762" w:rsidRDefault="00B70762" w:rsidP="00B70762">
      <w:pPr>
        <w:pStyle w:val="BodyTextNumberedChar"/>
      </w:pPr>
      <w:r>
        <w:t>(8)</w:t>
      </w:r>
      <w:r>
        <w:tab/>
        <w:t>The SASM process for acquiring Ancillary Services in the event of an aborted Day-Ahead process shall be conducted in accordance with Section 6.4.9.2.2, SASM Clearing Process, but shall use the following activities and timeline as specified in paragraph (3) of Section 6.4.9.2, with time “X” being the time specified by ERCOT for the beginning of the SASM process in the Watch notification described above.</w:t>
      </w:r>
    </w:p>
    <w:p w14:paraId="7A5BA468" w14:textId="77777777" w:rsidR="00B70762" w:rsidRDefault="00B70762" w:rsidP="00B70762">
      <w:pPr>
        <w:pStyle w:val="BodyTextNumberedChar"/>
      </w:pPr>
      <w:r>
        <w:t>(9)</w:t>
      </w:r>
      <w:r>
        <w:tab/>
        <w:t xml:space="preserve">As soon as practicable, but no later than the time specified in paragraph (3) of Section 6.4.9.2, ERCOT shall notify each QSE of its awarded Ancillary Service Offer quantities, specifying Resource, Ancillary Service type, SASM </w:t>
      </w:r>
      <w:r w:rsidR="00F426A1">
        <w:t>Market Clearing Price for Capacity (</w:t>
      </w:r>
      <w:r>
        <w:t>MCPC</w:t>
      </w:r>
      <w:r w:rsidR="00F426A1">
        <w:t>)</w:t>
      </w:r>
      <w:r>
        <w:t>, and the first and last hours of the awarded offer.</w:t>
      </w:r>
    </w:p>
    <w:p w14:paraId="28BF3599" w14:textId="7CA738C6" w:rsidR="00B70762" w:rsidRDefault="00B70762" w:rsidP="00B70762">
      <w:pPr>
        <w:pStyle w:val="BodyTextNumberedChar"/>
      </w:pPr>
      <w:r>
        <w:t>(10)</w:t>
      </w:r>
      <w:r>
        <w:tab/>
        <w:t xml:space="preserve">As soon as practicable, but no later than the time specified in paragraph (3) of Section 6.4.9.2, ERCOT shall post on the </w:t>
      </w:r>
      <w:r w:rsidR="009C118F">
        <w:t>ERCOT website</w:t>
      </w:r>
      <w:r>
        <w:t xml:space="preserve"> the hourly:</w:t>
      </w:r>
    </w:p>
    <w:p w14:paraId="4A780653" w14:textId="77777777" w:rsidR="00B70762" w:rsidRDefault="00B70762" w:rsidP="00B70762">
      <w:pPr>
        <w:pStyle w:val="List2"/>
      </w:pPr>
      <w:r>
        <w:t>(a)</w:t>
      </w:r>
      <w:r>
        <w:tab/>
        <w:t>SASM MCPC for each type of Ancillary Service for each hour;</w:t>
      </w:r>
    </w:p>
    <w:p w14:paraId="79976C86" w14:textId="77777777" w:rsidR="00B70762" w:rsidRDefault="00B70762" w:rsidP="00B70762">
      <w:pPr>
        <w:pStyle w:val="List2"/>
      </w:pPr>
      <w:r>
        <w:t>(b)</w:t>
      </w:r>
      <w:r>
        <w:tab/>
        <w:t>Total Ancillary Service procured in MW by Ancillary Service type for each hour; and</w:t>
      </w:r>
    </w:p>
    <w:p w14:paraId="412B50BB" w14:textId="77777777" w:rsidR="008D477B" w:rsidRDefault="00B70762" w:rsidP="00B74429">
      <w:pPr>
        <w:pStyle w:val="List2"/>
      </w:pPr>
      <w:r>
        <w:t>(c)</w:t>
      </w:r>
      <w:r>
        <w:tab/>
        <w:t>Aggregated Ancillary Service Offer Curve for each Ancillary Service for each hour.</w:t>
      </w:r>
    </w:p>
    <w:p w14:paraId="35C5001C" w14:textId="77777777" w:rsidR="008D477B" w:rsidRDefault="008D477B" w:rsidP="008D477B">
      <w:pPr>
        <w:pStyle w:val="BodyTextNumberedChar"/>
      </w:pPr>
      <w:r>
        <w:t>(11)</w:t>
      </w:r>
      <w:r>
        <w:tab/>
        <w:t>No sooner than 1800 in the Day-Ahead and after</w:t>
      </w:r>
      <w:r w:rsidRPr="005002B8">
        <w:t xml:space="preserve"> the </w:t>
      </w:r>
      <w:r>
        <w:t xml:space="preserve">completion of the </w:t>
      </w:r>
      <w:r w:rsidRPr="005002B8">
        <w:t>SASM</w:t>
      </w:r>
      <w:r>
        <w:t xml:space="preserve"> process described in this Section 5.2.2.2</w:t>
      </w:r>
      <w:r w:rsidRPr="005002B8">
        <w:t>, ERCOT shall execute a</w:t>
      </w:r>
      <w:r>
        <w:t>n</w:t>
      </w:r>
      <w:r w:rsidRPr="005002B8">
        <w:t xml:space="preserve"> </w:t>
      </w:r>
      <w:r>
        <w:t>H</w:t>
      </w:r>
      <w:r w:rsidRPr="005002B8">
        <w:t>RUC process</w:t>
      </w:r>
      <w:r>
        <w:t xml:space="preserve">. </w:t>
      </w:r>
    </w:p>
    <w:p w14:paraId="61A1F468" w14:textId="77777777" w:rsidR="008D477B" w:rsidRDefault="008D477B" w:rsidP="008D477B">
      <w:pPr>
        <w:pStyle w:val="List2"/>
      </w:pPr>
      <w:r>
        <w:t>(a)</w:t>
      </w:r>
      <w:r>
        <w:tab/>
      </w:r>
      <w:r w:rsidRPr="005002B8">
        <w:t xml:space="preserve">The </w:t>
      </w:r>
      <w:r>
        <w:t>RUC S</w:t>
      </w:r>
      <w:r w:rsidRPr="005002B8">
        <w:t xml:space="preserve">tudy </w:t>
      </w:r>
      <w:r>
        <w:t>P</w:t>
      </w:r>
      <w:r w:rsidRPr="005002B8">
        <w:t xml:space="preserve">eriod for this </w:t>
      </w:r>
      <w:r>
        <w:t>H</w:t>
      </w:r>
      <w:r w:rsidRPr="005002B8">
        <w:t xml:space="preserve">RUC process is the </w:t>
      </w:r>
      <w:r>
        <w:t>balance of the current Operating Day plus the next Operating Day.  This HRUC process may be a post-1800 HRUC for the current Operating Day.</w:t>
      </w:r>
    </w:p>
    <w:p w14:paraId="1D2A2980" w14:textId="77777777" w:rsidR="008D477B" w:rsidRDefault="008D477B" w:rsidP="008D477B">
      <w:pPr>
        <w:pStyle w:val="List2"/>
      </w:pPr>
      <w:r>
        <w:t>(b)</w:t>
      </w:r>
      <w:r>
        <w:tab/>
        <w:t xml:space="preserve">The COP and Trades Snapshot taken just prior to the execution of the HRUC process described in this Section 5.2.2.2 will be used to settle RUC charges </w:t>
      </w:r>
      <w:r w:rsidRPr="00783BCE">
        <w:t>in the Operating Day affected by the aborted DAM</w:t>
      </w:r>
      <w:r>
        <w:t>.</w:t>
      </w:r>
    </w:p>
    <w:p w14:paraId="7586E6AB" w14:textId="77777777" w:rsidR="00021A14" w:rsidRDefault="00B9713B" w:rsidP="00546D25">
      <w:pPr>
        <w:pStyle w:val="H2"/>
        <w:keepNext w:val="0"/>
        <w:spacing w:before="0"/>
        <w:ind w:left="1440" w:hanging="720"/>
        <w:outlineLvl w:val="9"/>
        <w:rPr>
          <w:b w:val="0"/>
        </w:rPr>
      </w:pPr>
      <w:bookmarkStart w:id="59" w:name="_Toc274727445"/>
      <w:bookmarkStart w:id="60" w:name="_Toc291753087"/>
      <w:bookmarkStart w:id="61" w:name="_Toc304793728"/>
      <w:bookmarkStart w:id="62" w:name="_Toc323214522"/>
      <w:bookmarkStart w:id="63" w:name="_Toc330907144"/>
      <w:bookmarkStart w:id="64" w:name="_Toc341692560"/>
      <w:bookmarkStart w:id="65" w:name="_Toc343244296"/>
      <w:r w:rsidRPr="00B9713B">
        <w:rPr>
          <w:b w:val="0"/>
        </w:rPr>
        <w:t>(c)</w:t>
      </w:r>
      <w:r w:rsidRPr="00B9713B">
        <w:rPr>
          <w:b w:val="0"/>
        </w:rPr>
        <w:tab/>
        <w:t>This HRUC process described in this Section 5.2.2.2 may commit Resources to supply Ancillary Services if the Ancillary Service Offers submitted in the SASM described in this Section 5.2.2.2 are insufficient to meet the requirements of the Ancillary Services Plan in the Operating Day affected by the aborted DAM.</w:t>
      </w:r>
      <w:bookmarkEnd w:id="59"/>
      <w:bookmarkEnd w:id="60"/>
      <w:bookmarkEnd w:id="61"/>
      <w:bookmarkEnd w:id="62"/>
      <w:bookmarkEnd w:id="63"/>
      <w:bookmarkEnd w:id="64"/>
      <w:bookmarkEnd w:id="65"/>
    </w:p>
    <w:p w14:paraId="534C1FC9" w14:textId="77777777" w:rsidR="00031993" w:rsidRPr="00031993" w:rsidRDefault="00031993" w:rsidP="00031993">
      <w:pPr>
        <w:pStyle w:val="H2"/>
        <w:keepNext w:val="0"/>
        <w:spacing w:before="0"/>
        <w:ind w:left="1440" w:hanging="720"/>
        <w:outlineLvl w:val="9"/>
        <w:rPr>
          <w:b w:val="0"/>
        </w:rPr>
      </w:pPr>
      <w:r w:rsidRPr="00031993">
        <w:rPr>
          <w:b w:val="0"/>
        </w:rPr>
        <w:t>(d)</w:t>
      </w:r>
      <w:r w:rsidRPr="00031993">
        <w:rPr>
          <w:b w:val="0"/>
        </w:rPr>
        <w:tab/>
        <w:t xml:space="preserve">A QSE may request cancellation of a RUC instruction to supply Ancillary Services if the Resource requested is not capable of providing the Ancillary </w:t>
      </w:r>
      <w:r w:rsidRPr="00031993">
        <w:rPr>
          <w:b w:val="0"/>
        </w:rPr>
        <w:lastRenderedPageBreak/>
        <w:t xml:space="preserve">Services due to equipment issues that are the result of non-frequency responsive power augmentation or other Resource control issues.  </w:t>
      </w:r>
      <w:r w:rsidRPr="00031993">
        <w:rPr>
          <w:b w:val="0"/>
          <w:szCs w:val="24"/>
        </w:rPr>
        <w:t>If ERCOT accepts the cancellation, ERCOT may require QSEs to submit supporting information describing the Resource control issues.</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761147" w:rsidRPr="004B32CF" w14:paraId="235F68EB" w14:textId="77777777" w:rsidTr="00FD6A54">
        <w:trPr>
          <w:trHeight w:val="1205"/>
        </w:trPr>
        <w:tc>
          <w:tcPr>
            <w:tcW w:w="9350" w:type="dxa"/>
            <w:shd w:val="pct12" w:color="auto" w:fill="auto"/>
          </w:tcPr>
          <w:p w14:paraId="5DD36A14" w14:textId="35F8BD7A" w:rsidR="00761147" w:rsidRPr="004B32CF" w:rsidRDefault="00761147" w:rsidP="00FD6A54">
            <w:pPr>
              <w:spacing w:after="240"/>
              <w:rPr>
                <w:b/>
                <w:i/>
                <w:iCs/>
              </w:rPr>
            </w:pPr>
            <w:bookmarkStart w:id="66" w:name="_Toc400547172"/>
            <w:bookmarkStart w:id="67" w:name="_Toc405384277"/>
            <w:bookmarkStart w:id="68" w:name="_Toc405543544"/>
            <w:bookmarkStart w:id="69" w:name="_Toc428178053"/>
            <w:bookmarkStart w:id="70" w:name="_Toc440872684"/>
            <w:bookmarkStart w:id="71" w:name="_Toc458766229"/>
            <w:bookmarkStart w:id="72" w:name="_Toc459292634"/>
            <w:r w:rsidRPr="004B32CF">
              <w:rPr>
                <w:b/>
                <w:i/>
                <w:iCs/>
              </w:rPr>
              <w:t>[NPR</w:t>
            </w:r>
            <w:r>
              <w:rPr>
                <w:b/>
                <w:i/>
                <w:iCs/>
              </w:rPr>
              <w:t>R1009</w:t>
            </w:r>
            <w:r w:rsidRPr="004B32CF">
              <w:rPr>
                <w:b/>
                <w:i/>
                <w:iCs/>
              </w:rPr>
              <w:t xml:space="preserve">:  Replace </w:t>
            </w:r>
            <w:r>
              <w:rPr>
                <w:b/>
                <w:i/>
                <w:iCs/>
              </w:rPr>
              <w:t>Section 5.2.2.2</w:t>
            </w:r>
            <w:r w:rsidRPr="004B32CF">
              <w:rPr>
                <w:b/>
                <w:i/>
                <w:iCs/>
              </w:rPr>
              <w:t xml:space="preserve"> above with the following upon system implementation</w:t>
            </w:r>
            <w:r>
              <w:rPr>
                <w:b/>
                <w:i/>
                <w:iCs/>
              </w:rPr>
              <w:t xml:space="preserve"> of the Real-Time Co-Optimization (RTC) project</w:t>
            </w:r>
            <w:r w:rsidRPr="004B32CF">
              <w:rPr>
                <w:b/>
                <w:i/>
                <w:iCs/>
              </w:rPr>
              <w:t>:]</w:t>
            </w:r>
          </w:p>
          <w:p w14:paraId="35980AE7" w14:textId="77777777" w:rsidR="00761147" w:rsidRPr="003166ED" w:rsidRDefault="00761147" w:rsidP="00761147">
            <w:pPr>
              <w:keepNext/>
              <w:widowControl w:val="0"/>
              <w:tabs>
                <w:tab w:val="left" w:pos="1260"/>
              </w:tabs>
              <w:spacing w:before="240" w:after="240"/>
              <w:ind w:left="1260" w:hanging="1260"/>
              <w:outlineLvl w:val="3"/>
              <w:rPr>
                <w:b/>
              </w:rPr>
            </w:pPr>
            <w:bookmarkStart w:id="73" w:name="_Toc60038334"/>
            <w:r w:rsidRPr="003166ED">
              <w:rPr>
                <w:b/>
              </w:rPr>
              <w:t>5.2.2.2</w:t>
            </w:r>
            <w:r w:rsidRPr="003166ED">
              <w:rPr>
                <w:b/>
              </w:rPr>
              <w:tab/>
              <w:t>RUC Process Timeline After an Aborted Day-Ahead Market</w:t>
            </w:r>
            <w:bookmarkEnd w:id="73"/>
          </w:p>
          <w:p w14:paraId="12996FB7" w14:textId="028965DF" w:rsidR="00761147" w:rsidRPr="00FA3373" w:rsidRDefault="00761147" w:rsidP="00761147">
            <w:pPr>
              <w:spacing w:after="240"/>
              <w:ind w:left="720" w:hanging="720"/>
            </w:pPr>
            <w:r w:rsidRPr="003166ED">
              <w:t>(1)</w:t>
            </w:r>
            <w:r w:rsidRPr="003166ED">
              <w:tab/>
              <w:t>If ERCOT aborts all or part of the Day-Ahead process in accordance with Section 4.1.2, Day-Ahead Process and Timing Deviations, for any reason not due to a Market Suspension, then ERCOT shall use the Hourly Reliability Unit Commitment (HRUC) process described in this Section in lieu of the DRUC process.  If ERCOT aborts the Day-Ahead process due to a Market Suspension, it shall act in accordance with Section 25.3, Market Restart Processes.</w:t>
            </w:r>
          </w:p>
        </w:tc>
      </w:tr>
    </w:tbl>
    <w:p w14:paraId="2A6C50FD" w14:textId="77777777" w:rsidR="00F80C33" w:rsidRDefault="00723BFB" w:rsidP="00300C4D">
      <w:pPr>
        <w:pStyle w:val="H2"/>
        <w:spacing w:before="480"/>
      </w:pPr>
      <w:bookmarkStart w:id="74" w:name="_Toc60038335"/>
      <w:r>
        <w:t>5.3</w:t>
      </w:r>
      <w:r>
        <w:tab/>
        <w:t>ERCOT Security Sequence Responsibilities</w:t>
      </w:r>
      <w:bookmarkEnd w:id="66"/>
      <w:bookmarkEnd w:id="67"/>
      <w:bookmarkEnd w:id="68"/>
      <w:bookmarkEnd w:id="69"/>
      <w:bookmarkEnd w:id="70"/>
      <w:bookmarkEnd w:id="71"/>
      <w:bookmarkEnd w:id="72"/>
      <w:bookmarkEnd w:id="74"/>
    </w:p>
    <w:p w14:paraId="186BD420" w14:textId="77777777" w:rsidR="00F80C33" w:rsidRDefault="00723BFB">
      <w:pPr>
        <w:pStyle w:val="BodyTextNumberedChar"/>
      </w:pPr>
      <w:r>
        <w:t>(1)</w:t>
      </w:r>
      <w:r>
        <w:tab/>
        <w:t>ERCOT shall start the Day-Ahead Reliability Unit Commitment (DRUC) process at 1430 in the Day</w:t>
      </w:r>
      <w:r w:rsidR="008241A0">
        <w:t>-</w:t>
      </w:r>
      <w:r>
        <w:t>Ahead.</w:t>
      </w:r>
    </w:p>
    <w:p w14:paraId="7BB59DC6" w14:textId="77777777" w:rsidR="00F80C33" w:rsidRDefault="00723BFB">
      <w:pPr>
        <w:pStyle w:val="BodyTextNumberedChar"/>
      </w:pPr>
      <w:r>
        <w:t>(2)</w:t>
      </w:r>
      <w:r>
        <w:tab/>
        <w:t>For each DRUC, ERCOT shall use a snapshot of Resource commitments taken at 1430 in the Day</w:t>
      </w:r>
      <w:r w:rsidR="001A38DC">
        <w:t>-</w:t>
      </w:r>
      <w:r>
        <w:t xml:space="preserve">Ahead </w:t>
      </w:r>
      <w:r w:rsidR="00745D50">
        <w:t>for</w:t>
      </w:r>
      <w:r>
        <w:t xml:space="preserve"> </w:t>
      </w:r>
      <w:r w:rsidR="001A38DC">
        <w:t>Reliability Unit Commitment (</w:t>
      </w:r>
      <w:r>
        <w:t>RUC</w:t>
      </w:r>
      <w:r w:rsidR="001A38DC">
        <w:t>)</w:t>
      </w:r>
      <w:r>
        <w:t xml:space="preserve"> </w:t>
      </w:r>
      <w:r w:rsidR="00745D50">
        <w:t>Settlement</w:t>
      </w:r>
      <w:r>
        <w:t xml:space="preserve">.  For each </w:t>
      </w:r>
      <w:r w:rsidR="001A38DC">
        <w:t>Hourly Reliability Unit Commitment (</w:t>
      </w:r>
      <w:r>
        <w:t>HRUC</w:t>
      </w:r>
      <w:r w:rsidR="001A38DC">
        <w:t>)</w:t>
      </w:r>
      <w:r>
        <w:t xml:space="preserve">, ERCOT shall use a snapshot of Resource commitments from each </w:t>
      </w:r>
      <w:r w:rsidR="001A38DC">
        <w:t>Qualified Scheduling Entity’s (</w:t>
      </w:r>
      <w:r>
        <w:t>QSE’s</w:t>
      </w:r>
      <w:r w:rsidR="001A38DC">
        <w:t>)</w:t>
      </w:r>
      <w:r>
        <w:t xml:space="preserve"> most recently submitted </w:t>
      </w:r>
      <w:r w:rsidR="001A38DC">
        <w:t>Current Operating Plan (</w:t>
      </w:r>
      <w:r>
        <w:t>COP</w:t>
      </w:r>
      <w:r w:rsidR="001A38DC">
        <w:t>)</w:t>
      </w:r>
      <w:r>
        <w:t xml:space="preserve"> before HRUC execution </w:t>
      </w:r>
      <w:r w:rsidR="00745D50">
        <w:t>for</w:t>
      </w:r>
      <w:r>
        <w:t xml:space="preserve"> RUC </w:t>
      </w:r>
      <w:r w:rsidR="00745D50">
        <w:t>Settlement</w:t>
      </w:r>
      <w:r>
        <w:t xml:space="preserve">.  </w:t>
      </w:r>
    </w:p>
    <w:p w14:paraId="0172A015" w14:textId="77777777" w:rsidR="0027199F" w:rsidRDefault="0027199F" w:rsidP="0027199F">
      <w:pPr>
        <w:pStyle w:val="BodyTextNumberedChar"/>
      </w:pPr>
      <w:r>
        <w:t>(3)</w:t>
      </w:r>
      <w:r>
        <w:tab/>
        <w:t xml:space="preserve">For each RUC process, ERCOT shall: </w:t>
      </w:r>
    </w:p>
    <w:p w14:paraId="2573EF84" w14:textId="77777777" w:rsidR="0027199F" w:rsidRDefault="0027199F" w:rsidP="0027199F">
      <w:pPr>
        <w:pStyle w:val="List2"/>
      </w:pPr>
      <w:r>
        <w:t>(a)</w:t>
      </w:r>
      <w:r>
        <w:tab/>
        <w:t>Execute the Security Sequence described in Section 5.5, Security Sequence, Including RUC, including:</w:t>
      </w:r>
    </w:p>
    <w:p w14:paraId="6BB86308" w14:textId="77777777" w:rsidR="0027199F" w:rsidRDefault="0027199F" w:rsidP="0027199F">
      <w:pPr>
        <w:pStyle w:val="List3"/>
      </w:pPr>
      <w:r>
        <w:t>(i)</w:t>
      </w:r>
      <w:r>
        <w:tab/>
        <w:t>Validating Three-Part Supply Offers, defined in Section 4.4.9.1, Three-Part Supply Offers;</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761147" w:rsidRPr="004B32CF" w14:paraId="633676F3" w14:textId="77777777" w:rsidTr="003B4B31">
        <w:trPr>
          <w:trHeight w:val="656"/>
        </w:trPr>
        <w:tc>
          <w:tcPr>
            <w:tcW w:w="9350" w:type="dxa"/>
            <w:shd w:val="pct12" w:color="auto" w:fill="auto"/>
          </w:tcPr>
          <w:p w14:paraId="4A7DAE9A" w14:textId="76C6DEDD" w:rsidR="00761147" w:rsidRPr="004B32CF" w:rsidRDefault="00761147" w:rsidP="006A5578">
            <w:pPr>
              <w:spacing w:after="240"/>
              <w:rPr>
                <w:b/>
                <w:i/>
                <w:iCs/>
              </w:rPr>
            </w:pPr>
            <w:r w:rsidRPr="004B32CF">
              <w:rPr>
                <w:b/>
                <w:i/>
                <w:iCs/>
              </w:rPr>
              <w:t>[NPR</w:t>
            </w:r>
            <w:r>
              <w:rPr>
                <w:b/>
                <w:i/>
                <w:iCs/>
              </w:rPr>
              <w:t>R1009</w:t>
            </w:r>
            <w:r w:rsidR="006A5578">
              <w:rPr>
                <w:b/>
                <w:i/>
                <w:iCs/>
              </w:rPr>
              <w:t xml:space="preserve"> and NPRR1014</w:t>
            </w:r>
            <w:r w:rsidRPr="004B32CF">
              <w:rPr>
                <w:b/>
                <w:i/>
                <w:iCs/>
              </w:rPr>
              <w:t xml:space="preserve">:  Replace </w:t>
            </w:r>
            <w:r>
              <w:rPr>
                <w:b/>
                <w:i/>
                <w:iCs/>
              </w:rPr>
              <w:t>item</w:t>
            </w:r>
            <w:r w:rsidRPr="004B32CF">
              <w:rPr>
                <w:b/>
                <w:i/>
                <w:iCs/>
              </w:rPr>
              <w:t xml:space="preserve"> (</w:t>
            </w:r>
            <w:r>
              <w:rPr>
                <w:b/>
                <w:i/>
                <w:iCs/>
              </w:rPr>
              <w:t>i</w:t>
            </w:r>
            <w:r w:rsidRPr="004B32CF">
              <w:rPr>
                <w:b/>
                <w:i/>
                <w:iCs/>
              </w:rPr>
              <w:t>) above with the following upon system implementation</w:t>
            </w:r>
            <w:r>
              <w:rPr>
                <w:b/>
                <w:i/>
                <w:iCs/>
              </w:rPr>
              <w:t xml:space="preserve"> of the Real-Time Co-Optimization (RTC) project</w:t>
            </w:r>
            <w:r w:rsidR="006A5578">
              <w:rPr>
                <w:b/>
                <w:i/>
                <w:iCs/>
              </w:rPr>
              <w:t xml:space="preserve"> for NPRR1009; or upon system implementation </w:t>
            </w:r>
            <w:r w:rsidR="003E2880">
              <w:rPr>
                <w:b/>
                <w:i/>
                <w:iCs/>
              </w:rPr>
              <w:t>for NPRR1014</w:t>
            </w:r>
            <w:r w:rsidRPr="004B32CF">
              <w:rPr>
                <w:b/>
                <w:i/>
                <w:iCs/>
              </w:rPr>
              <w:t>:]</w:t>
            </w:r>
          </w:p>
          <w:p w14:paraId="52A01AF1" w14:textId="658817B4" w:rsidR="00761147" w:rsidRPr="00FA3373" w:rsidRDefault="005558CA" w:rsidP="005558CA">
            <w:pPr>
              <w:spacing w:after="240"/>
              <w:ind w:left="2160" w:hanging="720"/>
            </w:pPr>
            <w:r w:rsidRPr="00A552C3">
              <w:t>(i)</w:t>
            </w:r>
            <w:r w:rsidRPr="00A552C3">
              <w:tab/>
              <w:t xml:space="preserve">Validating Three-Part Supply Offers, defined in Section 4.4.9.1, Three-Part Supply Offers, Energy Bid/Offer Curves, defined in Section </w:t>
            </w:r>
            <w:r w:rsidRPr="00A552C3">
              <w:lastRenderedPageBreak/>
              <w:t>4.4.9.7, Energy Bid/Offer Curve, and Ancillary Service Offers, defined in Section 4.4.7.2, Ancillary Service Offers</w:t>
            </w:r>
            <w:r>
              <w:t>;</w:t>
            </w:r>
          </w:p>
        </w:tc>
      </w:tr>
    </w:tbl>
    <w:p w14:paraId="1BBC2B92" w14:textId="74C0FE99" w:rsidR="00155E34" w:rsidRDefault="0027199F" w:rsidP="00300C4D">
      <w:pPr>
        <w:pStyle w:val="List3"/>
        <w:spacing w:before="240"/>
      </w:pPr>
      <w:r>
        <w:lastRenderedPageBreak/>
        <w:t>(ii)</w:t>
      </w:r>
      <w:r>
        <w:tab/>
        <w:t>Reviewing the Resource commitment recommendations made by the RUC algorithm;</w:t>
      </w:r>
      <w:r w:rsidR="00C16730">
        <w:t xml:space="preserve"> and</w:t>
      </w:r>
    </w:p>
    <w:p w14:paraId="1CE05370" w14:textId="77777777" w:rsidR="00C16730" w:rsidRDefault="00C16730" w:rsidP="0027199F">
      <w:pPr>
        <w:pStyle w:val="List3"/>
      </w:pPr>
      <w:r w:rsidRPr="00AA0692">
        <w:t>(iii)</w:t>
      </w:r>
      <w:r w:rsidRPr="00AA0692">
        <w:tab/>
        <w:t>Reviewing the list of Off-</w:t>
      </w:r>
      <w:r>
        <w:t>L</w:t>
      </w:r>
      <w:r w:rsidRPr="00AA0692">
        <w:t>ine Available Resources having a start-up time of one hour or less;</w:t>
      </w:r>
    </w:p>
    <w:p w14:paraId="64EDA988" w14:textId="6DFB79D9" w:rsidR="0027199F" w:rsidRDefault="003F14F8" w:rsidP="00083F9B">
      <w:pPr>
        <w:pStyle w:val="List2"/>
      </w:pPr>
      <w:r w:rsidRPr="00A4246C">
        <w:rPr>
          <w:iCs/>
        </w:rPr>
        <w:t>(b)</w:t>
      </w:r>
      <w:r w:rsidRPr="00A4246C">
        <w:rPr>
          <w:iCs/>
        </w:rPr>
        <w:tab/>
        <w:t>Post to the Market Information System (MIS) Secure Area all Resources that were committed or decommitted by the RUC process including verbal RUC commitments and decommitments and Weekly Reliability Unit Commitment (WRUC) instructions;</w:t>
      </w:r>
      <w:r w:rsidR="0027199F">
        <w:t xml:space="preserve"> </w:t>
      </w:r>
    </w:p>
    <w:p w14:paraId="0C8DA8F1" w14:textId="3639FB5E" w:rsidR="003F77B5" w:rsidRDefault="0027199F" w:rsidP="00107FC4">
      <w:pPr>
        <w:pStyle w:val="List2"/>
      </w:pPr>
      <w:r>
        <w:t>(c)</w:t>
      </w:r>
      <w:r>
        <w:tab/>
        <w:t xml:space="preserve">Post to the </w:t>
      </w:r>
      <w:r w:rsidR="00CD2FD0">
        <w:t>ERCOT website</w:t>
      </w:r>
      <w:r>
        <w:t xml:space="preserve"> all active and binding transmission constraints (contingency and overloaded element pair information where available) used as inputs to the RUC;</w:t>
      </w:r>
    </w:p>
    <w:p w14:paraId="3196D38F" w14:textId="3F2A89C9" w:rsidR="00F80C33" w:rsidRDefault="0027199F">
      <w:pPr>
        <w:pStyle w:val="List2"/>
      </w:pPr>
      <w:r w:rsidRPr="0027199F">
        <w:t>(d)</w:t>
      </w:r>
      <w:r w:rsidRPr="0027199F">
        <w:tab/>
        <w:t>Issue Dispatch Instructions to notify each QSE of its Resource commitments or decommitments</w:t>
      </w:r>
      <w:r w:rsidR="005A5B0E">
        <w:t>; and</w:t>
      </w:r>
    </w:p>
    <w:p w14:paraId="3819E1C1" w14:textId="53F6758A" w:rsidR="005A5B0E" w:rsidRDefault="005A5B0E">
      <w:pPr>
        <w:pStyle w:val="List2"/>
      </w:pPr>
      <w:r>
        <w:t>(e)</w:t>
      </w:r>
      <w:r>
        <w:tab/>
      </w:r>
      <w:r w:rsidRPr="00BC5B89">
        <w:t>Post to the</w:t>
      </w:r>
      <w:r>
        <w:t xml:space="preserve"> MIS</w:t>
      </w:r>
      <w:r w:rsidRPr="00BC5B89">
        <w:t xml:space="preserve"> S</w:t>
      </w:r>
      <w:r>
        <w:t xml:space="preserve">ecure Area all Resources that were </w:t>
      </w:r>
      <w:r w:rsidRPr="00BC5B89">
        <w:t>committed by the RUC process</w:t>
      </w:r>
      <w:r>
        <w:t>,</w:t>
      </w:r>
      <w:r w:rsidRPr="00BC5B89">
        <w:t xml:space="preserve"> including verbal RUC commitments</w:t>
      </w:r>
      <w:r>
        <w:t>,</w:t>
      </w:r>
      <w:r w:rsidRPr="00BC5B89">
        <w:t xml:space="preserve"> </w:t>
      </w:r>
      <w:r>
        <w:t>but were subsequently cancelled by the ERCOT Operator.</w:t>
      </w:r>
    </w:p>
    <w:p w14:paraId="023EDCA9" w14:textId="793980EE" w:rsidR="00F80C33" w:rsidRDefault="00723BFB" w:rsidP="00A0065A">
      <w:pPr>
        <w:pStyle w:val="BodyTextNumberedChar"/>
      </w:pPr>
      <w:r>
        <w:t>(4)</w:t>
      </w:r>
      <w:r>
        <w:tab/>
        <w:t>ERCOT shall provide each QSE with the information necessary to pre-validate their data for DRUC and HRUC</w:t>
      </w:r>
      <w:r w:rsidR="00FC4C8B">
        <w:t>,</w:t>
      </w:r>
      <w:r>
        <w:t xml:space="preserve"> including</w:t>
      </w:r>
      <w:r w:rsidR="00FC4C8B">
        <w:t xml:space="preserve"> </w:t>
      </w:r>
      <w:r w:rsidR="00FC4C8B" w:rsidRPr="00043133">
        <w:t>publishing validation rules for offers, bids, and trades.</w:t>
      </w:r>
    </w:p>
    <w:p w14:paraId="40A3EC5A" w14:textId="77777777" w:rsidR="00F80C33" w:rsidRDefault="00723BFB">
      <w:pPr>
        <w:pStyle w:val="H2"/>
      </w:pPr>
      <w:bookmarkStart w:id="75" w:name="_Toc400547173"/>
      <w:bookmarkStart w:id="76" w:name="_Toc405384278"/>
      <w:bookmarkStart w:id="77" w:name="_Toc405543545"/>
      <w:bookmarkStart w:id="78" w:name="_Toc428178054"/>
      <w:bookmarkStart w:id="79" w:name="_Toc440872685"/>
      <w:bookmarkStart w:id="80" w:name="_Toc458766230"/>
      <w:bookmarkStart w:id="81" w:name="_Toc459292635"/>
      <w:bookmarkStart w:id="82" w:name="_Toc60038336"/>
      <w:r>
        <w:t>5.4</w:t>
      </w:r>
      <w:r>
        <w:tab/>
        <w:t>QSE Security Sequence Responsibilities</w:t>
      </w:r>
      <w:bookmarkEnd w:id="75"/>
      <w:bookmarkEnd w:id="76"/>
      <w:bookmarkEnd w:id="77"/>
      <w:bookmarkEnd w:id="78"/>
      <w:bookmarkEnd w:id="79"/>
      <w:bookmarkEnd w:id="80"/>
      <w:bookmarkEnd w:id="81"/>
      <w:bookmarkEnd w:id="82"/>
    </w:p>
    <w:p w14:paraId="6BAF11EF" w14:textId="77777777" w:rsidR="00F80C33" w:rsidRDefault="006D1C55">
      <w:pPr>
        <w:pStyle w:val="BodyText"/>
      </w:pPr>
      <w:r>
        <w:t>(1)</w:t>
      </w:r>
      <w:r>
        <w:tab/>
      </w:r>
      <w:r w:rsidR="00723BFB">
        <w:t xml:space="preserve">During the Security Sequence, each </w:t>
      </w:r>
      <w:r w:rsidR="00293287">
        <w:t>Qualified Scheduling Entity (</w:t>
      </w:r>
      <w:r w:rsidR="00723BFB">
        <w:t>QSE</w:t>
      </w:r>
      <w:r w:rsidR="00293287">
        <w:t>)</w:t>
      </w:r>
      <w:r w:rsidR="00723BFB">
        <w:t xml:space="preserve"> must: </w:t>
      </w:r>
    </w:p>
    <w:p w14:paraId="364FFB7B" w14:textId="77777777" w:rsidR="00F80C33" w:rsidRDefault="00723BFB" w:rsidP="00403A43">
      <w:pPr>
        <w:pStyle w:val="BodyTextNumberedChar"/>
        <w:ind w:left="1440"/>
      </w:pPr>
      <w:r>
        <w:t>(</w:t>
      </w:r>
      <w:r w:rsidR="006D1C55">
        <w:t>a</w:t>
      </w:r>
      <w:r>
        <w:t>)</w:t>
      </w:r>
      <w:r>
        <w:tab/>
        <w:t xml:space="preserve">Submit its </w:t>
      </w:r>
      <w:r w:rsidR="006D701E">
        <w:t>Current Operating Plan (</w:t>
      </w:r>
      <w:r>
        <w:t>COP</w:t>
      </w:r>
      <w:r w:rsidR="006D701E">
        <w:t>)</w:t>
      </w:r>
      <w:r>
        <w:t xml:space="preserve"> and update its COP as required in Section 3.9, Current Operating Plan (COP);</w:t>
      </w:r>
    </w:p>
    <w:p w14:paraId="356F68B0" w14:textId="77777777" w:rsidR="00F80C33" w:rsidRDefault="00723BFB" w:rsidP="00403A43">
      <w:pPr>
        <w:pStyle w:val="BodyTextNumberedChar"/>
        <w:ind w:left="1440"/>
      </w:pPr>
      <w:r>
        <w:t>(</w:t>
      </w:r>
      <w:r w:rsidR="006D1C55">
        <w:t>b</w:t>
      </w:r>
      <w:r>
        <w:t>)</w:t>
      </w:r>
      <w:r>
        <w:tab/>
        <w:t xml:space="preserve">Submit any Three-Part Supply Offers before: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A316E8" w:rsidRPr="004B32CF" w14:paraId="59AB1777" w14:textId="77777777" w:rsidTr="00FD6A54">
        <w:trPr>
          <w:trHeight w:val="1205"/>
        </w:trPr>
        <w:tc>
          <w:tcPr>
            <w:tcW w:w="9350" w:type="dxa"/>
            <w:shd w:val="pct12" w:color="auto" w:fill="auto"/>
          </w:tcPr>
          <w:p w14:paraId="4AB91F45" w14:textId="73E6ADF0" w:rsidR="00A316E8" w:rsidRPr="004B32CF" w:rsidRDefault="00A316E8" w:rsidP="00FD6A54">
            <w:pPr>
              <w:spacing w:after="240"/>
              <w:rPr>
                <w:b/>
                <w:i/>
                <w:iCs/>
              </w:rPr>
            </w:pPr>
            <w:r w:rsidRPr="004B32CF">
              <w:rPr>
                <w:b/>
                <w:i/>
                <w:iCs/>
              </w:rPr>
              <w:t>[NPR</w:t>
            </w:r>
            <w:r>
              <w:rPr>
                <w:b/>
                <w:i/>
                <w:iCs/>
              </w:rPr>
              <w:t>R1009</w:t>
            </w:r>
            <w:r w:rsidR="00FD6A54">
              <w:rPr>
                <w:b/>
                <w:i/>
                <w:iCs/>
              </w:rPr>
              <w:t xml:space="preserve"> and NPRR1014</w:t>
            </w:r>
            <w:r w:rsidRPr="004B32CF">
              <w:rPr>
                <w:b/>
                <w:i/>
                <w:iCs/>
              </w:rPr>
              <w:t xml:space="preserve">:  Replace </w:t>
            </w:r>
            <w:r w:rsidR="00FD6A54">
              <w:rPr>
                <w:b/>
                <w:i/>
                <w:iCs/>
              </w:rPr>
              <w:t>applicable po</w:t>
            </w:r>
            <w:r w:rsidR="00B970B6">
              <w:rPr>
                <w:b/>
                <w:i/>
                <w:iCs/>
              </w:rPr>
              <w:t>r</w:t>
            </w:r>
            <w:r w:rsidR="00FD6A54">
              <w:rPr>
                <w:b/>
                <w:i/>
                <w:iCs/>
              </w:rPr>
              <w:t xml:space="preserve">tions of </w:t>
            </w:r>
            <w:r>
              <w:rPr>
                <w:b/>
                <w:i/>
                <w:iCs/>
              </w:rPr>
              <w:t>paragraph</w:t>
            </w:r>
            <w:r w:rsidRPr="004B32CF">
              <w:rPr>
                <w:b/>
                <w:i/>
                <w:iCs/>
              </w:rPr>
              <w:t xml:space="preserve"> (</w:t>
            </w:r>
            <w:r>
              <w:rPr>
                <w:b/>
                <w:i/>
                <w:iCs/>
              </w:rPr>
              <w:t>b</w:t>
            </w:r>
            <w:r w:rsidRPr="004B32CF">
              <w:rPr>
                <w:b/>
                <w:i/>
                <w:iCs/>
              </w:rPr>
              <w:t>) above with the following upon system implementation</w:t>
            </w:r>
            <w:r>
              <w:rPr>
                <w:b/>
                <w:i/>
                <w:iCs/>
              </w:rPr>
              <w:t xml:space="preserve"> of the Real-Time Co-Optimization (RTC) project</w:t>
            </w:r>
            <w:r w:rsidR="00FD6A54">
              <w:rPr>
                <w:b/>
                <w:i/>
                <w:iCs/>
              </w:rPr>
              <w:t xml:space="preserve"> for NPRR1009; or upon system implementation </w:t>
            </w:r>
            <w:r w:rsidR="003E2880">
              <w:rPr>
                <w:b/>
                <w:i/>
                <w:iCs/>
              </w:rPr>
              <w:t>for NPRR1014</w:t>
            </w:r>
            <w:r w:rsidRPr="004B32CF">
              <w:rPr>
                <w:b/>
                <w:i/>
                <w:iCs/>
              </w:rPr>
              <w:t>:]</w:t>
            </w:r>
          </w:p>
          <w:p w14:paraId="3AF1648C" w14:textId="2E2A1D9A" w:rsidR="00A316E8" w:rsidRPr="00FA3373" w:rsidRDefault="00A316E8" w:rsidP="00A316E8">
            <w:pPr>
              <w:spacing w:after="240"/>
              <w:ind w:left="1440" w:hanging="720"/>
            </w:pPr>
            <w:r w:rsidRPr="003166ED">
              <w:t>(b)</w:t>
            </w:r>
            <w:r w:rsidRPr="003166ED">
              <w:tab/>
              <w:t>Submit any Three-Part Supply Offers</w:t>
            </w:r>
            <w:r w:rsidR="00FD6A54" w:rsidRPr="00A552C3">
              <w:t>, Energy Bid/Offer Curves, and Ancillary Service Offers</w:t>
            </w:r>
            <w:r w:rsidR="00FD6A54">
              <w:t xml:space="preserve"> before</w:t>
            </w:r>
            <w:r>
              <w:t>:</w:t>
            </w:r>
          </w:p>
        </w:tc>
      </w:tr>
    </w:tbl>
    <w:p w14:paraId="0E0FFAF6" w14:textId="696D0D4D" w:rsidR="00F80C33" w:rsidRDefault="00723BFB" w:rsidP="00300C4D">
      <w:pPr>
        <w:pStyle w:val="List2"/>
        <w:spacing w:before="240"/>
        <w:ind w:left="2160"/>
      </w:pPr>
      <w:r>
        <w:lastRenderedPageBreak/>
        <w:t>(</w:t>
      </w:r>
      <w:r w:rsidR="006D1C55">
        <w:t>i</w:t>
      </w:r>
      <w:r>
        <w:t>)</w:t>
      </w:r>
      <w:r>
        <w:tab/>
        <w:t xml:space="preserve">1000 in the Day-Ahead for the </w:t>
      </w:r>
      <w:r w:rsidR="006D701E">
        <w:t>Day-Ahead Market (</w:t>
      </w:r>
      <w:r>
        <w:t>DAM</w:t>
      </w:r>
      <w:r w:rsidR="006D701E">
        <w:t>)</w:t>
      </w:r>
      <w:r>
        <w:t xml:space="preserve"> and </w:t>
      </w:r>
      <w:r w:rsidR="006D701E">
        <w:t>Day-Ahead Reliability Unit Commitment (</w:t>
      </w:r>
      <w:r>
        <w:t>DRUC</w:t>
      </w:r>
      <w:r w:rsidR="006D701E">
        <w:t>)</w:t>
      </w:r>
      <w:r>
        <w:t xml:space="preserve"> being run in that Day-Ahead, if the QSE wants the offer to be used in those DAM and DRUC processes; and </w:t>
      </w:r>
    </w:p>
    <w:p w14:paraId="161B6CBD" w14:textId="77777777" w:rsidR="00F80C33" w:rsidRDefault="00723BFB" w:rsidP="00403A43">
      <w:pPr>
        <w:pStyle w:val="List2"/>
        <w:ind w:left="2160"/>
      </w:pPr>
      <w:r>
        <w:t>(</w:t>
      </w:r>
      <w:r w:rsidR="006D1C55">
        <w:t>ii</w:t>
      </w:r>
      <w:r>
        <w:t>)</w:t>
      </w:r>
      <w:r>
        <w:tab/>
        <w:t xml:space="preserve">The end of the Adjustment Period for each </w:t>
      </w:r>
      <w:r w:rsidR="006D701E">
        <w:t>Hourly Reliability Unit Commitment (</w:t>
      </w:r>
      <w:r>
        <w:t>HRUC</w:t>
      </w:r>
      <w:r w:rsidR="006D701E">
        <w:t>)</w:t>
      </w:r>
      <w:r>
        <w:t xml:space="preserve">, if the QSE wants the offer to be used in the HRUC process;  </w:t>
      </w:r>
    </w:p>
    <w:p w14:paraId="35273912" w14:textId="77777777" w:rsidR="00F80C33" w:rsidRDefault="00723BFB" w:rsidP="00403A43">
      <w:pPr>
        <w:pStyle w:val="BodyTextNumberedChar"/>
        <w:ind w:left="1440"/>
      </w:pPr>
      <w:r>
        <w:t>(</w:t>
      </w:r>
      <w:r w:rsidR="006D1C55">
        <w:t>c</w:t>
      </w:r>
      <w:r>
        <w:t>)</w:t>
      </w:r>
      <w:r>
        <w:tab/>
        <w:t xml:space="preserve">Submit any Capacity Trades before 1430 in the Day-Ahead for the DRUC and before the end of the Adjustment Period for each HRUC, if the QSE wants those Capacity Trades included in the calculation of </w:t>
      </w:r>
      <w:r w:rsidR="00A11569">
        <w:t>Reliability Unit Commitment (</w:t>
      </w:r>
      <w:r>
        <w:t>RUC</w:t>
      </w:r>
      <w:r w:rsidR="00A11569">
        <w:t>)</w:t>
      </w:r>
      <w:r>
        <w:t xml:space="preserve"> </w:t>
      </w:r>
      <w:r w:rsidR="00A11569">
        <w:t>S</w:t>
      </w:r>
      <w:r>
        <w:t xml:space="preserve">ettlement; </w:t>
      </w:r>
    </w:p>
    <w:p w14:paraId="3CC53A09" w14:textId="77777777" w:rsidR="00F80C33" w:rsidRDefault="00723BFB" w:rsidP="00403A43">
      <w:pPr>
        <w:pStyle w:val="BodyTextNumberedChar"/>
        <w:ind w:left="1440"/>
      </w:pPr>
      <w:r>
        <w:t>(</w:t>
      </w:r>
      <w:r w:rsidR="006D1C55">
        <w:t>d</w:t>
      </w:r>
      <w:r>
        <w:t>)</w:t>
      </w:r>
      <w:r>
        <w:tab/>
        <w:t xml:space="preserve">Submit any Energy Trades </w:t>
      </w:r>
      <w:r w:rsidR="009235A8">
        <w:t xml:space="preserve">and Direct Current Tie (DC Tie) Schedules corresponding to Electronic Tags (e-Tags) </w:t>
      </w:r>
      <w:r>
        <w:t>before 1430 in the Day-Ahead for the DRUC and by the end of the Adjustment Period for each HRUC; if the QSE wants those Energy Trades</w:t>
      </w:r>
      <w:r w:rsidR="009235A8">
        <w:t xml:space="preserve"> and DC Tie Schedules</w:t>
      </w:r>
      <w:r>
        <w:t xml:space="preserve"> included in the calculation of RUC Settlement;</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A316E8" w:rsidRPr="004B32CF" w14:paraId="49F9BE97" w14:textId="77777777" w:rsidTr="00FD6A54">
        <w:trPr>
          <w:trHeight w:val="1205"/>
        </w:trPr>
        <w:tc>
          <w:tcPr>
            <w:tcW w:w="9350" w:type="dxa"/>
            <w:shd w:val="pct12" w:color="auto" w:fill="auto"/>
          </w:tcPr>
          <w:p w14:paraId="58FEFCBF" w14:textId="1F3E5CAC" w:rsidR="00A316E8" w:rsidRPr="004B32CF" w:rsidRDefault="00A316E8" w:rsidP="00FD6A54">
            <w:pPr>
              <w:spacing w:after="240"/>
              <w:rPr>
                <w:b/>
                <w:i/>
                <w:iCs/>
              </w:rPr>
            </w:pPr>
            <w:r w:rsidRPr="004B32CF">
              <w:rPr>
                <w:b/>
                <w:i/>
                <w:iCs/>
              </w:rPr>
              <w:t>[NPR</w:t>
            </w:r>
            <w:r>
              <w:rPr>
                <w:b/>
                <w:i/>
                <w:iCs/>
              </w:rPr>
              <w:t>R1009</w:t>
            </w:r>
            <w:r w:rsidR="00FD6A54">
              <w:rPr>
                <w:b/>
                <w:i/>
                <w:iCs/>
              </w:rPr>
              <w:t xml:space="preserve"> and NPRR1014</w:t>
            </w:r>
            <w:r w:rsidRPr="004B32CF">
              <w:rPr>
                <w:b/>
                <w:i/>
                <w:iCs/>
              </w:rPr>
              <w:t xml:space="preserve">:  Replace </w:t>
            </w:r>
            <w:r w:rsidR="00FD6A54">
              <w:rPr>
                <w:b/>
                <w:i/>
                <w:iCs/>
              </w:rPr>
              <w:t xml:space="preserve">applicable portions of </w:t>
            </w:r>
            <w:r>
              <w:rPr>
                <w:b/>
                <w:i/>
                <w:iCs/>
              </w:rPr>
              <w:t>paragraph</w:t>
            </w:r>
            <w:r w:rsidRPr="004B32CF">
              <w:rPr>
                <w:b/>
                <w:i/>
                <w:iCs/>
              </w:rPr>
              <w:t xml:space="preserve"> (</w:t>
            </w:r>
            <w:r>
              <w:rPr>
                <w:b/>
                <w:i/>
                <w:iCs/>
              </w:rPr>
              <w:t>d</w:t>
            </w:r>
            <w:r w:rsidRPr="004B32CF">
              <w:rPr>
                <w:b/>
                <w:i/>
                <w:iCs/>
              </w:rPr>
              <w:t>) above with the following upon system implementation</w:t>
            </w:r>
            <w:r>
              <w:rPr>
                <w:b/>
                <w:i/>
                <w:iCs/>
              </w:rPr>
              <w:t xml:space="preserve"> of the Real-Time Co-Optimization (RTC) project</w:t>
            </w:r>
            <w:r w:rsidR="00FD6A54">
              <w:rPr>
                <w:b/>
                <w:i/>
                <w:iCs/>
              </w:rPr>
              <w:t xml:space="preserve"> for NPRR1009; or upon system implementation </w:t>
            </w:r>
            <w:r w:rsidR="003E2880">
              <w:rPr>
                <w:b/>
                <w:i/>
                <w:iCs/>
              </w:rPr>
              <w:t>for NPRR1014</w:t>
            </w:r>
            <w:r w:rsidRPr="004B32CF">
              <w:rPr>
                <w:b/>
                <w:i/>
                <w:iCs/>
              </w:rPr>
              <w:t>:]</w:t>
            </w:r>
          </w:p>
          <w:p w14:paraId="49332405" w14:textId="382C2C3D" w:rsidR="00A316E8" w:rsidRPr="00FA3373" w:rsidRDefault="00A316E8" w:rsidP="00A316E8">
            <w:pPr>
              <w:spacing w:after="240"/>
              <w:ind w:left="1440" w:hanging="720"/>
            </w:pPr>
            <w:r w:rsidRPr="003166ED">
              <w:t>(d)</w:t>
            </w:r>
            <w:r w:rsidRPr="003166ED">
              <w:tab/>
              <w:t>Submit any Energy Trades</w:t>
            </w:r>
            <w:r>
              <w:t>, Ancillary Service Trades,</w:t>
            </w:r>
            <w:r w:rsidRPr="003166ED">
              <w:t xml:space="preserve"> and Direct Current Tie (DC Tie) Schedules corresponding to Electronic Tags (e-Tags) before 1430 in the Day-Ahead for the DRUC and by the end of the Adjustment Period for each HRUC; if the QSE wants those Energy Trades and DC Tie Schedules included in the</w:t>
            </w:r>
            <w:r>
              <w:t xml:space="preserve"> calculation of RUC Settlement;</w:t>
            </w:r>
          </w:p>
        </w:tc>
      </w:tr>
    </w:tbl>
    <w:p w14:paraId="75504495" w14:textId="72946911" w:rsidR="00F80C33" w:rsidRDefault="00723BFB" w:rsidP="00300C4D">
      <w:pPr>
        <w:pStyle w:val="BodyTextNumberedChar"/>
        <w:spacing w:before="240"/>
        <w:ind w:left="1440"/>
      </w:pPr>
      <w:r>
        <w:t>(</w:t>
      </w:r>
      <w:r w:rsidR="006D1C55">
        <w:t>e</w:t>
      </w:r>
      <w:r>
        <w:t>)</w:t>
      </w:r>
      <w:r>
        <w:tab/>
        <w:t xml:space="preserve">Submit an updated COP before 1430 in the Day-Ahead that shows the specific Resources that will be used to supply the QSE’s Ancillary Service Supply Responsibility; and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A316E8" w:rsidRPr="004B32CF" w14:paraId="4B2DC0BE" w14:textId="77777777" w:rsidTr="00FD6A54">
        <w:trPr>
          <w:trHeight w:val="1205"/>
        </w:trPr>
        <w:tc>
          <w:tcPr>
            <w:tcW w:w="9350" w:type="dxa"/>
            <w:shd w:val="pct12" w:color="auto" w:fill="auto"/>
          </w:tcPr>
          <w:p w14:paraId="655B5A7B" w14:textId="669062AE" w:rsidR="00A316E8" w:rsidRPr="004B32CF" w:rsidRDefault="00A316E8" w:rsidP="00FD6A54">
            <w:pPr>
              <w:spacing w:after="240"/>
              <w:rPr>
                <w:b/>
                <w:i/>
                <w:iCs/>
              </w:rPr>
            </w:pPr>
            <w:r w:rsidRPr="004B32CF">
              <w:rPr>
                <w:b/>
                <w:i/>
                <w:iCs/>
              </w:rPr>
              <w:t>[NPR</w:t>
            </w:r>
            <w:r>
              <w:rPr>
                <w:b/>
                <w:i/>
                <w:iCs/>
              </w:rPr>
              <w:t>R1009</w:t>
            </w:r>
            <w:r w:rsidR="00FD6A54">
              <w:rPr>
                <w:b/>
                <w:i/>
                <w:iCs/>
              </w:rPr>
              <w:t xml:space="preserve"> and NPRR1014</w:t>
            </w:r>
            <w:r w:rsidRPr="004B32CF">
              <w:rPr>
                <w:b/>
                <w:i/>
                <w:iCs/>
              </w:rPr>
              <w:t>:  Replace</w:t>
            </w:r>
            <w:r w:rsidR="00FD6A54">
              <w:rPr>
                <w:b/>
                <w:i/>
                <w:iCs/>
              </w:rPr>
              <w:t xml:space="preserve"> applicable portions of</w:t>
            </w:r>
            <w:r w:rsidRPr="004B32CF">
              <w:rPr>
                <w:b/>
                <w:i/>
                <w:iCs/>
              </w:rPr>
              <w:t xml:space="preserve"> </w:t>
            </w:r>
            <w:r>
              <w:rPr>
                <w:b/>
                <w:i/>
                <w:iCs/>
              </w:rPr>
              <w:t>paragraph</w:t>
            </w:r>
            <w:r w:rsidRPr="004B32CF">
              <w:rPr>
                <w:b/>
                <w:i/>
                <w:iCs/>
              </w:rPr>
              <w:t xml:space="preserve"> (</w:t>
            </w:r>
            <w:r>
              <w:rPr>
                <w:b/>
                <w:i/>
                <w:iCs/>
              </w:rPr>
              <w:t>e</w:t>
            </w:r>
            <w:r w:rsidRPr="004B32CF">
              <w:rPr>
                <w:b/>
                <w:i/>
                <w:iCs/>
              </w:rPr>
              <w:t xml:space="preserve">) </w:t>
            </w:r>
            <w:r w:rsidR="00FD6A54" w:rsidRPr="004B32CF">
              <w:rPr>
                <w:b/>
                <w:i/>
                <w:iCs/>
              </w:rPr>
              <w:t>above with the following upon system implementation</w:t>
            </w:r>
            <w:r w:rsidR="00FD6A54">
              <w:rPr>
                <w:b/>
                <w:i/>
                <w:iCs/>
              </w:rPr>
              <w:t xml:space="preserve"> of the Real-Time Co-Optimization (RTC) project for NPRR1009; or upon system implementation </w:t>
            </w:r>
            <w:r w:rsidR="003E2880">
              <w:rPr>
                <w:b/>
                <w:i/>
                <w:iCs/>
              </w:rPr>
              <w:t>for NPRR1014</w:t>
            </w:r>
            <w:r w:rsidR="00FD6A54" w:rsidRPr="004B32CF">
              <w:rPr>
                <w:b/>
                <w:i/>
                <w:iCs/>
              </w:rPr>
              <w:t>:]</w:t>
            </w:r>
          </w:p>
          <w:p w14:paraId="7CAB1ABD" w14:textId="011CB88D" w:rsidR="00A316E8" w:rsidRPr="00FA3373" w:rsidRDefault="00A316E8" w:rsidP="00A316E8">
            <w:pPr>
              <w:spacing w:after="240"/>
              <w:ind w:left="1440" w:hanging="720"/>
            </w:pPr>
            <w:r w:rsidRPr="003166ED">
              <w:t>(e)</w:t>
            </w:r>
            <w:r w:rsidRPr="003166ED">
              <w:tab/>
              <w:t>Submit an updated COP before 1430 in the Day-Ahead</w:t>
            </w:r>
            <w:r>
              <w:t>; and</w:t>
            </w:r>
          </w:p>
        </w:tc>
      </w:tr>
    </w:tbl>
    <w:p w14:paraId="2363F5C0" w14:textId="27DD8769" w:rsidR="00F80C33" w:rsidRDefault="00723BFB" w:rsidP="00300C4D">
      <w:pPr>
        <w:pStyle w:val="BodyTextNumberedChar"/>
        <w:spacing w:before="240"/>
        <w:ind w:left="1440"/>
      </w:pPr>
      <w:r>
        <w:t>(</w:t>
      </w:r>
      <w:r w:rsidR="006D1C55">
        <w:t>f</w:t>
      </w:r>
      <w:r>
        <w:t>)</w:t>
      </w:r>
      <w:r>
        <w:tab/>
        <w:t>Acknowledge receipt of Resource commitment or decommitment Dispatch Instructions by submitting an updated COP.</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A316E8" w:rsidRPr="004B32CF" w14:paraId="4B0C3E16" w14:textId="77777777" w:rsidTr="00FD6A54">
        <w:trPr>
          <w:trHeight w:val="1205"/>
        </w:trPr>
        <w:tc>
          <w:tcPr>
            <w:tcW w:w="9350" w:type="dxa"/>
            <w:shd w:val="pct12" w:color="auto" w:fill="auto"/>
          </w:tcPr>
          <w:p w14:paraId="20C89D42" w14:textId="5E9CBD2F" w:rsidR="00A316E8" w:rsidRPr="004B32CF" w:rsidRDefault="00A316E8" w:rsidP="00FD6A54">
            <w:pPr>
              <w:spacing w:after="240"/>
              <w:rPr>
                <w:b/>
                <w:i/>
                <w:iCs/>
              </w:rPr>
            </w:pPr>
            <w:bookmarkStart w:id="83" w:name="_Toc400547174"/>
            <w:bookmarkStart w:id="84" w:name="_Toc405384279"/>
            <w:bookmarkStart w:id="85" w:name="_Toc405543546"/>
            <w:bookmarkStart w:id="86" w:name="_Toc428178055"/>
            <w:bookmarkStart w:id="87" w:name="_Toc440872686"/>
            <w:bookmarkStart w:id="88" w:name="_Toc458766231"/>
            <w:bookmarkStart w:id="89" w:name="_Toc459292636"/>
            <w:r w:rsidRPr="004B32CF">
              <w:rPr>
                <w:b/>
                <w:i/>
                <w:iCs/>
              </w:rPr>
              <w:lastRenderedPageBreak/>
              <w:t>[NPR</w:t>
            </w:r>
            <w:r>
              <w:rPr>
                <w:b/>
                <w:i/>
                <w:iCs/>
              </w:rPr>
              <w:t>R1009</w:t>
            </w:r>
            <w:r w:rsidRPr="004B32CF">
              <w:rPr>
                <w:b/>
                <w:i/>
                <w:iCs/>
              </w:rPr>
              <w:t xml:space="preserve">:  </w:t>
            </w:r>
            <w:r>
              <w:rPr>
                <w:b/>
                <w:i/>
                <w:iCs/>
              </w:rPr>
              <w:t>Insert Section 5.4.1 below</w:t>
            </w:r>
            <w:r w:rsidRPr="004B32CF">
              <w:rPr>
                <w:b/>
                <w:i/>
                <w:iCs/>
              </w:rPr>
              <w:t xml:space="preserve"> upon system implementation</w:t>
            </w:r>
            <w:r>
              <w:rPr>
                <w:b/>
                <w:i/>
                <w:iCs/>
              </w:rPr>
              <w:t xml:space="preserve"> of the Real-Time Co-Optimization (RTC) project</w:t>
            </w:r>
            <w:r w:rsidRPr="004B32CF">
              <w:rPr>
                <w:b/>
                <w:i/>
                <w:iCs/>
              </w:rPr>
              <w:t>:]</w:t>
            </w:r>
          </w:p>
          <w:p w14:paraId="20745B7F" w14:textId="77777777" w:rsidR="00A316E8" w:rsidRDefault="00A316E8" w:rsidP="00A316E8">
            <w:pPr>
              <w:keepNext/>
              <w:tabs>
                <w:tab w:val="left" w:pos="1080"/>
              </w:tabs>
              <w:spacing w:before="240" w:after="240"/>
              <w:ind w:left="1080" w:hanging="1080"/>
              <w:outlineLvl w:val="2"/>
              <w:rPr>
                <w:b/>
                <w:i/>
              </w:rPr>
            </w:pPr>
            <w:bookmarkStart w:id="90" w:name="_Toc60038337"/>
            <w:r w:rsidRPr="003166ED">
              <w:rPr>
                <w:b/>
                <w:i/>
              </w:rPr>
              <w:t>5.</w:t>
            </w:r>
            <w:r>
              <w:rPr>
                <w:b/>
                <w:i/>
              </w:rPr>
              <w:t>4</w:t>
            </w:r>
            <w:r w:rsidRPr="003166ED">
              <w:rPr>
                <w:b/>
                <w:i/>
              </w:rPr>
              <w:t>.</w:t>
            </w:r>
            <w:r>
              <w:rPr>
                <w:b/>
                <w:i/>
              </w:rPr>
              <w:t>1</w:t>
            </w:r>
            <w:r w:rsidRPr="003166ED">
              <w:rPr>
                <w:b/>
                <w:i/>
              </w:rPr>
              <w:tab/>
            </w:r>
            <w:r>
              <w:rPr>
                <w:b/>
                <w:i/>
              </w:rPr>
              <w:t>Ancillary Service Positions</w:t>
            </w:r>
            <w:bookmarkEnd w:id="90"/>
          </w:p>
          <w:p w14:paraId="2AE6ED3B" w14:textId="1D2D8EB4" w:rsidR="00A316E8" w:rsidRDefault="00A316E8" w:rsidP="00A316E8">
            <w:pPr>
              <w:pStyle w:val="BodyTextNumbered"/>
            </w:pPr>
            <w:r>
              <w:t>(1)</w:t>
            </w:r>
            <w:r>
              <w:tab/>
              <w:t>A QSE’s Ancillary Service Position is the net amount of Ancillary Service capacity to which the QSE has financially committed in the ERCOT market, by hour and service type, from self-arrangement, trades, and awards.  The Ancillary Service Position is the difference in MW, by hour and service type, between the amounts specified in items (a) and (b) defined as follows:</w:t>
            </w:r>
          </w:p>
          <w:p w14:paraId="7827BEF5" w14:textId="77777777" w:rsidR="00A316E8" w:rsidRDefault="00A316E8" w:rsidP="00A316E8">
            <w:pPr>
              <w:pStyle w:val="List"/>
              <w:ind w:left="1440" w:hanging="745"/>
            </w:pPr>
            <w:r>
              <w:t>(a)</w:t>
            </w:r>
            <w:r>
              <w:tab/>
              <w:t>The sum of:</w:t>
            </w:r>
          </w:p>
          <w:p w14:paraId="27D5A4A2" w14:textId="77777777" w:rsidR="00A316E8" w:rsidRDefault="00A316E8" w:rsidP="00A316E8">
            <w:pPr>
              <w:pStyle w:val="List2"/>
              <w:ind w:left="2160"/>
            </w:pPr>
            <w:r>
              <w:t>(i)</w:t>
            </w:r>
            <w:r>
              <w:tab/>
              <w:t>The QSE’s Self-Arranged Ancillary Service Quantity; plus</w:t>
            </w:r>
          </w:p>
          <w:p w14:paraId="4A19966B" w14:textId="77777777" w:rsidR="00A316E8" w:rsidRDefault="00A316E8" w:rsidP="00A316E8">
            <w:pPr>
              <w:pStyle w:val="List2"/>
              <w:ind w:left="2160"/>
            </w:pPr>
            <w:r>
              <w:t>(ii)</w:t>
            </w:r>
            <w:r>
              <w:tab/>
              <w:t>The total (in MW) of Ancillary Service Trades for which the QSE is the seller; plus</w:t>
            </w:r>
          </w:p>
          <w:p w14:paraId="52AC7038" w14:textId="77777777" w:rsidR="00A316E8" w:rsidRDefault="00A316E8" w:rsidP="00A316E8">
            <w:pPr>
              <w:pStyle w:val="List2"/>
              <w:ind w:left="2160"/>
            </w:pPr>
            <w:r>
              <w:t>(iii)</w:t>
            </w:r>
            <w:r>
              <w:tab/>
              <w:t xml:space="preserve">Awards to the QSE of Ancillary Service Offers in the DAM; and </w:t>
            </w:r>
          </w:p>
          <w:p w14:paraId="3C59FD05" w14:textId="77777777" w:rsidR="00A316E8" w:rsidRDefault="00A316E8" w:rsidP="00A316E8">
            <w:pPr>
              <w:pStyle w:val="List"/>
              <w:ind w:left="1440" w:hanging="745"/>
            </w:pPr>
            <w:r>
              <w:t>(b)</w:t>
            </w:r>
            <w:r>
              <w:tab/>
              <w:t>The sum of:</w:t>
            </w:r>
          </w:p>
          <w:p w14:paraId="4B45AD0A" w14:textId="634C7923" w:rsidR="00A316E8" w:rsidRPr="00FA3373" w:rsidRDefault="00A316E8" w:rsidP="00A316E8">
            <w:pPr>
              <w:pStyle w:val="List2"/>
              <w:ind w:left="2160"/>
            </w:pPr>
            <w:r>
              <w:t>(i)</w:t>
            </w:r>
            <w:r>
              <w:tab/>
              <w:t>The total Ancillary Service Trades for which the QSE is the buyer.</w:t>
            </w:r>
          </w:p>
        </w:tc>
      </w:tr>
    </w:tbl>
    <w:p w14:paraId="4CD796B3" w14:textId="77777777" w:rsidR="00F80C33" w:rsidRDefault="00723BFB" w:rsidP="00300C4D">
      <w:pPr>
        <w:pStyle w:val="H2"/>
        <w:spacing w:before="480"/>
      </w:pPr>
      <w:bookmarkStart w:id="91" w:name="_Toc60038338"/>
      <w:r>
        <w:t>5.5</w:t>
      </w:r>
      <w:r>
        <w:tab/>
        <w:t>Security Sequence, Including RUC</w:t>
      </w:r>
      <w:bookmarkEnd w:id="83"/>
      <w:bookmarkEnd w:id="84"/>
      <w:bookmarkEnd w:id="85"/>
      <w:bookmarkEnd w:id="86"/>
      <w:bookmarkEnd w:id="87"/>
      <w:bookmarkEnd w:id="88"/>
      <w:bookmarkEnd w:id="89"/>
      <w:bookmarkEnd w:id="91"/>
    </w:p>
    <w:p w14:paraId="05BD239A" w14:textId="77777777" w:rsidR="00F80C33" w:rsidRPr="000B7479" w:rsidRDefault="00723BFB">
      <w:pPr>
        <w:pStyle w:val="H3"/>
        <w:rPr>
          <w:b/>
          <w:i/>
        </w:rPr>
      </w:pPr>
      <w:bookmarkStart w:id="92" w:name="_Toc400547175"/>
      <w:bookmarkStart w:id="93" w:name="_Toc405384280"/>
      <w:bookmarkStart w:id="94" w:name="_Toc405543547"/>
      <w:bookmarkStart w:id="95" w:name="_Toc428178056"/>
      <w:bookmarkStart w:id="96" w:name="_Toc440872687"/>
      <w:bookmarkStart w:id="97" w:name="_Toc458766232"/>
      <w:bookmarkStart w:id="98" w:name="_Toc459292637"/>
      <w:bookmarkStart w:id="99" w:name="_Toc60038339"/>
      <w:r w:rsidRPr="000B7479">
        <w:rPr>
          <w:b/>
          <w:i/>
        </w:rPr>
        <w:t>5.5.1</w:t>
      </w:r>
      <w:r w:rsidRPr="000B7479">
        <w:rPr>
          <w:b/>
          <w:i/>
        </w:rPr>
        <w:tab/>
        <w:t>Security Sequence</w:t>
      </w:r>
      <w:bookmarkEnd w:id="92"/>
      <w:bookmarkEnd w:id="93"/>
      <w:bookmarkEnd w:id="94"/>
      <w:bookmarkEnd w:id="95"/>
      <w:bookmarkEnd w:id="96"/>
      <w:bookmarkEnd w:id="97"/>
      <w:bookmarkEnd w:id="98"/>
      <w:bookmarkEnd w:id="99"/>
    </w:p>
    <w:p w14:paraId="440B84DD" w14:textId="77777777" w:rsidR="00F80C33" w:rsidRDefault="00723BFB">
      <w:pPr>
        <w:pStyle w:val="BodyTextNumberedChar"/>
      </w:pPr>
      <w:r>
        <w:t>(1)</w:t>
      </w:r>
      <w:r>
        <w:tab/>
        <w:t>The figure below highlights the key computational modules and processes that are used in the Security Sequence:</w:t>
      </w:r>
    </w:p>
    <w:p w14:paraId="08F4FBCA" w14:textId="77777777" w:rsidR="00F80C33" w:rsidRDefault="003B0E0D">
      <w:pPr>
        <w:pStyle w:val="BodyTextNumberedChar"/>
      </w:pPr>
      <w:r>
        <w:rPr>
          <w:noProof/>
        </w:rPr>
        <w:lastRenderedPageBreak/>
        <w:drawing>
          <wp:inline distT="0" distB="0" distL="0" distR="0" wp14:anchorId="0EF04C75" wp14:editId="33B1D954">
            <wp:extent cx="5486400" cy="396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962400"/>
                    </a:xfrm>
                    <a:prstGeom prst="rect">
                      <a:avLst/>
                    </a:prstGeom>
                    <a:noFill/>
                    <a:ln>
                      <a:noFill/>
                    </a:ln>
                  </pic:spPr>
                </pic:pic>
              </a:graphicData>
            </a:graphic>
          </wp:inline>
        </w:drawing>
      </w:r>
    </w:p>
    <w:p w14:paraId="396C1E45" w14:textId="77777777" w:rsidR="00F80C33" w:rsidRDefault="00723BFB">
      <w:pPr>
        <w:pStyle w:val="BodyTextNumberedChar"/>
      </w:pPr>
      <w:r>
        <w:t>(2)</w:t>
      </w:r>
      <w:r>
        <w:tab/>
        <w:t xml:space="preserve">The Security Sequence uses computational modules </w:t>
      </w:r>
      <w:r w:rsidR="0005273D">
        <w:t xml:space="preserve">functionally </w:t>
      </w:r>
      <w:proofErr w:type="gramStart"/>
      <w:r w:rsidR="0005273D">
        <w:t>similar to</w:t>
      </w:r>
      <w:proofErr w:type="gramEnd"/>
      <w:r w:rsidR="0005273D">
        <w:t xml:space="preserve"> those used in </w:t>
      </w:r>
      <w:r>
        <w:t>Real-Time Sequence</w:t>
      </w:r>
      <w:r w:rsidR="0005273D">
        <w:t>, however, t</w:t>
      </w:r>
      <w:r>
        <w:t>he inputs into the Security Sequence are based on a snapshot of projected hourly system conditions and constraints</w:t>
      </w:r>
      <w:r w:rsidR="0005273D">
        <w:t xml:space="preserve"> rather than Real-Time data</w:t>
      </w:r>
      <w:r>
        <w:t xml:space="preserve">.   </w:t>
      </w:r>
    </w:p>
    <w:p w14:paraId="03D20527" w14:textId="77777777" w:rsidR="00F80C33" w:rsidRDefault="00723BFB">
      <w:pPr>
        <w:pStyle w:val="BodyTextNumberedChar"/>
      </w:pPr>
      <w:r>
        <w:t>(3)</w:t>
      </w:r>
      <w:r>
        <w:tab/>
        <w:t>The Security Sequence uses the status of all transmission breakers and switches</w:t>
      </w:r>
      <w:r w:rsidR="0005273D">
        <w:t xml:space="preserve"> </w:t>
      </w:r>
      <w:r>
        <w:t xml:space="preserve">(current status </w:t>
      </w:r>
      <w:r w:rsidR="00D37955">
        <w:t xml:space="preserve">for the first hour and normal status for all other hours of </w:t>
      </w:r>
      <w:r w:rsidR="0005273D">
        <w:t>Hourly Reliability Unit Commitment (</w:t>
      </w:r>
      <w:r>
        <w:t>HRUC</w:t>
      </w:r>
      <w:r w:rsidR="0005273D">
        <w:t>)</w:t>
      </w:r>
      <w:r>
        <w:t xml:space="preserve"> and normal status for </w:t>
      </w:r>
      <w:r w:rsidR="00D37955">
        <w:t xml:space="preserve">all hours of </w:t>
      </w:r>
      <w:r w:rsidR="0005273D">
        <w:t>Day-Ahead Reliability Unit Commitment (</w:t>
      </w:r>
      <w:r>
        <w:t>DRUC)</w:t>
      </w:r>
      <w:r w:rsidR="0005273D">
        <w:t>)</w:t>
      </w:r>
      <w:r>
        <w:t xml:space="preserve">, updated for approved Planned Outages for equipment out of service and returned to service for building a representation of the ERCOT Transmission Grid for each hour of the </w:t>
      </w:r>
      <w:r w:rsidR="0005273D">
        <w:t>Reliability Unit Commitment (</w:t>
      </w:r>
      <w:r>
        <w:t>RUC</w:t>
      </w:r>
      <w:r w:rsidR="0005273D">
        <w:t>)</w:t>
      </w:r>
      <w:r>
        <w:t xml:space="preserve"> Study Period.  The Network Topology Processor constructs a network model for each hour that must be used by the Bus Load Forecast to estimate the hourly </w:t>
      </w:r>
      <w:r w:rsidR="00A237E1">
        <w:t>L</w:t>
      </w:r>
      <w:r>
        <w:t xml:space="preserve">oad for each transmission bus.    </w:t>
      </w:r>
    </w:p>
    <w:p w14:paraId="2B1C529B" w14:textId="77777777" w:rsidR="00F80C33" w:rsidRDefault="00723BFB">
      <w:pPr>
        <w:pStyle w:val="BodyTextNumberedChar"/>
      </w:pPr>
      <w:r>
        <w:t>(4)</w:t>
      </w:r>
      <w:r>
        <w:tab/>
        <w:t xml:space="preserve">The weather forecast obtained by ERCOT must be provided to the Dynamic Rating Processor to create </w:t>
      </w:r>
      <w:proofErr w:type="gramStart"/>
      <w:r>
        <w:t>weather-adjusted</w:t>
      </w:r>
      <w:proofErr w:type="gramEnd"/>
      <w:r>
        <w:t xml:space="preserve"> MVA limits for each hour of the RUC Study Period for all transmission lines and transformers that have Dynamic Ratings.</w:t>
      </w:r>
    </w:p>
    <w:p w14:paraId="7899C8F1" w14:textId="77777777" w:rsidR="00F80C33" w:rsidRDefault="00723BFB">
      <w:pPr>
        <w:pStyle w:val="BodyTextNumberedChar"/>
      </w:pPr>
      <w:r>
        <w:t>(5)</w:t>
      </w:r>
      <w:r>
        <w:tab/>
        <w:t xml:space="preserve">ERCOT shall analyze base configuration, select n-1 </w:t>
      </w:r>
      <w:proofErr w:type="gramStart"/>
      <w:r>
        <w:t>contingencies</w:t>
      </w:r>
      <w:proofErr w:type="gramEnd"/>
      <w:r>
        <w:t xml:space="preserve"> and select n-2 contingencies under the Operating Guides.  The Operating Guides must also specify the criteria by which ERCOT may remove contingencies from the list.  ERCOT shall post to the </w:t>
      </w:r>
      <w:r w:rsidR="0005273D">
        <w:t>Market Information System (</w:t>
      </w:r>
      <w:r>
        <w:t>MIS</w:t>
      </w:r>
      <w:r w:rsidR="0005273D">
        <w:t>)</w:t>
      </w:r>
      <w:r>
        <w:t xml:space="preserve"> Secure Area the standard contingency list, including identification of changes from previous versions before being used in the </w:t>
      </w:r>
      <w:r>
        <w:lastRenderedPageBreak/>
        <w:t>Security Sequence.  ERCOT shall evaluate the need for Resource-specific deployments during Real-Time operations for management of congestion consistent with the Operating Guides.</w:t>
      </w:r>
    </w:p>
    <w:p w14:paraId="3EBEAE13" w14:textId="77777777" w:rsidR="00F80C33" w:rsidRDefault="00723BFB">
      <w:pPr>
        <w:pStyle w:val="BodyTextNumberedChar"/>
      </w:pPr>
      <w:r>
        <w:t>(6)</w:t>
      </w:r>
      <w:r>
        <w:tab/>
        <w:t xml:space="preserve">ERCOT shall also post to the MIS Secure Area any contingencies temporarily removed from the standard contingency list by ERCOT immediately after successful execution of the Security Sequence. </w:t>
      </w:r>
      <w:r w:rsidR="0005273D">
        <w:t xml:space="preserve"> </w:t>
      </w:r>
      <w:r>
        <w:t xml:space="preserve">ERCOT shall include the reason for removal of any contingency as soon as practicable but not later than one hour after removal. </w:t>
      </w:r>
    </w:p>
    <w:p w14:paraId="3428F7BA" w14:textId="77777777" w:rsidR="00F80C33" w:rsidRDefault="00723BFB">
      <w:pPr>
        <w:pStyle w:val="BodyTextNumberedChar"/>
      </w:pPr>
      <w:r>
        <w:t>(7)</w:t>
      </w:r>
      <w:r>
        <w:tab/>
        <w:t>As part of the Network Security Analysis</w:t>
      </w:r>
      <w:r w:rsidR="0005273D">
        <w:t xml:space="preserve"> (NSA)</w:t>
      </w:r>
      <w:r>
        <w:t>, for each hour of the RUC Study Period, ERCOT shall analyze all selected contingencies and perform the following:</w:t>
      </w:r>
    </w:p>
    <w:p w14:paraId="22B478D5" w14:textId="77777777" w:rsidR="00F80C33" w:rsidRDefault="00723BFB">
      <w:pPr>
        <w:pStyle w:val="List2"/>
      </w:pPr>
      <w:r>
        <w:t>(a)</w:t>
      </w:r>
      <w:r>
        <w:tab/>
        <w:t>Perform full AC analysis of all contingencies;</w:t>
      </w:r>
    </w:p>
    <w:p w14:paraId="008C4A31" w14:textId="77777777" w:rsidR="00F80C33" w:rsidRDefault="00723BFB">
      <w:pPr>
        <w:pStyle w:val="List2"/>
      </w:pPr>
      <w:r>
        <w:t>(b)</w:t>
      </w:r>
      <w:r>
        <w:tab/>
        <w:t>Monitor element and bus voltage limit violations; and</w:t>
      </w:r>
    </w:p>
    <w:p w14:paraId="2106DFDE" w14:textId="77777777" w:rsidR="00F80C33" w:rsidRDefault="00723BFB">
      <w:pPr>
        <w:pStyle w:val="List2"/>
      </w:pPr>
      <w:r>
        <w:t>(c)</w:t>
      </w:r>
      <w:r>
        <w:tab/>
        <w:t xml:space="preserve">Monitor transmission line and transformer security violations. </w:t>
      </w:r>
    </w:p>
    <w:p w14:paraId="1FC7059E" w14:textId="77777777" w:rsidR="00F80C33" w:rsidRDefault="00723BFB">
      <w:pPr>
        <w:pStyle w:val="BodyTextNumberedChar"/>
      </w:pPr>
      <w:r>
        <w:t>(8)</w:t>
      </w:r>
      <w:r>
        <w:tab/>
        <w:t xml:space="preserve">As part of the </w:t>
      </w:r>
      <w:r w:rsidR="0005273D">
        <w:t>NSA</w:t>
      </w:r>
      <w:r>
        <w:t>, if there is an approved Remedial Action Plan (RAP) available, it must be used before considering a Resource commitment.</w:t>
      </w:r>
    </w:p>
    <w:p w14:paraId="312F45B2" w14:textId="77777777" w:rsidR="00F80C33" w:rsidRDefault="00723BFB">
      <w:pPr>
        <w:pStyle w:val="BodyTextNumberedChar"/>
      </w:pPr>
      <w:r>
        <w:t>(9)</w:t>
      </w:r>
      <w:r>
        <w:tab/>
        <w:t xml:space="preserve">ERCOT shall review all security violations prior to RUC execution.  </w:t>
      </w:r>
    </w:p>
    <w:p w14:paraId="7D917DD6" w14:textId="77777777" w:rsidR="00F80C33" w:rsidRDefault="00723BFB">
      <w:pPr>
        <w:pStyle w:val="BodyTextNumberedChar"/>
      </w:pPr>
      <w:r>
        <w:t>(10)</w:t>
      </w:r>
      <w:r>
        <w:tab/>
      </w:r>
      <w:r w:rsidR="00B13A09">
        <w:t>All Remedial Action Schemes (RASs), Automatic Mitigation Plans (AMPs) and RAPs modeled in the Network Operations Model shall be included in the contingency analysis.  The computational modules must enable ERCOT to analyze contingencies, including the effects of all RASs and AMPs included in the Network Operations Model.</w:t>
      </w:r>
      <w:r>
        <w:t xml:space="preserve"> </w:t>
      </w:r>
    </w:p>
    <w:p w14:paraId="51957DD4" w14:textId="77777777" w:rsidR="00F80C33" w:rsidRDefault="00723BFB" w:rsidP="00A7798A">
      <w:pPr>
        <w:pStyle w:val="BodyTextNumberedChar"/>
      </w:pPr>
      <w:r>
        <w:t>(11)</w:t>
      </w:r>
      <w:r>
        <w:tab/>
        <w:t xml:space="preserve">ERCOT may deselect certain contingencies known to cause errors or that otherwise result in inconclusive study output in the RUC.  On continued de-selection of contingencies, ERCOT shall prepare an analysis to determine the cause of the error.  ERCOT may use information from the </w:t>
      </w:r>
      <w:r w:rsidR="0005273D">
        <w:t xml:space="preserve">Day-Ahead </w:t>
      </w:r>
      <w:r>
        <w:t>processes as decision support during the Hour-Ahead processes.  ERCOT shall post to the MIS Secure Area any contingencies deselected by ERCOT and must include the reason for removal as soon as practicable, but not later than one hour after deselection.</w:t>
      </w:r>
    </w:p>
    <w:p w14:paraId="6F0912A4" w14:textId="77777777" w:rsidR="00011066" w:rsidRPr="000B7479" w:rsidRDefault="00011066" w:rsidP="00011066">
      <w:pPr>
        <w:pStyle w:val="H3"/>
        <w:rPr>
          <w:b/>
          <w:i/>
        </w:rPr>
      </w:pPr>
      <w:bookmarkStart w:id="100" w:name="_Toc400547176"/>
      <w:bookmarkStart w:id="101" w:name="_Toc405384281"/>
      <w:bookmarkStart w:id="102" w:name="_Toc405543548"/>
      <w:bookmarkStart w:id="103" w:name="_Toc428178057"/>
      <w:bookmarkStart w:id="104" w:name="_Toc440872688"/>
      <w:bookmarkStart w:id="105" w:name="_Toc458766233"/>
      <w:bookmarkStart w:id="106" w:name="_Toc459292638"/>
      <w:bookmarkStart w:id="107" w:name="_Toc60038340"/>
      <w:r w:rsidRPr="000B7479">
        <w:rPr>
          <w:b/>
          <w:i/>
        </w:rPr>
        <w:t>5.5.2</w:t>
      </w:r>
      <w:r w:rsidRPr="000B7479">
        <w:rPr>
          <w:b/>
          <w:i/>
        </w:rPr>
        <w:tab/>
        <w:t>Reliability Unit Commitment (RUC) Process</w:t>
      </w:r>
      <w:bookmarkEnd w:id="100"/>
      <w:bookmarkEnd w:id="101"/>
      <w:bookmarkEnd w:id="102"/>
      <w:bookmarkEnd w:id="103"/>
      <w:bookmarkEnd w:id="104"/>
      <w:bookmarkEnd w:id="105"/>
      <w:bookmarkEnd w:id="106"/>
      <w:bookmarkEnd w:id="107"/>
    </w:p>
    <w:p w14:paraId="4A1D1B9B" w14:textId="133C0C53" w:rsidR="00011066" w:rsidRDefault="00011066" w:rsidP="00011066">
      <w:pPr>
        <w:pStyle w:val="BodyTextNumberedChar"/>
      </w:pPr>
      <w:r>
        <w:t>(1)</w:t>
      </w:r>
      <w:r>
        <w:tab/>
      </w:r>
      <w:r w:rsidR="00CF7E9A" w:rsidRPr="00273A95">
        <w:t xml:space="preserve">The RUC process recommends commitment of Generation Resources, to match ERCOT’s forecasted Load including Direct Current Tie (DC Tie) Schedules, subject to all transmission constraints and Resource performance characteristics.  The RUC process </w:t>
      </w:r>
      <w:proofErr w:type="gramStart"/>
      <w:r w:rsidR="00CF7E9A" w:rsidRPr="00273A95">
        <w:t>takes into account</w:t>
      </w:r>
      <w:proofErr w:type="gramEnd"/>
      <w:r w:rsidR="00CF7E9A" w:rsidRPr="00273A95">
        <w:t xml:space="preserve"> Resources already committed in the Current Operating Plans (COPs), Resources already committed in previous RUCs, Off-Line Available Resources having a start-up time of one hour or less, and Resource capacity already committed to provide Ancillary Service.  The formulation of the RUC objective function must employ penalty factors on violations of security constraints.</w:t>
      </w:r>
      <w:r w:rsidR="00CF7E9A">
        <w:t xml:space="preserve">  The objective of the RUC process is to minimize costs based on the Resource costs described in paragraphs (</w:t>
      </w:r>
      <w:r w:rsidR="005314CE">
        <w:t>5</w:t>
      </w:r>
      <w:r w:rsidR="00CF7E9A">
        <w:t>) through (</w:t>
      </w:r>
      <w:r w:rsidR="005314CE">
        <w:t>9</w:t>
      </w:r>
      <w:r w:rsidR="00CF7E9A">
        <w:t xml:space="preserve">) </w:t>
      </w:r>
      <w:r w:rsidR="00CF7E9A">
        <w:lastRenderedPageBreak/>
        <w:t>below.</w:t>
      </w:r>
      <w:r w:rsidR="00CF7E9A" w:rsidRPr="00273A95">
        <w:rPr>
          <w:rFonts w:ascii="Courier New" w:hAnsi="Courier New" w:cs="Courier New"/>
          <w:sz w:val="20"/>
        </w:rPr>
        <w:t xml:space="preserve"> </w:t>
      </w:r>
      <w:r w:rsidR="00B970B6">
        <w:rPr>
          <w:rFonts w:ascii="Courier New" w:hAnsi="Courier New" w:cs="Courier New"/>
          <w:sz w:val="20"/>
        </w:rPr>
        <w:t xml:space="preserve"> </w:t>
      </w:r>
      <w:r w:rsidR="00CF7E9A">
        <w:t>For all hours of the RUC Study Period within the RUC process, Quick Start Generation Resources (QSGRs) with a COP Resource Status of OFFQS shall be considered as On-Line with Low Sustained Limit (LSL) at zero MW.  QSGRs with a Resource Status of OFFQS shall only be committed by ERCOT through a RUC instruction in instances when a reliability issue would not otherwise be managed through Dispatch Instructions from Security-Constrained Economic Dispatch (SCED).</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CF6344" w:rsidRPr="004B32CF" w14:paraId="4A3633FF" w14:textId="77777777" w:rsidTr="00C643BC">
        <w:trPr>
          <w:trHeight w:val="1205"/>
        </w:trPr>
        <w:tc>
          <w:tcPr>
            <w:tcW w:w="9350" w:type="dxa"/>
            <w:shd w:val="pct12" w:color="auto" w:fill="auto"/>
          </w:tcPr>
          <w:p w14:paraId="037A747C" w14:textId="3B8F6E28" w:rsidR="00CF6344" w:rsidRPr="004B32CF" w:rsidRDefault="00CF6344" w:rsidP="00C643BC">
            <w:pPr>
              <w:spacing w:after="240"/>
              <w:rPr>
                <w:b/>
                <w:i/>
                <w:iCs/>
              </w:rPr>
            </w:pPr>
            <w:r w:rsidRPr="004B32CF">
              <w:rPr>
                <w:b/>
                <w:i/>
                <w:iCs/>
              </w:rPr>
              <w:t>[NPR</w:t>
            </w:r>
            <w:r>
              <w:rPr>
                <w:b/>
                <w:i/>
                <w:iCs/>
              </w:rPr>
              <w:t>R1186</w:t>
            </w:r>
            <w:r w:rsidRPr="004B32CF">
              <w:rPr>
                <w:b/>
                <w:i/>
                <w:iCs/>
              </w:rPr>
              <w:t>:  Replace paragraph (</w:t>
            </w:r>
            <w:r>
              <w:rPr>
                <w:b/>
                <w:i/>
                <w:iCs/>
              </w:rPr>
              <w:t>1</w:t>
            </w:r>
            <w:r w:rsidRPr="004B32CF">
              <w:rPr>
                <w:b/>
                <w:i/>
                <w:iCs/>
              </w:rPr>
              <w:t>) above with the following upon system implementation:]</w:t>
            </w:r>
          </w:p>
          <w:p w14:paraId="0BD374D8" w14:textId="6490FED5" w:rsidR="00CF6344" w:rsidRPr="00FA3373" w:rsidRDefault="00CF6344" w:rsidP="00C643BC">
            <w:pPr>
              <w:spacing w:after="240"/>
              <w:ind w:left="720" w:hanging="720"/>
            </w:pPr>
            <w:r w:rsidRPr="00F06E8E">
              <w:t>(1)</w:t>
            </w:r>
            <w:r w:rsidRPr="00F06E8E">
              <w:tab/>
              <w:t xml:space="preserve">The RUC process recommends commitment of Generation Resources, to match ERCOT’s forecasted Load including Direct Current Tie (DC Tie) Schedules, subject to all transmission constraints and Resource performance characteristics.  The RUC process </w:t>
            </w:r>
            <w:proofErr w:type="gramStart"/>
            <w:r w:rsidRPr="00F06E8E">
              <w:t>takes into account</w:t>
            </w:r>
            <w:proofErr w:type="gramEnd"/>
            <w:r w:rsidRPr="00F06E8E">
              <w:t xml:space="preserve"> Resources already committed in the Current Operating Plans (COPs), Resources already committed in previous RUCs, Off-Line Available Resources having a start-up time of one hour or less, and Resource capacity already committed to provide Ancillary Service.  The formulation of the RUC objective function must employ penalty factors on violations of security constraints.  The objective of the RUC process is to minimize costs based on the Resource costs described in paragraphs (5) through (9) below.</w:t>
            </w:r>
            <w:r w:rsidRPr="00F06E8E">
              <w:rPr>
                <w:rFonts w:ascii="Courier New" w:hAnsi="Courier New" w:cs="Courier New"/>
                <w:sz w:val="20"/>
              </w:rPr>
              <w:t xml:space="preserve">  </w:t>
            </w:r>
            <w:r w:rsidRPr="00F06E8E">
              <w:t xml:space="preserve">For all hours of the RUC Study Period within the RUC process, Quick Start Generation Resources (QSGRs) with a COP Resource Status of OFFQS shall be considered as On-Line with Low Sustained Limit (LSL) at zero MW.  QSGRs with a Resource Status of OFFQS shall only be committed by ERCOT through a RUC instruction in instances when a reliability issue would not otherwise be managed through Dispatch Instructions from Security-Constrained Economic Dispatch (SCED).  For On-Line ESRs, the Hour Beginning Planned State of Charge (SOC) values provided in the COP for a given hour are discounted to ensure sufficient SOC is preserved to meet Ancillary Service Resource Responsibilities, as reflected in the COP.  Any remaining SOC on the ESR will be considered available for energy dispatch by RUC while respecting the </w:t>
            </w:r>
            <w:proofErr w:type="spellStart"/>
            <w:r w:rsidRPr="00F06E8E">
              <w:t>MinSOC</w:t>
            </w:r>
            <w:proofErr w:type="spellEnd"/>
            <w:r w:rsidRPr="00F06E8E">
              <w:t xml:space="preserve"> and </w:t>
            </w:r>
            <w:proofErr w:type="spellStart"/>
            <w:r w:rsidRPr="00F06E8E">
              <w:t>MaxSOC</w:t>
            </w:r>
            <w:proofErr w:type="spellEnd"/>
            <w:r w:rsidRPr="00F06E8E">
              <w:t xml:space="preserve"> values provided in the COP.</w:t>
            </w:r>
          </w:p>
        </w:tc>
      </w:tr>
    </w:tbl>
    <w:p w14:paraId="59B8F73A" w14:textId="5BB5B314" w:rsidR="00011066" w:rsidRDefault="00011066" w:rsidP="006D1005">
      <w:pPr>
        <w:pStyle w:val="BodyTextNumberedChar"/>
        <w:spacing w:before="240"/>
      </w:pPr>
      <w:r>
        <w:t>(2)</w:t>
      </w:r>
      <w:r>
        <w:tab/>
        <w:t xml:space="preserve">The RUC process can recommend Resource decommitment.  ERCOT may only decommit a Resource to resolve transmission constraints that are otherwise unresolvable. Qualifying Facilities (QFs) may be decommitted only after all other types of Resources have been assessed for decommitment.  In addition, the HRUC process provides decision support to ERCOT regarding a Resource decommitment requested by a Qualified Scheduling Entity (QSE).  </w:t>
      </w:r>
    </w:p>
    <w:p w14:paraId="27F157D2" w14:textId="3000B10C" w:rsidR="00011066" w:rsidRDefault="00CC3DC9" w:rsidP="00011066">
      <w:pPr>
        <w:pStyle w:val="BodyTextNumberedChar"/>
      </w:pPr>
      <w:r w:rsidRPr="00A4246C">
        <w:rPr>
          <w:iCs/>
        </w:rPr>
        <w:t>(3)</w:t>
      </w:r>
      <w:r w:rsidRPr="00A4246C">
        <w:rPr>
          <w:iCs/>
        </w:rPr>
        <w:tab/>
      </w:r>
      <w:r w:rsidR="008A064B" w:rsidRPr="00A4246C">
        <w:rPr>
          <w:iCs/>
        </w:rPr>
        <w:t xml:space="preserve">ERCOT shall review the RUC-recommended Resource commitments </w:t>
      </w:r>
      <w:r w:rsidR="008A064B" w:rsidRPr="0026394E">
        <w:t>and the list of Off-</w:t>
      </w:r>
      <w:r w:rsidR="008A064B">
        <w:t>L</w:t>
      </w:r>
      <w:r w:rsidR="008A064B" w:rsidRPr="0026394E">
        <w:t>ine Available Resources having a start-up time of one hour or less</w:t>
      </w:r>
      <w:r w:rsidR="008A064B" w:rsidRPr="00A4246C">
        <w:rPr>
          <w:iCs/>
        </w:rPr>
        <w:t xml:space="preserve"> to assess feasibility and shall make any changes that it considers necessary, in its sole discretion.  </w:t>
      </w:r>
      <w:r w:rsidR="008A064B">
        <w:rPr>
          <w:iCs/>
        </w:rPr>
        <w:t xml:space="preserve">During the RUC process, ERCOT may also review and commit, through a RUC instruction, Combined Cycle Generation Resources that are currently planned to be On-Line but are capable of transitioning to a configuration with additional capacity.  </w:t>
      </w:r>
      <w:r w:rsidR="008A064B" w:rsidRPr="00A4246C">
        <w:rPr>
          <w:iCs/>
        </w:rPr>
        <w:t xml:space="preserve">ERCOT may deselect Resources recommended in DRUC and in all HRUC processes if in ERCOT’s </w:t>
      </w:r>
      <w:r w:rsidR="008A064B" w:rsidRPr="00A4246C">
        <w:rPr>
          <w:iCs/>
        </w:rPr>
        <w:lastRenderedPageBreak/>
        <w:t xml:space="preserve">sole discretion there is enough time to commit those Resources in the future HRUC processes, </w:t>
      </w:r>
      <w:proofErr w:type="gramStart"/>
      <w:r w:rsidR="008A064B" w:rsidRPr="00A4246C">
        <w:rPr>
          <w:iCs/>
        </w:rPr>
        <w:t>taking into account</w:t>
      </w:r>
      <w:proofErr w:type="gramEnd"/>
      <w:r w:rsidR="008A064B" w:rsidRPr="00A4246C">
        <w:rPr>
          <w:iCs/>
        </w:rPr>
        <w:t xml:space="preserve"> the Resources’ start-up times, to meet ERCOT System reliability.  After each RUC run, ERCOT shall post the amount of capacity deselected per hour in the RUC Study Period to the MIS Secure Area.  </w:t>
      </w:r>
      <w:r w:rsidR="008A064B" w:rsidRPr="00A4246C">
        <w:t>A Generation Resource shown as On-Line and available for SCED dispatch for an hour in its COP prior to a DRUC or HRUC process execution, according to Section 5.3, ERCOT Security Sequence Responsibilities, will be considered self-committed for that hour.  For purpose of Settlement, snapshot data will be used as specified in paragraph (2) of Section 5.3.</w:t>
      </w:r>
      <w:r w:rsidR="008A064B" w:rsidRPr="00A4246C">
        <w:rPr>
          <w:iCs/>
        </w:rPr>
        <w:t xml:space="preserve">  ERCOT shal</w:t>
      </w:r>
      <w:r w:rsidR="008A064B">
        <w:rPr>
          <w:iCs/>
        </w:rPr>
        <w:t>l issue RUC i</w:t>
      </w:r>
      <w:r w:rsidR="008A064B" w:rsidRPr="00A4246C">
        <w:rPr>
          <w:iCs/>
        </w:rPr>
        <w:t xml:space="preserve">nstructions to each QSE specifying its Resources that have been committed </w:t>
      </w:r>
      <w:proofErr w:type="gramStart"/>
      <w:r w:rsidR="008A064B" w:rsidRPr="00A4246C">
        <w:rPr>
          <w:iCs/>
        </w:rPr>
        <w:t>as a result of</w:t>
      </w:r>
      <w:proofErr w:type="gramEnd"/>
      <w:r w:rsidR="008A064B" w:rsidRPr="00A4246C">
        <w:rPr>
          <w:iCs/>
        </w:rPr>
        <w:t xml:space="preserve"> the RUC process.  ERCOT shall, within one day after making any changes to the RUC-recommended commitments, post to the MIS Secure Area any changes that ERCOT made to the RUC-recommended commitments with an explanation of the changes.</w:t>
      </w:r>
    </w:p>
    <w:p w14:paraId="738195A1" w14:textId="77777777" w:rsidR="005314CE" w:rsidRDefault="005314CE" w:rsidP="005314CE">
      <w:pPr>
        <w:pStyle w:val="BodyTextNumberedChar"/>
        <w:rPr>
          <w:iCs/>
        </w:rPr>
      </w:pPr>
      <w:r>
        <w:rPr>
          <w:iCs/>
        </w:rPr>
        <w:t>(4)</w:t>
      </w:r>
      <w:r>
        <w:rPr>
          <w:iCs/>
        </w:rPr>
        <w:tab/>
      </w:r>
      <w:r w:rsidRPr="00732CD7">
        <w:rPr>
          <w:iCs/>
        </w:rPr>
        <w:t xml:space="preserve">A QSE shall notify </w:t>
      </w:r>
      <w:r>
        <w:rPr>
          <w:iCs/>
        </w:rPr>
        <w:t xml:space="preserve">the </w:t>
      </w:r>
      <w:r w:rsidRPr="00732CD7">
        <w:rPr>
          <w:iCs/>
        </w:rPr>
        <w:t>ERCOT</w:t>
      </w:r>
      <w:r>
        <w:rPr>
          <w:iCs/>
        </w:rPr>
        <w:t xml:space="preserve"> Operator </w:t>
      </w:r>
      <w:r w:rsidRPr="00732CD7">
        <w:rPr>
          <w:iCs/>
        </w:rPr>
        <w:t xml:space="preserve">of any physical limitation that impacts its Resource’s ability to start that is not reflected in the Resource’s COP or the Resource’s startup time, minimum </w:t>
      </w:r>
      <w:r>
        <w:rPr>
          <w:iCs/>
        </w:rPr>
        <w:t>O</w:t>
      </w:r>
      <w:r w:rsidRPr="00732CD7">
        <w:rPr>
          <w:iCs/>
        </w:rPr>
        <w:t>n</w:t>
      </w:r>
      <w:r>
        <w:rPr>
          <w:iCs/>
        </w:rPr>
        <w:t>-L</w:t>
      </w:r>
      <w:r w:rsidRPr="00732CD7">
        <w:rPr>
          <w:iCs/>
        </w:rPr>
        <w:t>ine time</w:t>
      </w:r>
      <w:r>
        <w:rPr>
          <w:iCs/>
        </w:rPr>
        <w:t>,</w:t>
      </w:r>
      <w:r w:rsidRPr="00732CD7">
        <w:rPr>
          <w:iCs/>
        </w:rPr>
        <w:t xml:space="preserve"> or </w:t>
      </w:r>
      <w:r>
        <w:rPr>
          <w:iCs/>
        </w:rPr>
        <w:t>minimum O</w:t>
      </w:r>
      <w:r w:rsidRPr="00732CD7">
        <w:rPr>
          <w:iCs/>
        </w:rPr>
        <w:t>ff</w:t>
      </w:r>
      <w:r>
        <w:rPr>
          <w:iCs/>
        </w:rPr>
        <w:t>-L</w:t>
      </w:r>
      <w:r w:rsidRPr="00732CD7">
        <w:rPr>
          <w:iCs/>
        </w:rPr>
        <w:t>ine time.</w:t>
      </w:r>
      <w:r>
        <w:rPr>
          <w:iCs/>
        </w:rPr>
        <w:t xml:space="preserve">  The following shall apply:</w:t>
      </w:r>
    </w:p>
    <w:p w14:paraId="4D562FDB" w14:textId="77777777" w:rsidR="005314CE" w:rsidRDefault="005314CE" w:rsidP="005314CE">
      <w:pPr>
        <w:pStyle w:val="List2"/>
        <w:rPr>
          <w:iCs/>
        </w:rPr>
      </w:pPr>
      <w:r w:rsidRPr="00B37C88">
        <w:t xml:space="preserve">(a) </w:t>
      </w:r>
      <w:r>
        <w:tab/>
      </w:r>
      <w:r w:rsidRPr="00B37C88">
        <w:t xml:space="preserve">If a Resource receives a RUC Dispatch Instruction that it cannot meet due to a physical limitation described in paragraph (4) above, the QSE representing the Resource shall notify the ERCOT Operator of the inability to fully comply with the instruction and shall comply with the instruction to the best of the Resource’s ability.  If the QSE has provided the ERCOT Operator notice of that limitation at least seven days prior to the Operating Day in which the instruction occurs, the QSE shall be excused from complying with the portion of the RUC </w:t>
      </w:r>
      <w:r>
        <w:t>Dispatch I</w:t>
      </w:r>
      <w:r w:rsidRPr="00B37C88">
        <w:t xml:space="preserve">nstruction that it could not meet due to the identified limitation. </w:t>
      </w:r>
      <w:r>
        <w:rPr>
          <w:iCs/>
        </w:rPr>
        <w:t xml:space="preserve"> </w:t>
      </w:r>
    </w:p>
    <w:p w14:paraId="7E76D3D3" w14:textId="77777777" w:rsidR="005314CE" w:rsidRPr="00B95437" w:rsidRDefault="005314CE" w:rsidP="005314CE">
      <w:pPr>
        <w:pStyle w:val="List2"/>
      </w:pPr>
      <w:r w:rsidRPr="00493107">
        <w:t xml:space="preserve">(b) </w:t>
      </w:r>
      <w:r>
        <w:tab/>
      </w:r>
      <w:r w:rsidRPr="00493107">
        <w:t>If a QSE provides notice pursuant to paragraph (a) above of a physical limitation that will delay the RUC-committed Resource’s ability to reach its LSL in accordance with a RUC Dispatch Instruction, ERCOT shall extend the RUC Dispatch Instruction so that the Resource’s minimum</w:t>
      </w:r>
      <w:r>
        <w:t xml:space="preserve"> </w:t>
      </w:r>
      <w:r w:rsidRPr="00493107">
        <w:t>run time is respected. However, if the Resource will not be available in time to address the issue for which it received the RUC instruction, ERCOT may instead cancel the RUC Dispatch Instruction.</w:t>
      </w:r>
    </w:p>
    <w:p w14:paraId="2FA93BBE" w14:textId="77777777" w:rsidR="005314CE" w:rsidRDefault="005314CE" w:rsidP="005314CE">
      <w:pPr>
        <w:pStyle w:val="BodyTextNumberedChar"/>
        <w:rPr>
          <w:iCs/>
        </w:rPr>
      </w:pPr>
      <w:r>
        <w:t>(5)</w:t>
      </w:r>
      <w:r w:rsidRPr="00431547">
        <w:rPr>
          <w:iCs/>
        </w:rPr>
        <w:t xml:space="preserve"> </w:t>
      </w:r>
      <w:r>
        <w:rPr>
          <w:iCs/>
        </w:rPr>
        <w:tab/>
        <w:t>A</w:t>
      </w:r>
      <w:r w:rsidRPr="004F2419">
        <w:rPr>
          <w:iCs/>
        </w:rPr>
        <w:t xml:space="preserve"> QSE shall be excused from complying with </w:t>
      </w:r>
      <w:r>
        <w:rPr>
          <w:iCs/>
        </w:rPr>
        <w:t>any</w:t>
      </w:r>
      <w:r w:rsidRPr="004F2419">
        <w:rPr>
          <w:iCs/>
        </w:rPr>
        <w:t xml:space="preserve"> portion of </w:t>
      </w:r>
      <w:r>
        <w:rPr>
          <w:iCs/>
        </w:rPr>
        <w:t>a</w:t>
      </w:r>
      <w:r w:rsidRPr="004F2419">
        <w:rPr>
          <w:iCs/>
        </w:rPr>
        <w:t xml:space="preserve"> RUC </w:t>
      </w:r>
      <w:r>
        <w:rPr>
          <w:iCs/>
        </w:rPr>
        <w:t>Dispatch I</w:t>
      </w:r>
      <w:r w:rsidRPr="004F2419">
        <w:rPr>
          <w:iCs/>
        </w:rPr>
        <w:t xml:space="preserve">nstruction that it could not meet due to </w:t>
      </w:r>
      <w:r>
        <w:rPr>
          <w:iCs/>
        </w:rPr>
        <w:t xml:space="preserve">a physical </w:t>
      </w:r>
      <w:r w:rsidRPr="004F2419">
        <w:rPr>
          <w:iCs/>
        </w:rPr>
        <w:t xml:space="preserve">limitation </w:t>
      </w:r>
      <w:r>
        <w:rPr>
          <w:iCs/>
        </w:rPr>
        <w:t>that was reflected,</w:t>
      </w:r>
      <w:r w:rsidRPr="00194012">
        <w:rPr>
          <w:iCs/>
        </w:rPr>
        <w:t xml:space="preserve"> </w:t>
      </w:r>
      <w:r>
        <w:rPr>
          <w:iCs/>
        </w:rPr>
        <w:t xml:space="preserve">at the time of the </w:t>
      </w:r>
      <w:r>
        <w:t>RUC Dispatch I</w:t>
      </w:r>
      <w:r>
        <w:rPr>
          <w:iCs/>
        </w:rPr>
        <w:t xml:space="preserve">nstruction, </w:t>
      </w:r>
      <w:r w:rsidRPr="004F2419">
        <w:rPr>
          <w:iCs/>
        </w:rPr>
        <w:t>in the Resourc</w:t>
      </w:r>
      <w:r>
        <w:rPr>
          <w:iCs/>
        </w:rPr>
        <w:t>e’s COP, startup time, minimum On-Line time, or minimum O</w:t>
      </w:r>
      <w:r w:rsidRPr="004F2419">
        <w:rPr>
          <w:iCs/>
        </w:rPr>
        <w:t>ff</w:t>
      </w:r>
      <w:r>
        <w:rPr>
          <w:iCs/>
        </w:rPr>
        <w:t>-L</w:t>
      </w:r>
      <w:r w:rsidRPr="004F2419">
        <w:rPr>
          <w:iCs/>
        </w:rPr>
        <w:t>ine time.</w:t>
      </w:r>
    </w:p>
    <w:p w14:paraId="09383230" w14:textId="01B18EB1" w:rsidR="003F77B5" w:rsidRDefault="00011066" w:rsidP="005314CE">
      <w:pPr>
        <w:pStyle w:val="BodyTextNumberedChar"/>
      </w:pPr>
      <w:r>
        <w:t>(</w:t>
      </w:r>
      <w:r w:rsidR="005314CE">
        <w:t>6</w:t>
      </w:r>
      <w:r>
        <w:t>)</w:t>
      </w:r>
      <w:r>
        <w:tab/>
      </w:r>
      <w:r w:rsidR="00CF7E9A" w:rsidRPr="00273A95">
        <w:t xml:space="preserve">To determine the projected energy output level of each Resource and to project potential congestion patterns for each hour of the RUC, ERCOT shall calculate proxy Energy Offer Curves based on the Mitigated Offer Caps </w:t>
      </w:r>
      <w:r w:rsidR="00CF7E9A">
        <w:t xml:space="preserve">(MOCs) </w:t>
      </w:r>
      <w:r w:rsidR="00CF7E9A" w:rsidRPr="00273A95">
        <w:t xml:space="preserve">for the type of Resource as specified in Section 4.4.9.4, Mitigated Offer Cap and Mitigated Offer Floor, for use in the RUC.  Proxy Energy Offer Curves are calculated by multiplying the </w:t>
      </w:r>
      <w:r w:rsidR="00CF7E9A">
        <w:t>MOC</w:t>
      </w:r>
      <w:r w:rsidR="00CF7E9A" w:rsidRPr="00273A95">
        <w:t xml:space="preserve"> by a constant selected by ERCOT from time to time that is no more than 0.10% and applying the cost </w:t>
      </w:r>
      <w:r w:rsidR="00CF7E9A" w:rsidRPr="00273A95">
        <w:lastRenderedPageBreak/>
        <w:t>for all Generation Resource output between High Sustained Limit (HSL) and LSL.</w:t>
      </w:r>
      <w:r w:rsidR="00CF7E9A">
        <w:t xml:space="preserve">  The intent of this process is to minimize the effect of the proxy Energy Offer Curves on optimization.</w:t>
      </w:r>
    </w:p>
    <w:p w14:paraId="4BEA2039" w14:textId="28D3C350" w:rsidR="00011066" w:rsidRDefault="00011066" w:rsidP="003201F1">
      <w:pPr>
        <w:pStyle w:val="BodyTextNumberedChar"/>
      </w:pPr>
      <w:r>
        <w:t>(</w:t>
      </w:r>
      <w:r w:rsidR="00AF344D">
        <w:t>7</w:t>
      </w:r>
      <w:r>
        <w:t>)</w:t>
      </w:r>
      <w:r>
        <w:tab/>
      </w:r>
      <w:r w:rsidR="00CF7E9A" w:rsidRPr="00273A95">
        <w:t xml:space="preserve">ERCOT shall use the RUC process to evaluate the need to commit Resources for which a QSE has submitted Three-Part Supply Offers and other available Off-Line Resources in addition to Resources that are planned to be On-Line during the RUC Study Period.  </w:t>
      </w:r>
      <w:proofErr w:type="gramStart"/>
      <w:r w:rsidR="00CF7E9A" w:rsidRPr="00273A95">
        <w:t>All of</w:t>
      </w:r>
      <w:proofErr w:type="gramEnd"/>
      <w:r w:rsidR="00CF7E9A" w:rsidRPr="00273A95">
        <w:t xml:space="preserve"> the above commitment information must be as specified in the QSE’s COP.</w:t>
      </w:r>
      <w:r w:rsidR="00CF7E9A">
        <w:t xml:space="preserve">  For available Off-Line Resources with a cold start time of one hour or less</w:t>
      </w:r>
      <w:r w:rsidR="00CF7E9A">
        <w:rPr>
          <w:iCs/>
        </w:rPr>
        <w:t xml:space="preserve"> that have not been removed from special consideration under paragraph (</w:t>
      </w:r>
      <w:r w:rsidR="00AF344D">
        <w:rPr>
          <w:iCs/>
        </w:rPr>
        <w:t>9</w:t>
      </w:r>
      <w:r w:rsidR="00CF7E9A">
        <w:rPr>
          <w:iCs/>
        </w:rPr>
        <w:t xml:space="preserve">) below pursuant to paragraph (4) of Section 8.1.2, </w:t>
      </w:r>
      <w:r w:rsidR="00CF7E9A" w:rsidRPr="005F4EF1">
        <w:rPr>
          <w:iCs/>
        </w:rPr>
        <w:t>Current Operating Plan (COP) Performance Requirements</w:t>
      </w:r>
      <w:r w:rsidR="00CF7E9A">
        <w:t>, the Startup Offers and Minimum-Energy Offer from a Resource’s Three-Part Supply Offer shall not be used in the RUC process.</w:t>
      </w:r>
      <w:r>
        <w:t xml:space="preserve"> </w:t>
      </w:r>
    </w:p>
    <w:p w14:paraId="6FE2FACE" w14:textId="3234B2A4" w:rsidR="00011066" w:rsidRDefault="00011066" w:rsidP="003201F1">
      <w:pPr>
        <w:pStyle w:val="BodyTextNumberedChar"/>
      </w:pPr>
      <w:r>
        <w:t>(</w:t>
      </w:r>
      <w:r w:rsidR="00AF344D">
        <w:t>8</w:t>
      </w:r>
      <w:r>
        <w:t>)</w:t>
      </w:r>
      <w:r>
        <w:tab/>
      </w:r>
      <w:r w:rsidR="00CF7E9A" w:rsidRPr="00273A95">
        <w:t>ERCOT shall create Three-Part Supply Offers for all Resources that did not submit a Three-Part Supply Offer, but are specified as available but Off-Line, excluding Resources with a Resource Status of EMR, in a QSE’s COP.  For such Resources,</w:t>
      </w:r>
      <w:r w:rsidR="00CF7E9A">
        <w:t xml:space="preserve"> excluding available Off-Line Resources with a cold start time of one hour or less</w:t>
      </w:r>
      <w:r w:rsidR="00CF7E9A">
        <w:rPr>
          <w:iCs/>
        </w:rPr>
        <w:t xml:space="preserve"> that have not been removed from special consideration under paragraph (</w:t>
      </w:r>
      <w:r w:rsidR="00AF344D">
        <w:rPr>
          <w:iCs/>
        </w:rPr>
        <w:t>9</w:t>
      </w:r>
      <w:r w:rsidR="00CF7E9A">
        <w:rPr>
          <w:iCs/>
        </w:rPr>
        <w:t>) below pursuant to paragraph (4) of Section 8.1.2</w:t>
      </w:r>
      <w:r w:rsidR="00CF7E9A">
        <w:t xml:space="preserve">, </w:t>
      </w:r>
      <w:r w:rsidR="00CF7E9A" w:rsidRPr="00273A95">
        <w:t xml:space="preserve">ERCOT shall use in the RUC </w:t>
      </w:r>
      <w:r w:rsidR="00CF7E9A" w:rsidRPr="00226339">
        <w:t>process 1</w:t>
      </w:r>
      <w:r w:rsidR="004E03B9" w:rsidRPr="00226339">
        <w:t>0</w:t>
      </w:r>
      <w:r w:rsidR="00CF7E9A" w:rsidRPr="00226339">
        <w:t>0% of</w:t>
      </w:r>
      <w:r w:rsidR="00CF7E9A" w:rsidRPr="00273A95">
        <w:t xml:space="preserve"> any approved verifiable Startup Cost and verifiable minimum-energy cost or if verifiable costs have not been approved, the applicable Resource Category Generic Startup Offer Cost and the applicable Resource Category Generic Minimum-Energy Offer Cost as described specified in Section 4.4.9.2.3, Startup Offer and Minimum-Energy Offer Generic Caps, registered with ERCOT.  </w:t>
      </w:r>
      <w:r w:rsidR="004E03B9">
        <w:t>Also,</w:t>
      </w:r>
      <w:r w:rsidR="00CF7E9A" w:rsidRPr="00273A95">
        <w:t xml:space="preserve"> for Settlement purposes, ERCOT shall use any approved verifiable Startup Costs and verifiable minimum-energy cost for such Resources, or if verifiable costs have not been approved, the applicable Resource Category Generic Startup Offer Cost and Generic Minimum-Energy Offer Cost.</w:t>
      </w:r>
    </w:p>
    <w:p w14:paraId="71BC9157" w14:textId="7F92DDAE" w:rsidR="00CF7E9A" w:rsidRDefault="00CF7E9A" w:rsidP="00CF7E9A">
      <w:pPr>
        <w:spacing w:after="240"/>
        <w:ind w:left="720" w:hanging="720"/>
      </w:pPr>
      <w:r>
        <w:t>(</w:t>
      </w:r>
      <w:r w:rsidR="00AF344D">
        <w:t>9</w:t>
      </w:r>
      <w:r>
        <w:t>)</w:t>
      </w:r>
      <w:r>
        <w:tab/>
      </w:r>
      <w:r>
        <w:rPr>
          <w:iCs/>
        </w:rPr>
        <w:t xml:space="preserve">For all available Off-Line Resources having a cold start time of one hour or less and not removed from special consideration pursuant to paragraph (4) of Section 8.1.2, </w:t>
      </w:r>
      <w:r>
        <w:t xml:space="preserve">ERCOT shall scale </w:t>
      </w:r>
      <w:r w:rsidRPr="00273A95">
        <w:t xml:space="preserve">any approved verifiable Startup Cost and verifiable minimum-energy cost or if verifiable costs have not been approved, the applicable Resource Category Generic Startup Offer Cost and the applicable Resource Category Generic Minimum-Energy Offer Cost as specified in Section 4.4.9.2.3 </w:t>
      </w:r>
      <w:r>
        <w:t>for use in the RUC process</w:t>
      </w:r>
      <w:r w:rsidRPr="00273A95">
        <w:t xml:space="preserve">. </w:t>
      </w:r>
      <w:r>
        <w:t xml:space="preserve"> </w:t>
      </w:r>
    </w:p>
    <w:p w14:paraId="6A20B502" w14:textId="77777777" w:rsidR="00CF7E9A" w:rsidRDefault="00CF7E9A" w:rsidP="00CF7E9A">
      <w:pPr>
        <w:ind w:left="720"/>
      </w:pPr>
      <w:r>
        <w:t>The above parameter is defined as follows:</w:t>
      </w:r>
    </w:p>
    <w:tbl>
      <w:tblPr>
        <w:tblW w:w="8822" w:type="dxa"/>
        <w:tblInd w:w="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9"/>
        <w:gridCol w:w="1805"/>
        <w:gridCol w:w="4578"/>
      </w:tblGrid>
      <w:tr w:rsidR="00CF7E9A" w:rsidRPr="00867891" w14:paraId="7C2EF60A" w14:textId="77777777" w:rsidTr="006058E4">
        <w:trPr>
          <w:trHeight w:val="386"/>
        </w:trPr>
        <w:tc>
          <w:tcPr>
            <w:tcW w:w="2439" w:type="dxa"/>
          </w:tcPr>
          <w:p w14:paraId="03CCF80E" w14:textId="77777777" w:rsidR="00CF7E9A" w:rsidRPr="00867891" w:rsidRDefault="00CF7E9A" w:rsidP="0068063E">
            <w:pPr>
              <w:rPr>
                <w:b/>
                <w:sz w:val="20"/>
              </w:rPr>
            </w:pPr>
            <w:r>
              <w:rPr>
                <w:b/>
                <w:sz w:val="20"/>
              </w:rPr>
              <w:t>Parameter</w:t>
            </w:r>
          </w:p>
        </w:tc>
        <w:tc>
          <w:tcPr>
            <w:tcW w:w="1805" w:type="dxa"/>
            <w:shd w:val="clear" w:color="auto" w:fill="auto"/>
          </w:tcPr>
          <w:p w14:paraId="6954DAE5" w14:textId="77777777" w:rsidR="00CF7E9A" w:rsidRPr="00867891" w:rsidRDefault="00CF7E9A" w:rsidP="0068063E">
            <w:pPr>
              <w:rPr>
                <w:b/>
                <w:sz w:val="20"/>
              </w:rPr>
            </w:pPr>
            <w:r w:rsidRPr="00867891">
              <w:rPr>
                <w:b/>
                <w:sz w:val="20"/>
              </w:rPr>
              <w:t>Unit</w:t>
            </w:r>
          </w:p>
        </w:tc>
        <w:tc>
          <w:tcPr>
            <w:tcW w:w="4578" w:type="dxa"/>
            <w:shd w:val="clear" w:color="auto" w:fill="auto"/>
          </w:tcPr>
          <w:p w14:paraId="775E6AAA" w14:textId="77777777" w:rsidR="00CF7E9A" w:rsidRPr="00867891" w:rsidRDefault="00CF7E9A" w:rsidP="0068063E">
            <w:pPr>
              <w:rPr>
                <w:b/>
                <w:sz w:val="20"/>
              </w:rPr>
            </w:pPr>
            <w:r w:rsidRPr="00867891">
              <w:rPr>
                <w:b/>
                <w:sz w:val="20"/>
              </w:rPr>
              <w:t>Current Value*</w:t>
            </w:r>
          </w:p>
        </w:tc>
      </w:tr>
      <w:tr w:rsidR="00CF7E9A" w:rsidRPr="00867891" w14:paraId="5673F046" w14:textId="77777777" w:rsidTr="006058E4">
        <w:trPr>
          <w:trHeight w:val="359"/>
        </w:trPr>
        <w:tc>
          <w:tcPr>
            <w:tcW w:w="2439" w:type="dxa"/>
          </w:tcPr>
          <w:p w14:paraId="30A1C842" w14:textId="77777777" w:rsidR="00CF7E9A" w:rsidRPr="00867891" w:rsidRDefault="00CF7E9A" w:rsidP="0068063E">
            <w:pPr>
              <w:spacing w:after="240"/>
              <w:rPr>
                <w:sz w:val="20"/>
              </w:rPr>
            </w:pPr>
            <w:r>
              <w:rPr>
                <w:sz w:val="20"/>
              </w:rPr>
              <w:t>1HRLESSCOSTSCALING</w:t>
            </w:r>
          </w:p>
        </w:tc>
        <w:tc>
          <w:tcPr>
            <w:tcW w:w="1805" w:type="dxa"/>
            <w:shd w:val="clear" w:color="auto" w:fill="auto"/>
          </w:tcPr>
          <w:p w14:paraId="498C51BC" w14:textId="77777777" w:rsidR="00CF7E9A" w:rsidRPr="00867891" w:rsidRDefault="00CF7E9A" w:rsidP="0068063E">
            <w:pPr>
              <w:spacing w:after="240"/>
              <w:rPr>
                <w:sz w:val="20"/>
              </w:rPr>
            </w:pPr>
            <w:r w:rsidRPr="00867891">
              <w:rPr>
                <w:sz w:val="20"/>
              </w:rPr>
              <w:t>Percentage</w:t>
            </w:r>
          </w:p>
        </w:tc>
        <w:tc>
          <w:tcPr>
            <w:tcW w:w="4578" w:type="dxa"/>
            <w:shd w:val="clear" w:color="auto" w:fill="auto"/>
          </w:tcPr>
          <w:p w14:paraId="27287742" w14:textId="162D9C87" w:rsidR="00CF7E9A" w:rsidRPr="00867891" w:rsidRDefault="00CF7E9A" w:rsidP="0068063E">
            <w:pPr>
              <w:spacing w:after="240"/>
              <w:rPr>
                <w:sz w:val="20"/>
              </w:rPr>
            </w:pPr>
            <w:r w:rsidRPr="00867891">
              <w:rPr>
                <w:sz w:val="20"/>
              </w:rPr>
              <w:t xml:space="preserve">Maximum value of </w:t>
            </w:r>
            <w:r w:rsidR="00131638">
              <w:rPr>
                <w:sz w:val="20"/>
              </w:rPr>
              <w:t>10</w:t>
            </w:r>
            <w:r w:rsidRPr="00867891">
              <w:rPr>
                <w:sz w:val="20"/>
              </w:rPr>
              <w:t>0%</w:t>
            </w:r>
          </w:p>
        </w:tc>
      </w:tr>
      <w:tr w:rsidR="00CF7E9A" w:rsidRPr="00867891" w14:paraId="73290E6F" w14:textId="77777777" w:rsidTr="006058E4">
        <w:trPr>
          <w:trHeight w:val="1178"/>
        </w:trPr>
        <w:tc>
          <w:tcPr>
            <w:tcW w:w="8822" w:type="dxa"/>
            <w:gridSpan w:val="3"/>
          </w:tcPr>
          <w:p w14:paraId="38D58A57" w14:textId="77777777" w:rsidR="00CF7E9A" w:rsidRPr="00867891" w:rsidRDefault="00CF7E9A" w:rsidP="006058E4">
            <w:pPr>
              <w:rPr>
                <w:sz w:val="20"/>
              </w:rPr>
            </w:pPr>
            <w:r w:rsidRPr="00867891">
              <w:rPr>
                <w:sz w:val="20"/>
              </w:rPr>
              <w:t>*  The current value for the parameter</w:t>
            </w:r>
            <w:r>
              <w:rPr>
                <w:sz w:val="20"/>
              </w:rPr>
              <w:t>(</w:t>
            </w:r>
            <w:r w:rsidRPr="00867891">
              <w:rPr>
                <w:sz w:val="20"/>
              </w:rPr>
              <w:t>s</w:t>
            </w:r>
            <w:r>
              <w:rPr>
                <w:sz w:val="20"/>
              </w:rPr>
              <w:t>)</w:t>
            </w:r>
            <w:r w:rsidRPr="00867891">
              <w:rPr>
                <w:sz w:val="20"/>
              </w:rPr>
              <w:t xml:space="preserve"> referenced in this table above will be recommended by </w:t>
            </w:r>
            <w:r>
              <w:rPr>
                <w:sz w:val="20"/>
              </w:rPr>
              <w:t>the Technical Advisory Committee (</w:t>
            </w:r>
            <w:r w:rsidRPr="00867891">
              <w:rPr>
                <w:sz w:val="20"/>
              </w:rPr>
              <w:t>TAC</w:t>
            </w:r>
            <w:r>
              <w:rPr>
                <w:sz w:val="20"/>
              </w:rPr>
              <w:t>)</w:t>
            </w:r>
            <w:r w:rsidRPr="00867891">
              <w:rPr>
                <w:sz w:val="20"/>
              </w:rPr>
              <w:t xml:space="preserve"> and approved by the ERCOT Board.  ERCOT shall update parameter value</w:t>
            </w:r>
            <w:r>
              <w:rPr>
                <w:sz w:val="20"/>
              </w:rPr>
              <w:t>(</w:t>
            </w:r>
            <w:r w:rsidRPr="00867891">
              <w:rPr>
                <w:sz w:val="20"/>
              </w:rPr>
              <w:t>s</w:t>
            </w:r>
            <w:r>
              <w:rPr>
                <w:sz w:val="20"/>
              </w:rPr>
              <w:t>)</w:t>
            </w:r>
            <w:r w:rsidRPr="00867891">
              <w:rPr>
                <w:sz w:val="20"/>
              </w:rPr>
              <w:t xml:space="preserve"> on the first day of the month following ERCOT Board approval unless otherwise directed by the ERCOT Board.  ERCOT shall provide a Market Notice prior to implementation of a revised parameter value.</w:t>
            </w:r>
          </w:p>
        </w:tc>
      </w:tr>
    </w:tbl>
    <w:p w14:paraId="091BA892" w14:textId="404F5C44" w:rsidR="00301534" w:rsidRPr="007779E2" w:rsidRDefault="00301534" w:rsidP="002B6025">
      <w:pPr>
        <w:spacing w:before="240" w:after="240"/>
        <w:ind w:left="720" w:hanging="720"/>
      </w:pPr>
      <w:r w:rsidRPr="007779E2">
        <w:t>(</w:t>
      </w:r>
      <w:r w:rsidR="00AF344D">
        <w:t>10</w:t>
      </w:r>
      <w:r w:rsidRPr="007779E2">
        <w:t>)</w:t>
      </w:r>
      <w:r w:rsidRPr="007779E2">
        <w:tab/>
        <w:t xml:space="preserve">The RUC process must treat all Resource capacity providing Ancillary Service as unavailable for the RUC Study Period, unless that treatment leads to infeasibility (i.e., </w:t>
      </w:r>
      <w:r w:rsidRPr="007779E2">
        <w:lastRenderedPageBreak/>
        <w:t xml:space="preserve">that capacity is needed to resolve some local transmission problem that cannot be resolved by any other means).  If an ERCOT Operator decides that the Ancillary Service capacity allocated to that Resource is </w:t>
      </w:r>
      <w:r>
        <w:t>infeasible</w:t>
      </w:r>
      <w:r w:rsidRPr="007779E2">
        <w:t xml:space="preserve"> based on ERCOT System conditions, then, ERCOT shall inform each affected QSE of the amount of its Resource capacity that does not qualify to provide Ancillary Service, and the projected hours for which this is the case.  In that event, the affected QSE may, under Section 6.4.9.1.2, Replacement of </w:t>
      </w:r>
      <w:r>
        <w:t>Infeasible</w:t>
      </w:r>
      <w:r w:rsidRPr="007779E2">
        <w:t xml:space="preserve"> Ancillary Service Due to Transmission Constraints, either:</w:t>
      </w:r>
    </w:p>
    <w:p w14:paraId="051EA06A" w14:textId="77777777" w:rsidR="00301534" w:rsidRPr="007779E2" w:rsidRDefault="00301534" w:rsidP="00301534">
      <w:pPr>
        <w:spacing w:after="240"/>
        <w:ind w:left="1440" w:hanging="720"/>
      </w:pPr>
      <w:r w:rsidRPr="007779E2">
        <w:t xml:space="preserve">(a) </w:t>
      </w:r>
      <w:r w:rsidRPr="007779E2">
        <w:tab/>
        <w:t>Substitute capacity from Resources represented by that QSE;</w:t>
      </w:r>
    </w:p>
    <w:p w14:paraId="02FCBEE7" w14:textId="77777777" w:rsidR="00301534" w:rsidRPr="007779E2" w:rsidRDefault="00301534" w:rsidP="00301534">
      <w:pPr>
        <w:spacing w:after="240"/>
        <w:ind w:left="1440" w:hanging="720"/>
      </w:pPr>
      <w:r w:rsidRPr="007779E2">
        <w:t>(b)</w:t>
      </w:r>
      <w:r w:rsidRPr="007779E2">
        <w:tab/>
        <w:t xml:space="preserve">Substitute capacity from other QSEs using Ancillary Service Trades; or </w:t>
      </w:r>
    </w:p>
    <w:p w14:paraId="353466D4" w14:textId="77777777" w:rsidR="00011066" w:rsidRDefault="00301534" w:rsidP="009E7C55">
      <w:pPr>
        <w:pStyle w:val="List2"/>
      </w:pPr>
      <w:r w:rsidRPr="007779E2">
        <w:t>(c)</w:t>
      </w:r>
      <w:r w:rsidRPr="007779E2">
        <w:tab/>
        <w:t>Ask E</w:t>
      </w:r>
      <w:r>
        <w:t xml:space="preserve">RCOT to replace the capacity.  </w:t>
      </w:r>
      <w:r w:rsidR="00011066">
        <w:t xml:space="preserve"> </w:t>
      </w:r>
    </w:p>
    <w:p w14:paraId="3659B4BA" w14:textId="3F936C0D" w:rsidR="00011066" w:rsidRDefault="00011066" w:rsidP="00972609">
      <w:pPr>
        <w:pStyle w:val="BodyTextNumberedChar"/>
      </w:pPr>
      <w:r>
        <w:t>(</w:t>
      </w:r>
      <w:r w:rsidR="00AF344D">
        <w:t>11</w:t>
      </w:r>
      <w:r>
        <w:t>)</w:t>
      </w:r>
      <w:r>
        <w:tab/>
        <w:t xml:space="preserve">Factors included in the RUC process are: </w:t>
      </w:r>
    </w:p>
    <w:p w14:paraId="2A7708A8" w14:textId="77777777" w:rsidR="00011066" w:rsidRDefault="00011066" w:rsidP="00011066">
      <w:pPr>
        <w:pStyle w:val="List2"/>
      </w:pPr>
      <w:r>
        <w:t>(a)</w:t>
      </w:r>
      <w:r>
        <w:tab/>
        <w:t xml:space="preserve">ERCOT System-wide hourly Load forecast allocated appropriately </w:t>
      </w:r>
      <w:proofErr w:type="gramStart"/>
      <w:r>
        <w:t>over Load</w:t>
      </w:r>
      <w:proofErr w:type="gramEnd"/>
      <w:r>
        <w:t xml:space="preserve"> buses;</w:t>
      </w:r>
    </w:p>
    <w:p w14:paraId="3393DAA4" w14:textId="77777777" w:rsidR="00011066" w:rsidRDefault="00011066" w:rsidP="00011066">
      <w:pPr>
        <w:pStyle w:val="List2"/>
      </w:pPr>
      <w:r>
        <w:t>(b)</w:t>
      </w:r>
      <w:r>
        <w:tab/>
        <w:t>Transmission constraints – Transfer limits on energy flows through the electricity network;</w:t>
      </w:r>
    </w:p>
    <w:p w14:paraId="4A37959A" w14:textId="77777777" w:rsidR="00011066" w:rsidRDefault="00011066" w:rsidP="00011066">
      <w:pPr>
        <w:pStyle w:val="List3"/>
      </w:pPr>
      <w:r>
        <w:t>(i)</w:t>
      </w:r>
      <w:r>
        <w:tab/>
        <w:t>Thermal constraints – protect transmission facilities against thermal overload;</w:t>
      </w:r>
    </w:p>
    <w:p w14:paraId="51730E7C" w14:textId="77777777" w:rsidR="00011066" w:rsidRDefault="00011066" w:rsidP="00011066">
      <w:pPr>
        <w:pStyle w:val="List3"/>
      </w:pPr>
      <w:r>
        <w:t>(ii)</w:t>
      </w:r>
      <w:r>
        <w:tab/>
        <w:t xml:space="preserve">Generic constraints – protect the transmission system against transient instability, dynamic </w:t>
      </w:r>
      <w:proofErr w:type="gramStart"/>
      <w:r>
        <w:t>instability</w:t>
      </w:r>
      <w:proofErr w:type="gramEnd"/>
      <w:r>
        <w:t xml:space="preserve"> or voltage collapse;</w:t>
      </w:r>
    </w:p>
    <w:p w14:paraId="45FF8735" w14:textId="77777777" w:rsidR="00011066" w:rsidRDefault="00011066" w:rsidP="00011066">
      <w:pPr>
        <w:pStyle w:val="List2"/>
      </w:pPr>
      <w:r>
        <w:t>(c)</w:t>
      </w:r>
      <w:r>
        <w:tab/>
        <w:t>Planned transmission topology;</w:t>
      </w:r>
    </w:p>
    <w:p w14:paraId="76F2E620" w14:textId="77777777" w:rsidR="00011066" w:rsidRDefault="00011066" w:rsidP="00011066">
      <w:pPr>
        <w:pStyle w:val="List2"/>
      </w:pPr>
      <w:r>
        <w:t>(d)</w:t>
      </w:r>
      <w:r>
        <w:tab/>
        <w:t>Energy sufficiency constraints;</w:t>
      </w:r>
    </w:p>
    <w:p w14:paraId="5F734CB7" w14:textId="77777777" w:rsidR="00011066" w:rsidRDefault="00011066" w:rsidP="00011066">
      <w:pPr>
        <w:pStyle w:val="List2"/>
      </w:pPr>
      <w:r>
        <w:t>(e)</w:t>
      </w:r>
      <w:r>
        <w:tab/>
        <w:t>Inputs from the COP, as appropriate;</w:t>
      </w:r>
    </w:p>
    <w:p w14:paraId="6552E251" w14:textId="77777777" w:rsidR="00011066" w:rsidRDefault="00011066" w:rsidP="00011066">
      <w:pPr>
        <w:pStyle w:val="List2"/>
      </w:pPr>
      <w:r>
        <w:t>(f)</w:t>
      </w:r>
      <w:r>
        <w:tab/>
        <w:t>Inputs from Resource Parameters,</w:t>
      </w:r>
      <w:r w:rsidR="00C16730" w:rsidRPr="0026394E">
        <w:t xml:space="preserve"> including a list of Off-</w:t>
      </w:r>
      <w:r w:rsidR="00C16730">
        <w:t>L</w:t>
      </w:r>
      <w:r w:rsidR="00C16730" w:rsidRPr="0026394E">
        <w:t>ine Available Resources having a start-up time of one hour or less,</w:t>
      </w:r>
      <w:r>
        <w:t xml:space="preserve"> as appropriate;</w:t>
      </w:r>
    </w:p>
    <w:p w14:paraId="37C13576" w14:textId="77777777" w:rsidR="00011066" w:rsidRDefault="00011066" w:rsidP="00083F9B">
      <w:pPr>
        <w:pStyle w:val="List2"/>
      </w:pPr>
      <w:r>
        <w:t>(g)</w:t>
      </w:r>
      <w:r>
        <w:tab/>
        <w:t>Each Generation Resource’s Minimum-Energy Offer and Startup Offer, from its Three-Part Supply Offer;</w:t>
      </w:r>
    </w:p>
    <w:p w14:paraId="0A2CC943" w14:textId="77777777" w:rsidR="00011066" w:rsidRDefault="00011066" w:rsidP="00011066">
      <w:pPr>
        <w:pStyle w:val="List2"/>
      </w:pPr>
      <w:r>
        <w:t>(h)</w:t>
      </w:r>
      <w:r>
        <w:tab/>
        <w:t>Any Generation Resource that is Off-Line and available but does not have a Three-Part Supply Offer;</w:t>
      </w:r>
    </w:p>
    <w:p w14:paraId="7331B733" w14:textId="77777777" w:rsidR="00011066" w:rsidRDefault="00011066" w:rsidP="00011066">
      <w:pPr>
        <w:pStyle w:val="List2"/>
      </w:pPr>
      <w:r>
        <w:t>(i)</w:t>
      </w:r>
      <w:r>
        <w:tab/>
        <w:t>Forced Outage information; and</w:t>
      </w:r>
    </w:p>
    <w:p w14:paraId="554E11A4" w14:textId="77777777" w:rsidR="00011066" w:rsidRDefault="00011066" w:rsidP="00011066">
      <w:pPr>
        <w:pStyle w:val="List2"/>
      </w:pPr>
      <w:r>
        <w:t>(j)</w:t>
      </w:r>
      <w:r>
        <w:tab/>
        <w:t xml:space="preserve">Inputs from the eight-day look ahead planning tool, which may potentially keep a unit On-Line (or start a unit for the next day) so that a unit minimum duration between starts does not limit the availability of the unit (for security reasons).  </w:t>
      </w:r>
    </w:p>
    <w:p w14:paraId="2F07B2FF" w14:textId="15A51647" w:rsidR="00011066" w:rsidRDefault="00011066" w:rsidP="00011066">
      <w:pPr>
        <w:pStyle w:val="BodyTextNumberedChar"/>
      </w:pPr>
      <w:r>
        <w:lastRenderedPageBreak/>
        <w:t>(</w:t>
      </w:r>
      <w:r w:rsidR="00CF7E9A">
        <w:t>1</w:t>
      </w:r>
      <w:r w:rsidR="00AF344D">
        <w:t>2</w:t>
      </w:r>
      <w:r>
        <w:t>)</w:t>
      </w:r>
      <w:r>
        <w:tab/>
        <w:t>The HRUC process and the DRUC process are as follows:</w:t>
      </w:r>
    </w:p>
    <w:p w14:paraId="556AA220" w14:textId="77777777" w:rsidR="00011066" w:rsidRDefault="00011066" w:rsidP="00011066">
      <w:pPr>
        <w:pStyle w:val="List2"/>
      </w:pPr>
      <w:r>
        <w:t>(a)</w:t>
      </w:r>
      <w:r>
        <w:tab/>
        <w:t xml:space="preserve">The HRUC process uses current Resource Status for the initial condition for the first hour of the RUC Study Period.  All HRUC processes use the projected status of transmission breakers and switches starting with </w:t>
      </w:r>
      <w:proofErr w:type="gramStart"/>
      <w:r>
        <w:t>current status</w:t>
      </w:r>
      <w:proofErr w:type="gramEnd"/>
      <w:r>
        <w:t xml:space="preserve"> and updated for each remaining hour in the study as indicated in the COP for Resources and in the Outage Scheduler for transmission elements. </w:t>
      </w:r>
    </w:p>
    <w:p w14:paraId="76DA7605" w14:textId="77777777" w:rsidR="00011066" w:rsidRDefault="00011066" w:rsidP="00011066">
      <w:pPr>
        <w:pStyle w:val="List2"/>
      </w:pPr>
      <w:r>
        <w:t>(b)</w:t>
      </w:r>
      <w:r>
        <w:tab/>
        <w:t xml:space="preserve">The DRUC process uses the Day-Ahead forecast of total ERCOT Load </w:t>
      </w:r>
      <w:r w:rsidR="00A11569">
        <w:t xml:space="preserve">including DC Tie Schedules </w:t>
      </w:r>
      <w:r>
        <w:t xml:space="preserve">for each hour of the Operating Day.  The HRUC process uses the current hourly forecast of total ERCOT Load </w:t>
      </w:r>
      <w:r w:rsidR="00A11569">
        <w:t xml:space="preserve">including DC Tie Schedules </w:t>
      </w:r>
      <w:r>
        <w:t>for each hour in the RUC Study Period.</w:t>
      </w:r>
    </w:p>
    <w:p w14:paraId="35EE9A33" w14:textId="77777777" w:rsidR="00011066" w:rsidRDefault="00011066" w:rsidP="00011066">
      <w:pPr>
        <w:pStyle w:val="List2"/>
      </w:pPr>
      <w:r>
        <w:t>(c)</w:t>
      </w:r>
      <w:r>
        <w:tab/>
        <w:t>The DRUC process uses the Day-Ahead weather forecast for each hour of the Operating Day.  The HRUC process uses the weather forecast information for each hour of the balance of the RUC Study Period.</w:t>
      </w:r>
    </w:p>
    <w:p w14:paraId="1D9E5E16" w14:textId="338047EE" w:rsidR="00011066" w:rsidRDefault="00011066" w:rsidP="00011066">
      <w:pPr>
        <w:pStyle w:val="BodyTextNumberedChar"/>
      </w:pPr>
      <w:r>
        <w:t>(</w:t>
      </w:r>
      <w:r w:rsidR="00AF344D">
        <w:t>13</w:t>
      </w:r>
      <w:r>
        <w:t>)</w:t>
      </w:r>
      <w:r>
        <w:tab/>
      </w:r>
      <w:r w:rsidR="008A064B">
        <w:t xml:space="preserve">A QSE that has one or more of its Resources RUC-committed to provide Ancillary Services must increase its Ancillary Service Supply Responsibility by the total amount of RUC-committed Ancillary Service quantities.  The QSE may only use a RUC-committed Resource to meet its Ancillary Service Supply Responsibility during that Resource’s RUC-Committed Interval if </w:t>
      </w:r>
      <w:r w:rsidR="008A064B" w:rsidRPr="005167AE">
        <w:t xml:space="preserve">the Resource has been </w:t>
      </w:r>
      <w:r w:rsidR="008A064B" w:rsidRPr="00E624A0">
        <w:t>committed by the RUC process to provide Ancillary Service</w:t>
      </w:r>
      <w:r w:rsidR="008A064B">
        <w:t>, or the Resource is a Combined Cycle Generation Resource that was RUC-committed to transition from one On-Line configuration to a different configuration with additional capacity</w:t>
      </w:r>
      <w:r w:rsidR="008A064B" w:rsidRPr="00E624A0">
        <w:t xml:space="preserve">.  </w:t>
      </w:r>
      <w:r w:rsidR="008A064B">
        <w:t>For cases in which the commitment was to provide Ancillary Service, t</w:t>
      </w:r>
      <w:r w:rsidR="008A064B" w:rsidRPr="00E624A0">
        <w:t>he QSE shall indicate the exact amount and type of Ancillary Service for which it was committed as the Resource’s Ancillary Service Resource Responsibility and Ancillary Services Schedule for the RUC-Committed Intervals for both telemetry and COP information provided to ERCOT.  Upon deployment of the Ancillary Services, the QSE shall adjust its Ancillary Services Schedule to reflect the amounts requested in the deployment.</w:t>
      </w:r>
    </w:p>
    <w:p w14:paraId="47569768" w14:textId="0FE5FEA4" w:rsidR="00A04153" w:rsidRPr="00C953B3" w:rsidRDefault="00A04153" w:rsidP="00646994">
      <w:pPr>
        <w:spacing w:after="240"/>
        <w:ind w:left="720" w:hanging="720"/>
      </w:pPr>
      <w:r w:rsidRPr="00335075">
        <w:rPr>
          <w:iCs/>
        </w:rPr>
        <w:t>(1</w:t>
      </w:r>
      <w:r w:rsidR="00AF344D">
        <w:rPr>
          <w:iCs/>
        </w:rPr>
        <w:t>4</w:t>
      </w:r>
      <w:r w:rsidRPr="00335075">
        <w:rPr>
          <w:iCs/>
        </w:rPr>
        <w:t>)</w:t>
      </w:r>
      <w:r w:rsidRPr="00335075">
        <w:rPr>
          <w:iCs/>
        </w:rPr>
        <w:tab/>
      </w:r>
      <w:r w:rsidR="00B243B1" w:rsidRPr="00EA71DD">
        <w:t xml:space="preserve">A QSE with a Resource that is not a Reliability Must-Run (RMR) Unit or has not received an Outage Schedule Adjustment (OSA) that has been committed in a DRUC or HRUC process may opt out of the RUC Settlement (or “buy back” the commitment) by setting the COP status of the RUC-committed Resource to ONOPTOUT for the first hour of a contiguous block of RUC-Committed Hours in the </w:t>
      </w:r>
      <w:proofErr w:type="spellStart"/>
      <w:r w:rsidR="00B243B1" w:rsidRPr="00EA71DD">
        <w:t>Opt</w:t>
      </w:r>
      <w:proofErr w:type="spellEnd"/>
      <w:r w:rsidR="00B243B1" w:rsidRPr="00EA71DD">
        <w:t xml:space="preserve"> Out Snapshot.  All the configurations of the same Combined Cycle Train shall be treated as the same Resource for the purpose of creating the block of RUC-Committed Hours.  A RUC-committed Combined Cycle Generation Resource may opt out of the RUC Settlement by setting the COP status of any Combined Cycle Generation Resource within the same Combined Cycle Train as the RUC-committed Resource to ONOPTOUT for the first hour of a contiguous block of RUC-Committed Hours in the </w:t>
      </w:r>
      <w:proofErr w:type="spellStart"/>
      <w:r w:rsidR="00B243B1" w:rsidRPr="00EA71DD">
        <w:t>Opt</w:t>
      </w:r>
      <w:proofErr w:type="spellEnd"/>
      <w:r w:rsidR="00B243B1" w:rsidRPr="00EA71DD">
        <w:t xml:space="preserve"> Out Snapshot.  A Combined Cycle Generation Resource that is RUC-committed from one On-Line configuration </w:t>
      </w:r>
      <w:proofErr w:type="gramStart"/>
      <w:r w:rsidR="00B243B1" w:rsidRPr="00EA71DD">
        <w:t>in order to</w:t>
      </w:r>
      <w:proofErr w:type="gramEnd"/>
      <w:r w:rsidR="00B243B1" w:rsidRPr="00EA71DD">
        <w:t xml:space="preserve"> transition to a different configuration with additional capacity may opt out of the RUC Settlement following the same rule for RUC-committed Combined Cycle Generation Resources described above.  A QSE that opts out of RUC Settlement forfeits </w:t>
      </w:r>
      <w:r w:rsidR="00B243B1" w:rsidRPr="00EA71DD">
        <w:lastRenderedPageBreak/>
        <w:t xml:space="preserve">RUC Settlement for the affected Resource for a given block of RUC Buy-Back Hours.  A QSE that opts out of RUC Settlement treatment must make the Resource available to SCED for all RUC Buy-Back Hours.  All hours in a contiguous block of RUC-Committed Hours that includes the RUC Buy-Back Hour shall be considered RUC Buy-Back Hours.  If a contiguous block of RUC-Committed Hours spans more than one Operating Day and a QSE wishes to opt out of RUC Settlement for the RUC-Committed Hours in the second or subsequent Operating Day, the QSE must set its COP status to ONOPTOUT for the first hour of the first Operating Day in the </w:t>
      </w:r>
      <w:proofErr w:type="spellStart"/>
      <w:r w:rsidR="00B243B1" w:rsidRPr="00EA71DD">
        <w:t>Opt</w:t>
      </w:r>
      <w:proofErr w:type="spellEnd"/>
      <w:r w:rsidR="00B243B1" w:rsidRPr="00EA71DD">
        <w:t xml:space="preserve"> Out Snapshot of the first Operating Day.</w:t>
      </w:r>
    </w:p>
    <w:p w14:paraId="123E1E94" w14:textId="37B27317" w:rsidR="00540B9C" w:rsidRDefault="00A04153" w:rsidP="00A57182">
      <w:pPr>
        <w:pStyle w:val="BodyTextNumberedChar"/>
        <w:rPr>
          <w:iCs/>
        </w:rPr>
      </w:pPr>
      <w:r w:rsidRPr="00335075">
        <w:rPr>
          <w:iCs/>
        </w:rPr>
        <w:t>(1</w:t>
      </w:r>
      <w:r w:rsidR="00B243B1">
        <w:rPr>
          <w:iCs/>
        </w:rPr>
        <w:t>5</w:t>
      </w:r>
      <w:r w:rsidRPr="00335075">
        <w:rPr>
          <w:iCs/>
        </w:rPr>
        <w:t>)</w:t>
      </w:r>
      <w:r w:rsidRPr="00335075">
        <w:rPr>
          <w:iCs/>
        </w:rPr>
        <w:tab/>
        <w:t>ERCOT shall, as soon as practicable, post to the MIS Secure Area a report identifying those hours that were considered RUC Buy-Back Hours</w:t>
      </w:r>
      <w:r>
        <w:rPr>
          <w:iCs/>
        </w:rPr>
        <w:t>, along with the name of each RUC-committed Resource whose QSE opted out of RUC Settlement</w:t>
      </w:r>
      <w:r w:rsidRPr="00335075">
        <w:rPr>
          <w:iCs/>
        </w:rPr>
        <w:t>.</w:t>
      </w:r>
    </w:p>
    <w:p w14:paraId="7427C60A" w14:textId="5A748646" w:rsidR="00383CF9" w:rsidRDefault="00383CF9" w:rsidP="00A57182">
      <w:pPr>
        <w:pStyle w:val="BodyTextNumberedChar"/>
      </w:pPr>
      <w:r>
        <w:rPr>
          <w:iCs/>
        </w:rPr>
        <w:t>(1</w:t>
      </w:r>
      <w:r w:rsidR="00B243B1">
        <w:rPr>
          <w:iCs/>
        </w:rPr>
        <w:t>6</w:t>
      </w:r>
      <w:r>
        <w:rPr>
          <w:iCs/>
        </w:rPr>
        <w:t>)</w:t>
      </w:r>
      <w:r>
        <w:rPr>
          <w:iCs/>
        </w:rPr>
        <w:tab/>
      </w:r>
      <w:r>
        <w:t xml:space="preserve">A Resource that has a Three-Part Supply Offer cleared in the Day-Ahead Market (DAM) and subsequently receives a RUC commitment for the Operating Hour for which it was awarded will be treated as if the telemetered Resource Status was ONOPTOUT for purposes of Section </w:t>
      </w:r>
      <w:r w:rsidRPr="005A4D10">
        <w:t>6.5.7.3</w:t>
      </w:r>
      <w:r>
        <w:t>,</w:t>
      </w:r>
      <w:r w:rsidRPr="005A4D10">
        <w:t xml:space="preserve"> Security Constrained Economic Dispatch</w:t>
      </w:r>
      <w:r>
        <w:t>, and</w:t>
      </w:r>
      <w:r w:rsidRPr="005A4D10">
        <w:t xml:space="preserve"> </w:t>
      </w:r>
      <w:r>
        <w:t>Section 6.5.7.3.1, Determination of Real-Time On-Line Reliability Deployment Price Adder.</w:t>
      </w:r>
    </w:p>
    <w:p w14:paraId="02C64BB6" w14:textId="71828D5A" w:rsidR="00B243B1" w:rsidRPr="00B243B1" w:rsidRDefault="00B243B1" w:rsidP="00B243B1">
      <w:pPr>
        <w:spacing w:after="240"/>
        <w:ind w:left="720" w:hanging="720"/>
      </w:pPr>
      <w:r w:rsidRPr="00EA71DD">
        <w:t>(1</w:t>
      </w:r>
      <w:r>
        <w:t>7</w:t>
      </w:r>
      <w:r w:rsidRPr="00EA71DD">
        <w:t>)</w:t>
      </w:r>
      <w:r w:rsidRPr="00EA71DD">
        <w:tab/>
        <w:t>A Resource that has self-committed for an Operating Hour after the RUC Snapshot was taken but before the RUC commitment has been communicated through an XML message for that RUC process and that Operating Hour is included in a block of RUC-committed hours for that RUC process will be treated as if the Resource Status was ONOPTOUT for purposes of Section 6.5.7.3, Section 6.5.7.3.1, Operating Reserve Demand Curve (ORDC) calculations, and RUC Settlement for the entire block of RUC-committed hours.  A QSE that has a Resource that meets these conditions must make the Resource available to SCED for the entire block of RUC-committed hours.  ERCOT will send the QSE a notification stating the Operating Day and block of hours for which this occurred.</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445"/>
      </w:tblGrid>
      <w:tr w:rsidR="00A316E8" w:rsidRPr="004B32CF" w14:paraId="254E91F7" w14:textId="77777777" w:rsidTr="00FD6A54">
        <w:trPr>
          <w:trHeight w:val="1205"/>
        </w:trPr>
        <w:tc>
          <w:tcPr>
            <w:tcW w:w="9350" w:type="dxa"/>
            <w:shd w:val="pct12" w:color="auto" w:fill="auto"/>
          </w:tcPr>
          <w:p w14:paraId="0BE32B50" w14:textId="61B02763" w:rsidR="00A316E8" w:rsidRPr="004B32CF" w:rsidRDefault="00A316E8" w:rsidP="00FD6A54">
            <w:pPr>
              <w:spacing w:after="240"/>
              <w:rPr>
                <w:b/>
                <w:i/>
                <w:iCs/>
              </w:rPr>
            </w:pPr>
            <w:bookmarkStart w:id="108" w:name="_Toc400547177"/>
            <w:bookmarkStart w:id="109" w:name="_Toc405384282"/>
            <w:bookmarkStart w:id="110" w:name="_Toc405543549"/>
            <w:bookmarkStart w:id="111" w:name="_Toc428178058"/>
            <w:bookmarkStart w:id="112" w:name="_Toc440872689"/>
            <w:bookmarkStart w:id="113" w:name="_Toc458766234"/>
            <w:bookmarkStart w:id="114" w:name="_Toc459292639"/>
            <w:r w:rsidRPr="004B32CF">
              <w:rPr>
                <w:b/>
                <w:i/>
                <w:iCs/>
              </w:rPr>
              <w:t>[NPR</w:t>
            </w:r>
            <w:r>
              <w:rPr>
                <w:b/>
                <w:i/>
                <w:iCs/>
              </w:rPr>
              <w:t>R1009</w:t>
            </w:r>
            <w:r w:rsidR="001122B2">
              <w:rPr>
                <w:b/>
                <w:i/>
                <w:iCs/>
              </w:rPr>
              <w:t>,</w:t>
            </w:r>
            <w:r w:rsidR="000F68EC">
              <w:rPr>
                <w:b/>
                <w:i/>
                <w:iCs/>
              </w:rPr>
              <w:t xml:space="preserve"> NPRR1032</w:t>
            </w:r>
            <w:r w:rsidR="001122B2">
              <w:rPr>
                <w:b/>
                <w:i/>
                <w:iCs/>
              </w:rPr>
              <w:t>, and NPRR1204</w:t>
            </w:r>
            <w:r w:rsidRPr="004B32CF">
              <w:rPr>
                <w:b/>
                <w:i/>
                <w:iCs/>
              </w:rPr>
              <w:t xml:space="preserve">:  </w:t>
            </w:r>
            <w:r>
              <w:rPr>
                <w:b/>
                <w:i/>
                <w:iCs/>
              </w:rPr>
              <w:t xml:space="preserve">Replace </w:t>
            </w:r>
            <w:r w:rsidR="00B970B6">
              <w:rPr>
                <w:b/>
                <w:i/>
                <w:iCs/>
              </w:rPr>
              <w:t xml:space="preserve">applicable portions of </w:t>
            </w:r>
            <w:r>
              <w:rPr>
                <w:b/>
                <w:i/>
                <w:iCs/>
              </w:rPr>
              <w:t>Section 5.5.2 above with the following</w:t>
            </w:r>
            <w:r w:rsidRPr="004B32CF">
              <w:rPr>
                <w:b/>
                <w:i/>
                <w:iCs/>
              </w:rPr>
              <w:t xml:space="preserve"> upon system implementation</w:t>
            </w:r>
            <w:r>
              <w:rPr>
                <w:b/>
                <w:i/>
                <w:iCs/>
              </w:rPr>
              <w:t xml:space="preserve"> of the Real-Time Co-Optimization (RTC) project</w:t>
            </w:r>
            <w:r w:rsidR="000F68EC">
              <w:rPr>
                <w:b/>
                <w:i/>
                <w:iCs/>
              </w:rPr>
              <w:t xml:space="preserve"> for NPRR1009</w:t>
            </w:r>
            <w:r w:rsidR="001122B2">
              <w:rPr>
                <w:b/>
                <w:i/>
                <w:iCs/>
              </w:rPr>
              <w:t xml:space="preserve"> and NPRR1204</w:t>
            </w:r>
            <w:r w:rsidR="000F68EC">
              <w:rPr>
                <w:b/>
                <w:i/>
                <w:iCs/>
              </w:rPr>
              <w:t xml:space="preserve">; </w:t>
            </w:r>
            <w:r w:rsidR="003E2880">
              <w:rPr>
                <w:b/>
                <w:i/>
                <w:iCs/>
              </w:rPr>
              <w:t>or upon system implementation for</w:t>
            </w:r>
            <w:r w:rsidR="000F68EC">
              <w:rPr>
                <w:b/>
                <w:i/>
                <w:iCs/>
              </w:rPr>
              <w:t xml:space="preserve"> NPRR1032</w:t>
            </w:r>
            <w:r w:rsidRPr="004B32CF">
              <w:rPr>
                <w:b/>
                <w:i/>
                <w:iCs/>
              </w:rPr>
              <w:t>:]</w:t>
            </w:r>
          </w:p>
          <w:p w14:paraId="36588DB1" w14:textId="77777777" w:rsidR="00A316E8" w:rsidRPr="003166ED" w:rsidRDefault="00A316E8" w:rsidP="00A316E8">
            <w:pPr>
              <w:keepNext/>
              <w:tabs>
                <w:tab w:val="left" w:pos="1080"/>
              </w:tabs>
              <w:spacing w:before="240" w:after="240"/>
              <w:ind w:left="1080" w:hanging="1080"/>
              <w:outlineLvl w:val="2"/>
              <w:rPr>
                <w:b/>
                <w:i/>
                <w:lang w:val="x-none" w:eastAsia="x-none"/>
              </w:rPr>
            </w:pPr>
            <w:bookmarkStart w:id="115" w:name="_Toc60038341"/>
            <w:bookmarkStart w:id="116" w:name="_Hlk159506824"/>
            <w:r w:rsidRPr="003166ED">
              <w:rPr>
                <w:b/>
                <w:i/>
                <w:lang w:val="x-none" w:eastAsia="x-none"/>
              </w:rPr>
              <w:t>5.5.2</w:t>
            </w:r>
            <w:r w:rsidRPr="003166ED">
              <w:rPr>
                <w:b/>
                <w:i/>
                <w:lang w:val="x-none" w:eastAsia="x-none"/>
              </w:rPr>
              <w:tab/>
              <w:t>Reliability Unit Commitment (RUC) Process</w:t>
            </w:r>
            <w:bookmarkEnd w:id="115"/>
          </w:p>
          <w:p w14:paraId="1301805D" w14:textId="4AA16675" w:rsidR="00170C42" w:rsidRDefault="00170C42" w:rsidP="00170C42">
            <w:pPr>
              <w:spacing w:after="240"/>
              <w:ind w:left="720" w:hanging="720"/>
              <w:rPr>
                <w:rFonts w:ascii="Courier New" w:hAnsi="Courier New" w:cs="Courier New"/>
                <w:sz w:val="20"/>
              </w:rPr>
            </w:pPr>
            <w:r w:rsidRPr="003166ED">
              <w:t>(1)</w:t>
            </w:r>
            <w:r w:rsidRPr="003166ED">
              <w:tab/>
              <w:t>The RUC process recommends commitment of Generation Resources, to match ERCOT’s forecasted Load including Direct Current Tie (DC Tie) Schedules</w:t>
            </w:r>
            <w:r>
              <w:t xml:space="preserve"> and RUC Ancillary Service Demand Curves (ASDCs)</w:t>
            </w:r>
            <w:r w:rsidRPr="003166ED">
              <w:t xml:space="preserve">, subject to all transmission constraints and Resource performance characteristics.  The RUC process </w:t>
            </w:r>
            <w:proofErr w:type="gramStart"/>
            <w:r w:rsidRPr="003166ED">
              <w:t>takes into account</w:t>
            </w:r>
            <w:proofErr w:type="gramEnd"/>
            <w:r w:rsidRPr="003166ED">
              <w:t xml:space="preserve"> Resources already committed in the Current Operating Plans (COPs), Resources already committed in previous RUCs, </w:t>
            </w:r>
            <w:r>
              <w:t xml:space="preserve">and </w:t>
            </w:r>
            <w:r w:rsidRPr="003166ED">
              <w:t xml:space="preserve">Off-Line Available Resources having a start-up time of one hour or less.  </w:t>
            </w:r>
            <w:r w:rsidR="001122B2">
              <w:t xml:space="preserve">For On-Line Energy Storage Resources (ESRs), using RUC duration requirements for energy and Ancillary Services, RUC-projected dispatch for </w:t>
            </w:r>
            <w:r w:rsidR="001122B2">
              <w:lastRenderedPageBreak/>
              <w:t xml:space="preserve">energy and Ancillary Service in one interval shall respect the ESR’s minimum and maximum </w:t>
            </w:r>
            <w:r w:rsidR="000F75FE">
              <w:t>State of Charge (</w:t>
            </w:r>
            <w:r w:rsidR="001122B2">
              <w:t>SOC</w:t>
            </w:r>
            <w:r w:rsidR="000F75FE">
              <w:t>)</w:t>
            </w:r>
            <w:r w:rsidR="001122B2">
              <w:t xml:space="preserve"> values from </w:t>
            </w:r>
            <w:r w:rsidR="008F6C16">
              <w:t xml:space="preserve">the </w:t>
            </w:r>
            <w:r w:rsidR="001122B2">
              <w:t xml:space="preserve">COP, while incorporating any adjustments under paragraph (18)(d) below.  In addition, using the Ancillary Service Deployment Factors and their respective deployment duration requirements, the SOC required to support these dispatch levels for energy and Ancillary Services will match as closely as possible the difference between the adjusted COP values of the next interval’s Hour Beginning Planned SOC and the current interval’s Hour Beginning Planned SOC.  </w:t>
            </w:r>
            <w:r w:rsidRPr="003166ED">
              <w:t>The formulation of the RUC objective function must employ penalty factors on violations of security constraints</w:t>
            </w:r>
            <w:r w:rsidR="001122B2">
              <w:t xml:space="preserve"> and violations of ESR COP Hour Beginning Planned SOC</w:t>
            </w:r>
            <w:r w:rsidRPr="003166ED">
              <w:t>.  The objective of the RUC process is to minimize costs based on the Resource costs described in paragraphs (</w:t>
            </w:r>
            <w:r w:rsidR="001122B2">
              <w:t>10</w:t>
            </w:r>
            <w:r w:rsidRPr="003166ED">
              <w:t>) through (</w:t>
            </w:r>
            <w:r>
              <w:t>1</w:t>
            </w:r>
            <w:r w:rsidR="001122B2">
              <w:t>4</w:t>
            </w:r>
            <w:r w:rsidRPr="003166ED">
              <w:t>) below.</w:t>
            </w:r>
            <w:r w:rsidR="001122B2">
              <w:t xml:space="preserve"> </w:t>
            </w:r>
            <w:r w:rsidRPr="003166ED">
              <w:rPr>
                <w:rFonts w:ascii="Courier New" w:hAnsi="Courier New" w:cs="Courier New"/>
                <w:sz w:val="20"/>
              </w:rPr>
              <w:t xml:space="preserve"> </w:t>
            </w:r>
            <w:r w:rsidR="001122B2">
              <w:t>ESR energy dispatch costs and Ancillary Service Offer costs are not included in the RUC objective function.</w:t>
            </w:r>
          </w:p>
          <w:p w14:paraId="3BA63A44" w14:textId="77777777" w:rsidR="00170C42" w:rsidRDefault="00170C42" w:rsidP="00170C42">
            <w:pPr>
              <w:spacing w:after="240"/>
              <w:ind w:left="720" w:hanging="720"/>
            </w:pPr>
            <w:r>
              <w:t>(2)</w:t>
            </w:r>
            <w:r>
              <w:tab/>
              <w:t xml:space="preserve">ERCOT shall create an ASDC for each Ancillary Service for use in RUC.  </w:t>
            </w:r>
            <w:r w:rsidRPr="00851700">
              <w:t xml:space="preserve">ERCOT </w:t>
            </w:r>
            <w:r>
              <w:t>shall</w:t>
            </w:r>
            <w:r w:rsidRPr="00851700">
              <w:t xml:space="preserve"> post the ASDCs to the </w:t>
            </w:r>
            <w:r>
              <w:t>ERCOT website as soon as practicable after any change to the ASDCs.</w:t>
            </w:r>
          </w:p>
          <w:p w14:paraId="7DCD3803" w14:textId="77777777" w:rsidR="001122B2" w:rsidRDefault="001122B2" w:rsidP="001122B2">
            <w:pPr>
              <w:spacing w:after="240"/>
              <w:ind w:left="720" w:hanging="720"/>
            </w:pPr>
            <w:r>
              <w:t>(3)</w:t>
            </w:r>
            <w:r w:rsidRPr="00AF1140">
              <w:tab/>
            </w:r>
            <w:r>
              <w:t>ERCOT shall post the following Ancillary Service Deployment Factor data on the ERCOT website:</w:t>
            </w:r>
          </w:p>
          <w:p w14:paraId="44EAC2C0" w14:textId="77777777" w:rsidR="001122B2" w:rsidRDefault="001122B2" w:rsidP="001122B2">
            <w:pPr>
              <w:spacing w:after="240"/>
              <w:ind w:left="1440" w:hanging="720"/>
            </w:pPr>
            <w:r>
              <w:t>(a)</w:t>
            </w:r>
            <w:r w:rsidRPr="00AF1140">
              <w:tab/>
            </w:r>
            <w:r>
              <w:t>Following each execution of RUC</w:t>
            </w:r>
            <w:r w:rsidRPr="00BB348C">
              <w:t>, ERCOT shall post the Ancillary Service</w:t>
            </w:r>
            <w:r>
              <w:t xml:space="preserve"> </w:t>
            </w:r>
            <w:r w:rsidRPr="00BB348C">
              <w:t>Deployment Factors used by that RUC process for each hour in the RUC Study</w:t>
            </w:r>
            <w:r>
              <w:t xml:space="preserve"> </w:t>
            </w:r>
            <w:r w:rsidRPr="00BB348C">
              <w:t>Period</w:t>
            </w:r>
            <w:r>
              <w:t>;</w:t>
            </w:r>
          </w:p>
          <w:p w14:paraId="7D3E1CBC" w14:textId="77777777" w:rsidR="001122B2" w:rsidRDefault="001122B2" w:rsidP="001122B2">
            <w:pPr>
              <w:spacing w:after="240"/>
              <w:ind w:left="1440" w:hanging="720"/>
            </w:pPr>
            <w:r>
              <w:t>(b)</w:t>
            </w:r>
            <w:r w:rsidRPr="00AF1140">
              <w:tab/>
            </w:r>
            <w:r>
              <w:t>No later than 0600 in the Day-Ahead for each Operating Day, ERCOT shall post the Ancillary Service Deployments Factors that are projected to be used in the RUC process for that Operating Day; and</w:t>
            </w:r>
          </w:p>
          <w:p w14:paraId="52E14218" w14:textId="77777777" w:rsidR="001122B2" w:rsidRPr="00AF1140" w:rsidRDefault="001122B2" w:rsidP="001122B2">
            <w:pPr>
              <w:spacing w:after="240"/>
              <w:ind w:left="1440" w:hanging="720"/>
            </w:pPr>
            <w:r>
              <w:t>(c)</w:t>
            </w:r>
            <w:r w:rsidRPr="00AF1140">
              <w:tab/>
            </w:r>
            <w:r>
              <w:t>Following each month, ERCOT shall post the average, minimum, and maximum Ancillary Service Deployment Factors used in the RUC process by type of Ancillary Service and hour of the day for the month.</w:t>
            </w:r>
          </w:p>
          <w:p w14:paraId="73160B4E" w14:textId="60CF4F92" w:rsidR="00170C42" w:rsidRDefault="00170C42" w:rsidP="00170C42">
            <w:pPr>
              <w:spacing w:after="240"/>
              <w:ind w:left="720" w:hanging="720"/>
            </w:pPr>
            <w:r>
              <w:t>(</w:t>
            </w:r>
            <w:r w:rsidR="001122B2">
              <w:t>4</w:t>
            </w:r>
            <w:r>
              <w:t>)</w:t>
            </w:r>
            <w:r>
              <w:tab/>
            </w:r>
            <w:r w:rsidRPr="003166ED">
              <w:t>For all hours of the RUC Study Period within the RUC process, Quick Start Generation Resources (QSGRs) with a COP Resource Status of OFFQS shall be considered as On-Line with Low Sustained Limit (LSL) at zero MW.  QSGRs with a Resource Status of OFFQS shall only be committed by ERCOT through a RUC instruction in instances when a reliability issue would not otherwise be managed through Dispatch Instructions from Security-Constrained Economic Dispatch (SCED).</w:t>
            </w:r>
            <w:r>
              <w:t xml:space="preserve"> </w:t>
            </w:r>
          </w:p>
          <w:p w14:paraId="2FBCAFEA" w14:textId="728A493E" w:rsidR="00170C42" w:rsidRDefault="00170C42" w:rsidP="00170C42">
            <w:pPr>
              <w:spacing w:after="240"/>
              <w:ind w:left="720" w:hanging="720"/>
            </w:pPr>
            <w:r>
              <w:t>(</w:t>
            </w:r>
            <w:r w:rsidR="001122B2">
              <w:t>5</w:t>
            </w:r>
            <w:r>
              <w:t>)</w:t>
            </w:r>
            <w:r>
              <w:tab/>
              <w:t xml:space="preserve">In addition to On-Line qualified Resources, the RUC engine shall consider a COP Resource status of OFFQS for </w:t>
            </w:r>
            <w:r w:rsidRPr="003166ED">
              <w:t xml:space="preserve">QSGRs </w:t>
            </w:r>
            <w:r w:rsidRPr="00F20FA5">
              <w:t xml:space="preserve">that </w:t>
            </w:r>
            <w:r>
              <w:t>are</w:t>
            </w:r>
            <w:r w:rsidRPr="00F20FA5">
              <w:t xml:space="preserve"> qualified for ERCOT Contingency Reserve Service (ECRS), as being </w:t>
            </w:r>
            <w:r>
              <w:t>eligible</w:t>
            </w:r>
            <w:r w:rsidRPr="00F20FA5">
              <w:t xml:space="preserve"> to provide ECRS</w:t>
            </w:r>
            <w:r>
              <w:t xml:space="preserve"> constrained by the Ancillary Service capability in the COP.</w:t>
            </w:r>
          </w:p>
          <w:p w14:paraId="74B57228" w14:textId="4A9993BE" w:rsidR="00170C42" w:rsidRPr="003166ED" w:rsidRDefault="00170C42" w:rsidP="00170C42">
            <w:pPr>
              <w:spacing w:after="240"/>
              <w:ind w:left="720" w:hanging="720"/>
            </w:pPr>
            <w:r>
              <w:t>(</w:t>
            </w:r>
            <w:r w:rsidR="001122B2">
              <w:t>6</w:t>
            </w:r>
            <w:r>
              <w:t>)</w:t>
            </w:r>
            <w:r>
              <w:tab/>
            </w:r>
            <w:r w:rsidRPr="00862ADC">
              <w:t xml:space="preserve">In addition to </w:t>
            </w:r>
            <w:r>
              <w:t>On-Line</w:t>
            </w:r>
            <w:r w:rsidRPr="00862ADC">
              <w:t xml:space="preserve"> qualified Resources, the RUC engine </w:t>
            </w:r>
            <w:r>
              <w:t>shall</w:t>
            </w:r>
            <w:r w:rsidRPr="00862ADC">
              <w:t xml:space="preserve"> consider a COP Resource Status of </w:t>
            </w:r>
            <w:r>
              <w:t xml:space="preserve">OFFQS for </w:t>
            </w:r>
            <w:r w:rsidRPr="003166ED">
              <w:t xml:space="preserve">QSGRs </w:t>
            </w:r>
            <w:r w:rsidRPr="00F20FA5">
              <w:t xml:space="preserve">that </w:t>
            </w:r>
            <w:r>
              <w:t>are</w:t>
            </w:r>
            <w:r w:rsidRPr="00F20FA5">
              <w:t xml:space="preserve"> qualified for </w:t>
            </w:r>
            <w:r>
              <w:t>Non-Spinning Reserve (Non-Spin)</w:t>
            </w:r>
            <w:r w:rsidRPr="00F20FA5">
              <w:t xml:space="preserve">, as being </w:t>
            </w:r>
            <w:r>
              <w:t>eligible</w:t>
            </w:r>
            <w:r w:rsidRPr="00F20FA5">
              <w:t xml:space="preserve"> to provide </w:t>
            </w:r>
            <w:r>
              <w:t xml:space="preserve">Non-Spin constrained by the Ancillary Service </w:t>
            </w:r>
            <w:r>
              <w:lastRenderedPageBreak/>
              <w:t xml:space="preserve">Capability in the COP.  The RUC engine shall also consider a COP Resource Status of </w:t>
            </w:r>
            <w:r w:rsidRPr="00862ADC">
              <w:t xml:space="preserve">OFF (Off-Line but available for commitment in the DAM and RUC) for a Resource that is qualified for Non-Spin, as being </w:t>
            </w:r>
            <w:r>
              <w:t>eligible</w:t>
            </w:r>
            <w:r w:rsidRPr="00862ADC">
              <w:t xml:space="preserve"> to provide Non-Spin </w:t>
            </w:r>
            <w:r>
              <w:t>constrained by the Ancillary Service capability in the COP</w:t>
            </w:r>
            <w:r w:rsidRPr="00862ADC">
              <w:t>.</w:t>
            </w:r>
          </w:p>
          <w:p w14:paraId="6FE953AD" w14:textId="3DE03776" w:rsidR="00170C42" w:rsidRPr="003166ED" w:rsidRDefault="00170C42" w:rsidP="00170C42">
            <w:pPr>
              <w:spacing w:after="240"/>
              <w:ind w:left="720" w:hanging="720"/>
            </w:pPr>
            <w:r w:rsidRPr="003166ED">
              <w:t>(</w:t>
            </w:r>
            <w:r w:rsidR="001122B2">
              <w:t>7</w:t>
            </w:r>
            <w:r w:rsidRPr="003166ED">
              <w:t>)</w:t>
            </w:r>
            <w:r w:rsidRPr="003166ED">
              <w:tab/>
              <w:t xml:space="preserve">The RUC process can recommend Resource decommitment.  ERCOT may only decommit a Resource to resolve transmission constraints that are otherwise unresolvable. </w:t>
            </w:r>
            <w:r>
              <w:t xml:space="preserve"> </w:t>
            </w:r>
            <w:r w:rsidRPr="003166ED">
              <w:t xml:space="preserve">Qualifying Facilities (QFs) may be decommitted only after all other types of Resources have been assessed for decommitment.  In addition, the HRUC process provides decision support to ERCOT regarding a Resource decommitment requested by a Qualified Scheduling Entity (QSE).  </w:t>
            </w:r>
          </w:p>
          <w:p w14:paraId="769CCFFF" w14:textId="5E7A2EEA" w:rsidR="00A316E8" w:rsidRDefault="00A316E8" w:rsidP="00A316E8">
            <w:pPr>
              <w:spacing w:after="240"/>
              <w:ind w:left="720" w:hanging="720"/>
              <w:rPr>
                <w:iCs/>
              </w:rPr>
            </w:pPr>
            <w:r w:rsidRPr="003166ED">
              <w:rPr>
                <w:iCs/>
              </w:rPr>
              <w:t>(</w:t>
            </w:r>
            <w:r w:rsidR="001122B2">
              <w:rPr>
                <w:iCs/>
              </w:rPr>
              <w:t>8</w:t>
            </w:r>
            <w:r w:rsidRPr="003166ED">
              <w:rPr>
                <w:iCs/>
              </w:rPr>
              <w:t>)</w:t>
            </w:r>
            <w:r w:rsidRPr="003166ED">
              <w:rPr>
                <w:iCs/>
              </w:rPr>
              <w:tab/>
              <w:t xml:space="preserve">ERCOT shall review the RUC-recommended Resource commitments </w:t>
            </w:r>
            <w:r w:rsidRPr="003166ED">
              <w:t>and the list of Off-Line Available Resources having a start-up time of one hour or less</w:t>
            </w:r>
            <w:r w:rsidRPr="003166ED">
              <w:rPr>
                <w:iCs/>
              </w:rPr>
              <w:t xml:space="preserve"> to assess feasibility and shall make any changes that it considers necessary, in its sole discretion.  During the RUC process, ERCOT may also review and commit, through a RUC instruction, Combined Cycle Generation Resources that are currently planned to be On-Line but are capable of transitioning to a configuration with additional capacity.  ERCOT may deselect Resources recommended in DRUC and in all HRUC processes if in ERCOT’s sole discretion there is enough time to commit those Resources in the future HRUC processes, </w:t>
            </w:r>
            <w:proofErr w:type="gramStart"/>
            <w:r w:rsidRPr="003166ED">
              <w:rPr>
                <w:iCs/>
              </w:rPr>
              <w:t>taking into account</w:t>
            </w:r>
            <w:proofErr w:type="gramEnd"/>
            <w:r w:rsidRPr="003166ED">
              <w:rPr>
                <w:iCs/>
              </w:rPr>
              <w:t xml:space="preserve"> the Resources’ start-up times, to meet ERCOT System reliability.  After each RUC run, ERCOT shall post the amount of capacity deselected per hour in the RUC Study Period to the MIS Secure Area.  </w:t>
            </w:r>
            <w:r w:rsidRPr="003166ED">
              <w:t>A Generation Resource shown as On-Line and available for SCED dispatch for an hour in its COP prior to a DRUC or HRUC process execution, according to Section 5.3, ERCOT Security Sequence Responsibilities, will be considered self-committed for that hour.  For purpose of Settlement, snapshot data will be used as specified in paragraph (2) of Section 5.3.</w:t>
            </w:r>
            <w:r w:rsidRPr="003166ED">
              <w:rPr>
                <w:iCs/>
              </w:rPr>
              <w:t xml:space="preserve">  </w:t>
            </w:r>
          </w:p>
          <w:p w14:paraId="78E44E6A" w14:textId="6B364E87" w:rsidR="00A316E8" w:rsidRPr="003166ED" w:rsidRDefault="00A316E8" w:rsidP="00A316E8">
            <w:pPr>
              <w:spacing w:after="240"/>
              <w:ind w:left="720" w:hanging="720"/>
            </w:pPr>
            <w:r>
              <w:rPr>
                <w:iCs/>
              </w:rPr>
              <w:t>(</w:t>
            </w:r>
            <w:r w:rsidR="001122B2">
              <w:rPr>
                <w:iCs/>
              </w:rPr>
              <w:t>9</w:t>
            </w:r>
            <w:r>
              <w:rPr>
                <w:iCs/>
              </w:rPr>
              <w:t>)</w:t>
            </w:r>
            <w:r>
              <w:rPr>
                <w:iCs/>
              </w:rPr>
              <w:tab/>
            </w:r>
            <w:r w:rsidRPr="003166ED">
              <w:rPr>
                <w:iCs/>
              </w:rPr>
              <w:t xml:space="preserve">ERCOT shall issue RUC instructions to each QSE specifying its Resources that have been committed </w:t>
            </w:r>
            <w:proofErr w:type="gramStart"/>
            <w:r w:rsidRPr="003166ED">
              <w:rPr>
                <w:iCs/>
              </w:rPr>
              <w:t>as a result of</w:t>
            </w:r>
            <w:proofErr w:type="gramEnd"/>
            <w:r w:rsidRPr="003166ED">
              <w:rPr>
                <w:iCs/>
              </w:rPr>
              <w:t xml:space="preserve"> the RUC process.  ERCOT shall, within one day after making any changes to the RUC-recommended commitments, post to the MIS Secure Area any changes that ERCOT made to the RUC-recommended commitments with an explanation of the changes.</w:t>
            </w:r>
          </w:p>
          <w:p w14:paraId="69A11E2F" w14:textId="5EFD6911" w:rsidR="00A316E8" w:rsidRPr="003166ED" w:rsidRDefault="00A316E8" w:rsidP="00A316E8">
            <w:pPr>
              <w:spacing w:after="240"/>
              <w:ind w:left="720" w:hanging="720"/>
            </w:pPr>
            <w:r w:rsidRPr="003166ED">
              <w:t>(</w:t>
            </w:r>
            <w:r w:rsidR="001122B2">
              <w:t>10</w:t>
            </w:r>
            <w:r w:rsidRPr="003166ED">
              <w:t>)</w:t>
            </w:r>
            <w:r w:rsidRPr="003166ED">
              <w:tab/>
              <w:t xml:space="preserve">ERCOT shall use the RUC process to evaluate the need to commit Resources for which a QSE has submitted Three-Part Supply Offers and other available Off-Line Resources in addition to Resources that are planned to be On-Line during the RUC Study Period.  </w:t>
            </w:r>
            <w:proofErr w:type="gramStart"/>
            <w:r w:rsidRPr="003166ED">
              <w:t>All of</w:t>
            </w:r>
            <w:proofErr w:type="gramEnd"/>
            <w:r w:rsidRPr="003166ED">
              <w:t xml:space="preserve"> the above commitment information must be as specified in the QSE’s COP.  For available Off-Line Resources with a cold start time of one hour or less</w:t>
            </w:r>
            <w:r w:rsidRPr="003166ED">
              <w:rPr>
                <w:iCs/>
              </w:rPr>
              <w:t xml:space="preserve"> that have not been removed from special consideration under paragraph (</w:t>
            </w:r>
            <w:r w:rsidR="00D438B2">
              <w:rPr>
                <w:iCs/>
              </w:rPr>
              <w:t>1</w:t>
            </w:r>
            <w:r w:rsidR="001122B2">
              <w:rPr>
                <w:iCs/>
              </w:rPr>
              <w:t>6</w:t>
            </w:r>
            <w:r w:rsidRPr="003166ED">
              <w:rPr>
                <w:iCs/>
              </w:rPr>
              <w:t>) below pursuant to paragraph (4) of Section 8.1.2, Current Operating Plan (COP) Performance Requirements</w:t>
            </w:r>
            <w:r w:rsidRPr="003166ED">
              <w:t xml:space="preserve">, the Startup Offers and Minimum-Energy Offer from a Resource’s Three-Part Supply Offer shall not be used in the RUC process. </w:t>
            </w:r>
          </w:p>
          <w:p w14:paraId="650FDDA5" w14:textId="36A356D1" w:rsidR="00A316E8" w:rsidRDefault="00A316E8" w:rsidP="00A316E8">
            <w:pPr>
              <w:spacing w:after="240"/>
              <w:ind w:left="720" w:hanging="720"/>
            </w:pPr>
            <w:r w:rsidRPr="003166ED">
              <w:t>(</w:t>
            </w:r>
            <w:r>
              <w:t>1</w:t>
            </w:r>
            <w:r w:rsidR="001122B2">
              <w:t>1</w:t>
            </w:r>
            <w:r w:rsidRPr="003166ED">
              <w:t>)</w:t>
            </w:r>
            <w:r w:rsidRPr="003166ED">
              <w:tab/>
              <w:t xml:space="preserve">ERCOT shall create Three-Part Supply Offers for all Resources that did not submit a Three-Part Supply Offer, but are specified as available but Off-Line, excluding </w:t>
            </w:r>
            <w:r w:rsidRPr="003166ED">
              <w:lastRenderedPageBreak/>
              <w:t>Resources with a Resource Status of EMR, in a QSE’s COP.  For such Resources, excluding available Off-Line Resources with a cold start time of one hour or less</w:t>
            </w:r>
            <w:r w:rsidRPr="003166ED">
              <w:rPr>
                <w:iCs/>
              </w:rPr>
              <w:t xml:space="preserve"> that have not been removed from special consideration under paragraph (</w:t>
            </w:r>
            <w:r>
              <w:rPr>
                <w:iCs/>
              </w:rPr>
              <w:t>1</w:t>
            </w:r>
            <w:r w:rsidR="001122B2">
              <w:rPr>
                <w:iCs/>
              </w:rPr>
              <w:t>4</w:t>
            </w:r>
            <w:r w:rsidRPr="003166ED">
              <w:rPr>
                <w:iCs/>
              </w:rPr>
              <w:t>) below pursuant to paragraph (4) of Section 8.1.2</w:t>
            </w:r>
            <w:r w:rsidRPr="003166ED">
              <w:t>, ERCOT shall use in the RUC process 1</w:t>
            </w:r>
            <w:r w:rsidR="004E03B9">
              <w:t>0</w:t>
            </w:r>
            <w:r w:rsidRPr="003166ED">
              <w:t xml:space="preserve">0% of any approved verifiable Startup Cost and verifiable minimum-energy cost or if verifiable costs have not been approved, the applicable Resource Category Generic Startup Offer Cost and the applicable Resource Category Generic Minimum-Energy Offer Cost as described specified in Section 4.4.9.2.3, Startup Offer and Minimum-Energy Offer Generic Caps, registered with ERCOT.  </w:t>
            </w:r>
            <w:r w:rsidR="004E03B9">
              <w:t>Also,</w:t>
            </w:r>
            <w:r w:rsidRPr="003166ED">
              <w:t xml:space="preserve"> for Settlement purposes, ERCOT shall use any approved verifiable Startup Costs and verifiable minimum-energy cost for such Resources, or if verifiable costs have not been approved, the applicable Resource Category Generic Startup Offer Cost and Generic Minimum-Energy Offer Cost.</w:t>
            </w:r>
          </w:p>
          <w:p w14:paraId="73CD0E1C" w14:textId="276BD4D1" w:rsidR="00D438B2" w:rsidRDefault="00D438B2" w:rsidP="00D438B2">
            <w:pPr>
              <w:pStyle w:val="BodyTextNumberedChar"/>
              <w:rPr>
                <w:iCs/>
              </w:rPr>
            </w:pPr>
            <w:r>
              <w:rPr>
                <w:iCs/>
              </w:rPr>
              <w:t>(1</w:t>
            </w:r>
            <w:r w:rsidR="001122B2">
              <w:rPr>
                <w:iCs/>
              </w:rPr>
              <w:t>2</w:t>
            </w:r>
            <w:r>
              <w:rPr>
                <w:iCs/>
              </w:rPr>
              <w:t>)</w:t>
            </w:r>
            <w:r>
              <w:rPr>
                <w:iCs/>
              </w:rPr>
              <w:tab/>
            </w:r>
            <w:r w:rsidRPr="00732CD7">
              <w:rPr>
                <w:iCs/>
              </w:rPr>
              <w:t xml:space="preserve">A QSE shall notify </w:t>
            </w:r>
            <w:r>
              <w:rPr>
                <w:iCs/>
              </w:rPr>
              <w:t xml:space="preserve">the </w:t>
            </w:r>
            <w:r w:rsidRPr="00732CD7">
              <w:rPr>
                <w:iCs/>
              </w:rPr>
              <w:t>ERCOT</w:t>
            </w:r>
            <w:r>
              <w:rPr>
                <w:iCs/>
              </w:rPr>
              <w:t xml:space="preserve"> Operator </w:t>
            </w:r>
            <w:r w:rsidRPr="00732CD7">
              <w:rPr>
                <w:iCs/>
              </w:rPr>
              <w:t xml:space="preserve">of any physical limitation that impacts its Resource’s ability to start that is not reflected in the Resource’s COP or the Resource’s startup time, minimum </w:t>
            </w:r>
            <w:r>
              <w:rPr>
                <w:iCs/>
              </w:rPr>
              <w:t>O</w:t>
            </w:r>
            <w:r w:rsidRPr="00732CD7">
              <w:rPr>
                <w:iCs/>
              </w:rPr>
              <w:t>n</w:t>
            </w:r>
            <w:r>
              <w:rPr>
                <w:iCs/>
              </w:rPr>
              <w:t>-L</w:t>
            </w:r>
            <w:r w:rsidRPr="00732CD7">
              <w:rPr>
                <w:iCs/>
              </w:rPr>
              <w:t>ine time</w:t>
            </w:r>
            <w:r>
              <w:rPr>
                <w:iCs/>
              </w:rPr>
              <w:t>,</w:t>
            </w:r>
            <w:r w:rsidRPr="00732CD7">
              <w:rPr>
                <w:iCs/>
              </w:rPr>
              <w:t xml:space="preserve"> or </w:t>
            </w:r>
            <w:r>
              <w:rPr>
                <w:iCs/>
              </w:rPr>
              <w:t>minimum O</w:t>
            </w:r>
            <w:r w:rsidRPr="00732CD7">
              <w:rPr>
                <w:iCs/>
              </w:rPr>
              <w:t>ff</w:t>
            </w:r>
            <w:r>
              <w:rPr>
                <w:iCs/>
              </w:rPr>
              <w:t>-L</w:t>
            </w:r>
            <w:r w:rsidRPr="00732CD7">
              <w:rPr>
                <w:iCs/>
              </w:rPr>
              <w:t>ine time.</w:t>
            </w:r>
            <w:r>
              <w:rPr>
                <w:iCs/>
              </w:rPr>
              <w:t xml:space="preserve">  The following shall apply:</w:t>
            </w:r>
          </w:p>
          <w:p w14:paraId="1CA35065" w14:textId="098319AF" w:rsidR="00D438B2" w:rsidRDefault="00D438B2" w:rsidP="00D438B2">
            <w:pPr>
              <w:pStyle w:val="List2"/>
              <w:rPr>
                <w:iCs/>
              </w:rPr>
            </w:pPr>
            <w:r w:rsidRPr="00B37C88">
              <w:t xml:space="preserve">(a) </w:t>
            </w:r>
            <w:r>
              <w:tab/>
            </w:r>
            <w:r w:rsidRPr="00B37C88">
              <w:t>If a Resource receives a RUC Dispatch Instruction that it cannot meet due to a physical limitation described in paragraph (</w:t>
            </w:r>
            <w:r w:rsidR="001122B2">
              <w:t>5</w:t>
            </w:r>
            <w:r w:rsidRPr="00B37C88">
              <w:t xml:space="preserve">) above, the QSE representing the Resource shall notify the ERCOT Operator of the inability to fully comply with the instruction and shall comply with the instruction to the best of the Resource’s ability.  If the QSE has provided the ERCOT Operator notice of that limitation at least seven days prior to the Operating Day in which the instruction occurs, the QSE shall be excused from complying with the portion of the RUC </w:t>
            </w:r>
            <w:r>
              <w:t>Dispatch I</w:t>
            </w:r>
            <w:r w:rsidRPr="00B37C88">
              <w:t xml:space="preserve">nstruction that it could not meet due to the identified limitation. </w:t>
            </w:r>
            <w:r>
              <w:rPr>
                <w:iCs/>
              </w:rPr>
              <w:t xml:space="preserve"> </w:t>
            </w:r>
          </w:p>
          <w:p w14:paraId="404FEEDC" w14:textId="77777777" w:rsidR="00D438B2" w:rsidRPr="00B95437" w:rsidRDefault="00D438B2" w:rsidP="00D438B2">
            <w:pPr>
              <w:pStyle w:val="List2"/>
            </w:pPr>
            <w:r w:rsidRPr="00493107">
              <w:t xml:space="preserve">(b) </w:t>
            </w:r>
            <w:r>
              <w:tab/>
            </w:r>
            <w:r w:rsidRPr="00493107">
              <w:t>If a QSE provides notice pursuant to paragraph (a) above of a physical limitation that will delay the RUC-committed Resource’s ability to reach its LSL in accordance with a RUC Dispatch Instruction, ERCOT shall extend the RUC Dispatch Instruction so that the Resource’s minimum</w:t>
            </w:r>
            <w:r>
              <w:t xml:space="preserve"> </w:t>
            </w:r>
            <w:r w:rsidRPr="00493107">
              <w:t>run time is respected. However, if the Resource will not be available in time to address the issue for which it received the RUC instruction, ERCOT may instead cancel the RUC Dispatch Instruction.</w:t>
            </w:r>
          </w:p>
          <w:p w14:paraId="2AEC1B9C" w14:textId="3965DF87" w:rsidR="00D438B2" w:rsidRDefault="00D438B2" w:rsidP="00D438B2">
            <w:pPr>
              <w:spacing w:after="240"/>
              <w:ind w:left="720" w:hanging="720"/>
            </w:pPr>
            <w:r>
              <w:t>(1</w:t>
            </w:r>
            <w:r w:rsidR="001122B2">
              <w:t>3</w:t>
            </w:r>
            <w:r>
              <w:t>)</w:t>
            </w:r>
            <w:r>
              <w:rPr>
                <w:iCs/>
              </w:rPr>
              <w:tab/>
              <w:t>A</w:t>
            </w:r>
            <w:r w:rsidRPr="004F2419">
              <w:rPr>
                <w:iCs/>
              </w:rPr>
              <w:t xml:space="preserve"> QSE shall be excused from complying with </w:t>
            </w:r>
            <w:r>
              <w:rPr>
                <w:iCs/>
              </w:rPr>
              <w:t>any</w:t>
            </w:r>
            <w:r w:rsidRPr="004F2419">
              <w:rPr>
                <w:iCs/>
              </w:rPr>
              <w:t xml:space="preserve"> portion of </w:t>
            </w:r>
            <w:r>
              <w:rPr>
                <w:iCs/>
              </w:rPr>
              <w:t>a</w:t>
            </w:r>
            <w:r w:rsidRPr="004F2419">
              <w:rPr>
                <w:iCs/>
              </w:rPr>
              <w:t xml:space="preserve"> RUC </w:t>
            </w:r>
            <w:r>
              <w:rPr>
                <w:iCs/>
              </w:rPr>
              <w:t>Dispatch I</w:t>
            </w:r>
            <w:r w:rsidRPr="004F2419">
              <w:rPr>
                <w:iCs/>
              </w:rPr>
              <w:t xml:space="preserve">nstruction that it could not meet due to </w:t>
            </w:r>
            <w:r>
              <w:rPr>
                <w:iCs/>
              </w:rPr>
              <w:t xml:space="preserve">a physical </w:t>
            </w:r>
            <w:r w:rsidRPr="004F2419">
              <w:rPr>
                <w:iCs/>
              </w:rPr>
              <w:t xml:space="preserve">limitation </w:t>
            </w:r>
            <w:r>
              <w:rPr>
                <w:iCs/>
              </w:rPr>
              <w:t>that was reflected,</w:t>
            </w:r>
            <w:r w:rsidRPr="00194012">
              <w:rPr>
                <w:iCs/>
              </w:rPr>
              <w:t xml:space="preserve"> </w:t>
            </w:r>
            <w:r>
              <w:rPr>
                <w:iCs/>
              </w:rPr>
              <w:t xml:space="preserve">at the time of the </w:t>
            </w:r>
            <w:r>
              <w:t>RUC Dispatch I</w:t>
            </w:r>
            <w:r>
              <w:rPr>
                <w:iCs/>
              </w:rPr>
              <w:t xml:space="preserve">nstruction, </w:t>
            </w:r>
            <w:r w:rsidRPr="004F2419">
              <w:rPr>
                <w:iCs/>
              </w:rPr>
              <w:t>in the Resourc</w:t>
            </w:r>
            <w:r>
              <w:rPr>
                <w:iCs/>
              </w:rPr>
              <w:t>e’s COP, startup time, minimum On-Line time, or minimum O</w:t>
            </w:r>
            <w:r w:rsidRPr="004F2419">
              <w:rPr>
                <w:iCs/>
              </w:rPr>
              <w:t>ff</w:t>
            </w:r>
            <w:r>
              <w:rPr>
                <w:iCs/>
              </w:rPr>
              <w:t>-L</w:t>
            </w:r>
            <w:r w:rsidRPr="004F2419">
              <w:rPr>
                <w:iCs/>
              </w:rPr>
              <w:t>ine time.</w:t>
            </w:r>
          </w:p>
          <w:p w14:paraId="2CB6E45A" w14:textId="79D1FEA4" w:rsidR="00A316E8" w:rsidRPr="003166ED" w:rsidDel="00B23B98" w:rsidRDefault="00D438B2" w:rsidP="00D438B2">
            <w:pPr>
              <w:spacing w:after="240"/>
              <w:ind w:left="720" w:hanging="720"/>
            </w:pPr>
            <w:r>
              <w:t>(1</w:t>
            </w:r>
            <w:r w:rsidR="001122B2">
              <w:t>4</w:t>
            </w:r>
            <w:r w:rsidR="00A316E8" w:rsidRPr="003166ED" w:rsidDel="00B23B98">
              <w:t>)</w:t>
            </w:r>
            <w:r w:rsidR="00A316E8" w:rsidRPr="003166ED" w:rsidDel="00B23B98">
              <w:tab/>
              <w:t xml:space="preserve">To determine the projected energy output level of each Resource and to project potential congestion patterns for each hour of the RUC, ERCOT shall calculate proxy Energy Offer Curves based on the Mitigated Offer Caps (MOCs) for the type of Resource as specified in Section 4.4.9.4, Mitigated Offer Cap and Mitigated Offer Floor, for use in the RUC.  Proxy Energy Offer Curves are calculated by multiplying the MOC by a constant selected by ERCOT from time to time that is no more than 0.10% and applying the cost for all Generation Resource output between High </w:t>
            </w:r>
            <w:r w:rsidR="00A316E8" w:rsidRPr="003166ED" w:rsidDel="00B23B98">
              <w:lastRenderedPageBreak/>
              <w:t>Sustained Limit (HSL) and LSL.  The intent of this process is to minimize the effect of the proxy Energy Offer Curves on optimization.</w:t>
            </w:r>
            <w:r w:rsidR="001122B2">
              <w:t xml:space="preserve">  For ESRs, energy dispatch costs are not considered in determining projected energy output levels.</w:t>
            </w:r>
          </w:p>
          <w:p w14:paraId="7F630943" w14:textId="352B6B82" w:rsidR="00A316E8" w:rsidRPr="003166ED" w:rsidRDefault="00D438B2" w:rsidP="00A316E8">
            <w:pPr>
              <w:spacing w:after="240"/>
              <w:ind w:left="720" w:hanging="720"/>
            </w:pPr>
            <w:r>
              <w:t>(1</w:t>
            </w:r>
            <w:r w:rsidR="001122B2">
              <w:t>5</w:t>
            </w:r>
            <w:r w:rsidR="00A316E8">
              <w:t>)</w:t>
            </w:r>
            <w:r w:rsidR="00A316E8">
              <w:tab/>
              <w:t xml:space="preserve">ERCOT shall calculate proxy Ancillary Service Offer Curves for use in RUC based on validated Ancillary Service Offers as specified in Section 4.4.7.2, Ancillary Service Offers.  For all Resources that do not have a valid Ancillary Service Offer but are qualified to provide an Ancillary Service, ERCOT shall create an Ancillary Service Offer Curve for use in RUC as described in Section 6.5.7.3, </w:t>
            </w:r>
            <w:r w:rsidR="00A316E8" w:rsidRPr="003166ED">
              <w:t>Security Constrained Economic Dispatch</w:t>
            </w:r>
            <w:r w:rsidR="00A316E8">
              <w:t xml:space="preserve">.  Proxy Ancillary Service Offer Curves for use in RUC are calculated by multiplying the Ancillary Service Offer by a constant selected by ERCOT from time to time that is no more than 0.1%, and are extended between the HSL and LSL.  Notwithstanding the presence or absence of a proxy Ancillary Service Offer, Ancillary Service provision in RUC shall be limited by the Resource’s Ancillary Service capabilities as reflected in the COP. </w:t>
            </w:r>
            <w:r w:rsidR="001122B2">
              <w:t xml:space="preserve"> For ESRs, Ancillary Service Offer costs are not considered in determining projected Ancillary Service awards.</w:t>
            </w:r>
          </w:p>
          <w:p w14:paraId="156754DD" w14:textId="12743452" w:rsidR="00A316E8" w:rsidRPr="003166ED" w:rsidRDefault="00A316E8" w:rsidP="00A316E8">
            <w:pPr>
              <w:spacing w:after="240"/>
              <w:ind w:left="720" w:hanging="720"/>
            </w:pPr>
            <w:r w:rsidRPr="003166ED">
              <w:t>(</w:t>
            </w:r>
            <w:r w:rsidR="00D438B2">
              <w:t>1</w:t>
            </w:r>
            <w:r w:rsidR="001122B2">
              <w:t>6</w:t>
            </w:r>
            <w:r w:rsidRPr="003166ED">
              <w:t>)</w:t>
            </w:r>
            <w:r w:rsidRPr="003166ED">
              <w:tab/>
            </w:r>
            <w:r w:rsidRPr="003166ED">
              <w:rPr>
                <w:iCs/>
              </w:rPr>
              <w:t xml:space="preserve">For all available Off-Line Resources having a cold start time of one hour or less and not removed from special consideration pursuant to paragraph (4) of Section 8.1.2, </w:t>
            </w:r>
            <w:r w:rsidRPr="003166ED">
              <w:t xml:space="preserve">ERCOT shall scale any approved verifiable Startup Cost and verifiable minimum-energy cost or if verifiable costs have not been approved, the applicable Resource Category Generic Startup Offer Cost and the applicable Resource Category Generic Minimum-Energy Offer Cost as specified in Section 4.4.9.2.3 for use in the RUC process.  </w:t>
            </w:r>
          </w:p>
          <w:p w14:paraId="382F7023" w14:textId="77777777" w:rsidR="00A316E8" w:rsidRPr="003166ED" w:rsidRDefault="00A316E8" w:rsidP="00A316E8">
            <w:pPr>
              <w:ind w:left="720"/>
            </w:pPr>
            <w:r w:rsidRPr="003166ED">
              <w:t>The above parameter is defined as follows:</w:t>
            </w:r>
          </w:p>
          <w:tbl>
            <w:tblPr>
              <w:tblW w:w="8822" w:type="dxa"/>
              <w:tblInd w:w="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9"/>
              <w:gridCol w:w="1805"/>
              <w:gridCol w:w="4578"/>
            </w:tblGrid>
            <w:tr w:rsidR="00A316E8" w:rsidRPr="003166ED" w14:paraId="0982E9CA" w14:textId="77777777" w:rsidTr="00FD6A54">
              <w:trPr>
                <w:trHeight w:val="386"/>
              </w:trPr>
              <w:tc>
                <w:tcPr>
                  <w:tcW w:w="2439" w:type="dxa"/>
                </w:tcPr>
                <w:p w14:paraId="0EEDBDFE" w14:textId="77777777" w:rsidR="00A316E8" w:rsidRPr="003166ED" w:rsidRDefault="00A316E8" w:rsidP="00A316E8">
                  <w:pPr>
                    <w:rPr>
                      <w:b/>
                      <w:sz w:val="20"/>
                    </w:rPr>
                  </w:pPr>
                  <w:r w:rsidRPr="003166ED">
                    <w:rPr>
                      <w:b/>
                      <w:sz w:val="20"/>
                    </w:rPr>
                    <w:t>Parameter</w:t>
                  </w:r>
                </w:p>
              </w:tc>
              <w:tc>
                <w:tcPr>
                  <w:tcW w:w="1805" w:type="dxa"/>
                  <w:shd w:val="clear" w:color="auto" w:fill="auto"/>
                </w:tcPr>
                <w:p w14:paraId="519E737E" w14:textId="77777777" w:rsidR="00A316E8" w:rsidRPr="003166ED" w:rsidRDefault="00A316E8" w:rsidP="00A316E8">
                  <w:pPr>
                    <w:rPr>
                      <w:b/>
                      <w:sz w:val="20"/>
                    </w:rPr>
                  </w:pPr>
                  <w:r w:rsidRPr="003166ED">
                    <w:rPr>
                      <w:b/>
                      <w:sz w:val="20"/>
                    </w:rPr>
                    <w:t>Unit</w:t>
                  </w:r>
                </w:p>
              </w:tc>
              <w:tc>
                <w:tcPr>
                  <w:tcW w:w="4578" w:type="dxa"/>
                  <w:shd w:val="clear" w:color="auto" w:fill="auto"/>
                </w:tcPr>
                <w:p w14:paraId="46C187C8" w14:textId="77777777" w:rsidR="00A316E8" w:rsidRPr="003166ED" w:rsidRDefault="00A316E8" w:rsidP="00A316E8">
                  <w:pPr>
                    <w:rPr>
                      <w:b/>
                      <w:sz w:val="20"/>
                    </w:rPr>
                  </w:pPr>
                  <w:r w:rsidRPr="003166ED">
                    <w:rPr>
                      <w:b/>
                      <w:sz w:val="20"/>
                    </w:rPr>
                    <w:t>Current Value*</w:t>
                  </w:r>
                </w:p>
              </w:tc>
            </w:tr>
            <w:tr w:rsidR="00A316E8" w:rsidRPr="003166ED" w14:paraId="21B614C5" w14:textId="77777777" w:rsidTr="00FD6A54">
              <w:trPr>
                <w:trHeight w:val="359"/>
              </w:trPr>
              <w:tc>
                <w:tcPr>
                  <w:tcW w:w="2439" w:type="dxa"/>
                </w:tcPr>
                <w:p w14:paraId="7E4F8D98" w14:textId="77777777" w:rsidR="00A316E8" w:rsidRPr="003166ED" w:rsidRDefault="00A316E8" w:rsidP="00A316E8">
                  <w:pPr>
                    <w:spacing w:after="240"/>
                    <w:rPr>
                      <w:sz w:val="20"/>
                    </w:rPr>
                  </w:pPr>
                  <w:r w:rsidRPr="003166ED">
                    <w:rPr>
                      <w:sz w:val="20"/>
                    </w:rPr>
                    <w:t>1HRLESSCOSTSCALING</w:t>
                  </w:r>
                </w:p>
              </w:tc>
              <w:tc>
                <w:tcPr>
                  <w:tcW w:w="1805" w:type="dxa"/>
                  <w:shd w:val="clear" w:color="auto" w:fill="auto"/>
                </w:tcPr>
                <w:p w14:paraId="4CF80EA8" w14:textId="77777777" w:rsidR="00A316E8" w:rsidRPr="003166ED" w:rsidRDefault="00A316E8" w:rsidP="00A316E8">
                  <w:pPr>
                    <w:spacing w:after="240"/>
                    <w:rPr>
                      <w:sz w:val="20"/>
                    </w:rPr>
                  </w:pPr>
                  <w:r w:rsidRPr="003166ED">
                    <w:rPr>
                      <w:sz w:val="20"/>
                    </w:rPr>
                    <w:t>Percentage</w:t>
                  </w:r>
                </w:p>
              </w:tc>
              <w:tc>
                <w:tcPr>
                  <w:tcW w:w="4578" w:type="dxa"/>
                  <w:shd w:val="clear" w:color="auto" w:fill="auto"/>
                </w:tcPr>
                <w:p w14:paraId="63572868" w14:textId="6EDAA48E" w:rsidR="00A316E8" w:rsidRPr="003166ED" w:rsidRDefault="00A316E8" w:rsidP="00A316E8">
                  <w:pPr>
                    <w:spacing w:after="240"/>
                    <w:rPr>
                      <w:sz w:val="20"/>
                    </w:rPr>
                  </w:pPr>
                  <w:r w:rsidRPr="003166ED">
                    <w:rPr>
                      <w:sz w:val="20"/>
                    </w:rPr>
                    <w:t xml:space="preserve">Maximum value of </w:t>
                  </w:r>
                  <w:r w:rsidR="00567D12">
                    <w:rPr>
                      <w:sz w:val="20"/>
                    </w:rPr>
                    <w:t>10</w:t>
                  </w:r>
                  <w:r w:rsidRPr="003166ED">
                    <w:rPr>
                      <w:sz w:val="20"/>
                    </w:rPr>
                    <w:t>0%</w:t>
                  </w:r>
                </w:p>
              </w:tc>
            </w:tr>
            <w:tr w:rsidR="00A316E8" w:rsidRPr="003166ED" w14:paraId="1124432F" w14:textId="77777777" w:rsidTr="00FD6A54">
              <w:trPr>
                <w:trHeight w:val="1178"/>
              </w:trPr>
              <w:tc>
                <w:tcPr>
                  <w:tcW w:w="8822" w:type="dxa"/>
                  <w:gridSpan w:val="3"/>
                </w:tcPr>
                <w:p w14:paraId="61478E20" w14:textId="77777777" w:rsidR="00A316E8" w:rsidRPr="003166ED" w:rsidRDefault="00A316E8" w:rsidP="00A316E8">
                  <w:pPr>
                    <w:rPr>
                      <w:sz w:val="20"/>
                    </w:rPr>
                  </w:pPr>
                  <w:r w:rsidRPr="003166ED">
                    <w:rPr>
                      <w:sz w:val="20"/>
                    </w:rPr>
                    <w:t>*  The current value for the parameter(s) referenced in this table above will be recommended by the Technical Advisory Committee (TAC) and approved by the ERCOT Board.  ERCOT shall update parameter value(s) on the first day of the month following ERCOT Board approval unless otherwise directed by the ERCOT Board.  ERCOT shall provide a Market Notice prior to implementation of a revised parameter value.</w:t>
                  </w:r>
                </w:p>
              </w:tc>
            </w:tr>
          </w:tbl>
          <w:p w14:paraId="1A4BB30C" w14:textId="321C74BE" w:rsidR="00A316E8" w:rsidRPr="003166ED" w:rsidRDefault="00A316E8" w:rsidP="00A316E8">
            <w:pPr>
              <w:spacing w:before="240" w:after="240"/>
              <w:ind w:left="720" w:hanging="720"/>
            </w:pPr>
            <w:r w:rsidRPr="003166ED">
              <w:t>(</w:t>
            </w:r>
            <w:r w:rsidR="00D438B2">
              <w:t>1</w:t>
            </w:r>
            <w:r w:rsidR="001122B2">
              <w:t>7</w:t>
            </w:r>
            <w:r w:rsidRPr="003166ED">
              <w:t>)</w:t>
            </w:r>
            <w:r w:rsidRPr="003166ED">
              <w:tab/>
              <w:t xml:space="preserve">Factors included in the RUC process are: </w:t>
            </w:r>
          </w:p>
          <w:p w14:paraId="6520A1CF" w14:textId="77777777" w:rsidR="00A316E8" w:rsidRDefault="00A316E8" w:rsidP="00A316E8">
            <w:pPr>
              <w:spacing w:after="240"/>
              <w:ind w:left="1440" w:hanging="720"/>
            </w:pPr>
            <w:r w:rsidRPr="003166ED">
              <w:t>(a)</w:t>
            </w:r>
            <w:r w:rsidRPr="003166ED">
              <w:tab/>
              <w:t xml:space="preserve">ERCOT System-wide hourly Load forecast allocated appropriately </w:t>
            </w:r>
            <w:proofErr w:type="gramStart"/>
            <w:r w:rsidRPr="003166ED">
              <w:t>over Load</w:t>
            </w:r>
            <w:proofErr w:type="gramEnd"/>
            <w:r w:rsidRPr="003166ED">
              <w:t xml:space="preserve"> buses;</w:t>
            </w:r>
          </w:p>
          <w:p w14:paraId="2FEC62DC" w14:textId="77777777" w:rsidR="00A316E8" w:rsidRPr="003166ED" w:rsidRDefault="00A316E8" w:rsidP="00A316E8">
            <w:pPr>
              <w:spacing w:after="240"/>
              <w:ind w:left="1440" w:hanging="720"/>
            </w:pPr>
            <w:r>
              <w:t>(b)</w:t>
            </w:r>
            <w:r>
              <w:tab/>
              <w:t>ERCOT’s Ancillary Service Plans in the form of ASDCs;</w:t>
            </w:r>
          </w:p>
          <w:p w14:paraId="1A99518A" w14:textId="77777777" w:rsidR="00A316E8" w:rsidRPr="003166ED" w:rsidRDefault="00A316E8" w:rsidP="00A316E8">
            <w:pPr>
              <w:spacing w:after="240"/>
              <w:ind w:left="1440" w:hanging="720"/>
            </w:pPr>
            <w:r w:rsidRPr="003166ED">
              <w:t>(</w:t>
            </w:r>
            <w:r>
              <w:t>c</w:t>
            </w:r>
            <w:r w:rsidRPr="003166ED">
              <w:t>)</w:t>
            </w:r>
            <w:r w:rsidRPr="003166ED">
              <w:tab/>
              <w:t>Transmission constraints – Transfer limits on energy flows through the electricity network;</w:t>
            </w:r>
          </w:p>
          <w:p w14:paraId="06D9D6C8" w14:textId="77777777" w:rsidR="00A316E8" w:rsidRPr="003166ED" w:rsidRDefault="00A316E8" w:rsidP="00A316E8">
            <w:pPr>
              <w:spacing w:after="240"/>
              <w:ind w:left="2160" w:hanging="720"/>
            </w:pPr>
            <w:r w:rsidRPr="003166ED">
              <w:t>(i)</w:t>
            </w:r>
            <w:r w:rsidRPr="003166ED">
              <w:tab/>
              <w:t>Thermal constraints – protect transmission facilities against thermal overload;</w:t>
            </w:r>
          </w:p>
          <w:p w14:paraId="6E115A3F" w14:textId="77777777" w:rsidR="00A316E8" w:rsidRPr="003166ED" w:rsidRDefault="00A316E8" w:rsidP="00A316E8">
            <w:pPr>
              <w:spacing w:after="240"/>
              <w:ind w:left="2160" w:hanging="720"/>
            </w:pPr>
            <w:r w:rsidRPr="003166ED">
              <w:lastRenderedPageBreak/>
              <w:t>(ii)</w:t>
            </w:r>
            <w:r w:rsidRPr="003166ED">
              <w:tab/>
              <w:t xml:space="preserve">Generic constraints – protect the transmission system against transient instability, dynamic </w:t>
            </w:r>
            <w:proofErr w:type="gramStart"/>
            <w:r w:rsidRPr="003166ED">
              <w:t>instability</w:t>
            </w:r>
            <w:proofErr w:type="gramEnd"/>
            <w:r w:rsidRPr="003166ED">
              <w:t xml:space="preserve"> or voltage collapse;</w:t>
            </w:r>
          </w:p>
          <w:p w14:paraId="2AC00771" w14:textId="77777777" w:rsidR="00A316E8" w:rsidRPr="003166ED" w:rsidRDefault="00A316E8" w:rsidP="00A316E8">
            <w:pPr>
              <w:spacing w:after="240"/>
              <w:ind w:left="1440" w:hanging="720"/>
            </w:pPr>
            <w:r w:rsidRPr="003166ED">
              <w:t>(</w:t>
            </w:r>
            <w:r>
              <w:t>d</w:t>
            </w:r>
            <w:r w:rsidRPr="003166ED">
              <w:t>)</w:t>
            </w:r>
            <w:r w:rsidRPr="003166ED">
              <w:tab/>
              <w:t>Planned transmission topology;</w:t>
            </w:r>
          </w:p>
          <w:p w14:paraId="23EA4AE7" w14:textId="280961D0" w:rsidR="00A316E8" w:rsidRPr="003166ED" w:rsidRDefault="00A316E8" w:rsidP="00A316E8">
            <w:pPr>
              <w:spacing w:after="240"/>
              <w:ind w:left="1440" w:hanging="720"/>
            </w:pPr>
            <w:r w:rsidRPr="003166ED">
              <w:t>(</w:t>
            </w:r>
            <w:r>
              <w:t>e</w:t>
            </w:r>
            <w:r w:rsidRPr="003166ED">
              <w:t>)</w:t>
            </w:r>
            <w:r w:rsidRPr="003166ED">
              <w:tab/>
              <w:t>Energy sufficiency constraints</w:t>
            </w:r>
            <w:r w:rsidR="001122B2">
              <w:t>, including RUC duration requirements for energy and Ancillary Services</w:t>
            </w:r>
            <w:r w:rsidRPr="003166ED">
              <w:t>;</w:t>
            </w:r>
          </w:p>
          <w:p w14:paraId="6E483304" w14:textId="77777777" w:rsidR="00A316E8" w:rsidRPr="003166ED" w:rsidRDefault="00A316E8" w:rsidP="00A316E8">
            <w:pPr>
              <w:spacing w:after="240"/>
              <w:ind w:left="1440" w:hanging="720"/>
            </w:pPr>
            <w:r w:rsidRPr="003166ED">
              <w:t>(</w:t>
            </w:r>
            <w:r>
              <w:t>f</w:t>
            </w:r>
            <w:r w:rsidRPr="003166ED">
              <w:t>)</w:t>
            </w:r>
            <w:r w:rsidRPr="003166ED">
              <w:tab/>
              <w:t>Inputs from the COP, as appropriate;</w:t>
            </w:r>
          </w:p>
          <w:p w14:paraId="62DA1C02" w14:textId="77777777" w:rsidR="00A316E8" w:rsidRPr="003166ED" w:rsidRDefault="00A316E8" w:rsidP="00A316E8">
            <w:pPr>
              <w:spacing w:after="240"/>
              <w:ind w:left="1440" w:hanging="720"/>
            </w:pPr>
            <w:r w:rsidRPr="003166ED">
              <w:t>(</w:t>
            </w:r>
            <w:r>
              <w:t>g</w:t>
            </w:r>
            <w:r w:rsidRPr="003166ED">
              <w:t>)</w:t>
            </w:r>
            <w:r w:rsidRPr="003166ED">
              <w:tab/>
              <w:t>Inputs from Resource Parameters, including a list of Off-Line Available Resources having a start-up time of one hour or less, as appropriate;</w:t>
            </w:r>
          </w:p>
          <w:p w14:paraId="647166CB" w14:textId="77777777" w:rsidR="00A316E8" w:rsidRPr="003166ED" w:rsidRDefault="00A316E8" w:rsidP="00A316E8">
            <w:pPr>
              <w:spacing w:after="240"/>
              <w:ind w:left="1440" w:hanging="720"/>
            </w:pPr>
            <w:r w:rsidRPr="003166ED">
              <w:t>(</w:t>
            </w:r>
            <w:r>
              <w:t>h</w:t>
            </w:r>
            <w:r w:rsidRPr="003166ED">
              <w:t>)</w:t>
            </w:r>
            <w:r w:rsidRPr="003166ED">
              <w:tab/>
              <w:t>Each Generation Resource’s Minimum-Energy Offer and Startup Offer, from its Three-Part Supply Offer;</w:t>
            </w:r>
          </w:p>
          <w:p w14:paraId="6D81736D" w14:textId="77777777" w:rsidR="00A316E8" w:rsidRPr="003166ED" w:rsidRDefault="00A316E8" w:rsidP="00A316E8">
            <w:pPr>
              <w:spacing w:after="240"/>
              <w:ind w:left="1440" w:hanging="720"/>
            </w:pPr>
            <w:r w:rsidRPr="003166ED">
              <w:t>(</w:t>
            </w:r>
            <w:r>
              <w:t>i</w:t>
            </w:r>
            <w:r w:rsidRPr="003166ED">
              <w:t>)</w:t>
            </w:r>
            <w:r w:rsidRPr="003166ED">
              <w:tab/>
              <w:t>Any Generation Resource that is Off-Line and available but does not have a Three-Part Supply Offer;</w:t>
            </w:r>
          </w:p>
          <w:p w14:paraId="1A361C34" w14:textId="2C066A2E" w:rsidR="00A316E8" w:rsidRPr="003166ED" w:rsidRDefault="00A316E8" w:rsidP="00A316E8">
            <w:pPr>
              <w:spacing w:after="240"/>
              <w:ind w:left="1440" w:hanging="720"/>
            </w:pPr>
            <w:r w:rsidRPr="003166ED">
              <w:t>(</w:t>
            </w:r>
            <w:r>
              <w:t>j</w:t>
            </w:r>
            <w:r w:rsidRPr="003166ED">
              <w:t>)</w:t>
            </w:r>
            <w:r w:rsidRPr="003166ED">
              <w:tab/>
              <w:t>Forced Outage information;</w:t>
            </w:r>
          </w:p>
          <w:p w14:paraId="72835272" w14:textId="7155FB60" w:rsidR="001122B2" w:rsidRDefault="00A316E8" w:rsidP="001122B2">
            <w:pPr>
              <w:spacing w:after="240"/>
              <w:ind w:left="1440" w:hanging="720"/>
            </w:pPr>
            <w:r w:rsidRPr="003166ED">
              <w:t>(</w:t>
            </w:r>
            <w:r>
              <w:t>k</w:t>
            </w:r>
            <w:r w:rsidRPr="003166ED">
              <w:t>)</w:t>
            </w:r>
            <w:r w:rsidRPr="003166ED">
              <w:tab/>
              <w:t>Inputs from the eight-day look ahead planning tool, which may potentially keep a unit On-Line (or start a unit for the next day) so that a unit minimum duration between starts does not limit the availability of the unit (for security reasons)</w:t>
            </w:r>
            <w:r w:rsidR="001122B2">
              <w:t>;</w:t>
            </w:r>
            <w:r w:rsidRPr="003166ED">
              <w:t xml:space="preserve"> </w:t>
            </w:r>
            <w:r w:rsidR="001122B2">
              <w:t>and</w:t>
            </w:r>
          </w:p>
          <w:p w14:paraId="28E4B741" w14:textId="6719A9D7" w:rsidR="00A316E8" w:rsidRPr="003166ED" w:rsidRDefault="001122B2" w:rsidP="00A316E8">
            <w:pPr>
              <w:spacing w:after="240"/>
              <w:ind w:left="1440" w:hanging="720"/>
            </w:pPr>
            <w:r>
              <w:t>(l)</w:t>
            </w:r>
            <w:r w:rsidRPr="00AF1140">
              <w:tab/>
            </w:r>
            <w:r>
              <w:t>Ancillary Service Deployment Factors.</w:t>
            </w:r>
            <w:r w:rsidR="00A316E8" w:rsidRPr="003166ED">
              <w:t xml:space="preserve"> </w:t>
            </w:r>
          </w:p>
          <w:p w14:paraId="69571393" w14:textId="3E7F8D5A" w:rsidR="00A316E8" w:rsidRPr="003166ED" w:rsidRDefault="00A316E8" w:rsidP="00A316E8">
            <w:pPr>
              <w:spacing w:after="240"/>
              <w:ind w:left="720" w:hanging="720"/>
            </w:pPr>
            <w:r w:rsidRPr="003166ED">
              <w:t>(</w:t>
            </w:r>
            <w:r w:rsidR="00D438B2">
              <w:t>1</w:t>
            </w:r>
            <w:r w:rsidR="001122B2">
              <w:t>8</w:t>
            </w:r>
            <w:r w:rsidRPr="003166ED">
              <w:t>)</w:t>
            </w:r>
            <w:r w:rsidRPr="003166ED">
              <w:tab/>
              <w:t>The HRUC process and the DRUC process are as follows:</w:t>
            </w:r>
          </w:p>
          <w:p w14:paraId="4C96DBDF" w14:textId="77777777" w:rsidR="00A316E8" w:rsidRPr="003166ED" w:rsidRDefault="00A316E8" w:rsidP="00A316E8">
            <w:pPr>
              <w:spacing w:after="240"/>
              <w:ind w:left="1440" w:hanging="720"/>
            </w:pPr>
            <w:r w:rsidRPr="003166ED">
              <w:t>(a)</w:t>
            </w:r>
            <w:r w:rsidRPr="003166ED">
              <w:tab/>
              <w:t xml:space="preserve">The HRUC process uses current Resource Status for the initial condition for the first hour of the RUC Study Period.  All HRUC processes use the projected status of transmission breakers and switches starting with </w:t>
            </w:r>
            <w:proofErr w:type="gramStart"/>
            <w:r w:rsidRPr="003166ED">
              <w:t>current status</w:t>
            </w:r>
            <w:proofErr w:type="gramEnd"/>
            <w:r w:rsidRPr="003166ED">
              <w:t xml:space="preserve"> and updated for each remaining hour in the study as indicated in the COP for Resources and in the Outage Scheduler for transmission elements. </w:t>
            </w:r>
          </w:p>
          <w:p w14:paraId="527DE250" w14:textId="2C39E7F6" w:rsidR="00A316E8" w:rsidRPr="003166ED" w:rsidRDefault="00A316E8" w:rsidP="00A316E8">
            <w:pPr>
              <w:spacing w:after="240"/>
              <w:ind w:left="1440" w:hanging="720"/>
            </w:pPr>
            <w:r w:rsidRPr="003166ED">
              <w:t>(b)</w:t>
            </w:r>
            <w:r w:rsidRPr="003166ED">
              <w:tab/>
              <w:t xml:space="preserve">The DRUC process uses the </w:t>
            </w:r>
            <w:r w:rsidR="00417783">
              <w:t xml:space="preserve">current hourly </w:t>
            </w:r>
            <w:r w:rsidRPr="003166ED">
              <w:t>forecast of total ERCOT Load including DC Tie Schedules</w:t>
            </w:r>
            <w:r w:rsidR="00417783">
              <w:t xml:space="preserve"> up to the physical rating of the DC Tie</w:t>
            </w:r>
            <w:r w:rsidRPr="003166ED">
              <w:t xml:space="preserve"> for each hour of the Operating Day.  The HRUC process uses the current hourly forecast of total ERCOT Load including DC Tie Schedules</w:t>
            </w:r>
            <w:r w:rsidR="00417783">
              <w:t xml:space="preserve"> up to the physical rating of the DC Tie</w:t>
            </w:r>
            <w:r w:rsidR="00417783" w:rsidRPr="003166ED">
              <w:t xml:space="preserve"> </w:t>
            </w:r>
            <w:r w:rsidRPr="003166ED">
              <w:t>for each hour in the RUC Study Period.</w:t>
            </w:r>
          </w:p>
          <w:p w14:paraId="425FEAE8" w14:textId="77777777" w:rsidR="00A316E8" w:rsidRDefault="00A316E8" w:rsidP="00A316E8">
            <w:pPr>
              <w:spacing w:after="240"/>
              <w:ind w:left="1440" w:hanging="720"/>
            </w:pPr>
            <w:r w:rsidRPr="003166ED">
              <w:t>(c)</w:t>
            </w:r>
            <w:r w:rsidRPr="003166ED">
              <w:tab/>
              <w:t>The DRUC process uses the Day-Ahead weather forecast for each hour of the Operating Day.  The HRUC process uses the weather forecast information for each hour of the balance of the RUC Study Period.</w:t>
            </w:r>
          </w:p>
          <w:p w14:paraId="63AA8473" w14:textId="77777777" w:rsidR="008F6C16" w:rsidRDefault="001122B2" w:rsidP="008F6C16">
            <w:pPr>
              <w:spacing w:after="240"/>
              <w:ind w:left="1440" w:hanging="720"/>
            </w:pPr>
            <w:r>
              <w:t>(d)</w:t>
            </w:r>
            <w:r>
              <w:tab/>
              <w:t xml:space="preserve">For the HRUC, DRUC, and </w:t>
            </w:r>
            <w:r w:rsidR="000F75FE">
              <w:t>Weekly Reliability Unit Commitment (</w:t>
            </w:r>
            <w:r>
              <w:t>WRUC</w:t>
            </w:r>
            <w:r w:rsidR="000F75FE">
              <w:t>)</w:t>
            </w:r>
            <w:r>
              <w:t xml:space="preserve"> processes, a feasibility check on the COP submitted Hour Beginning Planned </w:t>
            </w:r>
            <w:r>
              <w:lastRenderedPageBreak/>
              <w:t>SOC will be performed.  This check may adjust the Hour Beginning Planned SOC used in the RUC process.  The feasibility check looks sequentially across all intervals in the RUC Study Period to validate whether a particular interval’s COP Hour Beginning Planned SOC is achievable from the previous interval.  If it is not feasible, then RUC will adjust the Hour Beginning Planned SOC to the closest achievable value.</w:t>
            </w:r>
          </w:p>
          <w:p w14:paraId="115B25FF" w14:textId="0CF30F9C" w:rsidR="00A316E8" w:rsidRPr="003166ED" w:rsidRDefault="00A316E8" w:rsidP="00A316E8">
            <w:pPr>
              <w:spacing w:after="240"/>
              <w:ind w:left="720" w:hanging="720"/>
            </w:pPr>
            <w:r w:rsidRPr="003166ED">
              <w:rPr>
                <w:iCs/>
              </w:rPr>
              <w:t>(1</w:t>
            </w:r>
            <w:r w:rsidR="001122B2">
              <w:rPr>
                <w:iCs/>
              </w:rPr>
              <w:t>9</w:t>
            </w:r>
            <w:r w:rsidRPr="003166ED">
              <w:rPr>
                <w:iCs/>
              </w:rPr>
              <w:t>)</w:t>
            </w:r>
            <w:r w:rsidRPr="003166ED">
              <w:rPr>
                <w:iCs/>
              </w:rPr>
              <w:tab/>
            </w:r>
            <w:r w:rsidR="00127BAE" w:rsidRPr="00EA71DD">
              <w:t xml:space="preserve">A QSE with a Resource that is not a Reliability Must-Run (RMR) Unit or has not received an Outage Schedule Adjustment (OSA) that has been committed in a DRUC or HRUC process may opt out of the RUC Settlement (or “buy back” the commitment) by setting the COP status of the RUC-committed Resource to ONOPTOUT for the first hour of a contiguous block of RUC-Committed Hours in the </w:t>
            </w:r>
            <w:proofErr w:type="spellStart"/>
            <w:r w:rsidR="00127BAE" w:rsidRPr="00EA71DD">
              <w:t>Opt</w:t>
            </w:r>
            <w:proofErr w:type="spellEnd"/>
            <w:r w:rsidR="00127BAE" w:rsidRPr="00EA71DD">
              <w:t xml:space="preserve"> Out Snapshot.  All the configurations of the same Combined Cycle Train shall be treated as the same Resource for the purpose of creating the block of RUC-Committed Hours.  A RUC-committed Combined Cycle Generation Resource may opt out of the RUC Settlement by setting the COP status of any Combined Cycle Generation Resource within the same Combined Cycle Train as the RUC-committed Resource to ONOPTOUT for the first hour of a contiguous block of RUC-Committed Hours in the </w:t>
            </w:r>
            <w:proofErr w:type="spellStart"/>
            <w:r w:rsidR="00127BAE" w:rsidRPr="00EA71DD">
              <w:t>Opt</w:t>
            </w:r>
            <w:proofErr w:type="spellEnd"/>
            <w:r w:rsidR="00127BAE" w:rsidRPr="00EA71DD">
              <w:t xml:space="preserve"> Out Snapshot.  A Combined Cycle Generation Resource that is RUC-committed from one On-Line configuration </w:t>
            </w:r>
            <w:proofErr w:type="gramStart"/>
            <w:r w:rsidR="00127BAE" w:rsidRPr="00EA71DD">
              <w:t>in order to</w:t>
            </w:r>
            <w:proofErr w:type="gramEnd"/>
            <w:r w:rsidR="00127BAE" w:rsidRPr="00EA71DD">
              <w:t xml:space="preserve"> transition to a different configuration with additional capacity may opt out of the RUC Settlement following the same rule for RUC-committed Combined Cycle Generation Resources described above.  A QSE that opts out of RUC Settlement forfeits RUC Settlement for the affected Resource for a given block of RUC Buy-Back Hours.  A QSE that opts out of RUC Settlement treatment must make the Resource available to SCED for all RUC Buy-Back Hours.  All hours in a contiguous block of RUC-Committed Hours that includes the RUC Buy-Back Hour shall be considered RUC Buy-Back Hours.  If a contiguous block of RUC-Committed Hours spans more than one Operating Day and a QSE wishes to opt out of RUC Settlement for the RUC-Committed Hours in the second or subsequent Operating Day, the QSE must set its COP status to ONOPTOUT for the first hour of that the first Operating Day in the </w:t>
            </w:r>
            <w:proofErr w:type="spellStart"/>
            <w:r w:rsidR="00127BAE" w:rsidRPr="00EA71DD">
              <w:t>Opt</w:t>
            </w:r>
            <w:proofErr w:type="spellEnd"/>
            <w:r w:rsidR="00127BAE" w:rsidRPr="00EA71DD">
              <w:t xml:space="preserve"> Out Snapshot of the first Operating Day.</w:t>
            </w:r>
          </w:p>
          <w:p w14:paraId="10B47EA4" w14:textId="117D4007" w:rsidR="00A316E8" w:rsidRPr="003166ED" w:rsidRDefault="00D438B2" w:rsidP="00A316E8">
            <w:pPr>
              <w:spacing w:after="240"/>
              <w:ind w:left="720" w:hanging="720"/>
              <w:rPr>
                <w:iCs/>
              </w:rPr>
            </w:pPr>
            <w:r>
              <w:rPr>
                <w:iCs/>
              </w:rPr>
              <w:t>(</w:t>
            </w:r>
            <w:r w:rsidR="0018228C">
              <w:rPr>
                <w:iCs/>
              </w:rPr>
              <w:t>20</w:t>
            </w:r>
            <w:r w:rsidR="00A316E8" w:rsidRPr="003166ED">
              <w:rPr>
                <w:iCs/>
              </w:rPr>
              <w:t>)</w:t>
            </w:r>
            <w:r w:rsidR="00A316E8" w:rsidRPr="003166ED">
              <w:rPr>
                <w:iCs/>
              </w:rPr>
              <w:tab/>
              <w:t>ERCOT shall, as soon as practicable, post to the MIS Secure Area a report identifying those hours that were considered RUC Buy-Back Hours, along with the name of each RUC-committed Resource whose QSE opted out of RUC Settlement.</w:t>
            </w:r>
          </w:p>
          <w:p w14:paraId="77C4F410" w14:textId="400DC2F0" w:rsidR="00A316E8" w:rsidRDefault="00D438B2" w:rsidP="00A316E8">
            <w:pPr>
              <w:spacing w:after="240"/>
              <w:ind w:left="720" w:hanging="720"/>
            </w:pPr>
            <w:r>
              <w:rPr>
                <w:iCs/>
              </w:rPr>
              <w:t>(2</w:t>
            </w:r>
            <w:r w:rsidR="0018228C">
              <w:rPr>
                <w:iCs/>
              </w:rPr>
              <w:t>1</w:t>
            </w:r>
            <w:r w:rsidR="00A316E8" w:rsidRPr="003166ED">
              <w:rPr>
                <w:iCs/>
              </w:rPr>
              <w:t>)</w:t>
            </w:r>
            <w:r w:rsidR="00A316E8" w:rsidRPr="003166ED">
              <w:rPr>
                <w:iCs/>
              </w:rPr>
              <w:tab/>
            </w:r>
            <w:r w:rsidR="00A316E8" w:rsidRPr="003166ED">
              <w:t>A Resource that has a Three-Part Supply Offer cleared in the Day-Ahead Market (DAM) and subsequently receives a RUC commitment for the Operating Hour for which it was awarded will be treated as if the Resource Status was ONOPTOUT for purposes of Section 6.5.7.3 and Section 6.5.7.3.1, Determination of Real-Time Reliability Deployment Price Adder</w:t>
            </w:r>
            <w:r w:rsidR="00A316E8">
              <w:t>s</w:t>
            </w:r>
            <w:r w:rsidR="00A316E8" w:rsidRPr="003166ED">
              <w:t>.</w:t>
            </w:r>
          </w:p>
          <w:p w14:paraId="267D05A7" w14:textId="3E291963" w:rsidR="00127BAE" w:rsidRPr="00A316E8" w:rsidRDefault="00127BAE" w:rsidP="00A316E8">
            <w:pPr>
              <w:spacing w:after="240"/>
              <w:ind w:left="720" w:hanging="720"/>
              <w:rPr>
                <w:iCs/>
              </w:rPr>
            </w:pPr>
            <w:r w:rsidRPr="00EA71DD">
              <w:t>(2</w:t>
            </w:r>
            <w:r w:rsidR="0018228C">
              <w:t>2</w:t>
            </w:r>
            <w:r w:rsidRPr="00EA71DD">
              <w:t>)</w:t>
            </w:r>
            <w:r w:rsidRPr="00EA71DD">
              <w:rPr>
                <w:iCs/>
              </w:rPr>
              <w:t xml:space="preserve"> </w:t>
            </w:r>
            <w:r w:rsidRPr="00EA71DD">
              <w:rPr>
                <w:iCs/>
              </w:rPr>
              <w:tab/>
            </w:r>
            <w:r w:rsidRPr="00EA71DD">
              <w:t xml:space="preserve">A Resource that has self-committed for an Operating Hour after the RUC Snapshot was taken but before the RUC commitment has been communicated through an XML message for that RUC process and that Operating Hour is included in a block of RUC-committed hours for that RUC process will be treated as if the Resource Status was </w:t>
            </w:r>
            <w:r w:rsidRPr="00EA71DD">
              <w:lastRenderedPageBreak/>
              <w:t>ONOPTOUT for purposes of Section 6.5.7.3, Section 6.5.7.3.1, Operating Reserve Demand Curve (ORDC) calculations, and RUC Settlement for the entire block of RUC-committed hours.  A QSE that has a Resource that meets these conditions must make the Resource available to SCED for the entire block of RUC-committed hours.  ERCOT will send the QSE a notification stating the Operating Day and block of hours for which this occurred.</w:t>
            </w:r>
            <w:bookmarkEnd w:id="116"/>
          </w:p>
        </w:tc>
      </w:tr>
    </w:tbl>
    <w:p w14:paraId="34E56944" w14:textId="77777777" w:rsidR="00F80C33" w:rsidRPr="000B7479" w:rsidRDefault="00723BFB" w:rsidP="00300C4D">
      <w:pPr>
        <w:pStyle w:val="H3"/>
        <w:spacing w:before="480"/>
        <w:rPr>
          <w:b/>
          <w:i/>
        </w:rPr>
      </w:pPr>
      <w:bookmarkStart w:id="117" w:name="_Toc60038342"/>
      <w:r w:rsidRPr="000B7479">
        <w:rPr>
          <w:b/>
          <w:i/>
        </w:rPr>
        <w:lastRenderedPageBreak/>
        <w:t>5.5.3</w:t>
      </w:r>
      <w:r w:rsidRPr="000B7479">
        <w:rPr>
          <w:b/>
          <w:i/>
        </w:rPr>
        <w:tab/>
        <w:t>Communication of RUC Commitments and Decommitments</w:t>
      </w:r>
      <w:bookmarkEnd w:id="108"/>
      <w:bookmarkEnd w:id="109"/>
      <w:bookmarkEnd w:id="110"/>
      <w:bookmarkEnd w:id="111"/>
      <w:bookmarkEnd w:id="112"/>
      <w:bookmarkEnd w:id="113"/>
      <w:bookmarkEnd w:id="114"/>
      <w:bookmarkEnd w:id="117"/>
    </w:p>
    <w:p w14:paraId="60042473" w14:textId="77777777" w:rsidR="00F80C33" w:rsidRDefault="00723BFB">
      <w:pPr>
        <w:pStyle w:val="BodyTextNumberedChar"/>
      </w:pPr>
      <w:r>
        <w:t>(1)</w:t>
      </w:r>
      <w:r>
        <w:tab/>
        <w:t>The output of the RUC process is the cleared Resource commitments and decommitments</w:t>
      </w:r>
      <w:r w:rsidR="00C16730">
        <w:t>, and a list of the Off-Line Available Resources having a start-up time of one hour or less</w:t>
      </w:r>
      <w:r>
        <w:t>.</w:t>
      </w:r>
    </w:p>
    <w:p w14:paraId="19F74C50" w14:textId="77777777" w:rsidR="00F80C33" w:rsidRDefault="00723BFB" w:rsidP="00083F9B">
      <w:pPr>
        <w:pStyle w:val="BodyTextNumberedChar"/>
      </w:pPr>
      <w:r>
        <w:t>(2)</w:t>
      </w:r>
      <w:r>
        <w:tab/>
        <w:t>ERCOT shall notify each QSE in the Day-Ahead of the DRUC Resource commitments and advisory decommitments that have been cleared by the RUC for the Resources that QSE represents.  ERCOT shall notify each QSE of the HRUC Resource commitments and decommitments that have been cleared by the RUC for the Resources that QSE represents.  Resource commitments must include the start interval and duration for which the Resource is required to be at least at LSL.  Resource decommitments must include the interval in which the Resource is required to be Off-Line, duration, and reason for the decommitment.</w:t>
      </w:r>
      <w:r w:rsidR="00F44F68" w:rsidRPr="00F44F68">
        <w:t xml:space="preserve">  ERCOT shall notify each QSE representing a</w:t>
      </w:r>
      <w:r w:rsidR="00F44F68">
        <w:t>n</w:t>
      </w:r>
      <w:r w:rsidR="00F44F68" w:rsidRPr="00F44F68">
        <w:t xml:space="preserve"> RMR Unit if that unit has been cleared by the DRUC or HRUC process </w:t>
      </w:r>
      <w:proofErr w:type="gramStart"/>
      <w:r w:rsidR="00F44F68" w:rsidRPr="00F44F68">
        <w:t>at the same time that</w:t>
      </w:r>
      <w:proofErr w:type="gramEnd"/>
      <w:r w:rsidR="00F44F68" w:rsidRPr="00F44F68">
        <w:t xml:space="preserve"> the DRUC and HRUC participants are notified of the results of each such process.</w:t>
      </w:r>
      <w:r>
        <w:t xml:space="preserve">  </w:t>
      </w:r>
    </w:p>
    <w:p w14:paraId="3F374831" w14:textId="77777777" w:rsidR="00F80C33" w:rsidRDefault="00723BFB">
      <w:pPr>
        <w:pStyle w:val="BodyTextNumberedChar"/>
      </w:pPr>
      <w:r>
        <w:t>(3)</w:t>
      </w:r>
      <w:r>
        <w:tab/>
        <w:t>If ERCOT communicates HRUC commitments and decommitments verbally to a QSE, then the same Resource attributes communicated programmatically must be communicated when ERCOT gives a verbal Resource commitment or decommitment.</w:t>
      </w:r>
    </w:p>
    <w:p w14:paraId="46D9634E" w14:textId="77777777" w:rsidR="00F80C33" w:rsidRDefault="00723BFB">
      <w:pPr>
        <w:pStyle w:val="BodyTextNumberedChar"/>
      </w:pPr>
      <w:r>
        <w:t>(4)</w:t>
      </w:r>
      <w:r>
        <w:tab/>
        <w:t>The QSE shall acknowledge the notice or commitment or decommitment by changing the Resource Status of the affected Resources in the COP for RUC-Committed Intervals.</w:t>
      </w:r>
    </w:p>
    <w:p w14:paraId="1CC38992" w14:textId="77777777" w:rsidR="00F80C33" w:rsidRDefault="00723BFB">
      <w:pPr>
        <w:pStyle w:val="H2"/>
      </w:pPr>
      <w:bookmarkStart w:id="118" w:name="_Toc101091049"/>
      <w:bookmarkStart w:id="119" w:name="_Toc400547178"/>
      <w:bookmarkStart w:id="120" w:name="_Toc405384283"/>
      <w:bookmarkStart w:id="121" w:name="_Toc405543550"/>
      <w:bookmarkStart w:id="122" w:name="_Toc428178059"/>
      <w:bookmarkStart w:id="123" w:name="_Toc440872690"/>
      <w:bookmarkStart w:id="124" w:name="_Toc458766235"/>
      <w:bookmarkStart w:id="125" w:name="_Toc459292640"/>
      <w:bookmarkStart w:id="126" w:name="_Toc60038343"/>
      <w:r>
        <w:t>5.6</w:t>
      </w:r>
      <w:r>
        <w:tab/>
        <w:t xml:space="preserve">RUC </w:t>
      </w:r>
      <w:bookmarkEnd w:id="118"/>
      <w:r>
        <w:t>Cost Eligibility</w:t>
      </w:r>
      <w:bookmarkEnd w:id="119"/>
      <w:bookmarkEnd w:id="120"/>
      <w:bookmarkEnd w:id="121"/>
      <w:bookmarkEnd w:id="122"/>
      <w:bookmarkEnd w:id="123"/>
      <w:bookmarkEnd w:id="124"/>
      <w:bookmarkEnd w:id="125"/>
      <w:bookmarkEnd w:id="126"/>
    </w:p>
    <w:p w14:paraId="14815E8A" w14:textId="77777777" w:rsidR="00F80C33" w:rsidRPr="000B7479" w:rsidRDefault="00723BFB">
      <w:pPr>
        <w:pStyle w:val="H3"/>
        <w:rPr>
          <w:b/>
          <w:i/>
        </w:rPr>
      </w:pPr>
      <w:bookmarkStart w:id="127" w:name="_Toc74113621"/>
      <w:bookmarkStart w:id="128" w:name="_Toc88017251"/>
      <w:bookmarkStart w:id="129" w:name="_Toc101091050"/>
      <w:bookmarkStart w:id="130" w:name="_Toc400547179"/>
      <w:bookmarkStart w:id="131" w:name="_Toc405384284"/>
      <w:bookmarkStart w:id="132" w:name="_Toc405543551"/>
      <w:bookmarkStart w:id="133" w:name="_Toc428178060"/>
      <w:bookmarkStart w:id="134" w:name="_Toc440872691"/>
      <w:bookmarkStart w:id="135" w:name="_Toc458766236"/>
      <w:bookmarkStart w:id="136" w:name="_Toc459292641"/>
      <w:bookmarkStart w:id="137" w:name="_Toc60038344"/>
      <w:r w:rsidRPr="000B7479">
        <w:rPr>
          <w:b/>
          <w:i/>
        </w:rPr>
        <w:t>5.6.1</w:t>
      </w:r>
      <w:r w:rsidRPr="000B7479">
        <w:rPr>
          <w:b/>
          <w:i/>
        </w:rPr>
        <w:tab/>
        <w:t>Verifiable Costs</w:t>
      </w:r>
      <w:bookmarkEnd w:id="127"/>
      <w:bookmarkEnd w:id="128"/>
      <w:bookmarkEnd w:id="129"/>
      <w:bookmarkEnd w:id="130"/>
      <w:bookmarkEnd w:id="131"/>
      <w:bookmarkEnd w:id="132"/>
      <w:bookmarkEnd w:id="133"/>
      <w:bookmarkEnd w:id="134"/>
      <w:bookmarkEnd w:id="135"/>
      <w:bookmarkEnd w:id="136"/>
      <w:bookmarkEnd w:id="137"/>
    </w:p>
    <w:p w14:paraId="421485F6" w14:textId="77777777" w:rsidR="0021567B" w:rsidRDefault="0021567B" w:rsidP="0021567B">
      <w:pPr>
        <w:pStyle w:val="BodyTextNumberedChar"/>
      </w:pPr>
      <w:r>
        <w:t>(1)</w:t>
      </w:r>
      <w:r>
        <w:tab/>
        <w:t>The Qualified Scheduling Entity (QSE) is responsible for submitting verifiable costs unless both the QSE and Resource Entity agree that the Resource Entity will have this responsibility, in which case both the QSE and Resource Entity shall submit an affidavit to ERCOT stating this arrangement.  Notwithstanding the foregoing, QSEs that submit Power Purchase or Tolling Agreements (PPAs) do not have the option of allowing Resource Entities to file verifiable costs.</w:t>
      </w:r>
    </w:p>
    <w:p w14:paraId="28640031" w14:textId="77777777" w:rsidR="00F80C33" w:rsidRDefault="00723BFB" w:rsidP="0021567B">
      <w:pPr>
        <w:pStyle w:val="BodyTextNumberedChar"/>
      </w:pPr>
      <w:r>
        <w:t>(</w:t>
      </w:r>
      <w:r w:rsidR="0021567B">
        <w:t>2</w:t>
      </w:r>
      <w:r>
        <w:t>)</w:t>
      </w:r>
      <w:r>
        <w:tab/>
        <w:t>Make-Whole Payments for a Resource are based on the Startup Offers and Minimum-Energy Offers for the Resource, limited by caps.  Until ERCOT approves verifiable unit-</w:t>
      </w:r>
      <w:r>
        <w:lastRenderedPageBreak/>
        <w:t>specific costs for that Resource, the caps are the Resource Category Startup Generic Cap and the Resource Category Minimum-Energy Generic Cap.  When ERCOT approves verifiable unit-specific costs for that Resource the caps are those verifiable unit-specific costs.  A QSE</w:t>
      </w:r>
      <w:r w:rsidR="0021567B">
        <w:t xml:space="preserve"> or Resource Entity</w:t>
      </w:r>
      <w:r>
        <w:t xml:space="preserve"> may file verifiable unit-specific costs for a Resource at any time, but it must file those costs no later than 30 days after five Reliability Unit Commitment (RUC) events for that Resource in a calendar year.  A RUC event begins when a Resource receives a RUC instruction to come or stay On-Line and ends the later of when the Resource shuts down or the end of the Operating Day.  The most recent ERCOT-approved verifiable costs must be used going forward. </w:t>
      </w:r>
    </w:p>
    <w:p w14:paraId="1F6818C4" w14:textId="77777777" w:rsidR="00F80C33" w:rsidRDefault="00723BFB">
      <w:pPr>
        <w:pStyle w:val="BodyTextNumberedChar"/>
      </w:pPr>
      <w:r>
        <w:t>(</w:t>
      </w:r>
      <w:r w:rsidR="0021567B">
        <w:t>3</w:t>
      </w:r>
      <w:r>
        <w:t>)</w:t>
      </w:r>
      <w:r>
        <w:tab/>
        <w:t>These unit-specific verifiable costs may include and are limited to the following average incremental costs:</w:t>
      </w:r>
    </w:p>
    <w:p w14:paraId="778ADD2F" w14:textId="77777777" w:rsidR="00F80C33" w:rsidRDefault="00723BFB">
      <w:pPr>
        <w:pStyle w:val="List2"/>
      </w:pPr>
      <w:r>
        <w:t>(a)</w:t>
      </w:r>
      <w:r>
        <w:tab/>
        <w:t>Allocation of maintenance requirements based on number of starts between maintenance events using, at the option of the QSE</w:t>
      </w:r>
      <w:r w:rsidR="0021567B">
        <w:t xml:space="preserve"> or Resource Entity</w:t>
      </w:r>
      <w:r>
        <w:t>, either:</w:t>
      </w:r>
    </w:p>
    <w:p w14:paraId="255446F1" w14:textId="77777777" w:rsidR="00F80C33" w:rsidRDefault="00723BFB">
      <w:pPr>
        <w:pStyle w:val="List3"/>
      </w:pPr>
      <w:r>
        <w:t>(i)</w:t>
      </w:r>
      <w:r>
        <w:tab/>
        <w:t xml:space="preserve">Manufacturer-recommended maintenance schedule; </w:t>
      </w:r>
    </w:p>
    <w:p w14:paraId="2D325090" w14:textId="77777777" w:rsidR="00F80C33" w:rsidRDefault="00723BFB">
      <w:pPr>
        <w:pStyle w:val="List3"/>
      </w:pPr>
      <w:r>
        <w:t>(ii)</w:t>
      </w:r>
      <w:r>
        <w:tab/>
        <w:t>Historical data for the unit and actual maintenance practices; or</w:t>
      </w:r>
    </w:p>
    <w:p w14:paraId="7E4962F3" w14:textId="77777777" w:rsidR="00F80C33" w:rsidRDefault="00723BFB">
      <w:pPr>
        <w:pStyle w:val="List3"/>
      </w:pPr>
      <w:r>
        <w:t>(iii)</w:t>
      </w:r>
      <w:r>
        <w:tab/>
        <w:t>Another method approved in advance by ERCOT in writing;</w:t>
      </w:r>
    </w:p>
    <w:p w14:paraId="6065FEC9" w14:textId="77777777" w:rsidR="00F80C33" w:rsidRDefault="00723BFB">
      <w:pPr>
        <w:pStyle w:val="List2"/>
      </w:pPr>
      <w:r>
        <w:t>(b)</w:t>
      </w:r>
      <w:r>
        <w:tab/>
        <w:t>Startup fuel calculations based on recorded actual measured flows when the data is available or based on averages of historical flows for similar starts (for example, hot, cold, intermediate) when actual data is not available</w:t>
      </w:r>
      <w:r w:rsidR="00D32EC6">
        <w:t xml:space="preserve">.  Startup fuel will include filing separately the startup fuel required to reach breaker close and fuel after breaker close to </w:t>
      </w:r>
      <w:r w:rsidR="007E513C">
        <w:t>Low Sustained Limit (</w:t>
      </w:r>
      <w:r w:rsidR="00D32EC6">
        <w:t>LSL</w:t>
      </w:r>
      <w:r w:rsidR="007E513C">
        <w:t>)</w:t>
      </w:r>
      <w:r w:rsidR="00D32EC6">
        <w:t xml:space="preserve">.  Any fuel required to shutdown a </w:t>
      </w:r>
      <w:r w:rsidR="00E72D95">
        <w:t>R</w:t>
      </w:r>
      <w:r w:rsidR="00D32EC6">
        <w:t>esource will be submitted as the fuel from breaker open to shutdown</w:t>
      </w:r>
      <w:r>
        <w:t>;</w:t>
      </w:r>
    </w:p>
    <w:p w14:paraId="43EC3E42" w14:textId="77777777" w:rsidR="00F80C33" w:rsidRDefault="00723BFB">
      <w:pPr>
        <w:pStyle w:val="List2"/>
      </w:pPr>
      <w:r>
        <w:t>(c)</w:t>
      </w:r>
      <w:r>
        <w:tab/>
        <w:t>Operation costs;</w:t>
      </w:r>
    </w:p>
    <w:p w14:paraId="591D50A1" w14:textId="77777777" w:rsidR="00F80C33" w:rsidRDefault="00723BFB">
      <w:pPr>
        <w:pStyle w:val="List2"/>
      </w:pPr>
      <w:r>
        <w:t>(d)</w:t>
      </w:r>
      <w:r>
        <w:tab/>
        <w:t>Chemical costs;</w:t>
      </w:r>
    </w:p>
    <w:p w14:paraId="54AB047B" w14:textId="77777777" w:rsidR="00F80C33" w:rsidRDefault="00723BFB">
      <w:pPr>
        <w:pStyle w:val="List2"/>
      </w:pPr>
      <w:r>
        <w:t>(e)</w:t>
      </w:r>
      <w:r>
        <w:tab/>
        <w:t xml:space="preserve">Water costs; </w:t>
      </w:r>
      <w:r w:rsidR="00B76947">
        <w:t>and</w:t>
      </w:r>
    </w:p>
    <w:p w14:paraId="3FD7D446" w14:textId="77777777" w:rsidR="00F80C33" w:rsidRDefault="00723BFB">
      <w:pPr>
        <w:pStyle w:val="List2"/>
      </w:pPr>
      <w:r>
        <w:t>(f)</w:t>
      </w:r>
      <w:r>
        <w:tab/>
        <w:t>Emission credits</w:t>
      </w:r>
      <w:r w:rsidR="00B76947">
        <w:t>.</w:t>
      </w:r>
    </w:p>
    <w:p w14:paraId="55F7695B" w14:textId="77777777" w:rsidR="005151E0" w:rsidRDefault="00816C8E">
      <w:pPr>
        <w:pStyle w:val="List2"/>
        <w:ind w:left="720"/>
      </w:pPr>
      <w:r>
        <w:t>(4)</w:t>
      </w:r>
      <w:r>
        <w:tab/>
        <w:t>Standard Operations and Maintenance (O&amp;M) costs pursuant to</w:t>
      </w:r>
      <w:r w:rsidRPr="000E3D81">
        <w:t xml:space="preserve"> </w:t>
      </w:r>
      <w:r>
        <w:t xml:space="preserve">paragraph (6) below may be used in lieu of the incremental O&amp;M costs set forth in items (3)(a), (c), (d) and (e) above. </w:t>
      </w:r>
    </w:p>
    <w:p w14:paraId="0F919F6E" w14:textId="77777777" w:rsidR="00F80C33" w:rsidRDefault="00723BFB">
      <w:pPr>
        <w:pStyle w:val="BodyTextNumberedChar"/>
      </w:pPr>
      <w:r>
        <w:t>(</w:t>
      </w:r>
      <w:r w:rsidR="00816C8E">
        <w:t>5</w:t>
      </w:r>
      <w:r>
        <w:t>)</w:t>
      </w:r>
      <w:r>
        <w:tab/>
        <w:t>These unit-specific verifiable costs may not include:</w:t>
      </w:r>
    </w:p>
    <w:p w14:paraId="609DEA7E" w14:textId="77777777" w:rsidR="00F80C33" w:rsidRDefault="00723BFB">
      <w:pPr>
        <w:pStyle w:val="List2"/>
      </w:pPr>
      <w:r>
        <w:t>(a)</w:t>
      </w:r>
      <w:r>
        <w:tab/>
        <w:t>Fixed costs, which are any cost that is incurred regardless of whether the unit is deployed or not; and</w:t>
      </w:r>
    </w:p>
    <w:p w14:paraId="2539D212" w14:textId="77777777" w:rsidR="00F80C33" w:rsidRDefault="00723BFB">
      <w:pPr>
        <w:pStyle w:val="List2"/>
      </w:pPr>
      <w:r>
        <w:lastRenderedPageBreak/>
        <w:t>(b)</w:t>
      </w:r>
      <w:r>
        <w:tab/>
        <w:t xml:space="preserve">Costs for which the QSE </w:t>
      </w:r>
      <w:r w:rsidR="0021567B">
        <w:t xml:space="preserve">or Resource Entity </w:t>
      </w:r>
      <w:r>
        <w:t>cannot provide sufficient documentation for ERCOT to verify the costs.</w:t>
      </w:r>
    </w:p>
    <w:p w14:paraId="363CBE67" w14:textId="77777777" w:rsidR="00E72D95" w:rsidRDefault="00816C8E" w:rsidP="00816C8E">
      <w:pPr>
        <w:pStyle w:val="List2"/>
        <w:ind w:left="720"/>
      </w:pPr>
      <w:r>
        <w:t>(6)</w:t>
      </w:r>
      <w:r>
        <w:tab/>
        <w:t xml:space="preserve">At their election, QSEs or Resource Entities may receive standard O&amp;M costs for both startup and minimum energy.  This election may be made by submitting an election form to ERCOT.  If a QSE or Resource has received final approval for actual verifiable O&amp;M costs under the verifiable cost process, it may not elect to receive standard O&amp;M costs.  </w:t>
      </w:r>
    </w:p>
    <w:p w14:paraId="5361424B" w14:textId="77777777" w:rsidR="003F77B5" w:rsidRDefault="00E72D95">
      <w:pPr>
        <w:pStyle w:val="List2"/>
        <w:ind w:left="720" w:firstLine="0"/>
      </w:pPr>
      <w:r>
        <w:t>(a)</w:t>
      </w:r>
      <w:r>
        <w:tab/>
        <w:t>Until December 31, 2011, s</w:t>
      </w:r>
      <w:r w:rsidR="00816C8E">
        <w:t>tandard O&amp;M costs are defined as follows:</w:t>
      </w:r>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88"/>
        <w:gridCol w:w="1574"/>
        <w:gridCol w:w="1574"/>
        <w:gridCol w:w="1574"/>
        <w:gridCol w:w="1575"/>
      </w:tblGrid>
      <w:tr w:rsidR="00816C8E" w:rsidRPr="0032004D" w14:paraId="31C93020" w14:textId="77777777" w:rsidTr="00816C8E">
        <w:trPr>
          <w:cantSplit/>
          <w:trHeight w:val="279"/>
        </w:trPr>
        <w:tc>
          <w:tcPr>
            <w:tcW w:w="2988" w:type="dxa"/>
            <w:tcBorders>
              <w:bottom w:val="nil"/>
            </w:tcBorders>
            <w:noWrap/>
          </w:tcPr>
          <w:p w14:paraId="55391F05" w14:textId="77777777" w:rsidR="00816C8E" w:rsidRDefault="00816C8E" w:rsidP="00816C8E">
            <w:pPr>
              <w:rPr>
                <w:b/>
                <w:color w:val="000000"/>
                <w:sz w:val="20"/>
              </w:rPr>
            </w:pPr>
            <w:r>
              <w:rPr>
                <w:b/>
                <w:color w:val="000000"/>
                <w:sz w:val="20"/>
              </w:rPr>
              <w:t>Resource Category</w:t>
            </w:r>
          </w:p>
          <w:p w14:paraId="0B67F29D" w14:textId="77777777" w:rsidR="00816C8E" w:rsidRPr="0032004D" w:rsidRDefault="00816C8E" w:rsidP="00816C8E">
            <w:pPr>
              <w:rPr>
                <w:b/>
                <w:color w:val="000000"/>
                <w:sz w:val="20"/>
              </w:rPr>
            </w:pPr>
            <w:r w:rsidRPr="0032004D">
              <w:rPr>
                <w:b/>
                <w:color w:val="000000"/>
                <w:sz w:val="20"/>
              </w:rPr>
              <w:t>Start Year = 2009</w:t>
            </w:r>
          </w:p>
        </w:tc>
        <w:tc>
          <w:tcPr>
            <w:tcW w:w="1574" w:type="dxa"/>
            <w:tcBorders>
              <w:bottom w:val="nil"/>
            </w:tcBorders>
            <w:noWrap/>
          </w:tcPr>
          <w:p w14:paraId="2DD324D0" w14:textId="77777777" w:rsidR="00816C8E" w:rsidRDefault="00816C8E" w:rsidP="00816C8E">
            <w:pPr>
              <w:rPr>
                <w:b/>
                <w:color w:val="000000"/>
                <w:sz w:val="20"/>
              </w:rPr>
            </w:pPr>
            <w:r w:rsidRPr="00090E17">
              <w:rPr>
                <w:b/>
                <w:color w:val="000000"/>
                <w:sz w:val="20"/>
              </w:rPr>
              <w:t>Cold Startup</w:t>
            </w:r>
            <w:r>
              <w:rPr>
                <w:b/>
                <w:color w:val="000000"/>
                <w:sz w:val="20"/>
              </w:rPr>
              <w:t xml:space="preserve"> ($/start)</w:t>
            </w:r>
          </w:p>
        </w:tc>
        <w:tc>
          <w:tcPr>
            <w:tcW w:w="1574" w:type="dxa"/>
            <w:tcBorders>
              <w:bottom w:val="nil"/>
            </w:tcBorders>
            <w:noWrap/>
          </w:tcPr>
          <w:p w14:paraId="183806BF" w14:textId="77777777" w:rsidR="00816C8E" w:rsidRDefault="00816C8E" w:rsidP="00816C8E">
            <w:pPr>
              <w:rPr>
                <w:b/>
                <w:color w:val="000000"/>
                <w:sz w:val="20"/>
              </w:rPr>
            </w:pPr>
            <w:r w:rsidRPr="00090E17">
              <w:rPr>
                <w:b/>
                <w:color w:val="000000"/>
                <w:sz w:val="20"/>
              </w:rPr>
              <w:t>Intermediate Startup</w:t>
            </w:r>
            <w:r>
              <w:rPr>
                <w:b/>
                <w:color w:val="000000"/>
                <w:sz w:val="20"/>
              </w:rPr>
              <w:t xml:space="preserve"> ($/start)</w:t>
            </w:r>
          </w:p>
        </w:tc>
        <w:tc>
          <w:tcPr>
            <w:tcW w:w="1574" w:type="dxa"/>
            <w:tcBorders>
              <w:bottom w:val="nil"/>
            </w:tcBorders>
            <w:noWrap/>
          </w:tcPr>
          <w:p w14:paraId="3867964B" w14:textId="77777777" w:rsidR="00816C8E" w:rsidRDefault="00816C8E" w:rsidP="00816C8E">
            <w:pPr>
              <w:rPr>
                <w:b/>
                <w:color w:val="000000"/>
                <w:sz w:val="20"/>
              </w:rPr>
            </w:pPr>
            <w:r w:rsidRPr="00090E17">
              <w:rPr>
                <w:b/>
                <w:color w:val="000000"/>
                <w:sz w:val="20"/>
              </w:rPr>
              <w:t>Hot Startup</w:t>
            </w:r>
            <w:r>
              <w:rPr>
                <w:b/>
                <w:color w:val="000000"/>
                <w:sz w:val="20"/>
              </w:rPr>
              <w:t xml:space="preserve"> ($/start)</w:t>
            </w:r>
          </w:p>
        </w:tc>
        <w:tc>
          <w:tcPr>
            <w:tcW w:w="1575" w:type="dxa"/>
            <w:tcBorders>
              <w:bottom w:val="nil"/>
            </w:tcBorders>
            <w:noWrap/>
          </w:tcPr>
          <w:p w14:paraId="78FD8AF7" w14:textId="77777777" w:rsidR="00816C8E" w:rsidRDefault="00816C8E" w:rsidP="00816C8E">
            <w:pPr>
              <w:rPr>
                <w:b/>
                <w:color w:val="000000"/>
                <w:sz w:val="20"/>
              </w:rPr>
            </w:pPr>
            <w:r w:rsidRPr="00090E17">
              <w:rPr>
                <w:b/>
                <w:color w:val="000000"/>
                <w:sz w:val="20"/>
              </w:rPr>
              <w:t xml:space="preserve">Variable O&amp;M </w:t>
            </w:r>
            <w:r>
              <w:rPr>
                <w:b/>
                <w:color w:val="000000"/>
                <w:sz w:val="20"/>
              </w:rPr>
              <w:t>($/MWh)</w:t>
            </w:r>
          </w:p>
        </w:tc>
      </w:tr>
      <w:tr w:rsidR="00816C8E" w:rsidRPr="0032004D" w14:paraId="3A27AE64" w14:textId="77777777" w:rsidTr="00816C8E">
        <w:trPr>
          <w:cantSplit/>
          <w:trHeight w:val="279"/>
        </w:trPr>
        <w:tc>
          <w:tcPr>
            <w:tcW w:w="2988" w:type="dxa"/>
            <w:noWrap/>
          </w:tcPr>
          <w:p w14:paraId="0E4801FC" w14:textId="77777777" w:rsidR="00816C8E" w:rsidRPr="0032004D" w:rsidRDefault="00816C8E" w:rsidP="00816C8E">
            <w:pPr>
              <w:rPr>
                <w:color w:val="000000"/>
                <w:sz w:val="20"/>
              </w:rPr>
            </w:pPr>
            <w:r>
              <w:rPr>
                <w:color w:val="000000"/>
                <w:sz w:val="20"/>
              </w:rPr>
              <w:t>Aeroderivative</w:t>
            </w:r>
            <w:r w:rsidRPr="00090E17">
              <w:rPr>
                <w:color w:val="000000"/>
                <w:sz w:val="20"/>
              </w:rPr>
              <w:t xml:space="preserve"> simple </w:t>
            </w:r>
            <w:r>
              <w:rPr>
                <w:color w:val="000000"/>
                <w:sz w:val="20"/>
              </w:rPr>
              <w:t>c</w:t>
            </w:r>
            <w:r w:rsidRPr="00090E17">
              <w:rPr>
                <w:color w:val="000000"/>
                <w:sz w:val="20"/>
              </w:rPr>
              <w:t>ycle</w:t>
            </w:r>
            <w:r>
              <w:rPr>
                <w:color w:val="000000"/>
                <w:sz w:val="20"/>
              </w:rPr>
              <w:t xml:space="preserve"> commissioned after 1996</w:t>
            </w:r>
          </w:p>
        </w:tc>
        <w:tc>
          <w:tcPr>
            <w:tcW w:w="1574" w:type="dxa"/>
            <w:noWrap/>
          </w:tcPr>
          <w:p w14:paraId="7B80E986" w14:textId="77777777" w:rsidR="00C37199" w:rsidRDefault="00816C8E">
            <w:pPr>
              <w:ind w:right="386"/>
              <w:jc w:val="right"/>
              <w:rPr>
                <w:color w:val="000000"/>
                <w:sz w:val="20"/>
              </w:rPr>
            </w:pPr>
            <w:r w:rsidRPr="00090E17">
              <w:rPr>
                <w:color w:val="000000"/>
                <w:sz w:val="20"/>
              </w:rPr>
              <w:t>1,000.00</w:t>
            </w:r>
          </w:p>
        </w:tc>
        <w:tc>
          <w:tcPr>
            <w:tcW w:w="1574" w:type="dxa"/>
            <w:noWrap/>
          </w:tcPr>
          <w:p w14:paraId="1B8BB6BD" w14:textId="77777777" w:rsidR="00C37199" w:rsidRDefault="00816C8E">
            <w:pPr>
              <w:ind w:right="386"/>
              <w:jc w:val="right"/>
              <w:rPr>
                <w:color w:val="000000"/>
                <w:sz w:val="20"/>
              </w:rPr>
            </w:pPr>
            <w:r w:rsidRPr="00090E17">
              <w:rPr>
                <w:color w:val="000000"/>
                <w:sz w:val="20"/>
              </w:rPr>
              <w:t>1,000.00</w:t>
            </w:r>
          </w:p>
        </w:tc>
        <w:tc>
          <w:tcPr>
            <w:tcW w:w="1574" w:type="dxa"/>
            <w:noWrap/>
          </w:tcPr>
          <w:p w14:paraId="59EE2A47" w14:textId="77777777" w:rsidR="00C37199" w:rsidRDefault="00816C8E">
            <w:pPr>
              <w:ind w:right="386"/>
              <w:jc w:val="right"/>
              <w:rPr>
                <w:color w:val="000000"/>
                <w:sz w:val="20"/>
              </w:rPr>
            </w:pPr>
            <w:r w:rsidRPr="00090E17">
              <w:rPr>
                <w:color w:val="000000"/>
                <w:sz w:val="20"/>
              </w:rPr>
              <w:t>1,000.00</w:t>
            </w:r>
          </w:p>
        </w:tc>
        <w:tc>
          <w:tcPr>
            <w:tcW w:w="1575" w:type="dxa"/>
            <w:noWrap/>
          </w:tcPr>
          <w:p w14:paraId="20D8D9C9" w14:textId="77777777" w:rsidR="00C37199" w:rsidRDefault="00816C8E">
            <w:pPr>
              <w:ind w:right="386"/>
              <w:jc w:val="right"/>
              <w:rPr>
                <w:color w:val="000000"/>
                <w:sz w:val="20"/>
              </w:rPr>
            </w:pPr>
            <w:r w:rsidRPr="00090E17">
              <w:rPr>
                <w:color w:val="000000"/>
                <w:sz w:val="20"/>
              </w:rPr>
              <w:t>3.94</w:t>
            </w:r>
          </w:p>
        </w:tc>
      </w:tr>
      <w:tr w:rsidR="00816C8E" w:rsidRPr="0032004D" w14:paraId="0639A1DD" w14:textId="77777777" w:rsidTr="00816C8E">
        <w:trPr>
          <w:cantSplit/>
          <w:trHeight w:val="279"/>
        </w:trPr>
        <w:tc>
          <w:tcPr>
            <w:tcW w:w="2988" w:type="dxa"/>
            <w:noWrap/>
          </w:tcPr>
          <w:p w14:paraId="1F59F8EA" w14:textId="77777777" w:rsidR="00816C8E" w:rsidRPr="0032004D" w:rsidRDefault="00816C8E" w:rsidP="00816C8E">
            <w:pPr>
              <w:rPr>
                <w:color w:val="000000"/>
                <w:sz w:val="20"/>
              </w:rPr>
            </w:pPr>
            <w:r>
              <w:rPr>
                <w:color w:val="000000"/>
                <w:sz w:val="20"/>
              </w:rPr>
              <w:t>Reciprocating Engine</w:t>
            </w:r>
          </w:p>
        </w:tc>
        <w:tc>
          <w:tcPr>
            <w:tcW w:w="1574" w:type="dxa"/>
            <w:noWrap/>
          </w:tcPr>
          <w:p w14:paraId="59AEE087" w14:textId="77777777" w:rsidR="00C37199" w:rsidRDefault="001A6D3F">
            <w:pPr>
              <w:ind w:right="386"/>
              <w:jc w:val="right"/>
              <w:rPr>
                <w:color w:val="000000"/>
                <w:sz w:val="20"/>
              </w:rPr>
            </w:pPr>
            <w:r w:rsidRPr="009E5389">
              <w:rPr>
                <w:color w:val="000000"/>
                <w:sz w:val="20"/>
              </w:rPr>
              <w:t xml:space="preserve">$58/MW </w:t>
            </w:r>
            <w:r w:rsidRPr="009E5389">
              <w:rPr>
                <w:sz w:val="20"/>
              </w:rPr>
              <w:t xml:space="preserve">* the average of the </w:t>
            </w:r>
            <w:r w:rsidR="00000984">
              <w:rPr>
                <w:sz w:val="20"/>
              </w:rPr>
              <w:t>S</w:t>
            </w:r>
            <w:r w:rsidRPr="009E5389">
              <w:rPr>
                <w:sz w:val="20"/>
              </w:rPr>
              <w:t>easonal net max sustainable ratings</w:t>
            </w:r>
          </w:p>
        </w:tc>
        <w:tc>
          <w:tcPr>
            <w:tcW w:w="1574" w:type="dxa"/>
            <w:noWrap/>
          </w:tcPr>
          <w:p w14:paraId="24E88BBD" w14:textId="77777777" w:rsidR="00C37199" w:rsidRDefault="001A6D3F">
            <w:pPr>
              <w:ind w:right="386"/>
              <w:jc w:val="right"/>
              <w:rPr>
                <w:color w:val="000000"/>
                <w:sz w:val="20"/>
              </w:rPr>
            </w:pPr>
            <w:r w:rsidRPr="009E5389">
              <w:rPr>
                <w:color w:val="000000"/>
                <w:sz w:val="20"/>
              </w:rPr>
              <w:t xml:space="preserve">$58/MW </w:t>
            </w:r>
            <w:r w:rsidRPr="009E5389">
              <w:rPr>
                <w:sz w:val="20"/>
              </w:rPr>
              <w:t xml:space="preserve">* the average of the  </w:t>
            </w:r>
            <w:r w:rsidR="00000984">
              <w:rPr>
                <w:sz w:val="20"/>
              </w:rPr>
              <w:t>S</w:t>
            </w:r>
            <w:r w:rsidRPr="009E5389">
              <w:rPr>
                <w:sz w:val="20"/>
              </w:rPr>
              <w:t xml:space="preserve">easonal net max sustainable ratings </w:t>
            </w:r>
            <w:r w:rsidRPr="009E5389" w:rsidDel="00AD30D1">
              <w:rPr>
                <w:color w:val="000000"/>
                <w:sz w:val="20"/>
              </w:rPr>
              <w:t xml:space="preserve"> </w:t>
            </w:r>
          </w:p>
        </w:tc>
        <w:tc>
          <w:tcPr>
            <w:tcW w:w="1574" w:type="dxa"/>
            <w:noWrap/>
          </w:tcPr>
          <w:p w14:paraId="08458C55" w14:textId="77777777" w:rsidR="00C37199" w:rsidRDefault="001A6D3F">
            <w:pPr>
              <w:ind w:right="386"/>
              <w:jc w:val="right"/>
              <w:rPr>
                <w:color w:val="000000"/>
                <w:sz w:val="20"/>
              </w:rPr>
            </w:pPr>
            <w:r w:rsidRPr="009E5389">
              <w:rPr>
                <w:color w:val="000000"/>
                <w:sz w:val="20"/>
              </w:rPr>
              <w:t xml:space="preserve">$58/MW </w:t>
            </w:r>
            <w:r w:rsidRPr="009E5389">
              <w:rPr>
                <w:sz w:val="20"/>
              </w:rPr>
              <w:t xml:space="preserve">* the average of the </w:t>
            </w:r>
            <w:r w:rsidR="00000984">
              <w:rPr>
                <w:sz w:val="20"/>
              </w:rPr>
              <w:t>S</w:t>
            </w:r>
            <w:r w:rsidRPr="009E5389">
              <w:rPr>
                <w:sz w:val="20"/>
              </w:rPr>
              <w:t>easonal net max sustainable ratings</w:t>
            </w:r>
          </w:p>
        </w:tc>
        <w:tc>
          <w:tcPr>
            <w:tcW w:w="1575" w:type="dxa"/>
            <w:noWrap/>
          </w:tcPr>
          <w:p w14:paraId="6F2554F8" w14:textId="77777777" w:rsidR="00C37199" w:rsidRDefault="00816C8E">
            <w:pPr>
              <w:ind w:right="386"/>
              <w:jc w:val="right"/>
              <w:rPr>
                <w:color w:val="000000"/>
                <w:sz w:val="20"/>
              </w:rPr>
            </w:pPr>
            <w:r w:rsidRPr="00090E17">
              <w:rPr>
                <w:color w:val="000000"/>
                <w:sz w:val="20"/>
              </w:rPr>
              <w:t>5.09</w:t>
            </w:r>
          </w:p>
        </w:tc>
      </w:tr>
      <w:tr w:rsidR="00816C8E" w:rsidRPr="0032004D" w14:paraId="3B8076EF" w14:textId="77777777" w:rsidTr="00816C8E">
        <w:trPr>
          <w:cantSplit/>
          <w:trHeight w:val="279"/>
        </w:trPr>
        <w:tc>
          <w:tcPr>
            <w:tcW w:w="2988" w:type="dxa"/>
            <w:noWrap/>
          </w:tcPr>
          <w:p w14:paraId="6C0340D2" w14:textId="77777777" w:rsidR="00816C8E" w:rsidRPr="0032004D" w:rsidRDefault="00816C8E" w:rsidP="00816C8E">
            <w:pPr>
              <w:rPr>
                <w:color w:val="000000"/>
                <w:sz w:val="20"/>
              </w:rPr>
            </w:pPr>
            <w:r w:rsidRPr="00090E17">
              <w:rPr>
                <w:color w:val="000000"/>
                <w:sz w:val="20"/>
              </w:rPr>
              <w:t xml:space="preserve">Simple </w:t>
            </w:r>
            <w:r>
              <w:rPr>
                <w:color w:val="000000"/>
                <w:sz w:val="20"/>
              </w:rPr>
              <w:t>c</w:t>
            </w:r>
            <w:r w:rsidRPr="00090E17">
              <w:rPr>
                <w:color w:val="000000"/>
                <w:sz w:val="20"/>
              </w:rPr>
              <w:t>ycle ≤ 90 MW</w:t>
            </w:r>
          </w:p>
        </w:tc>
        <w:tc>
          <w:tcPr>
            <w:tcW w:w="1574" w:type="dxa"/>
            <w:noWrap/>
          </w:tcPr>
          <w:p w14:paraId="53DAB891" w14:textId="77777777" w:rsidR="00C37199" w:rsidRDefault="00816C8E">
            <w:pPr>
              <w:ind w:right="386"/>
              <w:jc w:val="right"/>
              <w:rPr>
                <w:color w:val="000000"/>
                <w:sz w:val="20"/>
              </w:rPr>
            </w:pPr>
            <w:r w:rsidRPr="00090E17">
              <w:rPr>
                <w:color w:val="000000"/>
                <w:sz w:val="20"/>
              </w:rPr>
              <w:t>2,300.00</w:t>
            </w:r>
          </w:p>
        </w:tc>
        <w:tc>
          <w:tcPr>
            <w:tcW w:w="1574" w:type="dxa"/>
            <w:noWrap/>
          </w:tcPr>
          <w:p w14:paraId="08E76B52" w14:textId="77777777" w:rsidR="00C37199" w:rsidRDefault="00816C8E">
            <w:pPr>
              <w:ind w:right="386"/>
              <w:jc w:val="right"/>
              <w:rPr>
                <w:color w:val="000000"/>
                <w:sz w:val="20"/>
              </w:rPr>
            </w:pPr>
            <w:r w:rsidRPr="00090E17">
              <w:rPr>
                <w:color w:val="000000"/>
                <w:sz w:val="20"/>
              </w:rPr>
              <w:t>2,300.00</w:t>
            </w:r>
          </w:p>
        </w:tc>
        <w:tc>
          <w:tcPr>
            <w:tcW w:w="1574" w:type="dxa"/>
            <w:noWrap/>
          </w:tcPr>
          <w:p w14:paraId="310CD7B2" w14:textId="77777777" w:rsidR="00C37199" w:rsidRDefault="00816C8E">
            <w:pPr>
              <w:ind w:right="386"/>
              <w:jc w:val="right"/>
              <w:rPr>
                <w:color w:val="000000"/>
                <w:sz w:val="20"/>
              </w:rPr>
            </w:pPr>
            <w:r w:rsidRPr="00090E17">
              <w:rPr>
                <w:color w:val="000000"/>
                <w:sz w:val="20"/>
              </w:rPr>
              <w:t>2,300.00</w:t>
            </w:r>
          </w:p>
        </w:tc>
        <w:tc>
          <w:tcPr>
            <w:tcW w:w="1575" w:type="dxa"/>
            <w:noWrap/>
          </w:tcPr>
          <w:p w14:paraId="54BB9643" w14:textId="77777777" w:rsidR="00C37199" w:rsidRDefault="00816C8E">
            <w:pPr>
              <w:ind w:right="386"/>
              <w:jc w:val="right"/>
              <w:rPr>
                <w:color w:val="000000"/>
                <w:sz w:val="20"/>
              </w:rPr>
            </w:pPr>
            <w:r w:rsidRPr="00090E17">
              <w:rPr>
                <w:color w:val="000000"/>
                <w:sz w:val="20"/>
              </w:rPr>
              <w:t>3.94</w:t>
            </w:r>
          </w:p>
        </w:tc>
      </w:tr>
      <w:tr w:rsidR="00816C8E" w:rsidRPr="0032004D" w14:paraId="227BE986" w14:textId="77777777" w:rsidTr="00816C8E">
        <w:trPr>
          <w:cantSplit/>
          <w:trHeight w:val="279"/>
        </w:trPr>
        <w:tc>
          <w:tcPr>
            <w:tcW w:w="2988" w:type="dxa"/>
            <w:noWrap/>
          </w:tcPr>
          <w:p w14:paraId="4A5F8C8F" w14:textId="77777777" w:rsidR="00816C8E" w:rsidRPr="0032004D" w:rsidRDefault="00816C8E" w:rsidP="00816C8E">
            <w:pPr>
              <w:rPr>
                <w:color w:val="000000"/>
                <w:sz w:val="20"/>
              </w:rPr>
            </w:pPr>
            <w:r w:rsidRPr="00090E17">
              <w:rPr>
                <w:color w:val="000000"/>
                <w:sz w:val="20"/>
              </w:rPr>
              <w:t xml:space="preserve">Simple </w:t>
            </w:r>
            <w:r>
              <w:rPr>
                <w:color w:val="000000"/>
                <w:sz w:val="20"/>
              </w:rPr>
              <w:t>c</w:t>
            </w:r>
            <w:r w:rsidRPr="00090E17">
              <w:rPr>
                <w:color w:val="000000"/>
                <w:sz w:val="20"/>
              </w:rPr>
              <w:t xml:space="preserve">ycle </w:t>
            </w:r>
            <w:r w:rsidRPr="00E262D0">
              <w:rPr>
                <w:color w:val="000000"/>
                <w:sz w:val="20"/>
              </w:rPr>
              <w:t>≥</w:t>
            </w:r>
            <w:r w:rsidRPr="00090E17">
              <w:rPr>
                <w:color w:val="000000"/>
                <w:sz w:val="20"/>
              </w:rPr>
              <w:t xml:space="preserve"> 90 MW</w:t>
            </w:r>
          </w:p>
        </w:tc>
        <w:tc>
          <w:tcPr>
            <w:tcW w:w="1574" w:type="dxa"/>
            <w:noWrap/>
          </w:tcPr>
          <w:p w14:paraId="4EA02CB4" w14:textId="77777777" w:rsidR="00C37199" w:rsidRDefault="00816C8E">
            <w:pPr>
              <w:ind w:right="386"/>
              <w:jc w:val="right"/>
              <w:rPr>
                <w:color w:val="000000"/>
                <w:sz w:val="20"/>
              </w:rPr>
            </w:pPr>
            <w:r w:rsidRPr="00090E17">
              <w:rPr>
                <w:color w:val="000000"/>
                <w:sz w:val="20"/>
              </w:rPr>
              <w:t>5,000.00</w:t>
            </w:r>
          </w:p>
        </w:tc>
        <w:tc>
          <w:tcPr>
            <w:tcW w:w="1574" w:type="dxa"/>
            <w:noWrap/>
          </w:tcPr>
          <w:p w14:paraId="71DFDEAA" w14:textId="77777777" w:rsidR="00C37199" w:rsidRDefault="00816C8E">
            <w:pPr>
              <w:ind w:right="386"/>
              <w:jc w:val="right"/>
              <w:rPr>
                <w:color w:val="000000"/>
                <w:sz w:val="20"/>
              </w:rPr>
            </w:pPr>
            <w:r w:rsidRPr="00090E17">
              <w:rPr>
                <w:color w:val="000000"/>
                <w:sz w:val="20"/>
              </w:rPr>
              <w:t>5,000.00</w:t>
            </w:r>
          </w:p>
        </w:tc>
        <w:tc>
          <w:tcPr>
            <w:tcW w:w="1574" w:type="dxa"/>
            <w:noWrap/>
          </w:tcPr>
          <w:p w14:paraId="346E0177" w14:textId="77777777" w:rsidR="00C37199" w:rsidRDefault="00816C8E">
            <w:pPr>
              <w:ind w:right="386"/>
              <w:jc w:val="right"/>
              <w:rPr>
                <w:color w:val="000000"/>
                <w:sz w:val="20"/>
              </w:rPr>
            </w:pPr>
            <w:r w:rsidRPr="00090E17">
              <w:rPr>
                <w:color w:val="000000"/>
                <w:sz w:val="20"/>
              </w:rPr>
              <w:t>5,000.00</w:t>
            </w:r>
          </w:p>
        </w:tc>
        <w:tc>
          <w:tcPr>
            <w:tcW w:w="1575" w:type="dxa"/>
            <w:noWrap/>
          </w:tcPr>
          <w:p w14:paraId="7B3B06AC" w14:textId="77777777" w:rsidR="00C37199" w:rsidRDefault="00816C8E">
            <w:pPr>
              <w:ind w:right="386"/>
              <w:jc w:val="right"/>
              <w:rPr>
                <w:color w:val="000000"/>
                <w:sz w:val="20"/>
              </w:rPr>
            </w:pPr>
            <w:r w:rsidRPr="00090E17">
              <w:rPr>
                <w:color w:val="000000"/>
                <w:sz w:val="20"/>
              </w:rPr>
              <w:t>3.94</w:t>
            </w:r>
          </w:p>
        </w:tc>
      </w:tr>
      <w:tr w:rsidR="00816C8E" w:rsidRPr="0032004D" w14:paraId="0DE59C3C" w14:textId="77777777" w:rsidTr="00816C8E">
        <w:trPr>
          <w:cantSplit/>
          <w:trHeight w:val="279"/>
        </w:trPr>
        <w:tc>
          <w:tcPr>
            <w:tcW w:w="2988" w:type="dxa"/>
            <w:noWrap/>
          </w:tcPr>
          <w:p w14:paraId="06BA8908" w14:textId="77777777" w:rsidR="00816C8E" w:rsidRPr="0032004D" w:rsidRDefault="00816C8E" w:rsidP="00816C8E">
            <w:pPr>
              <w:rPr>
                <w:color w:val="000000"/>
                <w:sz w:val="20"/>
              </w:rPr>
            </w:pPr>
            <w:r w:rsidRPr="00090E17">
              <w:rPr>
                <w:color w:val="000000"/>
                <w:sz w:val="20"/>
              </w:rPr>
              <w:t xml:space="preserve">Combined </w:t>
            </w:r>
            <w:r>
              <w:rPr>
                <w:color w:val="000000"/>
                <w:sz w:val="20"/>
              </w:rPr>
              <w:t>c</w:t>
            </w:r>
            <w:r w:rsidRPr="00090E17">
              <w:rPr>
                <w:color w:val="000000"/>
                <w:sz w:val="20"/>
              </w:rPr>
              <w:t>ycle</w:t>
            </w:r>
            <w:r>
              <w:rPr>
                <w:color w:val="000000"/>
                <w:sz w:val="20"/>
              </w:rPr>
              <w:t>:  for each  Combined-Cycle Configuration, the Startup Cost for that configuration is the sum of the Startup Costs for each unit within that configuration as follows:</w:t>
            </w:r>
          </w:p>
        </w:tc>
        <w:tc>
          <w:tcPr>
            <w:tcW w:w="1574" w:type="dxa"/>
            <w:noWrap/>
          </w:tcPr>
          <w:p w14:paraId="3D27B918" w14:textId="77777777" w:rsidR="00C37199" w:rsidRDefault="00C37199">
            <w:pPr>
              <w:ind w:right="386"/>
              <w:jc w:val="right"/>
              <w:rPr>
                <w:color w:val="000000"/>
                <w:sz w:val="20"/>
              </w:rPr>
            </w:pPr>
          </w:p>
        </w:tc>
        <w:tc>
          <w:tcPr>
            <w:tcW w:w="1574" w:type="dxa"/>
            <w:noWrap/>
          </w:tcPr>
          <w:p w14:paraId="37F4A89C" w14:textId="77777777" w:rsidR="00C37199" w:rsidRDefault="00C37199">
            <w:pPr>
              <w:ind w:right="386"/>
              <w:jc w:val="right"/>
              <w:rPr>
                <w:color w:val="000000"/>
                <w:sz w:val="20"/>
              </w:rPr>
            </w:pPr>
          </w:p>
        </w:tc>
        <w:tc>
          <w:tcPr>
            <w:tcW w:w="1574" w:type="dxa"/>
            <w:noWrap/>
          </w:tcPr>
          <w:p w14:paraId="3FF528D0" w14:textId="77777777" w:rsidR="00C37199" w:rsidRDefault="00C37199">
            <w:pPr>
              <w:ind w:right="386"/>
              <w:jc w:val="right"/>
              <w:rPr>
                <w:color w:val="000000"/>
                <w:sz w:val="20"/>
              </w:rPr>
            </w:pPr>
          </w:p>
        </w:tc>
        <w:tc>
          <w:tcPr>
            <w:tcW w:w="1575" w:type="dxa"/>
            <w:noWrap/>
          </w:tcPr>
          <w:p w14:paraId="3B2B799F" w14:textId="77777777" w:rsidR="00C37199" w:rsidRDefault="00816C8E">
            <w:pPr>
              <w:ind w:right="386"/>
              <w:jc w:val="right"/>
              <w:rPr>
                <w:color w:val="000000"/>
                <w:sz w:val="20"/>
              </w:rPr>
            </w:pPr>
            <w:r w:rsidRPr="00090E17">
              <w:rPr>
                <w:color w:val="000000"/>
                <w:sz w:val="20"/>
              </w:rPr>
              <w:t>3.19</w:t>
            </w:r>
          </w:p>
        </w:tc>
      </w:tr>
      <w:tr w:rsidR="00816C8E" w:rsidRPr="0032004D" w14:paraId="5DC1A60C" w14:textId="77777777" w:rsidTr="00816C8E">
        <w:trPr>
          <w:cantSplit/>
          <w:trHeight w:val="279"/>
        </w:trPr>
        <w:tc>
          <w:tcPr>
            <w:tcW w:w="2988" w:type="dxa"/>
            <w:noWrap/>
          </w:tcPr>
          <w:p w14:paraId="3CA76A9C" w14:textId="77777777" w:rsidR="00816C8E" w:rsidRPr="00090E17" w:rsidRDefault="00816C8E" w:rsidP="00816C8E">
            <w:pPr>
              <w:ind w:left="360"/>
              <w:rPr>
                <w:color w:val="000000"/>
                <w:sz w:val="20"/>
              </w:rPr>
            </w:pPr>
            <w:r>
              <w:rPr>
                <w:color w:val="000000"/>
                <w:sz w:val="20"/>
              </w:rPr>
              <w:t>Combustion turbine &lt; 90</w:t>
            </w:r>
            <w:r w:rsidR="00524596">
              <w:rPr>
                <w:color w:val="000000"/>
                <w:sz w:val="20"/>
              </w:rPr>
              <w:t xml:space="preserve"> </w:t>
            </w:r>
            <w:r>
              <w:rPr>
                <w:color w:val="000000"/>
                <w:sz w:val="20"/>
              </w:rPr>
              <w:t>MW</w:t>
            </w:r>
          </w:p>
        </w:tc>
        <w:tc>
          <w:tcPr>
            <w:tcW w:w="1574" w:type="dxa"/>
            <w:noWrap/>
          </w:tcPr>
          <w:p w14:paraId="7DB1C114" w14:textId="77777777" w:rsidR="00C37199" w:rsidRDefault="00816C8E">
            <w:pPr>
              <w:ind w:right="386"/>
              <w:jc w:val="right"/>
              <w:rPr>
                <w:color w:val="000000"/>
                <w:sz w:val="20"/>
              </w:rPr>
            </w:pPr>
            <w:r>
              <w:rPr>
                <w:color w:val="000000"/>
                <w:sz w:val="20"/>
              </w:rPr>
              <w:t>2,300.00</w:t>
            </w:r>
          </w:p>
        </w:tc>
        <w:tc>
          <w:tcPr>
            <w:tcW w:w="1574" w:type="dxa"/>
            <w:noWrap/>
          </w:tcPr>
          <w:p w14:paraId="27491760" w14:textId="77777777" w:rsidR="00C37199" w:rsidRDefault="00816C8E">
            <w:pPr>
              <w:ind w:right="386"/>
              <w:jc w:val="right"/>
              <w:rPr>
                <w:color w:val="000000"/>
                <w:sz w:val="20"/>
              </w:rPr>
            </w:pPr>
            <w:r>
              <w:rPr>
                <w:color w:val="000000"/>
                <w:sz w:val="20"/>
              </w:rPr>
              <w:t>2,300.00</w:t>
            </w:r>
          </w:p>
        </w:tc>
        <w:tc>
          <w:tcPr>
            <w:tcW w:w="1574" w:type="dxa"/>
            <w:noWrap/>
          </w:tcPr>
          <w:p w14:paraId="3A128223" w14:textId="77777777" w:rsidR="00C37199" w:rsidRDefault="00816C8E">
            <w:pPr>
              <w:ind w:right="386"/>
              <w:jc w:val="right"/>
              <w:rPr>
                <w:color w:val="000000"/>
                <w:sz w:val="20"/>
              </w:rPr>
            </w:pPr>
            <w:r>
              <w:rPr>
                <w:color w:val="000000"/>
                <w:sz w:val="20"/>
              </w:rPr>
              <w:t>2,300.00</w:t>
            </w:r>
          </w:p>
        </w:tc>
        <w:tc>
          <w:tcPr>
            <w:tcW w:w="1575" w:type="dxa"/>
            <w:noWrap/>
          </w:tcPr>
          <w:p w14:paraId="73173E65" w14:textId="77777777" w:rsidR="00C37199" w:rsidRDefault="00C37199">
            <w:pPr>
              <w:ind w:right="386"/>
              <w:jc w:val="right"/>
              <w:rPr>
                <w:color w:val="000000"/>
                <w:sz w:val="20"/>
              </w:rPr>
            </w:pPr>
          </w:p>
        </w:tc>
      </w:tr>
      <w:tr w:rsidR="00816C8E" w:rsidRPr="0032004D" w14:paraId="6B4153A5" w14:textId="77777777" w:rsidTr="00816C8E">
        <w:trPr>
          <w:cantSplit/>
          <w:trHeight w:val="279"/>
        </w:trPr>
        <w:tc>
          <w:tcPr>
            <w:tcW w:w="2988" w:type="dxa"/>
            <w:noWrap/>
          </w:tcPr>
          <w:p w14:paraId="690BEFDA" w14:textId="77777777" w:rsidR="00816C8E" w:rsidRPr="00090E17" w:rsidRDefault="00816C8E" w:rsidP="00816C8E">
            <w:pPr>
              <w:ind w:left="360"/>
              <w:rPr>
                <w:color w:val="000000"/>
                <w:sz w:val="20"/>
              </w:rPr>
            </w:pPr>
            <w:r>
              <w:rPr>
                <w:color w:val="000000"/>
                <w:sz w:val="20"/>
              </w:rPr>
              <w:t xml:space="preserve">Combustion turbine </w:t>
            </w:r>
            <w:r w:rsidRPr="00E262D0">
              <w:rPr>
                <w:color w:val="000000"/>
                <w:sz w:val="20"/>
              </w:rPr>
              <w:t>≥</w:t>
            </w:r>
            <w:r>
              <w:rPr>
                <w:color w:val="000000"/>
                <w:sz w:val="20"/>
              </w:rPr>
              <w:t xml:space="preserve"> 90 MW</w:t>
            </w:r>
          </w:p>
        </w:tc>
        <w:tc>
          <w:tcPr>
            <w:tcW w:w="1574" w:type="dxa"/>
            <w:noWrap/>
          </w:tcPr>
          <w:p w14:paraId="09FD61B4" w14:textId="77777777" w:rsidR="00C37199" w:rsidRDefault="00816C8E">
            <w:pPr>
              <w:ind w:right="386"/>
              <w:jc w:val="right"/>
              <w:rPr>
                <w:color w:val="000000"/>
                <w:sz w:val="20"/>
              </w:rPr>
            </w:pPr>
            <w:r>
              <w:rPr>
                <w:color w:val="000000"/>
                <w:sz w:val="20"/>
              </w:rPr>
              <w:t>5,000.00</w:t>
            </w:r>
          </w:p>
        </w:tc>
        <w:tc>
          <w:tcPr>
            <w:tcW w:w="1574" w:type="dxa"/>
            <w:noWrap/>
          </w:tcPr>
          <w:p w14:paraId="5899F242" w14:textId="77777777" w:rsidR="00C37199" w:rsidRDefault="00816C8E">
            <w:pPr>
              <w:ind w:right="386"/>
              <w:jc w:val="right"/>
              <w:rPr>
                <w:color w:val="000000"/>
                <w:sz w:val="20"/>
              </w:rPr>
            </w:pPr>
            <w:r>
              <w:rPr>
                <w:color w:val="000000"/>
                <w:sz w:val="20"/>
              </w:rPr>
              <w:t>5</w:t>
            </w:r>
            <w:r w:rsidR="00A237E1">
              <w:rPr>
                <w:color w:val="000000"/>
                <w:sz w:val="20"/>
              </w:rPr>
              <w:t>,</w:t>
            </w:r>
            <w:r>
              <w:rPr>
                <w:color w:val="000000"/>
                <w:sz w:val="20"/>
              </w:rPr>
              <w:t>000.00</w:t>
            </w:r>
          </w:p>
        </w:tc>
        <w:tc>
          <w:tcPr>
            <w:tcW w:w="1574" w:type="dxa"/>
            <w:noWrap/>
          </w:tcPr>
          <w:p w14:paraId="24EFACD6" w14:textId="77777777" w:rsidR="00C37199" w:rsidRDefault="00816C8E">
            <w:pPr>
              <w:ind w:right="386"/>
              <w:jc w:val="right"/>
              <w:rPr>
                <w:color w:val="000000"/>
                <w:sz w:val="20"/>
              </w:rPr>
            </w:pPr>
            <w:r>
              <w:rPr>
                <w:color w:val="000000"/>
                <w:sz w:val="20"/>
              </w:rPr>
              <w:t>5</w:t>
            </w:r>
            <w:r w:rsidR="00A237E1">
              <w:rPr>
                <w:color w:val="000000"/>
                <w:sz w:val="20"/>
              </w:rPr>
              <w:t>,</w:t>
            </w:r>
            <w:r>
              <w:rPr>
                <w:color w:val="000000"/>
                <w:sz w:val="20"/>
              </w:rPr>
              <w:t>000.00</w:t>
            </w:r>
          </w:p>
        </w:tc>
        <w:tc>
          <w:tcPr>
            <w:tcW w:w="1575" w:type="dxa"/>
            <w:noWrap/>
          </w:tcPr>
          <w:p w14:paraId="19C665EF" w14:textId="77777777" w:rsidR="00C37199" w:rsidRDefault="00C37199">
            <w:pPr>
              <w:ind w:right="386"/>
              <w:jc w:val="right"/>
              <w:rPr>
                <w:color w:val="000000"/>
                <w:sz w:val="20"/>
              </w:rPr>
            </w:pPr>
          </w:p>
        </w:tc>
      </w:tr>
      <w:tr w:rsidR="00816C8E" w:rsidRPr="0032004D" w14:paraId="48827678" w14:textId="77777777" w:rsidTr="00816C8E">
        <w:trPr>
          <w:cantSplit/>
          <w:trHeight w:val="279"/>
        </w:trPr>
        <w:tc>
          <w:tcPr>
            <w:tcW w:w="2988" w:type="dxa"/>
            <w:noWrap/>
          </w:tcPr>
          <w:p w14:paraId="4432C845" w14:textId="77777777" w:rsidR="00816C8E" w:rsidRPr="00090E17" w:rsidRDefault="00816C8E" w:rsidP="00816C8E">
            <w:pPr>
              <w:ind w:left="360"/>
              <w:rPr>
                <w:color w:val="000000"/>
                <w:sz w:val="20"/>
              </w:rPr>
            </w:pPr>
            <w:r>
              <w:rPr>
                <w:color w:val="000000"/>
                <w:sz w:val="20"/>
              </w:rPr>
              <w:t>Steam turbine</w:t>
            </w:r>
          </w:p>
        </w:tc>
        <w:tc>
          <w:tcPr>
            <w:tcW w:w="1574" w:type="dxa"/>
            <w:noWrap/>
          </w:tcPr>
          <w:p w14:paraId="6B39C51F" w14:textId="77777777" w:rsidR="00C37199" w:rsidRDefault="00816C8E">
            <w:pPr>
              <w:ind w:right="386"/>
              <w:jc w:val="right"/>
              <w:rPr>
                <w:color w:val="000000"/>
                <w:sz w:val="20"/>
              </w:rPr>
            </w:pPr>
            <w:r>
              <w:rPr>
                <w:color w:val="000000"/>
                <w:sz w:val="20"/>
              </w:rPr>
              <w:t>3,000</w:t>
            </w:r>
            <w:r w:rsidR="00360B29">
              <w:rPr>
                <w:color w:val="000000"/>
                <w:sz w:val="20"/>
              </w:rPr>
              <w:t>.</w:t>
            </w:r>
            <w:r>
              <w:rPr>
                <w:color w:val="000000"/>
                <w:sz w:val="20"/>
              </w:rPr>
              <w:t>00</w:t>
            </w:r>
          </w:p>
        </w:tc>
        <w:tc>
          <w:tcPr>
            <w:tcW w:w="1574" w:type="dxa"/>
            <w:noWrap/>
          </w:tcPr>
          <w:p w14:paraId="224C3019" w14:textId="77777777" w:rsidR="00C37199" w:rsidRDefault="00816C8E">
            <w:pPr>
              <w:ind w:right="386"/>
              <w:jc w:val="right"/>
              <w:rPr>
                <w:color w:val="000000"/>
                <w:sz w:val="20"/>
              </w:rPr>
            </w:pPr>
            <w:r>
              <w:rPr>
                <w:color w:val="000000"/>
                <w:sz w:val="20"/>
              </w:rPr>
              <w:t>2,250.00</w:t>
            </w:r>
          </w:p>
        </w:tc>
        <w:tc>
          <w:tcPr>
            <w:tcW w:w="1574" w:type="dxa"/>
            <w:noWrap/>
          </w:tcPr>
          <w:p w14:paraId="5FDDF00B" w14:textId="77777777" w:rsidR="00C37199" w:rsidRDefault="00816C8E">
            <w:pPr>
              <w:ind w:right="386"/>
              <w:jc w:val="right"/>
              <w:rPr>
                <w:color w:val="000000"/>
                <w:sz w:val="20"/>
              </w:rPr>
            </w:pPr>
            <w:r>
              <w:rPr>
                <w:color w:val="000000"/>
                <w:sz w:val="20"/>
              </w:rPr>
              <w:t>1,250.00</w:t>
            </w:r>
          </w:p>
        </w:tc>
        <w:tc>
          <w:tcPr>
            <w:tcW w:w="1575" w:type="dxa"/>
            <w:noWrap/>
          </w:tcPr>
          <w:p w14:paraId="604EC257" w14:textId="77777777" w:rsidR="00C37199" w:rsidRDefault="00C37199">
            <w:pPr>
              <w:ind w:right="386"/>
              <w:jc w:val="right"/>
              <w:rPr>
                <w:color w:val="000000"/>
                <w:sz w:val="20"/>
              </w:rPr>
            </w:pPr>
          </w:p>
        </w:tc>
      </w:tr>
      <w:tr w:rsidR="00816C8E" w:rsidRPr="0032004D" w14:paraId="25C77BF8" w14:textId="77777777" w:rsidTr="00816C8E">
        <w:trPr>
          <w:cantSplit/>
          <w:trHeight w:val="279"/>
        </w:trPr>
        <w:tc>
          <w:tcPr>
            <w:tcW w:w="2988" w:type="dxa"/>
            <w:noWrap/>
          </w:tcPr>
          <w:p w14:paraId="5007C4E4" w14:textId="77777777" w:rsidR="00816C8E" w:rsidRPr="0032004D" w:rsidRDefault="00816C8E" w:rsidP="00816C8E">
            <w:pPr>
              <w:rPr>
                <w:color w:val="000000"/>
                <w:sz w:val="20"/>
              </w:rPr>
            </w:pPr>
            <w:r w:rsidRPr="00090E17">
              <w:rPr>
                <w:color w:val="000000"/>
                <w:sz w:val="20"/>
              </w:rPr>
              <w:t>Gas-</w:t>
            </w:r>
            <w:r>
              <w:rPr>
                <w:color w:val="000000"/>
                <w:sz w:val="20"/>
              </w:rPr>
              <w:t>s</w:t>
            </w:r>
            <w:r w:rsidRPr="00090E17">
              <w:rPr>
                <w:color w:val="000000"/>
                <w:sz w:val="20"/>
              </w:rPr>
              <w:t xml:space="preserve">team </w:t>
            </w:r>
            <w:r>
              <w:rPr>
                <w:color w:val="000000"/>
                <w:sz w:val="20"/>
              </w:rPr>
              <w:t>n</w:t>
            </w:r>
            <w:r w:rsidRPr="00090E17">
              <w:rPr>
                <w:color w:val="000000"/>
                <w:sz w:val="20"/>
              </w:rPr>
              <w:t>on-</w:t>
            </w:r>
            <w:r>
              <w:rPr>
                <w:color w:val="000000"/>
                <w:sz w:val="20"/>
              </w:rPr>
              <w:t>r</w:t>
            </w:r>
            <w:r w:rsidRPr="00090E17">
              <w:rPr>
                <w:color w:val="000000"/>
                <w:sz w:val="20"/>
              </w:rPr>
              <w:t xml:space="preserve">eheat </w:t>
            </w:r>
            <w:r>
              <w:rPr>
                <w:color w:val="000000"/>
                <w:sz w:val="20"/>
              </w:rPr>
              <w:t>b</w:t>
            </w:r>
            <w:r w:rsidRPr="00090E17">
              <w:rPr>
                <w:color w:val="000000"/>
                <w:sz w:val="20"/>
              </w:rPr>
              <w:t>oiler</w:t>
            </w:r>
          </w:p>
        </w:tc>
        <w:tc>
          <w:tcPr>
            <w:tcW w:w="1574" w:type="dxa"/>
            <w:noWrap/>
          </w:tcPr>
          <w:p w14:paraId="55193CDD" w14:textId="77777777" w:rsidR="00C37199" w:rsidRDefault="00816C8E">
            <w:pPr>
              <w:ind w:right="386"/>
              <w:jc w:val="right"/>
              <w:rPr>
                <w:color w:val="000000"/>
                <w:sz w:val="20"/>
              </w:rPr>
            </w:pPr>
            <w:r w:rsidRPr="00090E17">
              <w:rPr>
                <w:color w:val="000000"/>
                <w:sz w:val="20"/>
              </w:rPr>
              <w:t>2,310.00</w:t>
            </w:r>
          </w:p>
        </w:tc>
        <w:tc>
          <w:tcPr>
            <w:tcW w:w="1574" w:type="dxa"/>
            <w:noWrap/>
          </w:tcPr>
          <w:p w14:paraId="4440C28D" w14:textId="77777777" w:rsidR="00C37199" w:rsidRDefault="00816C8E">
            <w:pPr>
              <w:ind w:right="386"/>
              <w:jc w:val="right"/>
              <w:rPr>
                <w:color w:val="000000"/>
                <w:sz w:val="20"/>
              </w:rPr>
            </w:pPr>
            <w:r w:rsidRPr="00090E17">
              <w:rPr>
                <w:color w:val="000000"/>
                <w:sz w:val="20"/>
              </w:rPr>
              <w:t>1,732.50</w:t>
            </w:r>
          </w:p>
        </w:tc>
        <w:tc>
          <w:tcPr>
            <w:tcW w:w="1574" w:type="dxa"/>
            <w:noWrap/>
          </w:tcPr>
          <w:p w14:paraId="03747404" w14:textId="77777777" w:rsidR="00C37199" w:rsidRDefault="00816C8E">
            <w:pPr>
              <w:ind w:right="386"/>
              <w:jc w:val="right"/>
              <w:rPr>
                <w:color w:val="000000"/>
                <w:sz w:val="20"/>
              </w:rPr>
            </w:pPr>
            <w:r w:rsidRPr="00090E17">
              <w:rPr>
                <w:color w:val="000000"/>
                <w:sz w:val="20"/>
              </w:rPr>
              <w:t>866.25</w:t>
            </w:r>
          </w:p>
        </w:tc>
        <w:tc>
          <w:tcPr>
            <w:tcW w:w="1575" w:type="dxa"/>
            <w:noWrap/>
          </w:tcPr>
          <w:p w14:paraId="25937A4C" w14:textId="77777777" w:rsidR="00C37199" w:rsidRDefault="00816C8E">
            <w:pPr>
              <w:ind w:right="386"/>
              <w:jc w:val="right"/>
              <w:rPr>
                <w:color w:val="000000"/>
                <w:sz w:val="20"/>
              </w:rPr>
            </w:pPr>
            <w:r w:rsidRPr="00090E17">
              <w:rPr>
                <w:color w:val="000000"/>
                <w:sz w:val="20"/>
              </w:rPr>
              <w:t>7.08</w:t>
            </w:r>
          </w:p>
        </w:tc>
      </w:tr>
      <w:tr w:rsidR="00816C8E" w:rsidRPr="0032004D" w14:paraId="2DD5A299" w14:textId="77777777" w:rsidTr="00816C8E">
        <w:trPr>
          <w:cantSplit/>
          <w:trHeight w:val="279"/>
        </w:trPr>
        <w:tc>
          <w:tcPr>
            <w:tcW w:w="2988" w:type="dxa"/>
            <w:noWrap/>
          </w:tcPr>
          <w:p w14:paraId="70EBA212" w14:textId="77777777" w:rsidR="00816C8E" w:rsidRPr="0032004D" w:rsidRDefault="00816C8E" w:rsidP="00816C8E">
            <w:pPr>
              <w:rPr>
                <w:color w:val="000000"/>
                <w:sz w:val="20"/>
              </w:rPr>
            </w:pPr>
            <w:r w:rsidRPr="00090E17">
              <w:rPr>
                <w:color w:val="000000"/>
                <w:sz w:val="20"/>
              </w:rPr>
              <w:t>Gas-</w:t>
            </w:r>
            <w:r>
              <w:rPr>
                <w:color w:val="000000"/>
                <w:sz w:val="20"/>
              </w:rPr>
              <w:t>s</w:t>
            </w:r>
            <w:r w:rsidRPr="00090E17">
              <w:rPr>
                <w:color w:val="000000"/>
                <w:sz w:val="20"/>
              </w:rPr>
              <w:t xml:space="preserve">team </w:t>
            </w:r>
            <w:r>
              <w:rPr>
                <w:color w:val="000000"/>
                <w:sz w:val="20"/>
              </w:rPr>
              <w:t>r</w:t>
            </w:r>
            <w:r w:rsidRPr="00090E17">
              <w:rPr>
                <w:color w:val="000000"/>
                <w:sz w:val="20"/>
              </w:rPr>
              <w:t xml:space="preserve">eheat </w:t>
            </w:r>
            <w:r>
              <w:rPr>
                <w:color w:val="000000"/>
                <w:sz w:val="20"/>
              </w:rPr>
              <w:t>b</w:t>
            </w:r>
            <w:r w:rsidRPr="00090E17">
              <w:rPr>
                <w:color w:val="000000"/>
                <w:sz w:val="20"/>
              </w:rPr>
              <w:t>oiler</w:t>
            </w:r>
          </w:p>
        </w:tc>
        <w:tc>
          <w:tcPr>
            <w:tcW w:w="1574" w:type="dxa"/>
            <w:noWrap/>
          </w:tcPr>
          <w:p w14:paraId="1AB58999" w14:textId="77777777" w:rsidR="00C37199" w:rsidRDefault="00816C8E">
            <w:pPr>
              <w:ind w:right="386"/>
              <w:jc w:val="right"/>
              <w:rPr>
                <w:color w:val="000000"/>
                <w:sz w:val="20"/>
              </w:rPr>
            </w:pPr>
            <w:r w:rsidRPr="00090E17">
              <w:rPr>
                <w:color w:val="000000"/>
                <w:sz w:val="20"/>
              </w:rPr>
              <w:t>3,000.00</w:t>
            </w:r>
          </w:p>
        </w:tc>
        <w:tc>
          <w:tcPr>
            <w:tcW w:w="1574" w:type="dxa"/>
            <w:noWrap/>
          </w:tcPr>
          <w:p w14:paraId="416C6C34" w14:textId="77777777" w:rsidR="00C37199" w:rsidRDefault="00816C8E">
            <w:pPr>
              <w:ind w:right="386"/>
              <w:jc w:val="right"/>
              <w:rPr>
                <w:color w:val="000000"/>
                <w:sz w:val="20"/>
              </w:rPr>
            </w:pPr>
            <w:r w:rsidRPr="00090E17">
              <w:rPr>
                <w:color w:val="000000"/>
                <w:sz w:val="20"/>
              </w:rPr>
              <w:t>2,250.00</w:t>
            </w:r>
          </w:p>
        </w:tc>
        <w:tc>
          <w:tcPr>
            <w:tcW w:w="1574" w:type="dxa"/>
            <w:noWrap/>
          </w:tcPr>
          <w:p w14:paraId="777FD483" w14:textId="77777777" w:rsidR="00C37199" w:rsidRDefault="00816C8E">
            <w:pPr>
              <w:ind w:right="386"/>
              <w:jc w:val="right"/>
              <w:rPr>
                <w:color w:val="000000"/>
                <w:sz w:val="20"/>
              </w:rPr>
            </w:pPr>
            <w:r w:rsidRPr="00090E17">
              <w:rPr>
                <w:color w:val="000000"/>
                <w:sz w:val="20"/>
              </w:rPr>
              <w:t>1,125.00</w:t>
            </w:r>
          </w:p>
        </w:tc>
        <w:tc>
          <w:tcPr>
            <w:tcW w:w="1575" w:type="dxa"/>
            <w:noWrap/>
          </w:tcPr>
          <w:p w14:paraId="7E08ACAF" w14:textId="77777777" w:rsidR="00C37199" w:rsidRDefault="00816C8E">
            <w:pPr>
              <w:ind w:right="386"/>
              <w:jc w:val="right"/>
              <w:rPr>
                <w:color w:val="000000"/>
                <w:sz w:val="20"/>
              </w:rPr>
            </w:pPr>
            <w:r w:rsidRPr="00090E17">
              <w:rPr>
                <w:color w:val="000000"/>
                <w:sz w:val="20"/>
              </w:rPr>
              <w:t>7.08</w:t>
            </w:r>
          </w:p>
        </w:tc>
      </w:tr>
      <w:tr w:rsidR="00816C8E" w:rsidRPr="0032004D" w14:paraId="080AF432" w14:textId="77777777" w:rsidTr="00816C8E">
        <w:trPr>
          <w:cantSplit/>
          <w:trHeight w:val="279"/>
        </w:trPr>
        <w:tc>
          <w:tcPr>
            <w:tcW w:w="2988" w:type="dxa"/>
            <w:noWrap/>
          </w:tcPr>
          <w:p w14:paraId="77CB8625" w14:textId="77777777" w:rsidR="00816C8E" w:rsidRPr="0032004D" w:rsidRDefault="00816C8E" w:rsidP="00816C8E">
            <w:pPr>
              <w:rPr>
                <w:color w:val="000000"/>
                <w:sz w:val="20"/>
              </w:rPr>
            </w:pPr>
            <w:r w:rsidRPr="00090E17">
              <w:rPr>
                <w:color w:val="000000"/>
                <w:sz w:val="20"/>
              </w:rPr>
              <w:t>Gas-</w:t>
            </w:r>
            <w:r>
              <w:rPr>
                <w:color w:val="000000"/>
                <w:sz w:val="20"/>
              </w:rPr>
              <w:t>s</w:t>
            </w:r>
            <w:r w:rsidRPr="00090E17">
              <w:rPr>
                <w:color w:val="000000"/>
                <w:sz w:val="20"/>
              </w:rPr>
              <w:t xml:space="preserve">team </w:t>
            </w:r>
            <w:r>
              <w:rPr>
                <w:color w:val="000000"/>
                <w:sz w:val="20"/>
              </w:rPr>
              <w:t>s</w:t>
            </w:r>
            <w:r w:rsidRPr="00090E17">
              <w:rPr>
                <w:color w:val="000000"/>
                <w:sz w:val="20"/>
              </w:rPr>
              <w:t xml:space="preserve">upercritical </w:t>
            </w:r>
            <w:r>
              <w:rPr>
                <w:color w:val="000000"/>
                <w:sz w:val="20"/>
              </w:rPr>
              <w:t>b</w:t>
            </w:r>
            <w:r w:rsidRPr="00090E17">
              <w:rPr>
                <w:color w:val="000000"/>
                <w:sz w:val="20"/>
              </w:rPr>
              <w:t>oiler</w:t>
            </w:r>
          </w:p>
        </w:tc>
        <w:tc>
          <w:tcPr>
            <w:tcW w:w="1574" w:type="dxa"/>
            <w:noWrap/>
          </w:tcPr>
          <w:p w14:paraId="55E62CFB" w14:textId="77777777" w:rsidR="00C37199" w:rsidRDefault="00816C8E">
            <w:pPr>
              <w:ind w:right="386"/>
              <w:jc w:val="right"/>
              <w:rPr>
                <w:color w:val="000000"/>
                <w:sz w:val="20"/>
              </w:rPr>
            </w:pPr>
            <w:r w:rsidRPr="00090E17">
              <w:rPr>
                <w:color w:val="000000"/>
                <w:sz w:val="20"/>
              </w:rPr>
              <w:t>4,800.00</w:t>
            </w:r>
          </w:p>
        </w:tc>
        <w:tc>
          <w:tcPr>
            <w:tcW w:w="1574" w:type="dxa"/>
            <w:noWrap/>
          </w:tcPr>
          <w:p w14:paraId="7A58769E" w14:textId="77777777" w:rsidR="00C37199" w:rsidRDefault="00816C8E">
            <w:pPr>
              <w:ind w:right="386"/>
              <w:jc w:val="right"/>
              <w:rPr>
                <w:color w:val="000000"/>
                <w:sz w:val="20"/>
              </w:rPr>
            </w:pPr>
            <w:r w:rsidRPr="00090E17">
              <w:rPr>
                <w:color w:val="000000"/>
                <w:sz w:val="20"/>
              </w:rPr>
              <w:t>3,600.00</w:t>
            </w:r>
          </w:p>
        </w:tc>
        <w:tc>
          <w:tcPr>
            <w:tcW w:w="1574" w:type="dxa"/>
            <w:noWrap/>
          </w:tcPr>
          <w:p w14:paraId="2ECB78A5" w14:textId="77777777" w:rsidR="00C37199" w:rsidRDefault="00816C8E">
            <w:pPr>
              <w:ind w:right="386"/>
              <w:jc w:val="right"/>
              <w:rPr>
                <w:color w:val="000000"/>
                <w:sz w:val="20"/>
              </w:rPr>
            </w:pPr>
            <w:r w:rsidRPr="00090E17">
              <w:rPr>
                <w:color w:val="000000"/>
                <w:sz w:val="20"/>
              </w:rPr>
              <w:t>1,800.00</w:t>
            </w:r>
          </w:p>
        </w:tc>
        <w:tc>
          <w:tcPr>
            <w:tcW w:w="1575" w:type="dxa"/>
            <w:noWrap/>
          </w:tcPr>
          <w:p w14:paraId="4EE0257C" w14:textId="77777777" w:rsidR="00C37199" w:rsidRDefault="00816C8E">
            <w:pPr>
              <w:ind w:right="386"/>
              <w:jc w:val="right"/>
              <w:rPr>
                <w:color w:val="000000"/>
                <w:sz w:val="20"/>
              </w:rPr>
            </w:pPr>
            <w:r w:rsidRPr="00090E17">
              <w:rPr>
                <w:color w:val="000000"/>
                <w:sz w:val="20"/>
              </w:rPr>
              <w:t>7.08</w:t>
            </w:r>
          </w:p>
        </w:tc>
      </w:tr>
      <w:tr w:rsidR="00816C8E" w:rsidRPr="0032004D" w14:paraId="4AB1BF45" w14:textId="77777777" w:rsidTr="00816C8E">
        <w:trPr>
          <w:cantSplit/>
          <w:trHeight w:val="279"/>
        </w:trPr>
        <w:tc>
          <w:tcPr>
            <w:tcW w:w="2988" w:type="dxa"/>
            <w:noWrap/>
          </w:tcPr>
          <w:p w14:paraId="2746D617" w14:textId="77777777" w:rsidR="00816C8E" w:rsidRPr="0032004D" w:rsidRDefault="00816C8E" w:rsidP="00816C8E">
            <w:pPr>
              <w:rPr>
                <w:color w:val="000000"/>
                <w:sz w:val="20"/>
              </w:rPr>
            </w:pPr>
            <w:r w:rsidRPr="00090E17">
              <w:rPr>
                <w:color w:val="000000"/>
                <w:sz w:val="20"/>
              </w:rPr>
              <w:t xml:space="preserve">Nuclear, </w:t>
            </w:r>
            <w:r>
              <w:rPr>
                <w:color w:val="000000"/>
                <w:sz w:val="20"/>
              </w:rPr>
              <w:t>c</w:t>
            </w:r>
            <w:r w:rsidRPr="00090E17">
              <w:rPr>
                <w:color w:val="000000"/>
                <w:sz w:val="20"/>
              </w:rPr>
              <w:t>oal</w:t>
            </w:r>
            <w:r>
              <w:rPr>
                <w:color w:val="000000"/>
                <w:sz w:val="20"/>
              </w:rPr>
              <w:t>,</w:t>
            </w:r>
            <w:r w:rsidRPr="00090E17">
              <w:rPr>
                <w:color w:val="000000"/>
                <w:sz w:val="20"/>
              </w:rPr>
              <w:t xml:space="preserve"> </w:t>
            </w:r>
            <w:proofErr w:type="gramStart"/>
            <w:r>
              <w:rPr>
                <w:color w:val="000000"/>
                <w:sz w:val="20"/>
              </w:rPr>
              <w:t>l</w:t>
            </w:r>
            <w:r w:rsidRPr="00090E17">
              <w:rPr>
                <w:color w:val="000000"/>
                <w:sz w:val="20"/>
              </w:rPr>
              <w:t>ignite</w:t>
            </w:r>
            <w:proofErr w:type="gramEnd"/>
            <w:r w:rsidRPr="00090E17">
              <w:rPr>
                <w:color w:val="000000"/>
                <w:sz w:val="20"/>
              </w:rPr>
              <w:t xml:space="preserve"> and </w:t>
            </w:r>
            <w:r>
              <w:rPr>
                <w:color w:val="000000"/>
                <w:sz w:val="20"/>
              </w:rPr>
              <w:t>h</w:t>
            </w:r>
            <w:r w:rsidRPr="00090E17">
              <w:rPr>
                <w:color w:val="000000"/>
                <w:sz w:val="20"/>
              </w:rPr>
              <w:t>ydro</w:t>
            </w:r>
          </w:p>
        </w:tc>
        <w:tc>
          <w:tcPr>
            <w:tcW w:w="1574" w:type="dxa"/>
            <w:noWrap/>
          </w:tcPr>
          <w:p w14:paraId="63900579" w14:textId="77777777" w:rsidR="00C37199" w:rsidRDefault="00816C8E">
            <w:pPr>
              <w:ind w:right="386"/>
              <w:jc w:val="right"/>
              <w:rPr>
                <w:color w:val="000000"/>
                <w:sz w:val="20"/>
              </w:rPr>
            </w:pPr>
            <w:r w:rsidRPr="00090E17">
              <w:rPr>
                <w:color w:val="000000"/>
                <w:sz w:val="20"/>
              </w:rPr>
              <w:t>7,200.00</w:t>
            </w:r>
          </w:p>
        </w:tc>
        <w:tc>
          <w:tcPr>
            <w:tcW w:w="1574" w:type="dxa"/>
            <w:noWrap/>
          </w:tcPr>
          <w:p w14:paraId="272ED9FC" w14:textId="77777777" w:rsidR="00C37199" w:rsidRDefault="00816C8E">
            <w:pPr>
              <w:ind w:right="386"/>
              <w:jc w:val="right"/>
              <w:rPr>
                <w:color w:val="000000"/>
                <w:sz w:val="20"/>
              </w:rPr>
            </w:pPr>
            <w:r w:rsidRPr="00090E17">
              <w:rPr>
                <w:color w:val="000000"/>
                <w:sz w:val="20"/>
              </w:rPr>
              <w:t>5,400.00</w:t>
            </w:r>
          </w:p>
        </w:tc>
        <w:tc>
          <w:tcPr>
            <w:tcW w:w="1574" w:type="dxa"/>
            <w:noWrap/>
          </w:tcPr>
          <w:p w14:paraId="4B6D6905" w14:textId="77777777" w:rsidR="00C37199" w:rsidRDefault="00816C8E">
            <w:pPr>
              <w:ind w:right="386"/>
              <w:jc w:val="right"/>
              <w:rPr>
                <w:color w:val="000000"/>
                <w:sz w:val="20"/>
              </w:rPr>
            </w:pPr>
            <w:r w:rsidRPr="00090E17">
              <w:rPr>
                <w:color w:val="000000"/>
                <w:sz w:val="20"/>
              </w:rPr>
              <w:t>2,700.00</w:t>
            </w:r>
          </w:p>
        </w:tc>
        <w:tc>
          <w:tcPr>
            <w:tcW w:w="1575" w:type="dxa"/>
            <w:noWrap/>
          </w:tcPr>
          <w:p w14:paraId="3F62C1CE" w14:textId="77777777" w:rsidR="00C37199" w:rsidRDefault="00816C8E">
            <w:pPr>
              <w:ind w:right="386"/>
              <w:jc w:val="right"/>
              <w:rPr>
                <w:color w:val="000000"/>
                <w:sz w:val="20"/>
              </w:rPr>
            </w:pPr>
            <w:r w:rsidRPr="00090E17">
              <w:rPr>
                <w:color w:val="000000"/>
                <w:sz w:val="20"/>
              </w:rPr>
              <w:t>5.02</w:t>
            </w:r>
          </w:p>
        </w:tc>
      </w:tr>
      <w:tr w:rsidR="00816C8E" w:rsidRPr="0032004D" w14:paraId="127207F6" w14:textId="77777777" w:rsidTr="00816C8E">
        <w:trPr>
          <w:cantSplit/>
          <w:trHeight w:val="279"/>
        </w:trPr>
        <w:tc>
          <w:tcPr>
            <w:tcW w:w="2988" w:type="dxa"/>
            <w:noWrap/>
          </w:tcPr>
          <w:p w14:paraId="2003A631" w14:textId="77777777" w:rsidR="00816C8E" w:rsidRPr="0032004D" w:rsidRDefault="00816C8E" w:rsidP="00816C8E">
            <w:pPr>
              <w:rPr>
                <w:color w:val="000000"/>
                <w:sz w:val="20"/>
              </w:rPr>
            </w:pPr>
            <w:r w:rsidRPr="00090E17">
              <w:rPr>
                <w:color w:val="000000"/>
                <w:sz w:val="20"/>
              </w:rPr>
              <w:t>Renewable</w:t>
            </w:r>
          </w:p>
        </w:tc>
        <w:tc>
          <w:tcPr>
            <w:tcW w:w="1574" w:type="dxa"/>
            <w:noWrap/>
          </w:tcPr>
          <w:p w14:paraId="470B5D66" w14:textId="77777777" w:rsidR="00816C8E" w:rsidRDefault="00816C8E" w:rsidP="00816C8E">
            <w:pPr>
              <w:rPr>
                <w:color w:val="000000"/>
                <w:sz w:val="20"/>
              </w:rPr>
            </w:pPr>
            <w:r>
              <w:rPr>
                <w:color w:val="000000"/>
                <w:sz w:val="20"/>
              </w:rPr>
              <w:t>Not Applicable</w:t>
            </w:r>
          </w:p>
        </w:tc>
        <w:tc>
          <w:tcPr>
            <w:tcW w:w="1574" w:type="dxa"/>
            <w:noWrap/>
          </w:tcPr>
          <w:p w14:paraId="1A0AE35B" w14:textId="77777777" w:rsidR="00816C8E" w:rsidRDefault="00816C8E" w:rsidP="00816C8E">
            <w:pPr>
              <w:rPr>
                <w:color w:val="000000"/>
                <w:sz w:val="20"/>
              </w:rPr>
            </w:pPr>
            <w:r>
              <w:rPr>
                <w:color w:val="000000"/>
                <w:sz w:val="20"/>
              </w:rPr>
              <w:t>Not Applicable</w:t>
            </w:r>
          </w:p>
        </w:tc>
        <w:tc>
          <w:tcPr>
            <w:tcW w:w="1574" w:type="dxa"/>
            <w:noWrap/>
          </w:tcPr>
          <w:p w14:paraId="2EC0D09C" w14:textId="77777777" w:rsidR="00816C8E" w:rsidRDefault="00816C8E" w:rsidP="00816C8E">
            <w:pPr>
              <w:rPr>
                <w:color w:val="000000"/>
                <w:sz w:val="20"/>
              </w:rPr>
            </w:pPr>
            <w:r>
              <w:rPr>
                <w:color w:val="000000"/>
                <w:sz w:val="20"/>
              </w:rPr>
              <w:t>Not Applicable</w:t>
            </w:r>
          </w:p>
        </w:tc>
        <w:tc>
          <w:tcPr>
            <w:tcW w:w="1575" w:type="dxa"/>
            <w:noWrap/>
          </w:tcPr>
          <w:p w14:paraId="360FAD24" w14:textId="77777777" w:rsidR="00C37199" w:rsidRDefault="00816C8E">
            <w:pPr>
              <w:ind w:right="386"/>
              <w:jc w:val="right"/>
              <w:rPr>
                <w:color w:val="000000"/>
                <w:sz w:val="20"/>
              </w:rPr>
            </w:pPr>
            <w:r w:rsidRPr="00090E17">
              <w:rPr>
                <w:color w:val="000000"/>
                <w:sz w:val="20"/>
              </w:rPr>
              <w:t>5.50</w:t>
            </w:r>
          </w:p>
        </w:tc>
      </w:tr>
    </w:tbl>
    <w:p w14:paraId="3BA81F97" w14:textId="77777777" w:rsidR="003F77B5" w:rsidRDefault="001E08CC">
      <w:pPr>
        <w:spacing w:before="240" w:after="240"/>
        <w:ind w:left="1440" w:hanging="720"/>
      </w:pPr>
      <w:r w:rsidRPr="001E08CC">
        <w:t>(b)</w:t>
      </w:r>
      <w:r w:rsidRPr="001E08CC">
        <w:tab/>
        <w:t xml:space="preserve">For the period beginning January 1, </w:t>
      </w:r>
      <w:proofErr w:type="gramStart"/>
      <w:r w:rsidRPr="001E08CC">
        <w:t>2012</w:t>
      </w:r>
      <w:proofErr w:type="gramEnd"/>
      <w:r w:rsidRPr="001E08CC">
        <w:t xml:space="preserve"> and ending December 31, 2012, standard O&amp;M costs shall be reduced by 10% from the levels specified in the table in paragraph (a) above as follows:</w:t>
      </w:r>
    </w:p>
    <w:tbl>
      <w:tblPr>
        <w:tblW w:w="9195" w:type="dxa"/>
        <w:tblInd w:w="93" w:type="dxa"/>
        <w:tblLook w:val="04A0" w:firstRow="1" w:lastRow="0" w:firstColumn="1" w:lastColumn="0" w:noHBand="0" w:noVBand="1"/>
      </w:tblPr>
      <w:tblGrid>
        <w:gridCol w:w="2883"/>
        <w:gridCol w:w="1613"/>
        <w:gridCol w:w="1569"/>
        <w:gridCol w:w="1569"/>
        <w:gridCol w:w="1613"/>
      </w:tblGrid>
      <w:tr w:rsidR="001E08CC" w:rsidRPr="001E08CC" w14:paraId="3722C810" w14:textId="77777777" w:rsidTr="002D4633">
        <w:trPr>
          <w:trHeight w:val="300"/>
          <w:tblHeader/>
        </w:trPr>
        <w:tc>
          <w:tcPr>
            <w:tcW w:w="2895" w:type="dxa"/>
            <w:tcBorders>
              <w:top w:val="single" w:sz="8" w:space="0" w:color="auto"/>
              <w:left w:val="single" w:sz="8" w:space="0" w:color="auto"/>
              <w:bottom w:val="nil"/>
              <w:right w:val="single" w:sz="8" w:space="0" w:color="auto"/>
            </w:tcBorders>
            <w:noWrap/>
            <w:hideMark/>
          </w:tcPr>
          <w:p w14:paraId="3BD0B8AD" w14:textId="77777777" w:rsidR="001E08CC" w:rsidRPr="001E08CC" w:rsidRDefault="001E08CC" w:rsidP="001E08CC">
            <w:pPr>
              <w:rPr>
                <w:b/>
                <w:bCs/>
                <w:color w:val="000000"/>
                <w:sz w:val="20"/>
              </w:rPr>
            </w:pPr>
            <w:r w:rsidRPr="001E08CC">
              <w:rPr>
                <w:b/>
                <w:bCs/>
                <w:color w:val="000000"/>
                <w:sz w:val="20"/>
                <w:szCs w:val="24"/>
              </w:rPr>
              <w:t>Resource Category</w:t>
            </w:r>
          </w:p>
        </w:tc>
        <w:tc>
          <w:tcPr>
            <w:tcW w:w="1620" w:type="dxa"/>
            <w:vMerge w:val="restart"/>
            <w:tcBorders>
              <w:top w:val="single" w:sz="8" w:space="0" w:color="auto"/>
              <w:left w:val="single" w:sz="8" w:space="0" w:color="auto"/>
              <w:bottom w:val="single" w:sz="8" w:space="0" w:color="000000"/>
              <w:right w:val="single" w:sz="8" w:space="0" w:color="auto"/>
            </w:tcBorders>
            <w:hideMark/>
          </w:tcPr>
          <w:p w14:paraId="51499000" w14:textId="77777777" w:rsidR="001E08CC" w:rsidRPr="001E08CC" w:rsidRDefault="001E08CC" w:rsidP="001E08CC">
            <w:pPr>
              <w:jc w:val="center"/>
              <w:rPr>
                <w:b/>
                <w:bCs/>
                <w:color w:val="000000"/>
                <w:sz w:val="20"/>
              </w:rPr>
            </w:pPr>
            <w:r w:rsidRPr="001E08CC">
              <w:rPr>
                <w:b/>
                <w:bCs/>
                <w:color w:val="000000"/>
                <w:sz w:val="20"/>
                <w:szCs w:val="24"/>
              </w:rPr>
              <w:t>Cold Startup ($/start)</w:t>
            </w:r>
          </w:p>
        </w:tc>
        <w:tc>
          <w:tcPr>
            <w:tcW w:w="1530" w:type="dxa"/>
            <w:vMerge w:val="restart"/>
            <w:tcBorders>
              <w:top w:val="single" w:sz="8" w:space="0" w:color="auto"/>
              <w:left w:val="single" w:sz="8" w:space="0" w:color="auto"/>
              <w:bottom w:val="single" w:sz="8" w:space="0" w:color="000000"/>
              <w:right w:val="single" w:sz="8" w:space="0" w:color="auto"/>
            </w:tcBorders>
            <w:hideMark/>
          </w:tcPr>
          <w:p w14:paraId="0E2630F6" w14:textId="77777777" w:rsidR="001E08CC" w:rsidRPr="001E08CC" w:rsidRDefault="001E08CC" w:rsidP="001E08CC">
            <w:pPr>
              <w:jc w:val="center"/>
              <w:rPr>
                <w:b/>
                <w:bCs/>
                <w:color w:val="000000"/>
                <w:sz w:val="20"/>
              </w:rPr>
            </w:pPr>
            <w:r w:rsidRPr="001E08CC">
              <w:rPr>
                <w:b/>
                <w:bCs/>
                <w:color w:val="000000"/>
                <w:sz w:val="20"/>
                <w:szCs w:val="24"/>
              </w:rPr>
              <w:t>Intermediate Startup ($/start)</w:t>
            </w:r>
          </w:p>
        </w:tc>
        <w:tc>
          <w:tcPr>
            <w:tcW w:w="1530" w:type="dxa"/>
            <w:vMerge w:val="restart"/>
            <w:tcBorders>
              <w:top w:val="single" w:sz="8" w:space="0" w:color="auto"/>
              <w:left w:val="single" w:sz="8" w:space="0" w:color="auto"/>
              <w:bottom w:val="single" w:sz="8" w:space="0" w:color="000000"/>
              <w:right w:val="single" w:sz="8" w:space="0" w:color="auto"/>
            </w:tcBorders>
            <w:hideMark/>
          </w:tcPr>
          <w:p w14:paraId="6A31027D" w14:textId="77777777" w:rsidR="001E08CC" w:rsidRPr="001E08CC" w:rsidRDefault="001E08CC" w:rsidP="001E08CC">
            <w:pPr>
              <w:jc w:val="center"/>
              <w:rPr>
                <w:b/>
                <w:bCs/>
                <w:color w:val="000000"/>
                <w:sz w:val="20"/>
              </w:rPr>
            </w:pPr>
            <w:r w:rsidRPr="001E08CC">
              <w:rPr>
                <w:b/>
                <w:bCs/>
                <w:color w:val="000000"/>
                <w:sz w:val="20"/>
                <w:szCs w:val="24"/>
              </w:rPr>
              <w:t>Hot Startup ($/start)</w:t>
            </w:r>
          </w:p>
        </w:tc>
        <w:tc>
          <w:tcPr>
            <w:tcW w:w="1620" w:type="dxa"/>
            <w:vMerge w:val="restart"/>
            <w:tcBorders>
              <w:top w:val="single" w:sz="8" w:space="0" w:color="auto"/>
              <w:left w:val="single" w:sz="8" w:space="0" w:color="auto"/>
              <w:bottom w:val="single" w:sz="8" w:space="0" w:color="000000"/>
              <w:right w:val="single" w:sz="8" w:space="0" w:color="auto"/>
            </w:tcBorders>
            <w:hideMark/>
          </w:tcPr>
          <w:p w14:paraId="75396D4B" w14:textId="77777777" w:rsidR="001E08CC" w:rsidRPr="001E08CC" w:rsidRDefault="001E08CC" w:rsidP="001E08CC">
            <w:pPr>
              <w:jc w:val="center"/>
              <w:rPr>
                <w:b/>
                <w:bCs/>
                <w:color w:val="000000"/>
                <w:sz w:val="20"/>
              </w:rPr>
            </w:pPr>
            <w:r w:rsidRPr="001E08CC">
              <w:rPr>
                <w:b/>
                <w:bCs/>
                <w:color w:val="000000"/>
                <w:sz w:val="20"/>
                <w:szCs w:val="24"/>
              </w:rPr>
              <w:t>Variable O&amp;M ($/MWh)</w:t>
            </w:r>
          </w:p>
        </w:tc>
      </w:tr>
      <w:tr w:rsidR="001E08CC" w:rsidRPr="001E08CC" w14:paraId="630C8EBA" w14:textId="77777777" w:rsidTr="002D4633">
        <w:trPr>
          <w:trHeight w:val="315"/>
          <w:tblHeader/>
        </w:trPr>
        <w:tc>
          <w:tcPr>
            <w:tcW w:w="2895" w:type="dxa"/>
            <w:tcBorders>
              <w:top w:val="nil"/>
              <w:left w:val="single" w:sz="8" w:space="0" w:color="auto"/>
              <w:bottom w:val="nil"/>
              <w:right w:val="single" w:sz="8" w:space="0" w:color="auto"/>
            </w:tcBorders>
            <w:noWrap/>
            <w:hideMark/>
          </w:tcPr>
          <w:p w14:paraId="4C61E45B" w14:textId="77777777" w:rsidR="001E08CC" w:rsidRPr="001E08CC" w:rsidRDefault="001E08CC" w:rsidP="001E08CC">
            <w:pPr>
              <w:rPr>
                <w:b/>
                <w:bCs/>
                <w:color w:val="000000"/>
                <w:sz w:val="20"/>
              </w:rPr>
            </w:pPr>
            <w:r w:rsidRPr="001E08CC">
              <w:rPr>
                <w:b/>
                <w:bCs/>
                <w:color w:val="000000"/>
                <w:sz w:val="20"/>
                <w:szCs w:val="24"/>
              </w:rPr>
              <w:t>Start Year = 2009</w:t>
            </w:r>
          </w:p>
        </w:tc>
        <w:tc>
          <w:tcPr>
            <w:tcW w:w="1620" w:type="dxa"/>
            <w:vMerge/>
            <w:tcBorders>
              <w:top w:val="single" w:sz="8" w:space="0" w:color="auto"/>
              <w:left w:val="single" w:sz="8" w:space="0" w:color="auto"/>
              <w:bottom w:val="single" w:sz="8" w:space="0" w:color="000000"/>
              <w:right w:val="single" w:sz="8" w:space="0" w:color="auto"/>
            </w:tcBorders>
            <w:vAlign w:val="center"/>
            <w:hideMark/>
          </w:tcPr>
          <w:p w14:paraId="62824907" w14:textId="77777777" w:rsidR="001E08CC" w:rsidRPr="001E08CC" w:rsidRDefault="001E08CC" w:rsidP="001E08CC">
            <w:pPr>
              <w:rPr>
                <w:b/>
                <w:bCs/>
                <w:color w:val="000000"/>
                <w:sz w:val="20"/>
              </w:rPr>
            </w:pPr>
          </w:p>
        </w:tc>
        <w:tc>
          <w:tcPr>
            <w:tcW w:w="1530" w:type="dxa"/>
            <w:vMerge/>
            <w:tcBorders>
              <w:top w:val="single" w:sz="8" w:space="0" w:color="auto"/>
              <w:left w:val="single" w:sz="8" w:space="0" w:color="auto"/>
              <w:bottom w:val="single" w:sz="8" w:space="0" w:color="000000"/>
              <w:right w:val="single" w:sz="8" w:space="0" w:color="auto"/>
            </w:tcBorders>
            <w:vAlign w:val="center"/>
            <w:hideMark/>
          </w:tcPr>
          <w:p w14:paraId="3B3886CE" w14:textId="77777777" w:rsidR="001E08CC" w:rsidRPr="001E08CC" w:rsidRDefault="001E08CC" w:rsidP="001E08CC">
            <w:pPr>
              <w:rPr>
                <w:b/>
                <w:bCs/>
                <w:color w:val="000000"/>
                <w:sz w:val="20"/>
              </w:rPr>
            </w:pPr>
          </w:p>
        </w:tc>
        <w:tc>
          <w:tcPr>
            <w:tcW w:w="1530" w:type="dxa"/>
            <w:vMerge/>
            <w:tcBorders>
              <w:top w:val="single" w:sz="8" w:space="0" w:color="auto"/>
              <w:left w:val="single" w:sz="8" w:space="0" w:color="auto"/>
              <w:bottom w:val="single" w:sz="8" w:space="0" w:color="000000"/>
              <w:right w:val="single" w:sz="8" w:space="0" w:color="auto"/>
            </w:tcBorders>
            <w:vAlign w:val="center"/>
            <w:hideMark/>
          </w:tcPr>
          <w:p w14:paraId="029870F2" w14:textId="77777777" w:rsidR="001E08CC" w:rsidRPr="001E08CC" w:rsidRDefault="001E08CC" w:rsidP="001E08CC">
            <w:pPr>
              <w:rPr>
                <w:b/>
                <w:bCs/>
                <w:color w:val="000000"/>
                <w:sz w:val="20"/>
              </w:rPr>
            </w:pPr>
          </w:p>
        </w:tc>
        <w:tc>
          <w:tcPr>
            <w:tcW w:w="1620" w:type="dxa"/>
            <w:vMerge/>
            <w:tcBorders>
              <w:top w:val="single" w:sz="8" w:space="0" w:color="auto"/>
              <w:left w:val="single" w:sz="8" w:space="0" w:color="auto"/>
              <w:bottom w:val="single" w:sz="8" w:space="0" w:color="000000"/>
              <w:right w:val="single" w:sz="8" w:space="0" w:color="auto"/>
            </w:tcBorders>
            <w:vAlign w:val="center"/>
            <w:hideMark/>
          </w:tcPr>
          <w:p w14:paraId="2D319ACE" w14:textId="77777777" w:rsidR="001E08CC" w:rsidRPr="001E08CC" w:rsidRDefault="001E08CC" w:rsidP="001E08CC">
            <w:pPr>
              <w:rPr>
                <w:b/>
                <w:bCs/>
                <w:color w:val="000000"/>
                <w:sz w:val="20"/>
              </w:rPr>
            </w:pPr>
          </w:p>
        </w:tc>
      </w:tr>
      <w:tr w:rsidR="001E08CC" w:rsidRPr="001E08CC" w14:paraId="2B4FD602" w14:textId="77777777" w:rsidTr="005C1690">
        <w:trPr>
          <w:trHeight w:val="525"/>
        </w:trPr>
        <w:tc>
          <w:tcPr>
            <w:tcW w:w="2895" w:type="dxa"/>
            <w:tcBorders>
              <w:top w:val="single" w:sz="8" w:space="0" w:color="auto"/>
              <w:left w:val="single" w:sz="8" w:space="0" w:color="auto"/>
              <w:bottom w:val="single" w:sz="4" w:space="0" w:color="auto"/>
              <w:right w:val="single" w:sz="8" w:space="0" w:color="auto"/>
            </w:tcBorders>
            <w:hideMark/>
          </w:tcPr>
          <w:p w14:paraId="73CC67C2" w14:textId="77777777" w:rsidR="001E08CC" w:rsidRPr="001E08CC" w:rsidRDefault="001E08CC" w:rsidP="001E08CC">
            <w:pPr>
              <w:rPr>
                <w:color w:val="000000"/>
                <w:sz w:val="20"/>
              </w:rPr>
            </w:pPr>
            <w:r w:rsidRPr="001E08CC">
              <w:rPr>
                <w:color w:val="000000"/>
                <w:sz w:val="20"/>
                <w:szCs w:val="24"/>
              </w:rPr>
              <w:t>Aeroderivative simple cycle commissioned after 1996</w:t>
            </w:r>
          </w:p>
        </w:tc>
        <w:tc>
          <w:tcPr>
            <w:tcW w:w="1620" w:type="dxa"/>
            <w:tcBorders>
              <w:top w:val="nil"/>
              <w:left w:val="nil"/>
              <w:bottom w:val="single" w:sz="4" w:space="0" w:color="auto"/>
              <w:right w:val="single" w:sz="8" w:space="0" w:color="auto"/>
            </w:tcBorders>
            <w:noWrap/>
            <w:hideMark/>
          </w:tcPr>
          <w:p w14:paraId="03B576CA" w14:textId="77777777" w:rsidR="00C37199" w:rsidRDefault="001E08CC">
            <w:pPr>
              <w:ind w:right="386"/>
              <w:jc w:val="right"/>
              <w:rPr>
                <w:color w:val="000000"/>
                <w:sz w:val="20"/>
              </w:rPr>
            </w:pPr>
            <w:r w:rsidRPr="001E08CC">
              <w:rPr>
                <w:color w:val="000000"/>
                <w:sz w:val="20"/>
              </w:rPr>
              <w:t>900.00</w:t>
            </w:r>
          </w:p>
        </w:tc>
        <w:tc>
          <w:tcPr>
            <w:tcW w:w="1530" w:type="dxa"/>
            <w:tcBorders>
              <w:top w:val="nil"/>
              <w:left w:val="nil"/>
              <w:bottom w:val="single" w:sz="4" w:space="0" w:color="auto"/>
              <w:right w:val="single" w:sz="8" w:space="0" w:color="auto"/>
            </w:tcBorders>
            <w:noWrap/>
            <w:hideMark/>
          </w:tcPr>
          <w:p w14:paraId="639AD9DB" w14:textId="77777777" w:rsidR="00C37199" w:rsidRDefault="001E08CC">
            <w:pPr>
              <w:ind w:right="386"/>
              <w:jc w:val="right"/>
              <w:rPr>
                <w:color w:val="000000"/>
                <w:sz w:val="20"/>
              </w:rPr>
            </w:pPr>
            <w:r w:rsidRPr="001E08CC">
              <w:rPr>
                <w:color w:val="000000"/>
                <w:sz w:val="20"/>
              </w:rPr>
              <w:t>900.00</w:t>
            </w:r>
          </w:p>
        </w:tc>
        <w:tc>
          <w:tcPr>
            <w:tcW w:w="1530" w:type="dxa"/>
            <w:tcBorders>
              <w:top w:val="nil"/>
              <w:left w:val="nil"/>
              <w:bottom w:val="single" w:sz="4" w:space="0" w:color="auto"/>
              <w:right w:val="single" w:sz="8" w:space="0" w:color="auto"/>
            </w:tcBorders>
            <w:noWrap/>
            <w:hideMark/>
          </w:tcPr>
          <w:p w14:paraId="46A4826C" w14:textId="77777777" w:rsidR="00C37199" w:rsidRDefault="001E08CC">
            <w:pPr>
              <w:ind w:right="386"/>
              <w:jc w:val="right"/>
              <w:rPr>
                <w:color w:val="000000"/>
                <w:sz w:val="20"/>
              </w:rPr>
            </w:pPr>
            <w:r w:rsidRPr="001E08CC">
              <w:rPr>
                <w:color w:val="000000"/>
                <w:sz w:val="20"/>
              </w:rPr>
              <w:t>900.00</w:t>
            </w:r>
          </w:p>
        </w:tc>
        <w:tc>
          <w:tcPr>
            <w:tcW w:w="1620" w:type="dxa"/>
            <w:tcBorders>
              <w:top w:val="nil"/>
              <w:left w:val="nil"/>
              <w:bottom w:val="single" w:sz="4" w:space="0" w:color="auto"/>
              <w:right w:val="single" w:sz="8" w:space="0" w:color="auto"/>
            </w:tcBorders>
            <w:noWrap/>
            <w:hideMark/>
          </w:tcPr>
          <w:p w14:paraId="302C373C" w14:textId="77777777" w:rsidR="00C37199" w:rsidRDefault="001E08CC">
            <w:pPr>
              <w:ind w:right="386"/>
              <w:jc w:val="right"/>
              <w:rPr>
                <w:color w:val="000000"/>
                <w:sz w:val="20"/>
              </w:rPr>
            </w:pPr>
            <w:r w:rsidRPr="001E08CC">
              <w:rPr>
                <w:color w:val="000000"/>
                <w:sz w:val="20"/>
              </w:rPr>
              <w:t>3.55</w:t>
            </w:r>
          </w:p>
        </w:tc>
      </w:tr>
      <w:tr w:rsidR="001E08CC" w:rsidRPr="001E08CC" w14:paraId="255E3B02" w14:textId="77777777" w:rsidTr="005C1690">
        <w:trPr>
          <w:trHeight w:val="315"/>
        </w:trPr>
        <w:tc>
          <w:tcPr>
            <w:tcW w:w="2895" w:type="dxa"/>
            <w:tcBorders>
              <w:top w:val="single" w:sz="4" w:space="0" w:color="auto"/>
              <w:left w:val="single" w:sz="4" w:space="0" w:color="auto"/>
              <w:bottom w:val="single" w:sz="4" w:space="0" w:color="auto"/>
              <w:right w:val="single" w:sz="4" w:space="0" w:color="auto"/>
            </w:tcBorders>
            <w:hideMark/>
          </w:tcPr>
          <w:p w14:paraId="30D1E311" w14:textId="77777777" w:rsidR="001E08CC" w:rsidRPr="001E08CC" w:rsidRDefault="001E08CC" w:rsidP="001E08CC">
            <w:pPr>
              <w:rPr>
                <w:color w:val="000000"/>
                <w:sz w:val="20"/>
              </w:rPr>
            </w:pPr>
            <w:r w:rsidRPr="001E08CC">
              <w:rPr>
                <w:color w:val="000000"/>
                <w:sz w:val="20"/>
                <w:szCs w:val="24"/>
              </w:rPr>
              <w:lastRenderedPageBreak/>
              <w:t>Reciprocating Engine</w:t>
            </w:r>
          </w:p>
        </w:tc>
        <w:tc>
          <w:tcPr>
            <w:tcW w:w="1620" w:type="dxa"/>
            <w:tcBorders>
              <w:top w:val="single" w:sz="4" w:space="0" w:color="auto"/>
              <w:left w:val="single" w:sz="4" w:space="0" w:color="auto"/>
              <w:bottom w:val="single" w:sz="4" w:space="0" w:color="auto"/>
              <w:right w:val="single" w:sz="4" w:space="0" w:color="auto"/>
            </w:tcBorders>
            <w:noWrap/>
            <w:hideMark/>
          </w:tcPr>
          <w:p w14:paraId="7F00E2EE" w14:textId="77777777" w:rsidR="00C37199" w:rsidRDefault="001A6D3F">
            <w:pPr>
              <w:ind w:right="386"/>
              <w:jc w:val="right"/>
              <w:rPr>
                <w:color w:val="000000"/>
                <w:sz w:val="20"/>
              </w:rPr>
            </w:pPr>
            <w:r w:rsidRPr="009E5389">
              <w:rPr>
                <w:color w:val="000000"/>
                <w:sz w:val="20"/>
              </w:rPr>
              <w:t xml:space="preserve">$52.20/MW </w:t>
            </w:r>
            <w:r w:rsidRPr="009E5389">
              <w:rPr>
                <w:sz w:val="20"/>
              </w:rPr>
              <w:t xml:space="preserve">* the average of the  </w:t>
            </w:r>
            <w:r w:rsidR="00000984">
              <w:rPr>
                <w:sz w:val="20"/>
              </w:rPr>
              <w:t>S</w:t>
            </w:r>
            <w:r w:rsidRPr="009E5389">
              <w:rPr>
                <w:sz w:val="20"/>
              </w:rPr>
              <w:t>easonal net max sustainable ratings</w:t>
            </w:r>
          </w:p>
        </w:tc>
        <w:tc>
          <w:tcPr>
            <w:tcW w:w="1530" w:type="dxa"/>
            <w:tcBorders>
              <w:top w:val="single" w:sz="4" w:space="0" w:color="auto"/>
              <w:left w:val="single" w:sz="4" w:space="0" w:color="auto"/>
              <w:bottom w:val="single" w:sz="4" w:space="0" w:color="auto"/>
              <w:right w:val="single" w:sz="4" w:space="0" w:color="auto"/>
            </w:tcBorders>
            <w:noWrap/>
            <w:hideMark/>
          </w:tcPr>
          <w:p w14:paraId="600EC9E8" w14:textId="77777777" w:rsidR="00C37199" w:rsidRDefault="001A6D3F">
            <w:pPr>
              <w:ind w:right="386"/>
              <w:jc w:val="right"/>
              <w:rPr>
                <w:color w:val="000000"/>
                <w:sz w:val="20"/>
              </w:rPr>
            </w:pPr>
            <w:r w:rsidRPr="009E5389">
              <w:rPr>
                <w:color w:val="000000"/>
                <w:sz w:val="20"/>
              </w:rPr>
              <w:t xml:space="preserve">$52.20/MW </w:t>
            </w:r>
            <w:r w:rsidRPr="009E5389">
              <w:rPr>
                <w:sz w:val="20"/>
              </w:rPr>
              <w:t xml:space="preserve">* the average of the  </w:t>
            </w:r>
            <w:r w:rsidR="00000984">
              <w:rPr>
                <w:sz w:val="20"/>
              </w:rPr>
              <w:t>S</w:t>
            </w:r>
            <w:r w:rsidRPr="009E5389">
              <w:rPr>
                <w:sz w:val="20"/>
              </w:rPr>
              <w:t>easonal net max sustainable ratings</w:t>
            </w:r>
          </w:p>
        </w:tc>
        <w:tc>
          <w:tcPr>
            <w:tcW w:w="1530" w:type="dxa"/>
            <w:tcBorders>
              <w:top w:val="single" w:sz="4" w:space="0" w:color="auto"/>
              <w:left w:val="single" w:sz="4" w:space="0" w:color="auto"/>
              <w:bottom w:val="single" w:sz="4" w:space="0" w:color="auto"/>
              <w:right w:val="single" w:sz="4" w:space="0" w:color="auto"/>
            </w:tcBorders>
            <w:noWrap/>
            <w:hideMark/>
          </w:tcPr>
          <w:p w14:paraId="3264B674" w14:textId="77777777" w:rsidR="00C37199" w:rsidRDefault="001A6D3F">
            <w:pPr>
              <w:ind w:right="386"/>
              <w:jc w:val="right"/>
              <w:rPr>
                <w:color w:val="000000"/>
                <w:sz w:val="20"/>
              </w:rPr>
            </w:pPr>
            <w:r w:rsidRPr="009E5389">
              <w:rPr>
                <w:color w:val="000000"/>
                <w:sz w:val="20"/>
              </w:rPr>
              <w:t xml:space="preserve">$52.20/MW </w:t>
            </w:r>
            <w:r w:rsidRPr="009E5389">
              <w:rPr>
                <w:sz w:val="20"/>
              </w:rPr>
              <w:t xml:space="preserve">* the average of the </w:t>
            </w:r>
            <w:r w:rsidR="00000984">
              <w:rPr>
                <w:sz w:val="20"/>
              </w:rPr>
              <w:t>S</w:t>
            </w:r>
            <w:r w:rsidRPr="009E5389">
              <w:rPr>
                <w:sz w:val="20"/>
              </w:rPr>
              <w:t>easonal net max sustainable ratings</w:t>
            </w:r>
          </w:p>
        </w:tc>
        <w:tc>
          <w:tcPr>
            <w:tcW w:w="1620" w:type="dxa"/>
            <w:tcBorders>
              <w:top w:val="single" w:sz="4" w:space="0" w:color="auto"/>
              <w:left w:val="single" w:sz="4" w:space="0" w:color="auto"/>
              <w:bottom w:val="single" w:sz="4" w:space="0" w:color="auto"/>
              <w:right w:val="single" w:sz="4" w:space="0" w:color="auto"/>
            </w:tcBorders>
            <w:noWrap/>
            <w:hideMark/>
          </w:tcPr>
          <w:p w14:paraId="5CB84C91" w14:textId="77777777" w:rsidR="00C37199" w:rsidRDefault="001E08CC">
            <w:pPr>
              <w:ind w:right="386"/>
              <w:jc w:val="right"/>
              <w:rPr>
                <w:color w:val="000000"/>
                <w:sz w:val="20"/>
              </w:rPr>
            </w:pPr>
            <w:r w:rsidRPr="001E08CC">
              <w:rPr>
                <w:color w:val="000000"/>
                <w:sz w:val="20"/>
              </w:rPr>
              <w:t>4.58</w:t>
            </w:r>
          </w:p>
        </w:tc>
      </w:tr>
      <w:tr w:rsidR="001E08CC" w:rsidRPr="001E08CC" w14:paraId="0D5E1AC3" w14:textId="77777777" w:rsidTr="005C1690">
        <w:trPr>
          <w:trHeight w:val="315"/>
        </w:trPr>
        <w:tc>
          <w:tcPr>
            <w:tcW w:w="2895" w:type="dxa"/>
            <w:tcBorders>
              <w:top w:val="single" w:sz="4" w:space="0" w:color="auto"/>
              <w:left w:val="single" w:sz="4" w:space="0" w:color="auto"/>
              <w:bottom w:val="single" w:sz="4" w:space="0" w:color="auto"/>
              <w:right w:val="single" w:sz="4" w:space="0" w:color="auto"/>
            </w:tcBorders>
            <w:hideMark/>
          </w:tcPr>
          <w:p w14:paraId="2B0A7785" w14:textId="77777777" w:rsidR="001E08CC" w:rsidRPr="001E08CC" w:rsidRDefault="001E08CC" w:rsidP="001E08CC">
            <w:pPr>
              <w:rPr>
                <w:color w:val="000000"/>
                <w:sz w:val="20"/>
              </w:rPr>
            </w:pPr>
            <w:r w:rsidRPr="001E08CC">
              <w:rPr>
                <w:color w:val="000000"/>
                <w:sz w:val="20"/>
                <w:szCs w:val="24"/>
              </w:rPr>
              <w:t>Simple cycle ≤ 90 MW</w:t>
            </w:r>
          </w:p>
        </w:tc>
        <w:tc>
          <w:tcPr>
            <w:tcW w:w="1620" w:type="dxa"/>
            <w:tcBorders>
              <w:top w:val="single" w:sz="4" w:space="0" w:color="auto"/>
              <w:left w:val="single" w:sz="4" w:space="0" w:color="auto"/>
              <w:bottom w:val="single" w:sz="4" w:space="0" w:color="auto"/>
              <w:right w:val="single" w:sz="4" w:space="0" w:color="auto"/>
            </w:tcBorders>
            <w:noWrap/>
            <w:hideMark/>
          </w:tcPr>
          <w:p w14:paraId="4B980135" w14:textId="77777777" w:rsidR="00C37199" w:rsidRDefault="001E08CC">
            <w:pPr>
              <w:ind w:right="386"/>
              <w:jc w:val="right"/>
              <w:rPr>
                <w:color w:val="000000"/>
                <w:sz w:val="20"/>
              </w:rPr>
            </w:pPr>
            <w:r w:rsidRPr="001E08CC">
              <w:rPr>
                <w:color w:val="000000"/>
                <w:sz w:val="20"/>
              </w:rPr>
              <w:t>2,070.00</w:t>
            </w:r>
          </w:p>
        </w:tc>
        <w:tc>
          <w:tcPr>
            <w:tcW w:w="1530" w:type="dxa"/>
            <w:tcBorders>
              <w:top w:val="single" w:sz="4" w:space="0" w:color="auto"/>
              <w:left w:val="single" w:sz="4" w:space="0" w:color="auto"/>
              <w:bottom w:val="single" w:sz="4" w:space="0" w:color="auto"/>
              <w:right w:val="single" w:sz="4" w:space="0" w:color="auto"/>
            </w:tcBorders>
            <w:noWrap/>
            <w:hideMark/>
          </w:tcPr>
          <w:p w14:paraId="21732A91" w14:textId="77777777" w:rsidR="00C37199" w:rsidRDefault="001E08CC">
            <w:pPr>
              <w:ind w:right="386"/>
              <w:jc w:val="right"/>
              <w:rPr>
                <w:color w:val="000000"/>
                <w:sz w:val="20"/>
              </w:rPr>
            </w:pPr>
            <w:r w:rsidRPr="001E08CC">
              <w:rPr>
                <w:color w:val="000000"/>
                <w:sz w:val="20"/>
              </w:rPr>
              <w:t>2,070.00</w:t>
            </w:r>
          </w:p>
        </w:tc>
        <w:tc>
          <w:tcPr>
            <w:tcW w:w="1530" w:type="dxa"/>
            <w:tcBorders>
              <w:top w:val="single" w:sz="4" w:space="0" w:color="auto"/>
              <w:left w:val="single" w:sz="4" w:space="0" w:color="auto"/>
              <w:bottom w:val="single" w:sz="4" w:space="0" w:color="auto"/>
              <w:right w:val="single" w:sz="4" w:space="0" w:color="auto"/>
            </w:tcBorders>
            <w:noWrap/>
            <w:hideMark/>
          </w:tcPr>
          <w:p w14:paraId="5A34CE1F" w14:textId="77777777" w:rsidR="00C37199" w:rsidRDefault="001E08CC">
            <w:pPr>
              <w:ind w:right="386"/>
              <w:jc w:val="right"/>
              <w:rPr>
                <w:color w:val="000000"/>
                <w:sz w:val="20"/>
              </w:rPr>
            </w:pPr>
            <w:r w:rsidRPr="001E08CC">
              <w:rPr>
                <w:color w:val="000000"/>
                <w:sz w:val="20"/>
              </w:rPr>
              <w:t>2,070.00</w:t>
            </w:r>
          </w:p>
        </w:tc>
        <w:tc>
          <w:tcPr>
            <w:tcW w:w="1620" w:type="dxa"/>
            <w:tcBorders>
              <w:top w:val="single" w:sz="4" w:space="0" w:color="auto"/>
              <w:left w:val="single" w:sz="4" w:space="0" w:color="auto"/>
              <w:bottom w:val="single" w:sz="4" w:space="0" w:color="auto"/>
              <w:right w:val="single" w:sz="4" w:space="0" w:color="auto"/>
            </w:tcBorders>
            <w:noWrap/>
            <w:hideMark/>
          </w:tcPr>
          <w:p w14:paraId="36D4661C" w14:textId="77777777" w:rsidR="00C37199" w:rsidRDefault="001E08CC">
            <w:pPr>
              <w:ind w:right="386"/>
              <w:jc w:val="right"/>
              <w:rPr>
                <w:color w:val="000000"/>
                <w:sz w:val="20"/>
              </w:rPr>
            </w:pPr>
            <w:r w:rsidRPr="001E08CC">
              <w:rPr>
                <w:color w:val="000000"/>
                <w:sz w:val="20"/>
              </w:rPr>
              <w:t>3.55</w:t>
            </w:r>
          </w:p>
        </w:tc>
      </w:tr>
      <w:tr w:rsidR="001E08CC" w:rsidRPr="001E08CC" w14:paraId="28D0D44A" w14:textId="77777777" w:rsidTr="005C1690">
        <w:trPr>
          <w:trHeight w:val="315"/>
        </w:trPr>
        <w:tc>
          <w:tcPr>
            <w:tcW w:w="2895" w:type="dxa"/>
            <w:tcBorders>
              <w:top w:val="single" w:sz="4" w:space="0" w:color="auto"/>
              <w:left w:val="single" w:sz="4" w:space="0" w:color="auto"/>
              <w:bottom w:val="single" w:sz="4" w:space="0" w:color="auto"/>
              <w:right w:val="single" w:sz="4" w:space="0" w:color="auto"/>
            </w:tcBorders>
            <w:hideMark/>
          </w:tcPr>
          <w:p w14:paraId="6E357577" w14:textId="77777777" w:rsidR="001E08CC" w:rsidRPr="001E08CC" w:rsidRDefault="001E08CC" w:rsidP="001E08CC">
            <w:pPr>
              <w:rPr>
                <w:color w:val="000000"/>
                <w:sz w:val="20"/>
              </w:rPr>
            </w:pPr>
            <w:r w:rsidRPr="001E08CC">
              <w:rPr>
                <w:color w:val="000000"/>
                <w:sz w:val="20"/>
                <w:szCs w:val="24"/>
              </w:rPr>
              <w:t>Simple cycle ≥ 90 MW</w:t>
            </w:r>
          </w:p>
        </w:tc>
        <w:tc>
          <w:tcPr>
            <w:tcW w:w="1620" w:type="dxa"/>
            <w:tcBorders>
              <w:top w:val="single" w:sz="4" w:space="0" w:color="auto"/>
              <w:left w:val="single" w:sz="4" w:space="0" w:color="auto"/>
              <w:bottom w:val="single" w:sz="4" w:space="0" w:color="auto"/>
              <w:right w:val="single" w:sz="4" w:space="0" w:color="auto"/>
            </w:tcBorders>
            <w:noWrap/>
            <w:hideMark/>
          </w:tcPr>
          <w:p w14:paraId="13E85324" w14:textId="77777777" w:rsidR="00C37199" w:rsidRDefault="001E08CC">
            <w:pPr>
              <w:ind w:right="386"/>
              <w:jc w:val="right"/>
              <w:rPr>
                <w:color w:val="000000"/>
                <w:sz w:val="20"/>
              </w:rPr>
            </w:pPr>
            <w:r w:rsidRPr="001E08CC">
              <w:rPr>
                <w:color w:val="000000"/>
                <w:sz w:val="20"/>
              </w:rPr>
              <w:t>4,500.00</w:t>
            </w:r>
          </w:p>
        </w:tc>
        <w:tc>
          <w:tcPr>
            <w:tcW w:w="1530" w:type="dxa"/>
            <w:tcBorders>
              <w:top w:val="single" w:sz="4" w:space="0" w:color="auto"/>
              <w:left w:val="single" w:sz="4" w:space="0" w:color="auto"/>
              <w:bottom w:val="single" w:sz="4" w:space="0" w:color="auto"/>
              <w:right w:val="single" w:sz="4" w:space="0" w:color="auto"/>
            </w:tcBorders>
            <w:noWrap/>
            <w:hideMark/>
          </w:tcPr>
          <w:p w14:paraId="52CA37C3" w14:textId="77777777" w:rsidR="00C37199" w:rsidRDefault="001E08CC">
            <w:pPr>
              <w:ind w:right="386"/>
              <w:jc w:val="right"/>
              <w:rPr>
                <w:color w:val="000000"/>
                <w:sz w:val="20"/>
              </w:rPr>
            </w:pPr>
            <w:r w:rsidRPr="001E08CC">
              <w:rPr>
                <w:color w:val="000000"/>
                <w:sz w:val="20"/>
              </w:rPr>
              <w:t>4,500.00</w:t>
            </w:r>
          </w:p>
        </w:tc>
        <w:tc>
          <w:tcPr>
            <w:tcW w:w="1530" w:type="dxa"/>
            <w:tcBorders>
              <w:top w:val="single" w:sz="4" w:space="0" w:color="auto"/>
              <w:left w:val="single" w:sz="4" w:space="0" w:color="auto"/>
              <w:bottom w:val="single" w:sz="4" w:space="0" w:color="auto"/>
              <w:right w:val="single" w:sz="4" w:space="0" w:color="auto"/>
            </w:tcBorders>
            <w:noWrap/>
            <w:hideMark/>
          </w:tcPr>
          <w:p w14:paraId="32CA09B5" w14:textId="77777777" w:rsidR="00C37199" w:rsidRDefault="001E08CC">
            <w:pPr>
              <w:ind w:right="386"/>
              <w:jc w:val="right"/>
              <w:rPr>
                <w:color w:val="000000"/>
                <w:sz w:val="20"/>
              </w:rPr>
            </w:pPr>
            <w:r w:rsidRPr="001E08CC">
              <w:rPr>
                <w:color w:val="000000"/>
                <w:sz w:val="20"/>
              </w:rPr>
              <w:t>4,500.00</w:t>
            </w:r>
          </w:p>
        </w:tc>
        <w:tc>
          <w:tcPr>
            <w:tcW w:w="1620" w:type="dxa"/>
            <w:tcBorders>
              <w:top w:val="single" w:sz="4" w:space="0" w:color="auto"/>
              <w:left w:val="single" w:sz="4" w:space="0" w:color="auto"/>
              <w:bottom w:val="single" w:sz="4" w:space="0" w:color="auto"/>
              <w:right w:val="single" w:sz="4" w:space="0" w:color="auto"/>
            </w:tcBorders>
            <w:noWrap/>
            <w:hideMark/>
          </w:tcPr>
          <w:p w14:paraId="0BE344BE" w14:textId="77777777" w:rsidR="00C37199" w:rsidRDefault="001E08CC">
            <w:pPr>
              <w:ind w:right="386"/>
              <w:jc w:val="right"/>
              <w:rPr>
                <w:color w:val="000000"/>
                <w:sz w:val="20"/>
              </w:rPr>
            </w:pPr>
            <w:r w:rsidRPr="001E08CC">
              <w:rPr>
                <w:color w:val="000000"/>
                <w:sz w:val="20"/>
              </w:rPr>
              <w:t>3.55</w:t>
            </w:r>
          </w:p>
        </w:tc>
      </w:tr>
      <w:tr w:rsidR="001E08CC" w:rsidRPr="001E08CC" w14:paraId="29833BFA" w14:textId="77777777" w:rsidTr="005C1690">
        <w:trPr>
          <w:trHeight w:val="1290"/>
        </w:trPr>
        <w:tc>
          <w:tcPr>
            <w:tcW w:w="2895" w:type="dxa"/>
            <w:tcBorders>
              <w:top w:val="single" w:sz="4" w:space="0" w:color="auto"/>
              <w:left w:val="single" w:sz="4" w:space="0" w:color="auto"/>
              <w:bottom w:val="single" w:sz="4" w:space="0" w:color="auto"/>
              <w:right w:val="single" w:sz="4" w:space="0" w:color="auto"/>
            </w:tcBorders>
            <w:hideMark/>
          </w:tcPr>
          <w:p w14:paraId="6E6CD540" w14:textId="77777777" w:rsidR="001E08CC" w:rsidRPr="001E08CC" w:rsidRDefault="001E08CC" w:rsidP="001E08CC">
            <w:pPr>
              <w:rPr>
                <w:color w:val="000000"/>
                <w:sz w:val="20"/>
              </w:rPr>
            </w:pPr>
            <w:r w:rsidRPr="001E08CC">
              <w:rPr>
                <w:color w:val="000000"/>
                <w:sz w:val="20"/>
                <w:szCs w:val="24"/>
              </w:rPr>
              <w:t>Combined cycle:  for each  Combined-Cycle Configuration, the Startup Cost for that configuration is the sum of the Startup Costs for each unit within that configuration as follows:</w:t>
            </w:r>
          </w:p>
        </w:tc>
        <w:tc>
          <w:tcPr>
            <w:tcW w:w="1620" w:type="dxa"/>
            <w:tcBorders>
              <w:top w:val="single" w:sz="4" w:space="0" w:color="auto"/>
              <w:left w:val="single" w:sz="4" w:space="0" w:color="auto"/>
              <w:bottom w:val="single" w:sz="4" w:space="0" w:color="auto"/>
              <w:right w:val="single" w:sz="4" w:space="0" w:color="auto"/>
            </w:tcBorders>
            <w:noWrap/>
            <w:hideMark/>
          </w:tcPr>
          <w:p w14:paraId="603DE532" w14:textId="77777777" w:rsidR="00C37199" w:rsidRDefault="00C37199">
            <w:pPr>
              <w:ind w:right="386"/>
              <w:jc w:val="right"/>
              <w:rPr>
                <w:color w:val="000000"/>
                <w:sz w:val="20"/>
              </w:rPr>
            </w:pPr>
          </w:p>
        </w:tc>
        <w:tc>
          <w:tcPr>
            <w:tcW w:w="1530" w:type="dxa"/>
            <w:tcBorders>
              <w:top w:val="single" w:sz="4" w:space="0" w:color="auto"/>
              <w:left w:val="single" w:sz="4" w:space="0" w:color="auto"/>
              <w:bottom w:val="single" w:sz="4" w:space="0" w:color="auto"/>
              <w:right w:val="single" w:sz="4" w:space="0" w:color="auto"/>
            </w:tcBorders>
            <w:noWrap/>
            <w:hideMark/>
          </w:tcPr>
          <w:p w14:paraId="418E8D33" w14:textId="77777777" w:rsidR="00C37199" w:rsidRDefault="00C37199">
            <w:pPr>
              <w:ind w:right="386"/>
              <w:jc w:val="right"/>
              <w:rPr>
                <w:color w:val="000000"/>
                <w:sz w:val="20"/>
              </w:rPr>
            </w:pPr>
          </w:p>
        </w:tc>
        <w:tc>
          <w:tcPr>
            <w:tcW w:w="1530" w:type="dxa"/>
            <w:tcBorders>
              <w:top w:val="single" w:sz="4" w:space="0" w:color="auto"/>
              <w:left w:val="single" w:sz="4" w:space="0" w:color="auto"/>
              <w:bottom w:val="single" w:sz="4" w:space="0" w:color="auto"/>
              <w:right w:val="single" w:sz="4" w:space="0" w:color="auto"/>
            </w:tcBorders>
            <w:noWrap/>
            <w:hideMark/>
          </w:tcPr>
          <w:p w14:paraId="14CBB5CC" w14:textId="77777777" w:rsidR="00C37199" w:rsidRDefault="00C37199">
            <w:pPr>
              <w:ind w:right="386"/>
              <w:jc w:val="right"/>
              <w:rPr>
                <w:color w:val="000000"/>
                <w:sz w:val="20"/>
              </w:rPr>
            </w:pPr>
          </w:p>
        </w:tc>
        <w:tc>
          <w:tcPr>
            <w:tcW w:w="1620" w:type="dxa"/>
            <w:tcBorders>
              <w:top w:val="single" w:sz="4" w:space="0" w:color="auto"/>
              <w:left w:val="single" w:sz="4" w:space="0" w:color="auto"/>
              <w:bottom w:val="single" w:sz="4" w:space="0" w:color="auto"/>
              <w:right w:val="single" w:sz="4" w:space="0" w:color="auto"/>
            </w:tcBorders>
            <w:noWrap/>
            <w:hideMark/>
          </w:tcPr>
          <w:p w14:paraId="660A0589" w14:textId="77777777" w:rsidR="00C37199" w:rsidRDefault="001E08CC">
            <w:pPr>
              <w:ind w:right="386"/>
              <w:jc w:val="right"/>
              <w:rPr>
                <w:color w:val="000000"/>
                <w:sz w:val="20"/>
              </w:rPr>
            </w:pPr>
            <w:r w:rsidRPr="001E08CC">
              <w:rPr>
                <w:color w:val="000000"/>
                <w:sz w:val="20"/>
              </w:rPr>
              <w:t>2.87</w:t>
            </w:r>
          </w:p>
        </w:tc>
      </w:tr>
      <w:tr w:rsidR="001E08CC" w:rsidRPr="001E08CC" w14:paraId="7535F6AD" w14:textId="77777777" w:rsidTr="005C1690">
        <w:trPr>
          <w:trHeight w:val="315"/>
        </w:trPr>
        <w:tc>
          <w:tcPr>
            <w:tcW w:w="2895" w:type="dxa"/>
            <w:tcBorders>
              <w:top w:val="single" w:sz="4" w:space="0" w:color="auto"/>
              <w:left w:val="single" w:sz="4" w:space="0" w:color="auto"/>
              <w:bottom w:val="single" w:sz="4" w:space="0" w:color="auto"/>
              <w:right w:val="single" w:sz="4" w:space="0" w:color="auto"/>
            </w:tcBorders>
            <w:hideMark/>
          </w:tcPr>
          <w:p w14:paraId="2AA0AC2E" w14:textId="77777777" w:rsidR="001E08CC" w:rsidRPr="001E08CC" w:rsidRDefault="001E08CC" w:rsidP="001E08CC">
            <w:pPr>
              <w:ind w:left="360"/>
              <w:rPr>
                <w:color w:val="000000"/>
                <w:sz w:val="20"/>
              </w:rPr>
            </w:pPr>
            <w:r w:rsidRPr="001E08CC">
              <w:rPr>
                <w:color w:val="000000"/>
                <w:sz w:val="20"/>
                <w:szCs w:val="24"/>
              </w:rPr>
              <w:t>Combustion turbine &lt; 90</w:t>
            </w:r>
            <w:r w:rsidR="00524596">
              <w:rPr>
                <w:color w:val="000000"/>
                <w:sz w:val="20"/>
                <w:szCs w:val="24"/>
              </w:rPr>
              <w:t xml:space="preserve"> </w:t>
            </w:r>
            <w:r w:rsidRPr="001E08CC">
              <w:rPr>
                <w:color w:val="000000"/>
                <w:sz w:val="20"/>
                <w:szCs w:val="24"/>
              </w:rPr>
              <w:t>MW</w:t>
            </w:r>
          </w:p>
        </w:tc>
        <w:tc>
          <w:tcPr>
            <w:tcW w:w="1620" w:type="dxa"/>
            <w:tcBorders>
              <w:top w:val="single" w:sz="4" w:space="0" w:color="auto"/>
              <w:left w:val="single" w:sz="4" w:space="0" w:color="auto"/>
              <w:bottom w:val="single" w:sz="4" w:space="0" w:color="auto"/>
              <w:right w:val="single" w:sz="4" w:space="0" w:color="auto"/>
            </w:tcBorders>
            <w:noWrap/>
            <w:hideMark/>
          </w:tcPr>
          <w:p w14:paraId="70FA29B0" w14:textId="77777777" w:rsidR="00C37199" w:rsidRDefault="001E08CC">
            <w:pPr>
              <w:ind w:right="386"/>
              <w:jc w:val="right"/>
              <w:rPr>
                <w:color w:val="000000"/>
                <w:sz w:val="20"/>
              </w:rPr>
            </w:pPr>
            <w:r w:rsidRPr="001E08CC">
              <w:rPr>
                <w:color w:val="000000"/>
                <w:sz w:val="20"/>
              </w:rPr>
              <w:t>2,070.00</w:t>
            </w:r>
          </w:p>
        </w:tc>
        <w:tc>
          <w:tcPr>
            <w:tcW w:w="1530" w:type="dxa"/>
            <w:tcBorders>
              <w:top w:val="single" w:sz="4" w:space="0" w:color="auto"/>
              <w:left w:val="single" w:sz="4" w:space="0" w:color="auto"/>
              <w:bottom w:val="single" w:sz="4" w:space="0" w:color="auto"/>
              <w:right w:val="single" w:sz="4" w:space="0" w:color="auto"/>
            </w:tcBorders>
            <w:noWrap/>
            <w:hideMark/>
          </w:tcPr>
          <w:p w14:paraId="481E41FE" w14:textId="77777777" w:rsidR="00C37199" w:rsidRDefault="001E08CC">
            <w:pPr>
              <w:ind w:right="386"/>
              <w:jc w:val="right"/>
              <w:rPr>
                <w:color w:val="000000"/>
                <w:sz w:val="20"/>
              </w:rPr>
            </w:pPr>
            <w:r w:rsidRPr="001E08CC">
              <w:rPr>
                <w:color w:val="000000"/>
                <w:sz w:val="20"/>
              </w:rPr>
              <w:t>2,070.00</w:t>
            </w:r>
          </w:p>
        </w:tc>
        <w:tc>
          <w:tcPr>
            <w:tcW w:w="1530" w:type="dxa"/>
            <w:tcBorders>
              <w:top w:val="single" w:sz="4" w:space="0" w:color="auto"/>
              <w:left w:val="single" w:sz="4" w:space="0" w:color="auto"/>
              <w:bottom w:val="single" w:sz="4" w:space="0" w:color="auto"/>
              <w:right w:val="single" w:sz="4" w:space="0" w:color="auto"/>
            </w:tcBorders>
            <w:noWrap/>
            <w:hideMark/>
          </w:tcPr>
          <w:p w14:paraId="4BD68D42" w14:textId="77777777" w:rsidR="00C37199" w:rsidRDefault="001E08CC">
            <w:pPr>
              <w:ind w:right="386"/>
              <w:jc w:val="right"/>
              <w:rPr>
                <w:color w:val="000000"/>
                <w:sz w:val="20"/>
              </w:rPr>
            </w:pPr>
            <w:r w:rsidRPr="001E08CC">
              <w:rPr>
                <w:color w:val="000000"/>
                <w:sz w:val="20"/>
              </w:rPr>
              <w:t>2,070.00</w:t>
            </w:r>
          </w:p>
        </w:tc>
        <w:tc>
          <w:tcPr>
            <w:tcW w:w="1620" w:type="dxa"/>
            <w:tcBorders>
              <w:top w:val="single" w:sz="4" w:space="0" w:color="auto"/>
              <w:left w:val="single" w:sz="4" w:space="0" w:color="auto"/>
              <w:bottom w:val="single" w:sz="4" w:space="0" w:color="auto"/>
              <w:right w:val="single" w:sz="4" w:space="0" w:color="auto"/>
            </w:tcBorders>
            <w:noWrap/>
            <w:hideMark/>
          </w:tcPr>
          <w:p w14:paraId="00F5EA9B" w14:textId="77777777" w:rsidR="00C37199" w:rsidRDefault="00C37199">
            <w:pPr>
              <w:ind w:right="386"/>
              <w:jc w:val="right"/>
              <w:rPr>
                <w:color w:val="000000"/>
                <w:sz w:val="20"/>
              </w:rPr>
            </w:pPr>
          </w:p>
        </w:tc>
      </w:tr>
      <w:tr w:rsidR="001E08CC" w:rsidRPr="001E08CC" w14:paraId="688E5FE8" w14:textId="77777777" w:rsidTr="005C1690">
        <w:trPr>
          <w:trHeight w:val="315"/>
        </w:trPr>
        <w:tc>
          <w:tcPr>
            <w:tcW w:w="2895" w:type="dxa"/>
            <w:tcBorders>
              <w:top w:val="single" w:sz="4" w:space="0" w:color="auto"/>
              <w:left w:val="single" w:sz="4" w:space="0" w:color="auto"/>
              <w:bottom w:val="single" w:sz="4" w:space="0" w:color="auto"/>
              <w:right w:val="single" w:sz="4" w:space="0" w:color="auto"/>
            </w:tcBorders>
            <w:hideMark/>
          </w:tcPr>
          <w:p w14:paraId="324537CC" w14:textId="77777777" w:rsidR="001E08CC" w:rsidRPr="001E08CC" w:rsidRDefault="001E08CC" w:rsidP="001E08CC">
            <w:pPr>
              <w:ind w:left="360"/>
              <w:rPr>
                <w:color w:val="000000"/>
                <w:sz w:val="20"/>
              </w:rPr>
            </w:pPr>
            <w:r w:rsidRPr="001E08CC">
              <w:rPr>
                <w:color w:val="000000"/>
                <w:sz w:val="20"/>
                <w:szCs w:val="24"/>
              </w:rPr>
              <w:t>Combustion turbine ≥ 90 MW</w:t>
            </w:r>
          </w:p>
        </w:tc>
        <w:tc>
          <w:tcPr>
            <w:tcW w:w="1620" w:type="dxa"/>
            <w:tcBorders>
              <w:top w:val="single" w:sz="4" w:space="0" w:color="auto"/>
              <w:left w:val="single" w:sz="4" w:space="0" w:color="auto"/>
              <w:bottom w:val="single" w:sz="4" w:space="0" w:color="auto"/>
              <w:right w:val="single" w:sz="4" w:space="0" w:color="auto"/>
            </w:tcBorders>
            <w:noWrap/>
            <w:hideMark/>
          </w:tcPr>
          <w:p w14:paraId="247A502C" w14:textId="77777777" w:rsidR="00C37199" w:rsidRDefault="001E08CC">
            <w:pPr>
              <w:ind w:right="386"/>
              <w:jc w:val="right"/>
              <w:rPr>
                <w:color w:val="000000"/>
                <w:sz w:val="20"/>
              </w:rPr>
            </w:pPr>
            <w:r w:rsidRPr="001E08CC">
              <w:rPr>
                <w:color w:val="000000"/>
                <w:sz w:val="20"/>
              </w:rPr>
              <w:t>4,500.00</w:t>
            </w:r>
          </w:p>
        </w:tc>
        <w:tc>
          <w:tcPr>
            <w:tcW w:w="1530" w:type="dxa"/>
            <w:tcBorders>
              <w:top w:val="single" w:sz="4" w:space="0" w:color="auto"/>
              <w:left w:val="single" w:sz="4" w:space="0" w:color="auto"/>
              <w:bottom w:val="single" w:sz="4" w:space="0" w:color="auto"/>
              <w:right w:val="single" w:sz="4" w:space="0" w:color="auto"/>
            </w:tcBorders>
            <w:noWrap/>
            <w:hideMark/>
          </w:tcPr>
          <w:p w14:paraId="03627145" w14:textId="77777777" w:rsidR="00C37199" w:rsidRDefault="001E08CC">
            <w:pPr>
              <w:ind w:right="386"/>
              <w:jc w:val="right"/>
              <w:rPr>
                <w:color w:val="000000"/>
                <w:sz w:val="20"/>
              </w:rPr>
            </w:pPr>
            <w:r w:rsidRPr="001E08CC">
              <w:rPr>
                <w:color w:val="000000"/>
                <w:sz w:val="20"/>
              </w:rPr>
              <w:t>4,500.00</w:t>
            </w:r>
          </w:p>
        </w:tc>
        <w:tc>
          <w:tcPr>
            <w:tcW w:w="1530" w:type="dxa"/>
            <w:tcBorders>
              <w:top w:val="single" w:sz="4" w:space="0" w:color="auto"/>
              <w:left w:val="single" w:sz="4" w:space="0" w:color="auto"/>
              <w:bottom w:val="single" w:sz="4" w:space="0" w:color="auto"/>
              <w:right w:val="single" w:sz="4" w:space="0" w:color="auto"/>
            </w:tcBorders>
            <w:noWrap/>
            <w:hideMark/>
          </w:tcPr>
          <w:p w14:paraId="72A009E7" w14:textId="77777777" w:rsidR="00C37199" w:rsidRDefault="001E08CC">
            <w:pPr>
              <w:ind w:right="386"/>
              <w:jc w:val="right"/>
              <w:rPr>
                <w:color w:val="000000"/>
                <w:sz w:val="20"/>
              </w:rPr>
            </w:pPr>
            <w:r w:rsidRPr="001E08CC">
              <w:rPr>
                <w:color w:val="000000"/>
                <w:sz w:val="20"/>
              </w:rPr>
              <w:t>4,500.00</w:t>
            </w:r>
          </w:p>
        </w:tc>
        <w:tc>
          <w:tcPr>
            <w:tcW w:w="1620" w:type="dxa"/>
            <w:tcBorders>
              <w:top w:val="single" w:sz="4" w:space="0" w:color="auto"/>
              <w:left w:val="single" w:sz="4" w:space="0" w:color="auto"/>
              <w:bottom w:val="single" w:sz="4" w:space="0" w:color="auto"/>
              <w:right w:val="single" w:sz="4" w:space="0" w:color="auto"/>
            </w:tcBorders>
            <w:noWrap/>
            <w:hideMark/>
          </w:tcPr>
          <w:p w14:paraId="00A8D8B6" w14:textId="77777777" w:rsidR="00C37199" w:rsidRDefault="00C37199">
            <w:pPr>
              <w:ind w:right="386"/>
              <w:jc w:val="right"/>
              <w:rPr>
                <w:color w:val="000000"/>
                <w:sz w:val="20"/>
              </w:rPr>
            </w:pPr>
          </w:p>
        </w:tc>
      </w:tr>
      <w:tr w:rsidR="001E08CC" w:rsidRPr="001E08CC" w14:paraId="40FF3318" w14:textId="77777777" w:rsidTr="005C1690">
        <w:trPr>
          <w:trHeight w:val="315"/>
        </w:trPr>
        <w:tc>
          <w:tcPr>
            <w:tcW w:w="2895" w:type="dxa"/>
            <w:tcBorders>
              <w:top w:val="single" w:sz="4" w:space="0" w:color="auto"/>
              <w:left w:val="single" w:sz="4" w:space="0" w:color="auto"/>
              <w:bottom w:val="single" w:sz="4" w:space="0" w:color="auto"/>
              <w:right w:val="single" w:sz="4" w:space="0" w:color="auto"/>
            </w:tcBorders>
            <w:hideMark/>
          </w:tcPr>
          <w:p w14:paraId="3902446A" w14:textId="77777777" w:rsidR="001E08CC" w:rsidRPr="001E08CC" w:rsidRDefault="001E08CC" w:rsidP="001E08CC">
            <w:pPr>
              <w:rPr>
                <w:color w:val="000000"/>
                <w:sz w:val="20"/>
              </w:rPr>
            </w:pPr>
            <w:r w:rsidRPr="001E08CC">
              <w:rPr>
                <w:color w:val="000000"/>
                <w:sz w:val="20"/>
                <w:szCs w:val="24"/>
              </w:rPr>
              <w:t>Steam turbine</w:t>
            </w:r>
          </w:p>
        </w:tc>
        <w:tc>
          <w:tcPr>
            <w:tcW w:w="1620" w:type="dxa"/>
            <w:tcBorders>
              <w:top w:val="single" w:sz="4" w:space="0" w:color="auto"/>
              <w:left w:val="single" w:sz="4" w:space="0" w:color="auto"/>
              <w:bottom w:val="single" w:sz="4" w:space="0" w:color="auto"/>
              <w:right w:val="single" w:sz="4" w:space="0" w:color="auto"/>
            </w:tcBorders>
            <w:noWrap/>
            <w:hideMark/>
          </w:tcPr>
          <w:p w14:paraId="2707627D" w14:textId="77777777" w:rsidR="00C37199" w:rsidRDefault="001E08CC">
            <w:pPr>
              <w:ind w:right="386"/>
              <w:jc w:val="right"/>
              <w:rPr>
                <w:color w:val="000000"/>
                <w:sz w:val="20"/>
              </w:rPr>
            </w:pPr>
            <w:r w:rsidRPr="001E08CC">
              <w:rPr>
                <w:color w:val="000000"/>
                <w:sz w:val="20"/>
              </w:rPr>
              <w:t>2,700.00</w:t>
            </w:r>
          </w:p>
        </w:tc>
        <w:tc>
          <w:tcPr>
            <w:tcW w:w="1530" w:type="dxa"/>
            <w:tcBorders>
              <w:top w:val="single" w:sz="4" w:space="0" w:color="auto"/>
              <w:left w:val="single" w:sz="4" w:space="0" w:color="auto"/>
              <w:bottom w:val="single" w:sz="4" w:space="0" w:color="auto"/>
              <w:right w:val="single" w:sz="4" w:space="0" w:color="auto"/>
            </w:tcBorders>
            <w:noWrap/>
            <w:hideMark/>
          </w:tcPr>
          <w:p w14:paraId="615A0FED" w14:textId="77777777" w:rsidR="00C37199" w:rsidRDefault="001E08CC">
            <w:pPr>
              <w:ind w:right="386"/>
              <w:jc w:val="right"/>
              <w:rPr>
                <w:color w:val="000000"/>
                <w:sz w:val="20"/>
              </w:rPr>
            </w:pPr>
            <w:r w:rsidRPr="001E08CC">
              <w:rPr>
                <w:color w:val="000000"/>
                <w:sz w:val="20"/>
              </w:rPr>
              <w:t>2,025.00</w:t>
            </w:r>
          </w:p>
        </w:tc>
        <w:tc>
          <w:tcPr>
            <w:tcW w:w="1530" w:type="dxa"/>
            <w:tcBorders>
              <w:top w:val="single" w:sz="4" w:space="0" w:color="auto"/>
              <w:left w:val="single" w:sz="4" w:space="0" w:color="auto"/>
              <w:bottom w:val="single" w:sz="4" w:space="0" w:color="auto"/>
              <w:right w:val="single" w:sz="4" w:space="0" w:color="auto"/>
            </w:tcBorders>
            <w:noWrap/>
            <w:hideMark/>
          </w:tcPr>
          <w:p w14:paraId="5721F1FB" w14:textId="77777777" w:rsidR="00C37199" w:rsidRDefault="001E08CC">
            <w:pPr>
              <w:ind w:right="386"/>
              <w:jc w:val="right"/>
              <w:rPr>
                <w:color w:val="000000"/>
                <w:sz w:val="20"/>
              </w:rPr>
            </w:pPr>
            <w:r w:rsidRPr="001E08CC">
              <w:rPr>
                <w:color w:val="000000"/>
                <w:sz w:val="20"/>
              </w:rPr>
              <w:t>1,125.00</w:t>
            </w:r>
          </w:p>
        </w:tc>
        <w:tc>
          <w:tcPr>
            <w:tcW w:w="1620" w:type="dxa"/>
            <w:tcBorders>
              <w:top w:val="single" w:sz="4" w:space="0" w:color="auto"/>
              <w:left w:val="single" w:sz="4" w:space="0" w:color="auto"/>
              <w:bottom w:val="single" w:sz="4" w:space="0" w:color="auto"/>
              <w:right w:val="single" w:sz="4" w:space="0" w:color="auto"/>
            </w:tcBorders>
            <w:noWrap/>
            <w:hideMark/>
          </w:tcPr>
          <w:p w14:paraId="4C4CFFD4" w14:textId="77777777" w:rsidR="00C37199" w:rsidRDefault="00C37199">
            <w:pPr>
              <w:ind w:right="386"/>
              <w:jc w:val="right"/>
              <w:rPr>
                <w:color w:val="000000"/>
                <w:sz w:val="20"/>
              </w:rPr>
            </w:pPr>
          </w:p>
        </w:tc>
      </w:tr>
      <w:tr w:rsidR="001E08CC" w:rsidRPr="001E08CC" w14:paraId="6E118847" w14:textId="77777777" w:rsidTr="005C1690">
        <w:trPr>
          <w:trHeight w:val="315"/>
        </w:trPr>
        <w:tc>
          <w:tcPr>
            <w:tcW w:w="2895" w:type="dxa"/>
            <w:tcBorders>
              <w:top w:val="single" w:sz="4" w:space="0" w:color="auto"/>
              <w:left w:val="single" w:sz="4" w:space="0" w:color="auto"/>
              <w:bottom w:val="single" w:sz="4" w:space="0" w:color="auto"/>
              <w:right w:val="single" w:sz="4" w:space="0" w:color="auto"/>
            </w:tcBorders>
            <w:hideMark/>
          </w:tcPr>
          <w:p w14:paraId="1957F9B6" w14:textId="77777777" w:rsidR="001E08CC" w:rsidRPr="001E08CC" w:rsidRDefault="001E08CC" w:rsidP="001E08CC">
            <w:pPr>
              <w:rPr>
                <w:color w:val="000000"/>
                <w:sz w:val="20"/>
              </w:rPr>
            </w:pPr>
            <w:r w:rsidRPr="001E08CC">
              <w:rPr>
                <w:color w:val="000000"/>
                <w:sz w:val="20"/>
                <w:szCs w:val="24"/>
              </w:rPr>
              <w:t>Gas-steam non-reheat boiler</w:t>
            </w:r>
          </w:p>
        </w:tc>
        <w:tc>
          <w:tcPr>
            <w:tcW w:w="1620" w:type="dxa"/>
            <w:tcBorders>
              <w:top w:val="single" w:sz="4" w:space="0" w:color="auto"/>
              <w:left w:val="single" w:sz="4" w:space="0" w:color="auto"/>
              <w:bottom w:val="single" w:sz="4" w:space="0" w:color="auto"/>
              <w:right w:val="single" w:sz="4" w:space="0" w:color="auto"/>
            </w:tcBorders>
            <w:noWrap/>
            <w:hideMark/>
          </w:tcPr>
          <w:p w14:paraId="5F13745C" w14:textId="77777777" w:rsidR="00C37199" w:rsidRDefault="001E08CC">
            <w:pPr>
              <w:ind w:right="386"/>
              <w:jc w:val="right"/>
              <w:rPr>
                <w:color w:val="000000"/>
                <w:sz w:val="20"/>
              </w:rPr>
            </w:pPr>
            <w:r w:rsidRPr="001E08CC">
              <w:rPr>
                <w:color w:val="000000"/>
                <w:sz w:val="20"/>
              </w:rPr>
              <w:t>2,079.00</w:t>
            </w:r>
          </w:p>
        </w:tc>
        <w:tc>
          <w:tcPr>
            <w:tcW w:w="1530" w:type="dxa"/>
            <w:tcBorders>
              <w:top w:val="single" w:sz="4" w:space="0" w:color="auto"/>
              <w:left w:val="single" w:sz="4" w:space="0" w:color="auto"/>
              <w:bottom w:val="single" w:sz="4" w:space="0" w:color="auto"/>
              <w:right w:val="single" w:sz="4" w:space="0" w:color="auto"/>
            </w:tcBorders>
            <w:noWrap/>
            <w:hideMark/>
          </w:tcPr>
          <w:p w14:paraId="0863E4F0" w14:textId="77777777" w:rsidR="00C37199" w:rsidRDefault="001E08CC">
            <w:pPr>
              <w:ind w:right="386"/>
              <w:jc w:val="right"/>
              <w:rPr>
                <w:color w:val="000000"/>
                <w:sz w:val="20"/>
              </w:rPr>
            </w:pPr>
            <w:r w:rsidRPr="001E08CC">
              <w:rPr>
                <w:color w:val="000000"/>
                <w:sz w:val="20"/>
              </w:rPr>
              <w:t>1,559.25</w:t>
            </w:r>
          </w:p>
        </w:tc>
        <w:tc>
          <w:tcPr>
            <w:tcW w:w="1530" w:type="dxa"/>
            <w:tcBorders>
              <w:top w:val="single" w:sz="4" w:space="0" w:color="auto"/>
              <w:left w:val="single" w:sz="4" w:space="0" w:color="auto"/>
              <w:bottom w:val="single" w:sz="4" w:space="0" w:color="auto"/>
              <w:right w:val="single" w:sz="4" w:space="0" w:color="auto"/>
            </w:tcBorders>
            <w:noWrap/>
            <w:hideMark/>
          </w:tcPr>
          <w:p w14:paraId="7B5273CC" w14:textId="77777777" w:rsidR="00C37199" w:rsidRDefault="001E08CC">
            <w:pPr>
              <w:ind w:right="386"/>
              <w:jc w:val="right"/>
              <w:rPr>
                <w:color w:val="000000"/>
                <w:sz w:val="20"/>
              </w:rPr>
            </w:pPr>
            <w:r w:rsidRPr="001E08CC">
              <w:rPr>
                <w:color w:val="000000"/>
                <w:sz w:val="20"/>
              </w:rPr>
              <w:t>779.63</w:t>
            </w:r>
          </w:p>
        </w:tc>
        <w:tc>
          <w:tcPr>
            <w:tcW w:w="1620" w:type="dxa"/>
            <w:tcBorders>
              <w:top w:val="single" w:sz="4" w:space="0" w:color="auto"/>
              <w:left w:val="single" w:sz="4" w:space="0" w:color="auto"/>
              <w:bottom w:val="single" w:sz="4" w:space="0" w:color="auto"/>
              <w:right w:val="single" w:sz="4" w:space="0" w:color="auto"/>
            </w:tcBorders>
            <w:noWrap/>
            <w:hideMark/>
          </w:tcPr>
          <w:p w14:paraId="2531442F" w14:textId="77777777" w:rsidR="00C37199" w:rsidRDefault="001E08CC">
            <w:pPr>
              <w:ind w:right="386"/>
              <w:jc w:val="right"/>
              <w:rPr>
                <w:color w:val="000000"/>
                <w:sz w:val="20"/>
              </w:rPr>
            </w:pPr>
            <w:r w:rsidRPr="001E08CC">
              <w:rPr>
                <w:color w:val="000000"/>
                <w:sz w:val="20"/>
              </w:rPr>
              <w:t>6.37</w:t>
            </w:r>
          </w:p>
        </w:tc>
      </w:tr>
      <w:tr w:rsidR="001E08CC" w:rsidRPr="001E08CC" w14:paraId="655C74CE" w14:textId="77777777" w:rsidTr="005C1690">
        <w:trPr>
          <w:trHeight w:val="315"/>
        </w:trPr>
        <w:tc>
          <w:tcPr>
            <w:tcW w:w="2895" w:type="dxa"/>
            <w:tcBorders>
              <w:top w:val="single" w:sz="4" w:space="0" w:color="auto"/>
              <w:left w:val="single" w:sz="4" w:space="0" w:color="auto"/>
              <w:bottom w:val="single" w:sz="4" w:space="0" w:color="auto"/>
              <w:right w:val="single" w:sz="4" w:space="0" w:color="auto"/>
            </w:tcBorders>
            <w:hideMark/>
          </w:tcPr>
          <w:p w14:paraId="31A5F764" w14:textId="77777777" w:rsidR="001E08CC" w:rsidRPr="001E08CC" w:rsidRDefault="001E08CC" w:rsidP="001E08CC">
            <w:pPr>
              <w:rPr>
                <w:color w:val="000000"/>
                <w:sz w:val="20"/>
              </w:rPr>
            </w:pPr>
            <w:r w:rsidRPr="001E08CC">
              <w:rPr>
                <w:color w:val="000000"/>
                <w:sz w:val="20"/>
                <w:szCs w:val="24"/>
              </w:rPr>
              <w:t>Gas-steam reheat boiler</w:t>
            </w:r>
          </w:p>
        </w:tc>
        <w:tc>
          <w:tcPr>
            <w:tcW w:w="1620" w:type="dxa"/>
            <w:tcBorders>
              <w:top w:val="single" w:sz="4" w:space="0" w:color="auto"/>
              <w:left w:val="single" w:sz="4" w:space="0" w:color="auto"/>
              <w:bottom w:val="single" w:sz="4" w:space="0" w:color="auto"/>
              <w:right w:val="single" w:sz="4" w:space="0" w:color="auto"/>
            </w:tcBorders>
            <w:noWrap/>
            <w:hideMark/>
          </w:tcPr>
          <w:p w14:paraId="47108AE0" w14:textId="77777777" w:rsidR="00C37199" w:rsidRDefault="001E08CC">
            <w:pPr>
              <w:ind w:right="386"/>
              <w:jc w:val="right"/>
              <w:rPr>
                <w:color w:val="000000"/>
                <w:sz w:val="20"/>
              </w:rPr>
            </w:pPr>
            <w:r w:rsidRPr="001E08CC">
              <w:rPr>
                <w:color w:val="000000"/>
                <w:sz w:val="20"/>
              </w:rPr>
              <w:t>2,700.00</w:t>
            </w:r>
          </w:p>
        </w:tc>
        <w:tc>
          <w:tcPr>
            <w:tcW w:w="1530" w:type="dxa"/>
            <w:tcBorders>
              <w:top w:val="single" w:sz="4" w:space="0" w:color="auto"/>
              <w:left w:val="single" w:sz="4" w:space="0" w:color="auto"/>
              <w:bottom w:val="single" w:sz="4" w:space="0" w:color="auto"/>
              <w:right w:val="single" w:sz="4" w:space="0" w:color="auto"/>
            </w:tcBorders>
            <w:noWrap/>
            <w:hideMark/>
          </w:tcPr>
          <w:p w14:paraId="60AC7B28" w14:textId="77777777" w:rsidR="00C37199" w:rsidRDefault="001E08CC">
            <w:pPr>
              <w:ind w:right="386"/>
              <w:jc w:val="right"/>
              <w:rPr>
                <w:color w:val="000000"/>
                <w:sz w:val="20"/>
              </w:rPr>
            </w:pPr>
            <w:r w:rsidRPr="001E08CC">
              <w:rPr>
                <w:color w:val="000000"/>
                <w:sz w:val="20"/>
              </w:rPr>
              <w:t>2,025.00</w:t>
            </w:r>
          </w:p>
        </w:tc>
        <w:tc>
          <w:tcPr>
            <w:tcW w:w="1530" w:type="dxa"/>
            <w:tcBorders>
              <w:top w:val="single" w:sz="4" w:space="0" w:color="auto"/>
              <w:left w:val="single" w:sz="4" w:space="0" w:color="auto"/>
              <w:bottom w:val="single" w:sz="4" w:space="0" w:color="auto"/>
              <w:right w:val="single" w:sz="4" w:space="0" w:color="auto"/>
            </w:tcBorders>
            <w:noWrap/>
            <w:hideMark/>
          </w:tcPr>
          <w:p w14:paraId="53FD87D2" w14:textId="77777777" w:rsidR="00C37199" w:rsidRDefault="001E08CC">
            <w:pPr>
              <w:ind w:right="386"/>
              <w:jc w:val="right"/>
              <w:rPr>
                <w:color w:val="000000"/>
                <w:sz w:val="20"/>
              </w:rPr>
            </w:pPr>
            <w:r w:rsidRPr="001E08CC">
              <w:rPr>
                <w:color w:val="000000"/>
                <w:sz w:val="20"/>
              </w:rPr>
              <w:t>1,012.50</w:t>
            </w:r>
          </w:p>
        </w:tc>
        <w:tc>
          <w:tcPr>
            <w:tcW w:w="1620" w:type="dxa"/>
            <w:tcBorders>
              <w:top w:val="single" w:sz="4" w:space="0" w:color="auto"/>
              <w:left w:val="single" w:sz="4" w:space="0" w:color="auto"/>
              <w:bottom w:val="single" w:sz="4" w:space="0" w:color="auto"/>
              <w:right w:val="single" w:sz="4" w:space="0" w:color="auto"/>
            </w:tcBorders>
            <w:noWrap/>
            <w:hideMark/>
          </w:tcPr>
          <w:p w14:paraId="40505868" w14:textId="77777777" w:rsidR="00C37199" w:rsidRDefault="001E08CC">
            <w:pPr>
              <w:ind w:right="386"/>
              <w:jc w:val="right"/>
              <w:rPr>
                <w:color w:val="000000"/>
                <w:sz w:val="20"/>
              </w:rPr>
            </w:pPr>
            <w:r w:rsidRPr="001E08CC">
              <w:rPr>
                <w:color w:val="000000"/>
                <w:sz w:val="20"/>
              </w:rPr>
              <w:t>6.37</w:t>
            </w:r>
          </w:p>
        </w:tc>
      </w:tr>
      <w:tr w:rsidR="001E08CC" w:rsidRPr="001E08CC" w14:paraId="4DE971F5" w14:textId="77777777" w:rsidTr="005C1690">
        <w:trPr>
          <w:trHeight w:val="315"/>
        </w:trPr>
        <w:tc>
          <w:tcPr>
            <w:tcW w:w="2895" w:type="dxa"/>
            <w:tcBorders>
              <w:top w:val="single" w:sz="4" w:space="0" w:color="auto"/>
              <w:left w:val="single" w:sz="4" w:space="0" w:color="auto"/>
              <w:bottom w:val="single" w:sz="4" w:space="0" w:color="auto"/>
              <w:right w:val="single" w:sz="4" w:space="0" w:color="auto"/>
            </w:tcBorders>
            <w:hideMark/>
          </w:tcPr>
          <w:p w14:paraId="26F9F9AD" w14:textId="77777777" w:rsidR="001E08CC" w:rsidRPr="001E08CC" w:rsidRDefault="001E08CC" w:rsidP="001E08CC">
            <w:pPr>
              <w:rPr>
                <w:color w:val="000000"/>
                <w:sz w:val="20"/>
              </w:rPr>
            </w:pPr>
            <w:r w:rsidRPr="001E08CC">
              <w:rPr>
                <w:color w:val="000000"/>
                <w:sz w:val="20"/>
                <w:szCs w:val="24"/>
              </w:rPr>
              <w:t>Gas-steam supercritical boiler</w:t>
            </w:r>
          </w:p>
        </w:tc>
        <w:tc>
          <w:tcPr>
            <w:tcW w:w="1620" w:type="dxa"/>
            <w:tcBorders>
              <w:top w:val="single" w:sz="4" w:space="0" w:color="auto"/>
              <w:left w:val="single" w:sz="4" w:space="0" w:color="auto"/>
              <w:bottom w:val="single" w:sz="4" w:space="0" w:color="auto"/>
              <w:right w:val="single" w:sz="4" w:space="0" w:color="auto"/>
            </w:tcBorders>
            <w:noWrap/>
            <w:hideMark/>
          </w:tcPr>
          <w:p w14:paraId="5EEC1878" w14:textId="77777777" w:rsidR="00C37199" w:rsidRDefault="001E08CC">
            <w:pPr>
              <w:ind w:right="386"/>
              <w:jc w:val="right"/>
              <w:rPr>
                <w:color w:val="000000"/>
                <w:sz w:val="20"/>
              </w:rPr>
            </w:pPr>
            <w:r w:rsidRPr="001E08CC">
              <w:rPr>
                <w:color w:val="000000"/>
                <w:sz w:val="20"/>
              </w:rPr>
              <w:t>4,320.00</w:t>
            </w:r>
          </w:p>
        </w:tc>
        <w:tc>
          <w:tcPr>
            <w:tcW w:w="1530" w:type="dxa"/>
            <w:tcBorders>
              <w:top w:val="single" w:sz="4" w:space="0" w:color="auto"/>
              <w:left w:val="single" w:sz="4" w:space="0" w:color="auto"/>
              <w:bottom w:val="single" w:sz="4" w:space="0" w:color="auto"/>
              <w:right w:val="single" w:sz="4" w:space="0" w:color="auto"/>
            </w:tcBorders>
            <w:noWrap/>
            <w:hideMark/>
          </w:tcPr>
          <w:p w14:paraId="22739D65" w14:textId="77777777" w:rsidR="00C37199" w:rsidRDefault="001E08CC">
            <w:pPr>
              <w:ind w:right="386"/>
              <w:jc w:val="right"/>
              <w:rPr>
                <w:color w:val="000000"/>
                <w:sz w:val="20"/>
              </w:rPr>
            </w:pPr>
            <w:r w:rsidRPr="001E08CC">
              <w:rPr>
                <w:color w:val="000000"/>
                <w:sz w:val="20"/>
              </w:rPr>
              <w:t>3,240.00</w:t>
            </w:r>
          </w:p>
        </w:tc>
        <w:tc>
          <w:tcPr>
            <w:tcW w:w="1530" w:type="dxa"/>
            <w:tcBorders>
              <w:top w:val="single" w:sz="4" w:space="0" w:color="auto"/>
              <w:left w:val="single" w:sz="4" w:space="0" w:color="auto"/>
              <w:bottom w:val="single" w:sz="4" w:space="0" w:color="auto"/>
              <w:right w:val="single" w:sz="4" w:space="0" w:color="auto"/>
            </w:tcBorders>
            <w:noWrap/>
            <w:hideMark/>
          </w:tcPr>
          <w:p w14:paraId="4869F173" w14:textId="77777777" w:rsidR="00C37199" w:rsidRDefault="001E08CC">
            <w:pPr>
              <w:ind w:right="386"/>
              <w:jc w:val="right"/>
              <w:rPr>
                <w:color w:val="000000"/>
                <w:sz w:val="20"/>
              </w:rPr>
            </w:pPr>
            <w:r w:rsidRPr="001E08CC">
              <w:rPr>
                <w:color w:val="000000"/>
                <w:sz w:val="20"/>
              </w:rPr>
              <w:t>1,620.00</w:t>
            </w:r>
          </w:p>
        </w:tc>
        <w:tc>
          <w:tcPr>
            <w:tcW w:w="1620" w:type="dxa"/>
            <w:tcBorders>
              <w:top w:val="single" w:sz="4" w:space="0" w:color="auto"/>
              <w:left w:val="single" w:sz="4" w:space="0" w:color="auto"/>
              <w:bottom w:val="single" w:sz="4" w:space="0" w:color="auto"/>
              <w:right w:val="single" w:sz="4" w:space="0" w:color="auto"/>
            </w:tcBorders>
            <w:noWrap/>
            <w:hideMark/>
          </w:tcPr>
          <w:p w14:paraId="2360A6BD" w14:textId="77777777" w:rsidR="00C37199" w:rsidRDefault="001E08CC">
            <w:pPr>
              <w:ind w:right="386"/>
              <w:jc w:val="right"/>
              <w:rPr>
                <w:color w:val="000000"/>
                <w:sz w:val="20"/>
              </w:rPr>
            </w:pPr>
            <w:r w:rsidRPr="001E08CC">
              <w:rPr>
                <w:color w:val="000000"/>
                <w:sz w:val="20"/>
              </w:rPr>
              <w:t>6.37</w:t>
            </w:r>
          </w:p>
        </w:tc>
      </w:tr>
      <w:tr w:rsidR="001E08CC" w:rsidRPr="001E08CC" w14:paraId="506A6D23" w14:textId="77777777" w:rsidTr="005C1690">
        <w:trPr>
          <w:trHeight w:val="315"/>
        </w:trPr>
        <w:tc>
          <w:tcPr>
            <w:tcW w:w="2895" w:type="dxa"/>
            <w:tcBorders>
              <w:top w:val="single" w:sz="4" w:space="0" w:color="auto"/>
              <w:left w:val="single" w:sz="4" w:space="0" w:color="auto"/>
              <w:bottom w:val="single" w:sz="4" w:space="0" w:color="auto"/>
              <w:right w:val="single" w:sz="4" w:space="0" w:color="auto"/>
            </w:tcBorders>
            <w:hideMark/>
          </w:tcPr>
          <w:p w14:paraId="0FC5A0EB" w14:textId="77777777" w:rsidR="001E08CC" w:rsidRPr="001E08CC" w:rsidRDefault="001E08CC" w:rsidP="001E08CC">
            <w:pPr>
              <w:rPr>
                <w:color w:val="000000"/>
                <w:sz w:val="20"/>
              </w:rPr>
            </w:pPr>
            <w:r w:rsidRPr="001E08CC">
              <w:rPr>
                <w:color w:val="000000"/>
                <w:sz w:val="20"/>
                <w:szCs w:val="24"/>
              </w:rPr>
              <w:t xml:space="preserve">Nuclear, coal, </w:t>
            </w:r>
            <w:proofErr w:type="gramStart"/>
            <w:r w:rsidRPr="001E08CC">
              <w:rPr>
                <w:color w:val="000000"/>
                <w:sz w:val="20"/>
                <w:szCs w:val="24"/>
              </w:rPr>
              <w:t>lignite</w:t>
            </w:r>
            <w:proofErr w:type="gramEnd"/>
            <w:r w:rsidRPr="001E08CC">
              <w:rPr>
                <w:color w:val="000000"/>
                <w:sz w:val="20"/>
                <w:szCs w:val="24"/>
              </w:rPr>
              <w:t xml:space="preserve"> and hydro</w:t>
            </w:r>
          </w:p>
        </w:tc>
        <w:tc>
          <w:tcPr>
            <w:tcW w:w="1620" w:type="dxa"/>
            <w:tcBorders>
              <w:top w:val="single" w:sz="4" w:space="0" w:color="auto"/>
              <w:left w:val="single" w:sz="4" w:space="0" w:color="auto"/>
              <w:bottom w:val="single" w:sz="4" w:space="0" w:color="auto"/>
              <w:right w:val="single" w:sz="4" w:space="0" w:color="auto"/>
            </w:tcBorders>
            <w:noWrap/>
            <w:hideMark/>
          </w:tcPr>
          <w:p w14:paraId="2BBB13D7" w14:textId="77777777" w:rsidR="00C37199" w:rsidRDefault="001E08CC">
            <w:pPr>
              <w:ind w:right="386"/>
              <w:jc w:val="right"/>
              <w:rPr>
                <w:color w:val="000000"/>
                <w:sz w:val="20"/>
              </w:rPr>
            </w:pPr>
            <w:r w:rsidRPr="001E08CC">
              <w:rPr>
                <w:color w:val="000000"/>
                <w:sz w:val="20"/>
              </w:rPr>
              <w:t>6,480.00</w:t>
            </w:r>
          </w:p>
        </w:tc>
        <w:tc>
          <w:tcPr>
            <w:tcW w:w="1530" w:type="dxa"/>
            <w:tcBorders>
              <w:top w:val="single" w:sz="4" w:space="0" w:color="auto"/>
              <w:left w:val="single" w:sz="4" w:space="0" w:color="auto"/>
              <w:bottom w:val="single" w:sz="4" w:space="0" w:color="auto"/>
              <w:right w:val="single" w:sz="4" w:space="0" w:color="auto"/>
            </w:tcBorders>
            <w:noWrap/>
            <w:hideMark/>
          </w:tcPr>
          <w:p w14:paraId="42F4E8FC" w14:textId="77777777" w:rsidR="00C37199" w:rsidRDefault="001E08CC">
            <w:pPr>
              <w:ind w:right="386"/>
              <w:jc w:val="right"/>
              <w:rPr>
                <w:color w:val="000000"/>
                <w:sz w:val="20"/>
              </w:rPr>
            </w:pPr>
            <w:r w:rsidRPr="001E08CC">
              <w:rPr>
                <w:color w:val="000000"/>
                <w:sz w:val="20"/>
              </w:rPr>
              <w:t>4,860.00</w:t>
            </w:r>
          </w:p>
        </w:tc>
        <w:tc>
          <w:tcPr>
            <w:tcW w:w="1530" w:type="dxa"/>
            <w:tcBorders>
              <w:top w:val="single" w:sz="4" w:space="0" w:color="auto"/>
              <w:left w:val="single" w:sz="4" w:space="0" w:color="auto"/>
              <w:bottom w:val="single" w:sz="4" w:space="0" w:color="auto"/>
              <w:right w:val="single" w:sz="4" w:space="0" w:color="auto"/>
            </w:tcBorders>
            <w:noWrap/>
            <w:hideMark/>
          </w:tcPr>
          <w:p w14:paraId="489AE922" w14:textId="77777777" w:rsidR="00C37199" w:rsidRDefault="001E08CC">
            <w:pPr>
              <w:ind w:right="386"/>
              <w:jc w:val="right"/>
              <w:rPr>
                <w:color w:val="000000"/>
                <w:sz w:val="20"/>
              </w:rPr>
            </w:pPr>
            <w:r w:rsidRPr="001E08CC">
              <w:rPr>
                <w:color w:val="000000"/>
                <w:sz w:val="20"/>
              </w:rPr>
              <w:t>2,430.00</w:t>
            </w:r>
          </w:p>
        </w:tc>
        <w:tc>
          <w:tcPr>
            <w:tcW w:w="1620" w:type="dxa"/>
            <w:tcBorders>
              <w:top w:val="single" w:sz="4" w:space="0" w:color="auto"/>
              <w:left w:val="single" w:sz="4" w:space="0" w:color="auto"/>
              <w:bottom w:val="single" w:sz="4" w:space="0" w:color="auto"/>
              <w:right w:val="single" w:sz="4" w:space="0" w:color="auto"/>
            </w:tcBorders>
            <w:noWrap/>
            <w:hideMark/>
          </w:tcPr>
          <w:p w14:paraId="79EE922B" w14:textId="77777777" w:rsidR="00C37199" w:rsidRDefault="001E08CC">
            <w:pPr>
              <w:ind w:right="386"/>
              <w:jc w:val="right"/>
              <w:rPr>
                <w:color w:val="000000"/>
                <w:sz w:val="20"/>
              </w:rPr>
            </w:pPr>
            <w:r w:rsidRPr="001E08CC">
              <w:rPr>
                <w:color w:val="000000"/>
                <w:sz w:val="20"/>
              </w:rPr>
              <w:t>4.52</w:t>
            </w:r>
          </w:p>
        </w:tc>
      </w:tr>
      <w:tr w:rsidR="001E08CC" w:rsidRPr="001E08CC" w14:paraId="0FF6B47D" w14:textId="77777777" w:rsidTr="005C1690">
        <w:trPr>
          <w:trHeight w:val="315"/>
        </w:trPr>
        <w:tc>
          <w:tcPr>
            <w:tcW w:w="2895" w:type="dxa"/>
            <w:tcBorders>
              <w:top w:val="single" w:sz="4" w:space="0" w:color="auto"/>
              <w:left w:val="single" w:sz="4" w:space="0" w:color="auto"/>
              <w:bottom w:val="single" w:sz="4" w:space="0" w:color="auto"/>
              <w:right w:val="single" w:sz="4" w:space="0" w:color="auto"/>
            </w:tcBorders>
            <w:hideMark/>
          </w:tcPr>
          <w:p w14:paraId="1DE9B8C0" w14:textId="77777777" w:rsidR="001E08CC" w:rsidRPr="001E08CC" w:rsidRDefault="001E08CC" w:rsidP="001E08CC">
            <w:pPr>
              <w:rPr>
                <w:color w:val="000000"/>
                <w:sz w:val="20"/>
              </w:rPr>
            </w:pPr>
            <w:r w:rsidRPr="001E08CC">
              <w:rPr>
                <w:color w:val="000000"/>
                <w:sz w:val="20"/>
                <w:szCs w:val="24"/>
              </w:rPr>
              <w:t>Renewable</w:t>
            </w:r>
          </w:p>
        </w:tc>
        <w:tc>
          <w:tcPr>
            <w:tcW w:w="1620" w:type="dxa"/>
            <w:tcBorders>
              <w:top w:val="single" w:sz="4" w:space="0" w:color="auto"/>
              <w:left w:val="single" w:sz="4" w:space="0" w:color="auto"/>
              <w:bottom w:val="single" w:sz="4" w:space="0" w:color="auto"/>
              <w:right w:val="single" w:sz="4" w:space="0" w:color="auto"/>
            </w:tcBorders>
            <w:noWrap/>
            <w:hideMark/>
          </w:tcPr>
          <w:p w14:paraId="2A6159D8" w14:textId="77777777" w:rsidR="001E08CC" w:rsidRPr="001E08CC" w:rsidRDefault="001E08CC" w:rsidP="001E08CC">
            <w:pPr>
              <w:jc w:val="center"/>
              <w:rPr>
                <w:color w:val="000000"/>
                <w:sz w:val="20"/>
              </w:rPr>
            </w:pPr>
            <w:r w:rsidRPr="001E08CC">
              <w:rPr>
                <w:color w:val="000000"/>
                <w:sz w:val="20"/>
                <w:szCs w:val="24"/>
              </w:rPr>
              <w:t>Not Applicable</w:t>
            </w:r>
          </w:p>
        </w:tc>
        <w:tc>
          <w:tcPr>
            <w:tcW w:w="1530" w:type="dxa"/>
            <w:tcBorders>
              <w:top w:val="single" w:sz="4" w:space="0" w:color="auto"/>
              <w:left w:val="single" w:sz="4" w:space="0" w:color="auto"/>
              <w:bottom w:val="single" w:sz="4" w:space="0" w:color="auto"/>
              <w:right w:val="single" w:sz="4" w:space="0" w:color="auto"/>
            </w:tcBorders>
            <w:noWrap/>
            <w:hideMark/>
          </w:tcPr>
          <w:p w14:paraId="73C080DE" w14:textId="77777777" w:rsidR="001E08CC" w:rsidRPr="001E08CC" w:rsidRDefault="001E08CC" w:rsidP="001E08CC">
            <w:pPr>
              <w:jc w:val="center"/>
              <w:rPr>
                <w:color w:val="000000"/>
                <w:sz w:val="20"/>
              </w:rPr>
            </w:pPr>
            <w:r w:rsidRPr="001E08CC">
              <w:rPr>
                <w:color w:val="000000"/>
                <w:sz w:val="20"/>
                <w:szCs w:val="24"/>
              </w:rPr>
              <w:t>Not Applicable</w:t>
            </w:r>
          </w:p>
        </w:tc>
        <w:tc>
          <w:tcPr>
            <w:tcW w:w="1530" w:type="dxa"/>
            <w:tcBorders>
              <w:top w:val="single" w:sz="4" w:space="0" w:color="auto"/>
              <w:left w:val="single" w:sz="4" w:space="0" w:color="auto"/>
              <w:bottom w:val="single" w:sz="4" w:space="0" w:color="auto"/>
              <w:right w:val="single" w:sz="4" w:space="0" w:color="auto"/>
            </w:tcBorders>
            <w:noWrap/>
            <w:hideMark/>
          </w:tcPr>
          <w:p w14:paraId="3B1CB6D7" w14:textId="77777777" w:rsidR="001E08CC" w:rsidRPr="001E08CC" w:rsidRDefault="001E08CC" w:rsidP="001E08CC">
            <w:pPr>
              <w:jc w:val="center"/>
              <w:rPr>
                <w:color w:val="000000"/>
                <w:sz w:val="20"/>
              </w:rPr>
            </w:pPr>
            <w:r w:rsidRPr="001E08CC">
              <w:rPr>
                <w:color w:val="000000"/>
                <w:sz w:val="20"/>
                <w:szCs w:val="24"/>
              </w:rPr>
              <w:t>Not Applicable</w:t>
            </w:r>
          </w:p>
        </w:tc>
        <w:tc>
          <w:tcPr>
            <w:tcW w:w="1620" w:type="dxa"/>
            <w:tcBorders>
              <w:top w:val="single" w:sz="4" w:space="0" w:color="auto"/>
              <w:left w:val="single" w:sz="4" w:space="0" w:color="auto"/>
              <w:bottom w:val="single" w:sz="4" w:space="0" w:color="auto"/>
              <w:right w:val="single" w:sz="4" w:space="0" w:color="auto"/>
            </w:tcBorders>
            <w:noWrap/>
            <w:hideMark/>
          </w:tcPr>
          <w:p w14:paraId="579F290D" w14:textId="77777777" w:rsidR="00C37199" w:rsidRDefault="001E08CC">
            <w:pPr>
              <w:ind w:right="386"/>
              <w:jc w:val="right"/>
              <w:rPr>
                <w:color w:val="000000"/>
                <w:sz w:val="20"/>
              </w:rPr>
            </w:pPr>
            <w:r w:rsidRPr="001E08CC">
              <w:rPr>
                <w:color w:val="000000"/>
                <w:sz w:val="20"/>
              </w:rPr>
              <w:t>4.95</w:t>
            </w:r>
          </w:p>
        </w:tc>
      </w:tr>
    </w:tbl>
    <w:p w14:paraId="0676CDF2" w14:textId="77777777" w:rsidR="003F77B5" w:rsidRDefault="001E08CC">
      <w:pPr>
        <w:spacing w:before="240" w:after="240"/>
        <w:ind w:left="1440" w:hanging="720"/>
      </w:pPr>
      <w:r w:rsidRPr="001E08CC">
        <w:t>(c)</w:t>
      </w:r>
      <w:r w:rsidRPr="001E08CC">
        <w:tab/>
        <w:t xml:space="preserve">Beginning January 1, </w:t>
      </w:r>
      <w:proofErr w:type="gramStart"/>
      <w:r w:rsidRPr="001E08CC">
        <w:t>2013</w:t>
      </w:r>
      <w:proofErr w:type="gramEnd"/>
      <w:r w:rsidRPr="001E08CC">
        <w:t xml:space="preserve"> and going forward, standard O&amp;M costs shall be reduced by 20% from the levels specified in the table in paragraph (a) above as follows:</w:t>
      </w:r>
    </w:p>
    <w:tbl>
      <w:tblPr>
        <w:tblW w:w="919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5"/>
        <w:gridCol w:w="1620"/>
        <w:gridCol w:w="1530"/>
        <w:gridCol w:w="1530"/>
        <w:gridCol w:w="1620"/>
      </w:tblGrid>
      <w:tr w:rsidR="001E08CC" w:rsidRPr="001E08CC" w14:paraId="6DE85A00" w14:textId="77777777" w:rsidTr="008E6AAA">
        <w:trPr>
          <w:trHeight w:val="300"/>
          <w:tblHeader/>
        </w:trPr>
        <w:tc>
          <w:tcPr>
            <w:tcW w:w="2895" w:type="dxa"/>
            <w:tcBorders>
              <w:top w:val="single" w:sz="4" w:space="0" w:color="auto"/>
              <w:left w:val="single" w:sz="4" w:space="0" w:color="auto"/>
              <w:bottom w:val="nil"/>
              <w:right w:val="single" w:sz="4" w:space="0" w:color="auto"/>
            </w:tcBorders>
            <w:noWrap/>
            <w:hideMark/>
          </w:tcPr>
          <w:p w14:paraId="16C768AD" w14:textId="77777777" w:rsidR="001E08CC" w:rsidRPr="001E08CC" w:rsidRDefault="001E08CC" w:rsidP="001E08CC">
            <w:pPr>
              <w:rPr>
                <w:b/>
                <w:bCs/>
                <w:color w:val="000000"/>
                <w:sz w:val="20"/>
              </w:rPr>
            </w:pPr>
            <w:r w:rsidRPr="001E08CC">
              <w:rPr>
                <w:b/>
                <w:bCs/>
                <w:color w:val="000000"/>
                <w:sz w:val="20"/>
                <w:szCs w:val="24"/>
              </w:rPr>
              <w:t>Resource Category</w:t>
            </w:r>
          </w:p>
        </w:tc>
        <w:tc>
          <w:tcPr>
            <w:tcW w:w="1620" w:type="dxa"/>
            <w:vMerge w:val="restart"/>
            <w:tcBorders>
              <w:left w:val="single" w:sz="4" w:space="0" w:color="auto"/>
            </w:tcBorders>
            <w:hideMark/>
          </w:tcPr>
          <w:p w14:paraId="7B076B51" w14:textId="77777777" w:rsidR="001E08CC" w:rsidRPr="001E08CC" w:rsidRDefault="001E08CC" w:rsidP="001E08CC">
            <w:pPr>
              <w:jc w:val="center"/>
              <w:rPr>
                <w:b/>
                <w:bCs/>
                <w:color w:val="000000"/>
                <w:sz w:val="20"/>
              </w:rPr>
            </w:pPr>
            <w:r w:rsidRPr="001E08CC">
              <w:rPr>
                <w:b/>
                <w:bCs/>
                <w:color w:val="000000"/>
                <w:sz w:val="20"/>
                <w:szCs w:val="24"/>
              </w:rPr>
              <w:t>Cold Startup ($/start)</w:t>
            </w:r>
          </w:p>
        </w:tc>
        <w:tc>
          <w:tcPr>
            <w:tcW w:w="1530" w:type="dxa"/>
            <w:vMerge w:val="restart"/>
            <w:hideMark/>
          </w:tcPr>
          <w:p w14:paraId="66AD04A6" w14:textId="77777777" w:rsidR="001E08CC" w:rsidRPr="001E08CC" w:rsidRDefault="001E08CC" w:rsidP="001E08CC">
            <w:pPr>
              <w:jc w:val="center"/>
              <w:rPr>
                <w:b/>
                <w:bCs/>
                <w:color w:val="000000"/>
                <w:sz w:val="20"/>
              </w:rPr>
            </w:pPr>
            <w:r w:rsidRPr="001E08CC">
              <w:rPr>
                <w:b/>
                <w:bCs/>
                <w:color w:val="000000"/>
                <w:sz w:val="20"/>
                <w:szCs w:val="24"/>
              </w:rPr>
              <w:t>Intermediate Startup ($/start)</w:t>
            </w:r>
          </w:p>
        </w:tc>
        <w:tc>
          <w:tcPr>
            <w:tcW w:w="1530" w:type="dxa"/>
            <w:vMerge w:val="restart"/>
            <w:hideMark/>
          </w:tcPr>
          <w:p w14:paraId="169848D2" w14:textId="77777777" w:rsidR="001E08CC" w:rsidRPr="001E08CC" w:rsidRDefault="001E08CC" w:rsidP="001E08CC">
            <w:pPr>
              <w:jc w:val="center"/>
              <w:rPr>
                <w:b/>
                <w:bCs/>
                <w:color w:val="000000"/>
                <w:sz w:val="20"/>
              </w:rPr>
            </w:pPr>
            <w:r w:rsidRPr="001E08CC">
              <w:rPr>
                <w:b/>
                <w:bCs/>
                <w:color w:val="000000"/>
                <w:sz w:val="20"/>
                <w:szCs w:val="24"/>
              </w:rPr>
              <w:t>Hot Startup ($/start)</w:t>
            </w:r>
          </w:p>
        </w:tc>
        <w:tc>
          <w:tcPr>
            <w:tcW w:w="1620" w:type="dxa"/>
            <w:vMerge w:val="restart"/>
            <w:hideMark/>
          </w:tcPr>
          <w:p w14:paraId="6B2E6512" w14:textId="77777777" w:rsidR="001E08CC" w:rsidRPr="001E08CC" w:rsidRDefault="001E08CC" w:rsidP="001E08CC">
            <w:pPr>
              <w:jc w:val="center"/>
              <w:rPr>
                <w:b/>
                <w:bCs/>
                <w:color w:val="000000"/>
                <w:sz w:val="20"/>
              </w:rPr>
            </w:pPr>
            <w:r w:rsidRPr="001E08CC">
              <w:rPr>
                <w:b/>
                <w:bCs/>
                <w:color w:val="000000"/>
                <w:sz w:val="20"/>
                <w:szCs w:val="24"/>
              </w:rPr>
              <w:t>Variable O&amp;M ($/MWh)</w:t>
            </w:r>
          </w:p>
        </w:tc>
      </w:tr>
      <w:tr w:rsidR="001E08CC" w:rsidRPr="001E08CC" w14:paraId="40C2ABFF" w14:textId="77777777" w:rsidTr="008E6AAA">
        <w:trPr>
          <w:trHeight w:val="315"/>
          <w:tblHeader/>
        </w:trPr>
        <w:tc>
          <w:tcPr>
            <w:tcW w:w="2895" w:type="dxa"/>
            <w:tcBorders>
              <w:top w:val="nil"/>
              <w:left w:val="single" w:sz="4" w:space="0" w:color="auto"/>
              <w:bottom w:val="single" w:sz="4" w:space="0" w:color="auto"/>
              <w:right w:val="single" w:sz="4" w:space="0" w:color="auto"/>
            </w:tcBorders>
            <w:noWrap/>
            <w:hideMark/>
          </w:tcPr>
          <w:p w14:paraId="05D19296" w14:textId="77777777" w:rsidR="001E08CC" w:rsidRPr="001E08CC" w:rsidRDefault="001E08CC" w:rsidP="001E08CC">
            <w:pPr>
              <w:rPr>
                <w:b/>
                <w:bCs/>
                <w:color w:val="000000"/>
                <w:sz w:val="20"/>
              </w:rPr>
            </w:pPr>
            <w:r w:rsidRPr="001E08CC">
              <w:rPr>
                <w:b/>
                <w:bCs/>
                <w:color w:val="000000"/>
                <w:sz w:val="20"/>
                <w:szCs w:val="24"/>
              </w:rPr>
              <w:t>Start Year = 2009</w:t>
            </w:r>
          </w:p>
        </w:tc>
        <w:tc>
          <w:tcPr>
            <w:tcW w:w="1620" w:type="dxa"/>
            <w:vMerge/>
            <w:tcBorders>
              <w:left w:val="single" w:sz="4" w:space="0" w:color="auto"/>
            </w:tcBorders>
            <w:vAlign w:val="center"/>
            <w:hideMark/>
          </w:tcPr>
          <w:p w14:paraId="53F13D36" w14:textId="77777777" w:rsidR="001E08CC" w:rsidRPr="001E08CC" w:rsidRDefault="001E08CC" w:rsidP="001E08CC">
            <w:pPr>
              <w:rPr>
                <w:b/>
                <w:bCs/>
                <w:color w:val="000000"/>
                <w:sz w:val="20"/>
              </w:rPr>
            </w:pPr>
          </w:p>
        </w:tc>
        <w:tc>
          <w:tcPr>
            <w:tcW w:w="1530" w:type="dxa"/>
            <w:vMerge/>
            <w:vAlign w:val="center"/>
            <w:hideMark/>
          </w:tcPr>
          <w:p w14:paraId="68C62DB6" w14:textId="77777777" w:rsidR="001E08CC" w:rsidRPr="001E08CC" w:rsidRDefault="001E08CC" w:rsidP="001E08CC">
            <w:pPr>
              <w:rPr>
                <w:b/>
                <w:bCs/>
                <w:color w:val="000000"/>
                <w:sz w:val="20"/>
              </w:rPr>
            </w:pPr>
          </w:p>
        </w:tc>
        <w:tc>
          <w:tcPr>
            <w:tcW w:w="1530" w:type="dxa"/>
            <w:vMerge/>
            <w:vAlign w:val="center"/>
            <w:hideMark/>
          </w:tcPr>
          <w:p w14:paraId="15D48AF1" w14:textId="77777777" w:rsidR="001E08CC" w:rsidRPr="001E08CC" w:rsidRDefault="001E08CC" w:rsidP="001E08CC">
            <w:pPr>
              <w:rPr>
                <w:b/>
                <w:bCs/>
                <w:color w:val="000000"/>
                <w:sz w:val="20"/>
              </w:rPr>
            </w:pPr>
          </w:p>
        </w:tc>
        <w:tc>
          <w:tcPr>
            <w:tcW w:w="1620" w:type="dxa"/>
            <w:vMerge/>
            <w:vAlign w:val="center"/>
            <w:hideMark/>
          </w:tcPr>
          <w:p w14:paraId="15E301A4" w14:textId="77777777" w:rsidR="001E08CC" w:rsidRPr="001E08CC" w:rsidRDefault="001E08CC" w:rsidP="001E08CC">
            <w:pPr>
              <w:rPr>
                <w:b/>
                <w:bCs/>
                <w:color w:val="000000"/>
                <w:sz w:val="20"/>
              </w:rPr>
            </w:pPr>
          </w:p>
        </w:tc>
      </w:tr>
      <w:tr w:rsidR="001E08CC" w:rsidRPr="001E08CC" w14:paraId="7DFDFDFB" w14:textId="77777777" w:rsidTr="008E6AAA">
        <w:trPr>
          <w:cantSplit/>
          <w:trHeight w:val="525"/>
        </w:trPr>
        <w:tc>
          <w:tcPr>
            <w:tcW w:w="2895" w:type="dxa"/>
            <w:tcBorders>
              <w:top w:val="single" w:sz="4" w:space="0" w:color="auto"/>
            </w:tcBorders>
            <w:hideMark/>
          </w:tcPr>
          <w:p w14:paraId="074D310E" w14:textId="77777777" w:rsidR="001E08CC" w:rsidRPr="001E08CC" w:rsidRDefault="001E08CC" w:rsidP="001E08CC">
            <w:pPr>
              <w:rPr>
                <w:color w:val="000000"/>
                <w:sz w:val="20"/>
              </w:rPr>
            </w:pPr>
            <w:r w:rsidRPr="001E08CC">
              <w:rPr>
                <w:color w:val="000000"/>
                <w:sz w:val="20"/>
                <w:szCs w:val="24"/>
              </w:rPr>
              <w:t>Aeroderivative simple cycle commissioned after 1996</w:t>
            </w:r>
          </w:p>
        </w:tc>
        <w:tc>
          <w:tcPr>
            <w:tcW w:w="1620" w:type="dxa"/>
            <w:noWrap/>
            <w:hideMark/>
          </w:tcPr>
          <w:p w14:paraId="375F8A47" w14:textId="77777777" w:rsidR="00C37199" w:rsidRDefault="001E08CC">
            <w:pPr>
              <w:ind w:right="386"/>
              <w:jc w:val="right"/>
              <w:rPr>
                <w:color w:val="000000"/>
                <w:sz w:val="20"/>
              </w:rPr>
            </w:pPr>
            <w:r w:rsidRPr="001E08CC">
              <w:rPr>
                <w:color w:val="000000"/>
                <w:sz w:val="20"/>
              </w:rPr>
              <w:t>800.00</w:t>
            </w:r>
          </w:p>
        </w:tc>
        <w:tc>
          <w:tcPr>
            <w:tcW w:w="1530" w:type="dxa"/>
            <w:noWrap/>
            <w:hideMark/>
          </w:tcPr>
          <w:p w14:paraId="6748955D" w14:textId="77777777" w:rsidR="00C37199" w:rsidRDefault="001E08CC">
            <w:pPr>
              <w:ind w:right="386"/>
              <w:jc w:val="right"/>
              <w:rPr>
                <w:color w:val="000000"/>
                <w:sz w:val="20"/>
              </w:rPr>
            </w:pPr>
            <w:r w:rsidRPr="001E08CC">
              <w:rPr>
                <w:color w:val="000000"/>
                <w:sz w:val="20"/>
              </w:rPr>
              <w:t>800.00</w:t>
            </w:r>
          </w:p>
        </w:tc>
        <w:tc>
          <w:tcPr>
            <w:tcW w:w="1530" w:type="dxa"/>
            <w:noWrap/>
            <w:hideMark/>
          </w:tcPr>
          <w:p w14:paraId="66970D3D" w14:textId="77777777" w:rsidR="00C37199" w:rsidRDefault="001E08CC">
            <w:pPr>
              <w:ind w:right="386"/>
              <w:jc w:val="right"/>
              <w:rPr>
                <w:color w:val="000000"/>
                <w:sz w:val="20"/>
              </w:rPr>
            </w:pPr>
            <w:r w:rsidRPr="001E08CC">
              <w:rPr>
                <w:color w:val="000000"/>
                <w:sz w:val="20"/>
              </w:rPr>
              <w:t>800.00</w:t>
            </w:r>
          </w:p>
        </w:tc>
        <w:tc>
          <w:tcPr>
            <w:tcW w:w="1620" w:type="dxa"/>
            <w:noWrap/>
            <w:hideMark/>
          </w:tcPr>
          <w:p w14:paraId="4BE3D20C" w14:textId="77777777" w:rsidR="00C37199" w:rsidRDefault="001E08CC">
            <w:pPr>
              <w:ind w:right="386"/>
              <w:jc w:val="right"/>
              <w:rPr>
                <w:color w:val="000000"/>
                <w:sz w:val="20"/>
              </w:rPr>
            </w:pPr>
            <w:r w:rsidRPr="001E08CC">
              <w:rPr>
                <w:color w:val="000000"/>
                <w:sz w:val="20"/>
              </w:rPr>
              <w:t>3.15</w:t>
            </w:r>
          </w:p>
        </w:tc>
      </w:tr>
      <w:tr w:rsidR="001E08CC" w:rsidRPr="001E08CC" w14:paraId="3F769841" w14:textId="77777777" w:rsidTr="005C1690">
        <w:trPr>
          <w:cantSplit/>
          <w:trHeight w:val="315"/>
        </w:trPr>
        <w:tc>
          <w:tcPr>
            <w:tcW w:w="2895" w:type="dxa"/>
            <w:hideMark/>
          </w:tcPr>
          <w:p w14:paraId="14058E68" w14:textId="77777777" w:rsidR="001E08CC" w:rsidRPr="001E08CC" w:rsidRDefault="001E08CC" w:rsidP="001E08CC">
            <w:pPr>
              <w:rPr>
                <w:color w:val="000000"/>
                <w:sz w:val="20"/>
              </w:rPr>
            </w:pPr>
            <w:r w:rsidRPr="001E08CC">
              <w:rPr>
                <w:color w:val="000000"/>
                <w:sz w:val="20"/>
                <w:szCs w:val="24"/>
              </w:rPr>
              <w:t>Reciprocating Engine</w:t>
            </w:r>
          </w:p>
        </w:tc>
        <w:tc>
          <w:tcPr>
            <w:tcW w:w="1620" w:type="dxa"/>
            <w:noWrap/>
            <w:hideMark/>
          </w:tcPr>
          <w:p w14:paraId="3434E7F3" w14:textId="77777777" w:rsidR="00C37199" w:rsidRDefault="001A6D3F">
            <w:pPr>
              <w:ind w:right="386"/>
              <w:jc w:val="right"/>
              <w:rPr>
                <w:color w:val="000000"/>
                <w:sz w:val="20"/>
              </w:rPr>
            </w:pPr>
            <w:r w:rsidRPr="009E5389">
              <w:rPr>
                <w:color w:val="000000"/>
                <w:sz w:val="20"/>
              </w:rPr>
              <w:t xml:space="preserve">$46.40/MW </w:t>
            </w:r>
            <w:r w:rsidRPr="009E5389">
              <w:rPr>
                <w:color w:val="000000"/>
                <w:sz w:val="20"/>
                <w:szCs w:val="24"/>
              </w:rPr>
              <w:t>* the average</w:t>
            </w:r>
            <w:r w:rsidRPr="009E5389">
              <w:rPr>
                <w:color w:val="000000"/>
                <w:sz w:val="20"/>
              </w:rPr>
              <w:t xml:space="preserve"> of the </w:t>
            </w:r>
            <w:r w:rsidRPr="009E5389">
              <w:rPr>
                <w:color w:val="000000"/>
                <w:sz w:val="20"/>
                <w:szCs w:val="24"/>
              </w:rPr>
              <w:t xml:space="preserve"> </w:t>
            </w:r>
            <w:r w:rsidR="00000984">
              <w:rPr>
                <w:color w:val="000000"/>
                <w:sz w:val="20"/>
                <w:szCs w:val="24"/>
              </w:rPr>
              <w:t>S</w:t>
            </w:r>
            <w:r w:rsidRPr="009E5389">
              <w:rPr>
                <w:color w:val="000000"/>
                <w:sz w:val="20"/>
                <w:szCs w:val="24"/>
              </w:rPr>
              <w:t>easonal net max sustainable ratings</w:t>
            </w:r>
          </w:p>
        </w:tc>
        <w:tc>
          <w:tcPr>
            <w:tcW w:w="1530" w:type="dxa"/>
            <w:noWrap/>
            <w:hideMark/>
          </w:tcPr>
          <w:p w14:paraId="6CB329A5" w14:textId="77777777" w:rsidR="00C37199" w:rsidRDefault="001A6D3F">
            <w:pPr>
              <w:ind w:right="386"/>
              <w:jc w:val="right"/>
              <w:rPr>
                <w:color w:val="000000"/>
                <w:sz w:val="20"/>
              </w:rPr>
            </w:pPr>
            <w:r w:rsidRPr="009E5389">
              <w:rPr>
                <w:color w:val="000000"/>
                <w:sz w:val="20"/>
              </w:rPr>
              <w:t xml:space="preserve">$46.40 /MW </w:t>
            </w:r>
            <w:r w:rsidRPr="009E5389">
              <w:rPr>
                <w:sz w:val="20"/>
              </w:rPr>
              <w:t xml:space="preserve">* the average of the </w:t>
            </w:r>
            <w:r w:rsidR="00000984">
              <w:rPr>
                <w:sz w:val="20"/>
              </w:rPr>
              <w:t>S</w:t>
            </w:r>
            <w:r w:rsidRPr="009E5389">
              <w:rPr>
                <w:sz w:val="20"/>
              </w:rPr>
              <w:t>easonal net max sustainable ratings</w:t>
            </w:r>
          </w:p>
        </w:tc>
        <w:tc>
          <w:tcPr>
            <w:tcW w:w="1530" w:type="dxa"/>
            <w:noWrap/>
            <w:hideMark/>
          </w:tcPr>
          <w:p w14:paraId="30518D03" w14:textId="77777777" w:rsidR="00C37199" w:rsidRDefault="001A6D3F">
            <w:pPr>
              <w:ind w:right="386"/>
              <w:jc w:val="right"/>
              <w:rPr>
                <w:color w:val="000000"/>
                <w:sz w:val="20"/>
              </w:rPr>
            </w:pPr>
            <w:r w:rsidRPr="009E5389">
              <w:rPr>
                <w:color w:val="000000"/>
                <w:sz w:val="20"/>
              </w:rPr>
              <w:t xml:space="preserve">$46.40 /MW </w:t>
            </w:r>
            <w:r w:rsidRPr="009E5389">
              <w:rPr>
                <w:sz w:val="20"/>
              </w:rPr>
              <w:t xml:space="preserve">* the average of the </w:t>
            </w:r>
            <w:r w:rsidR="00000984">
              <w:rPr>
                <w:sz w:val="20"/>
              </w:rPr>
              <w:t>S</w:t>
            </w:r>
            <w:r w:rsidRPr="009E5389">
              <w:rPr>
                <w:sz w:val="20"/>
              </w:rPr>
              <w:t>easonal net max sustainable ratings</w:t>
            </w:r>
          </w:p>
        </w:tc>
        <w:tc>
          <w:tcPr>
            <w:tcW w:w="1620" w:type="dxa"/>
            <w:noWrap/>
            <w:hideMark/>
          </w:tcPr>
          <w:p w14:paraId="439B7F7C" w14:textId="77777777" w:rsidR="00C37199" w:rsidRDefault="001E08CC">
            <w:pPr>
              <w:ind w:right="386"/>
              <w:jc w:val="right"/>
              <w:rPr>
                <w:color w:val="000000"/>
                <w:sz w:val="20"/>
              </w:rPr>
            </w:pPr>
            <w:r w:rsidRPr="001E08CC">
              <w:rPr>
                <w:color w:val="000000"/>
                <w:sz w:val="20"/>
              </w:rPr>
              <w:t>4.07</w:t>
            </w:r>
          </w:p>
        </w:tc>
      </w:tr>
      <w:tr w:rsidR="001E08CC" w:rsidRPr="001E08CC" w14:paraId="41C2848B" w14:textId="77777777" w:rsidTr="005C1690">
        <w:trPr>
          <w:cantSplit/>
          <w:trHeight w:val="315"/>
        </w:trPr>
        <w:tc>
          <w:tcPr>
            <w:tcW w:w="2895" w:type="dxa"/>
            <w:hideMark/>
          </w:tcPr>
          <w:p w14:paraId="43BBD825" w14:textId="77777777" w:rsidR="001E08CC" w:rsidRPr="001E08CC" w:rsidRDefault="001E08CC" w:rsidP="001E08CC">
            <w:pPr>
              <w:rPr>
                <w:color w:val="000000"/>
                <w:sz w:val="20"/>
              </w:rPr>
            </w:pPr>
            <w:r w:rsidRPr="001E08CC">
              <w:rPr>
                <w:color w:val="000000"/>
                <w:sz w:val="20"/>
                <w:szCs w:val="24"/>
              </w:rPr>
              <w:t>Simple cycle ≤ 90 MW</w:t>
            </w:r>
          </w:p>
        </w:tc>
        <w:tc>
          <w:tcPr>
            <w:tcW w:w="1620" w:type="dxa"/>
            <w:noWrap/>
            <w:hideMark/>
          </w:tcPr>
          <w:p w14:paraId="185FD7D0" w14:textId="77777777" w:rsidR="00C37199" w:rsidRDefault="001E08CC">
            <w:pPr>
              <w:ind w:right="386"/>
              <w:jc w:val="right"/>
              <w:rPr>
                <w:color w:val="000000"/>
                <w:sz w:val="20"/>
              </w:rPr>
            </w:pPr>
            <w:r w:rsidRPr="001E08CC">
              <w:rPr>
                <w:color w:val="000000"/>
                <w:sz w:val="20"/>
              </w:rPr>
              <w:t>1,840.00</w:t>
            </w:r>
          </w:p>
        </w:tc>
        <w:tc>
          <w:tcPr>
            <w:tcW w:w="1530" w:type="dxa"/>
            <w:noWrap/>
            <w:hideMark/>
          </w:tcPr>
          <w:p w14:paraId="2FE70E45" w14:textId="77777777" w:rsidR="00C37199" w:rsidRDefault="001E08CC">
            <w:pPr>
              <w:ind w:right="386"/>
              <w:jc w:val="right"/>
              <w:rPr>
                <w:color w:val="000000"/>
                <w:sz w:val="20"/>
              </w:rPr>
            </w:pPr>
            <w:r w:rsidRPr="001E08CC">
              <w:rPr>
                <w:color w:val="000000"/>
                <w:sz w:val="20"/>
              </w:rPr>
              <w:t>1,840.00</w:t>
            </w:r>
          </w:p>
        </w:tc>
        <w:tc>
          <w:tcPr>
            <w:tcW w:w="1530" w:type="dxa"/>
            <w:noWrap/>
            <w:hideMark/>
          </w:tcPr>
          <w:p w14:paraId="4E1B4063" w14:textId="77777777" w:rsidR="00C37199" w:rsidRDefault="001E08CC">
            <w:pPr>
              <w:ind w:right="386"/>
              <w:jc w:val="right"/>
              <w:rPr>
                <w:color w:val="000000"/>
                <w:sz w:val="20"/>
              </w:rPr>
            </w:pPr>
            <w:r w:rsidRPr="001E08CC">
              <w:rPr>
                <w:color w:val="000000"/>
                <w:sz w:val="20"/>
              </w:rPr>
              <w:t>1,840.00</w:t>
            </w:r>
          </w:p>
        </w:tc>
        <w:tc>
          <w:tcPr>
            <w:tcW w:w="1620" w:type="dxa"/>
            <w:noWrap/>
            <w:hideMark/>
          </w:tcPr>
          <w:p w14:paraId="0681EF35" w14:textId="77777777" w:rsidR="00C37199" w:rsidRDefault="001E08CC">
            <w:pPr>
              <w:ind w:right="386"/>
              <w:jc w:val="right"/>
              <w:rPr>
                <w:color w:val="000000"/>
                <w:sz w:val="20"/>
              </w:rPr>
            </w:pPr>
            <w:r w:rsidRPr="001E08CC">
              <w:rPr>
                <w:color w:val="000000"/>
                <w:sz w:val="20"/>
              </w:rPr>
              <w:t>3.15</w:t>
            </w:r>
          </w:p>
        </w:tc>
      </w:tr>
      <w:tr w:rsidR="001E08CC" w:rsidRPr="001E08CC" w14:paraId="081C03EC" w14:textId="77777777" w:rsidTr="005C1690">
        <w:trPr>
          <w:cantSplit/>
          <w:trHeight w:val="315"/>
        </w:trPr>
        <w:tc>
          <w:tcPr>
            <w:tcW w:w="2895" w:type="dxa"/>
            <w:hideMark/>
          </w:tcPr>
          <w:p w14:paraId="5E639C7D" w14:textId="77777777" w:rsidR="001E08CC" w:rsidRPr="001E08CC" w:rsidRDefault="001E08CC" w:rsidP="001E08CC">
            <w:pPr>
              <w:rPr>
                <w:color w:val="000000"/>
                <w:sz w:val="20"/>
              </w:rPr>
            </w:pPr>
            <w:r w:rsidRPr="001E08CC">
              <w:rPr>
                <w:color w:val="000000"/>
                <w:sz w:val="20"/>
                <w:szCs w:val="24"/>
              </w:rPr>
              <w:t>Simple cycle ≥ 90 MW</w:t>
            </w:r>
          </w:p>
        </w:tc>
        <w:tc>
          <w:tcPr>
            <w:tcW w:w="1620" w:type="dxa"/>
            <w:noWrap/>
            <w:hideMark/>
          </w:tcPr>
          <w:p w14:paraId="2E775901" w14:textId="77777777" w:rsidR="00C37199" w:rsidRDefault="001E08CC">
            <w:pPr>
              <w:ind w:right="386"/>
              <w:jc w:val="right"/>
              <w:rPr>
                <w:color w:val="000000"/>
                <w:sz w:val="20"/>
              </w:rPr>
            </w:pPr>
            <w:r w:rsidRPr="001E08CC">
              <w:rPr>
                <w:color w:val="000000"/>
                <w:sz w:val="20"/>
              </w:rPr>
              <w:t>4,000.00</w:t>
            </w:r>
          </w:p>
        </w:tc>
        <w:tc>
          <w:tcPr>
            <w:tcW w:w="1530" w:type="dxa"/>
            <w:noWrap/>
            <w:hideMark/>
          </w:tcPr>
          <w:p w14:paraId="339E3CED" w14:textId="77777777" w:rsidR="00C37199" w:rsidRDefault="001E08CC">
            <w:pPr>
              <w:ind w:right="386"/>
              <w:jc w:val="right"/>
              <w:rPr>
                <w:color w:val="000000"/>
                <w:sz w:val="20"/>
              </w:rPr>
            </w:pPr>
            <w:r w:rsidRPr="001E08CC">
              <w:rPr>
                <w:color w:val="000000"/>
                <w:sz w:val="20"/>
              </w:rPr>
              <w:t>4,000.00</w:t>
            </w:r>
          </w:p>
        </w:tc>
        <w:tc>
          <w:tcPr>
            <w:tcW w:w="1530" w:type="dxa"/>
            <w:noWrap/>
            <w:hideMark/>
          </w:tcPr>
          <w:p w14:paraId="58942776" w14:textId="77777777" w:rsidR="00C37199" w:rsidRDefault="001E08CC">
            <w:pPr>
              <w:ind w:right="386"/>
              <w:jc w:val="right"/>
              <w:rPr>
                <w:color w:val="000000"/>
                <w:sz w:val="20"/>
              </w:rPr>
            </w:pPr>
            <w:r w:rsidRPr="001E08CC">
              <w:rPr>
                <w:color w:val="000000"/>
                <w:sz w:val="20"/>
              </w:rPr>
              <w:t>4,000.00</w:t>
            </w:r>
          </w:p>
        </w:tc>
        <w:tc>
          <w:tcPr>
            <w:tcW w:w="1620" w:type="dxa"/>
            <w:noWrap/>
            <w:hideMark/>
          </w:tcPr>
          <w:p w14:paraId="46BAD221" w14:textId="77777777" w:rsidR="00C37199" w:rsidRDefault="001E08CC">
            <w:pPr>
              <w:ind w:right="386"/>
              <w:jc w:val="right"/>
              <w:rPr>
                <w:color w:val="000000"/>
                <w:sz w:val="20"/>
              </w:rPr>
            </w:pPr>
            <w:r w:rsidRPr="001E08CC">
              <w:rPr>
                <w:color w:val="000000"/>
                <w:sz w:val="20"/>
              </w:rPr>
              <w:t>3.15</w:t>
            </w:r>
          </w:p>
        </w:tc>
      </w:tr>
      <w:tr w:rsidR="001E08CC" w:rsidRPr="001E08CC" w14:paraId="27120509" w14:textId="77777777" w:rsidTr="005C1690">
        <w:trPr>
          <w:cantSplit/>
          <w:trHeight w:val="1290"/>
        </w:trPr>
        <w:tc>
          <w:tcPr>
            <w:tcW w:w="2895" w:type="dxa"/>
            <w:hideMark/>
          </w:tcPr>
          <w:p w14:paraId="35CF3699" w14:textId="77777777" w:rsidR="001E08CC" w:rsidRPr="001E08CC" w:rsidRDefault="001E08CC" w:rsidP="001E08CC">
            <w:pPr>
              <w:rPr>
                <w:color w:val="000000"/>
                <w:sz w:val="20"/>
              </w:rPr>
            </w:pPr>
            <w:r w:rsidRPr="001E08CC">
              <w:rPr>
                <w:color w:val="000000"/>
                <w:sz w:val="20"/>
                <w:szCs w:val="24"/>
              </w:rPr>
              <w:lastRenderedPageBreak/>
              <w:t>Combined cycle:  for each  Combined-Cycle Configuration, the Startup Cost for that configuration is the sum of the Startup Costs for each unit within that configuration as follows:</w:t>
            </w:r>
          </w:p>
        </w:tc>
        <w:tc>
          <w:tcPr>
            <w:tcW w:w="1620" w:type="dxa"/>
            <w:noWrap/>
            <w:hideMark/>
          </w:tcPr>
          <w:p w14:paraId="696E5875" w14:textId="77777777" w:rsidR="00C37199" w:rsidRDefault="001E08CC">
            <w:pPr>
              <w:ind w:right="386"/>
              <w:jc w:val="right"/>
              <w:rPr>
                <w:color w:val="000000"/>
                <w:sz w:val="20"/>
              </w:rPr>
            </w:pPr>
            <w:r w:rsidRPr="001E08CC">
              <w:rPr>
                <w:color w:val="000000"/>
                <w:sz w:val="20"/>
              </w:rPr>
              <w:t> </w:t>
            </w:r>
          </w:p>
        </w:tc>
        <w:tc>
          <w:tcPr>
            <w:tcW w:w="1530" w:type="dxa"/>
            <w:noWrap/>
            <w:hideMark/>
          </w:tcPr>
          <w:p w14:paraId="49446848" w14:textId="77777777" w:rsidR="00C37199" w:rsidRDefault="001E08CC">
            <w:pPr>
              <w:ind w:right="386"/>
              <w:jc w:val="right"/>
              <w:rPr>
                <w:color w:val="000000"/>
                <w:sz w:val="20"/>
              </w:rPr>
            </w:pPr>
            <w:r w:rsidRPr="001E08CC">
              <w:rPr>
                <w:color w:val="000000"/>
                <w:sz w:val="20"/>
              </w:rPr>
              <w:t> </w:t>
            </w:r>
          </w:p>
        </w:tc>
        <w:tc>
          <w:tcPr>
            <w:tcW w:w="1530" w:type="dxa"/>
            <w:noWrap/>
            <w:hideMark/>
          </w:tcPr>
          <w:p w14:paraId="60615B96" w14:textId="77777777" w:rsidR="00C37199" w:rsidRDefault="001E08CC">
            <w:pPr>
              <w:ind w:right="386"/>
              <w:jc w:val="right"/>
              <w:rPr>
                <w:color w:val="000000"/>
                <w:sz w:val="20"/>
              </w:rPr>
            </w:pPr>
            <w:r w:rsidRPr="001E08CC">
              <w:rPr>
                <w:color w:val="000000"/>
                <w:sz w:val="20"/>
              </w:rPr>
              <w:t> </w:t>
            </w:r>
          </w:p>
        </w:tc>
        <w:tc>
          <w:tcPr>
            <w:tcW w:w="1620" w:type="dxa"/>
            <w:noWrap/>
            <w:hideMark/>
          </w:tcPr>
          <w:p w14:paraId="120363A2" w14:textId="77777777" w:rsidR="00C37199" w:rsidRDefault="001E08CC">
            <w:pPr>
              <w:ind w:right="386"/>
              <w:jc w:val="right"/>
              <w:rPr>
                <w:color w:val="000000"/>
                <w:sz w:val="20"/>
              </w:rPr>
            </w:pPr>
            <w:r w:rsidRPr="001E08CC">
              <w:rPr>
                <w:color w:val="000000"/>
                <w:sz w:val="20"/>
              </w:rPr>
              <w:t>2.55</w:t>
            </w:r>
          </w:p>
        </w:tc>
      </w:tr>
      <w:tr w:rsidR="001E08CC" w:rsidRPr="001E08CC" w14:paraId="539D4212" w14:textId="77777777" w:rsidTr="005C1690">
        <w:trPr>
          <w:cantSplit/>
          <w:trHeight w:val="315"/>
        </w:trPr>
        <w:tc>
          <w:tcPr>
            <w:tcW w:w="2895" w:type="dxa"/>
            <w:hideMark/>
          </w:tcPr>
          <w:p w14:paraId="7957F32C" w14:textId="77777777" w:rsidR="001E08CC" w:rsidRPr="001E08CC" w:rsidRDefault="001E08CC" w:rsidP="001E08CC">
            <w:pPr>
              <w:ind w:left="360"/>
              <w:rPr>
                <w:color w:val="000000"/>
                <w:sz w:val="20"/>
              </w:rPr>
            </w:pPr>
            <w:r w:rsidRPr="001E08CC">
              <w:rPr>
                <w:color w:val="000000"/>
                <w:sz w:val="20"/>
                <w:szCs w:val="24"/>
              </w:rPr>
              <w:t>Combustion turbine &lt; 90</w:t>
            </w:r>
            <w:r w:rsidR="00524596">
              <w:rPr>
                <w:color w:val="000000"/>
                <w:sz w:val="20"/>
                <w:szCs w:val="24"/>
              </w:rPr>
              <w:t xml:space="preserve"> </w:t>
            </w:r>
            <w:r w:rsidRPr="001E08CC">
              <w:rPr>
                <w:color w:val="000000"/>
                <w:sz w:val="20"/>
                <w:szCs w:val="24"/>
              </w:rPr>
              <w:t>MW</w:t>
            </w:r>
          </w:p>
        </w:tc>
        <w:tc>
          <w:tcPr>
            <w:tcW w:w="1620" w:type="dxa"/>
            <w:noWrap/>
            <w:hideMark/>
          </w:tcPr>
          <w:p w14:paraId="3E18D512" w14:textId="77777777" w:rsidR="00C37199" w:rsidRDefault="001E08CC">
            <w:pPr>
              <w:ind w:right="386"/>
              <w:jc w:val="right"/>
              <w:rPr>
                <w:color w:val="000000"/>
                <w:sz w:val="20"/>
              </w:rPr>
            </w:pPr>
            <w:r w:rsidRPr="001E08CC">
              <w:rPr>
                <w:color w:val="000000"/>
                <w:sz w:val="20"/>
              </w:rPr>
              <w:t>1,840.00</w:t>
            </w:r>
          </w:p>
        </w:tc>
        <w:tc>
          <w:tcPr>
            <w:tcW w:w="1530" w:type="dxa"/>
            <w:noWrap/>
            <w:hideMark/>
          </w:tcPr>
          <w:p w14:paraId="59B2F791" w14:textId="77777777" w:rsidR="00C37199" w:rsidRDefault="001E08CC">
            <w:pPr>
              <w:ind w:right="386"/>
              <w:jc w:val="right"/>
              <w:rPr>
                <w:color w:val="000000"/>
                <w:sz w:val="20"/>
              </w:rPr>
            </w:pPr>
            <w:r w:rsidRPr="001E08CC">
              <w:rPr>
                <w:color w:val="000000"/>
                <w:sz w:val="20"/>
              </w:rPr>
              <w:t>1,840.00</w:t>
            </w:r>
          </w:p>
        </w:tc>
        <w:tc>
          <w:tcPr>
            <w:tcW w:w="1530" w:type="dxa"/>
            <w:noWrap/>
            <w:hideMark/>
          </w:tcPr>
          <w:p w14:paraId="41D06252" w14:textId="77777777" w:rsidR="00C37199" w:rsidRDefault="001E08CC">
            <w:pPr>
              <w:ind w:right="386"/>
              <w:jc w:val="right"/>
              <w:rPr>
                <w:color w:val="000000"/>
                <w:sz w:val="20"/>
              </w:rPr>
            </w:pPr>
            <w:r w:rsidRPr="001E08CC">
              <w:rPr>
                <w:color w:val="000000"/>
                <w:sz w:val="20"/>
              </w:rPr>
              <w:t>1,840.00</w:t>
            </w:r>
          </w:p>
        </w:tc>
        <w:tc>
          <w:tcPr>
            <w:tcW w:w="1620" w:type="dxa"/>
            <w:noWrap/>
            <w:hideMark/>
          </w:tcPr>
          <w:p w14:paraId="7258CC29" w14:textId="77777777" w:rsidR="00C37199" w:rsidRDefault="001E08CC">
            <w:pPr>
              <w:ind w:right="386"/>
              <w:jc w:val="right"/>
              <w:rPr>
                <w:color w:val="000000"/>
                <w:sz w:val="20"/>
              </w:rPr>
            </w:pPr>
            <w:r w:rsidRPr="001E08CC">
              <w:rPr>
                <w:color w:val="000000"/>
                <w:sz w:val="20"/>
              </w:rPr>
              <w:t> </w:t>
            </w:r>
          </w:p>
        </w:tc>
      </w:tr>
      <w:tr w:rsidR="001E08CC" w:rsidRPr="001E08CC" w14:paraId="191D75B3" w14:textId="77777777" w:rsidTr="005C1690">
        <w:trPr>
          <w:cantSplit/>
          <w:trHeight w:val="315"/>
        </w:trPr>
        <w:tc>
          <w:tcPr>
            <w:tcW w:w="2895" w:type="dxa"/>
            <w:hideMark/>
          </w:tcPr>
          <w:p w14:paraId="52FC8C12" w14:textId="77777777" w:rsidR="001E08CC" w:rsidRPr="001E08CC" w:rsidRDefault="001E08CC" w:rsidP="001E08CC">
            <w:pPr>
              <w:ind w:left="360"/>
              <w:rPr>
                <w:color w:val="000000"/>
                <w:sz w:val="20"/>
              </w:rPr>
            </w:pPr>
            <w:r w:rsidRPr="001E08CC">
              <w:rPr>
                <w:color w:val="000000"/>
                <w:sz w:val="20"/>
                <w:szCs w:val="24"/>
              </w:rPr>
              <w:t>Combustion turbine ≥ 90 MW</w:t>
            </w:r>
          </w:p>
        </w:tc>
        <w:tc>
          <w:tcPr>
            <w:tcW w:w="1620" w:type="dxa"/>
            <w:noWrap/>
            <w:hideMark/>
          </w:tcPr>
          <w:p w14:paraId="3D967F15" w14:textId="77777777" w:rsidR="00C37199" w:rsidRDefault="001E08CC">
            <w:pPr>
              <w:ind w:right="386"/>
              <w:jc w:val="right"/>
              <w:rPr>
                <w:color w:val="000000"/>
                <w:sz w:val="20"/>
              </w:rPr>
            </w:pPr>
            <w:r w:rsidRPr="001E08CC">
              <w:rPr>
                <w:color w:val="000000"/>
                <w:sz w:val="20"/>
              </w:rPr>
              <w:t>4,000.00</w:t>
            </w:r>
          </w:p>
        </w:tc>
        <w:tc>
          <w:tcPr>
            <w:tcW w:w="1530" w:type="dxa"/>
            <w:noWrap/>
            <w:hideMark/>
          </w:tcPr>
          <w:p w14:paraId="51961BB9" w14:textId="77777777" w:rsidR="00C37199" w:rsidRDefault="001E08CC">
            <w:pPr>
              <w:ind w:right="386"/>
              <w:jc w:val="right"/>
              <w:rPr>
                <w:color w:val="000000"/>
                <w:sz w:val="20"/>
              </w:rPr>
            </w:pPr>
            <w:r w:rsidRPr="001E08CC">
              <w:rPr>
                <w:color w:val="000000"/>
                <w:sz w:val="20"/>
              </w:rPr>
              <w:t>4,000.00</w:t>
            </w:r>
          </w:p>
        </w:tc>
        <w:tc>
          <w:tcPr>
            <w:tcW w:w="1530" w:type="dxa"/>
            <w:noWrap/>
            <w:hideMark/>
          </w:tcPr>
          <w:p w14:paraId="06B272E9" w14:textId="77777777" w:rsidR="00C37199" w:rsidRDefault="001E08CC">
            <w:pPr>
              <w:ind w:right="386"/>
              <w:jc w:val="right"/>
              <w:rPr>
                <w:color w:val="000000"/>
                <w:sz w:val="20"/>
              </w:rPr>
            </w:pPr>
            <w:r w:rsidRPr="001E08CC">
              <w:rPr>
                <w:color w:val="000000"/>
                <w:sz w:val="20"/>
              </w:rPr>
              <w:t>4,000.00</w:t>
            </w:r>
          </w:p>
        </w:tc>
        <w:tc>
          <w:tcPr>
            <w:tcW w:w="1620" w:type="dxa"/>
            <w:noWrap/>
            <w:hideMark/>
          </w:tcPr>
          <w:p w14:paraId="06EEFAF0" w14:textId="77777777" w:rsidR="00C37199" w:rsidRDefault="001E08CC">
            <w:pPr>
              <w:ind w:right="386"/>
              <w:jc w:val="right"/>
              <w:rPr>
                <w:color w:val="000000"/>
                <w:sz w:val="20"/>
              </w:rPr>
            </w:pPr>
            <w:r w:rsidRPr="001E08CC">
              <w:rPr>
                <w:color w:val="000000"/>
                <w:sz w:val="20"/>
              </w:rPr>
              <w:t> </w:t>
            </w:r>
          </w:p>
        </w:tc>
      </w:tr>
      <w:tr w:rsidR="001E08CC" w:rsidRPr="001E08CC" w14:paraId="1AC6868F" w14:textId="77777777" w:rsidTr="005C1690">
        <w:trPr>
          <w:cantSplit/>
          <w:trHeight w:val="315"/>
        </w:trPr>
        <w:tc>
          <w:tcPr>
            <w:tcW w:w="2895" w:type="dxa"/>
            <w:hideMark/>
          </w:tcPr>
          <w:p w14:paraId="1A390376" w14:textId="77777777" w:rsidR="001E08CC" w:rsidRPr="001E08CC" w:rsidRDefault="001E08CC" w:rsidP="001E08CC">
            <w:pPr>
              <w:rPr>
                <w:color w:val="000000"/>
                <w:sz w:val="20"/>
              </w:rPr>
            </w:pPr>
            <w:r w:rsidRPr="001E08CC">
              <w:rPr>
                <w:color w:val="000000"/>
                <w:sz w:val="20"/>
                <w:szCs w:val="24"/>
              </w:rPr>
              <w:t>Steam turbine</w:t>
            </w:r>
          </w:p>
        </w:tc>
        <w:tc>
          <w:tcPr>
            <w:tcW w:w="1620" w:type="dxa"/>
            <w:noWrap/>
            <w:hideMark/>
          </w:tcPr>
          <w:p w14:paraId="18467885" w14:textId="77777777" w:rsidR="00C37199" w:rsidRDefault="001E08CC">
            <w:pPr>
              <w:ind w:right="386"/>
              <w:jc w:val="right"/>
              <w:rPr>
                <w:color w:val="000000"/>
                <w:sz w:val="20"/>
              </w:rPr>
            </w:pPr>
            <w:r w:rsidRPr="001E08CC">
              <w:rPr>
                <w:color w:val="000000"/>
                <w:sz w:val="20"/>
              </w:rPr>
              <w:t>2,400.00</w:t>
            </w:r>
          </w:p>
        </w:tc>
        <w:tc>
          <w:tcPr>
            <w:tcW w:w="1530" w:type="dxa"/>
            <w:noWrap/>
            <w:hideMark/>
          </w:tcPr>
          <w:p w14:paraId="628A5810" w14:textId="77777777" w:rsidR="00C37199" w:rsidRDefault="001E08CC">
            <w:pPr>
              <w:ind w:right="386"/>
              <w:jc w:val="right"/>
              <w:rPr>
                <w:color w:val="000000"/>
                <w:sz w:val="20"/>
              </w:rPr>
            </w:pPr>
            <w:r w:rsidRPr="001E08CC">
              <w:rPr>
                <w:color w:val="000000"/>
                <w:sz w:val="20"/>
              </w:rPr>
              <w:t>1,800.00</w:t>
            </w:r>
          </w:p>
        </w:tc>
        <w:tc>
          <w:tcPr>
            <w:tcW w:w="1530" w:type="dxa"/>
            <w:noWrap/>
            <w:hideMark/>
          </w:tcPr>
          <w:p w14:paraId="70613E2B" w14:textId="77777777" w:rsidR="00C37199" w:rsidRDefault="001E08CC">
            <w:pPr>
              <w:ind w:right="386"/>
              <w:jc w:val="right"/>
              <w:rPr>
                <w:color w:val="000000"/>
                <w:sz w:val="20"/>
              </w:rPr>
            </w:pPr>
            <w:r w:rsidRPr="001E08CC">
              <w:rPr>
                <w:color w:val="000000"/>
                <w:sz w:val="20"/>
              </w:rPr>
              <w:t>1,000.00</w:t>
            </w:r>
          </w:p>
        </w:tc>
        <w:tc>
          <w:tcPr>
            <w:tcW w:w="1620" w:type="dxa"/>
            <w:noWrap/>
            <w:hideMark/>
          </w:tcPr>
          <w:p w14:paraId="5D9AE816" w14:textId="77777777" w:rsidR="00C37199" w:rsidRDefault="001E08CC">
            <w:pPr>
              <w:ind w:right="386"/>
              <w:jc w:val="right"/>
              <w:rPr>
                <w:color w:val="000000"/>
                <w:sz w:val="20"/>
              </w:rPr>
            </w:pPr>
            <w:r w:rsidRPr="001E08CC">
              <w:rPr>
                <w:color w:val="000000"/>
                <w:sz w:val="20"/>
              </w:rPr>
              <w:t> </w:t>
            </w:r>
          </w:p>
        </w:tc>
      </w:tr>
      <w:tr w:rsidR="001E08CC" w:rsidRPr="001E08CC" w14:paraId="76D98504" w14:textId="77777777" w:rsidTr="005C1690">
        <w:trPr>
          <w:cantSplit/>
          <w:trHeight w:val="315"/>
        </w:trPr>
        <w:tc>
          <w:tcPr>
            <w:tcW w:w="2895" w:type="dxa"/>
            <w:hideMark/>
          </w:tcPr>
          <w:p w14:paraId="4D24EB5F" w14:textId="77777777" w:rsidR="001E08CC" w:rsidRPr="001E08CC" w:rsidRDefault="001E08CC" w:rsidP="001E08CC">
            <w:pPr>
              <w:rPr>
                <w:color w:val="000000"/>
                <w:sz w:val="20"/>
              </w:rPr>
            </w:pPr>
            <w:r w:rsidRPr="001E08CC">
              <w:rPr>
                <w:color w:val="000000"/>
                <w:sz w:val="20"/>
                <w:szCs w:val="24"/>
              </w:rPr>
              <w:t>Gas-steam non-reheat boiler</w:t>
            </w:r>
          </w:p>
        </w:tc>
        <w:tc>
          <w:tcPr>
            <w:tcW w:w="1620" w:type="dxa"/>
            <w:noWrap/>
            <w:hideMark/>
          </w:tcPr>
          <w:p w14:paraId="1C668A09" w14:textId="77777777" w:rsidR="00C37199" w:rsidRDefault="001E08CC">
            <w:pPr>
              <w:ind w:right="386"/>
              <w:jc w:val="right"/>
              <w:rPr>
                <w:color w:val="000000"/>
                <w:sz w:val="20"/>
              </w:rPr>
            </w:pPr>
            <w:r w:rsidRPr="001E08CC">
              <w:rPr>
                <w:color w:val="000000"/>
                <w:sz w:val="20"/>
              </w:rPr>
              <w:t>1,848.00</w:t>
            </w:r>
          </w:p>
        </w:tc>
        <w:tc>
          <w:tcPr>
            <w:tcW w:w="1530" w:type="dxa"/>
            <w:noWrap/>
            <w:hideMark/>
          </w:tcPr>
          <w:p w14:paraId="24CA2BAD" w14:textId="77777777" w:rsidR="00C37199" w:rsidRDefault="001E08CC">
            <w:pPr>
              <w:ind w:right="386"/>
              <w:jc w:val="right"/>
              <w:rPr>
                <w:color w:val="000000"/>
                <w:sz w:val="20"/>
              </w:rPr>
            </w:pPr>
            <w:r w:rsidRPr="001E08CC">
              <w:rPr>
                <w:color w:val="000000"/>
                <w:sz w:val="20"/>
              </w:rPr>
              <w:t>1,386.00</w:t>
            </w:r>
          </w:p>
        </w:tc>
        <w:tc>
          <w:tcPr>
            <w:tcW w:w="1530" w:type="dxa"/>
            <w:noWrap/>
            <w:hideMark/>
          </w:tcPr>
          <w:p w14:paraId="7AFA4C5C" w14:textId="77777777" w:rsidR="00C37199" w:rsidRDefault="001E08CC">
            <w:pPr>
              <w:ind w:right="386"/>
              <w:jc w:val="right"/>
              <w:rPr>
                <w:color w:val="000000"/>
                <w:sz w:val="20"/>
              </w:rPr>
            </w:pPr>
            <w:r w:rsidRPr="001E08CC">
              <w:rPr>
                <w:color w:val="000000"/>
                <w:sz w:val="20"/>
              </w:rPr>
              <w:t>693.00</w:t>
            </w:r>
          </w:p>
        </w:tc>
        <w:tc>
          <w:tcPr>
            <w:tcW w:w="1620" w:type="dxa"/>
            <w:noWrap/>
            <w:hideMark/>
          </w:tcPr>
          <w:p w14:paraId="6F504E52" w14:textId="77777777" w:rsidR="00C37199" w:rsidRDefault="001E08CC">
            <w:pPr>
              <w:ind w:right="386"/>
              <w:jc w:val="right"/>
              <w:rPr>
                <w:color w:val="000000"/>
                <w:sz w:val="20"/>
              </w:rPr>
            </w:pPr>
            <w:r w:rsidRPr="001E08CC">
              <w:rPr>
                <w:color w:val="000000"/>
                <w:sz w:val="20"/>
              </w:rPr>
              <w:t>5.66</w:t>
            </w:r>
          </w:p>
        </w:tc>
      </w:tr>
      <w:tr w:rsidR="001E08CC" w:rsidRPr="001E08CC" w14:paraId="59E0EAB8" w14:textId="77777777" w:rsidTr="005C1690">
        <w:trPr>
          <w:cantSplit/>
          <w:trHeight w:val="315"/>
        </w:trPr>
        <w:tc>
          <w:tcPr>
            <w:tcW w:w="2895" w:type="dxa"/>
            <w:hideMark/>
          </w:tcPr>
          <w:p w14:paraId="11D0D395" w14:textId="77777777" w:rsidR="001E08CC" w:rsidRPr="001E08CC" w:rsidRDefault="001E08CC" w:rsidP="001E08CC">
            <w:pPr>
              <w:rPr>
                <w:color w:val="000000"/>
                <w:sz w:val="20"/>
              </w:rPr>
            </w:pPr>
            <w:r w:rsidRPr="001E08CC">
              <w:rPr>
                <w:color w:val="000000"/>
                <w:sz w:val="20"/>
                <w:szCs w:val="24"/>
              </w:rPr>
              <w:t>Gas-steam reheat boiler</w:t>
            </w:r>
          </w:p>
        </w:tc>
        <w:tc>
          <w:tcPr>
            <w:tcW w:w="1620" w:type="dxa"/>
            <w:noWrap/>
            <w:hideMark/>
          </w:tcPr>
          <w:p w14:paraId="1351A89D" w14:textId="77777777" w:rsidR="00C37199" w:rsidRDefault="001E08CC">
            <w:pPr>
              <w:ind w:right="386"/>
              <w:jc w:val="right"/>
              <w:rPr>
                <w:color w:val="000000"/>
                <w:sz w:val="20"/>
              </w:rPr>
            </w:pPr>
            <w:r w:rsidRPr="001E08CC">
              <w:rPr>
                <w:color w:val="000000"/>
                <w:sz w:val="20"/>
              </w:rPr>
              <w:t>2,400.00</w:t>
            </w:r>
          </w:p>
        </w:tc>
        <w:tc>
          <w:tcPr>
            <w:tcW w:w="1530" w:type="dxa"/>
            <w:noWrap/>
            <w:hideMark/>
          </w:tcPr>
          <w:p w14:paraId="3EBE4C54" w14:textId="77777777" w:rsidR="00C37199" w:rsidRDefault="001E08CC">
            <w:pPr>
              <w:ind w:right="386"/>
              <w:jc w:val="right"/>
              <w:rPr>
                <w:color w:val="000000"/>
                <w:sz w:val="20"/>
              </w:rPr>
            </w:pPr>
            <w:r w:rsidRPr="001E08CC">
              <w:rPr>
                <w:color w:val="000000"/>
                <w:sz w:val="20"/>
              </w:rPr>
              <w:t>1,800.00</w:t>
            </w:r>
          </w:p>
        </w:tc>
        <w:tc>
          <w:tcPr>
            <w:tcW w:w="1530" w:type="dxa"/>
            <w:noWrap/>
            <w:hideMark/>
          </w:tcPr>
          <w:p w14:paraId="2582FC52" w14:textId="77777777" w:rsidR="00C37199" w:rsidRDefault="001E08CC">
            <w:pPr>
              <w:ind w:right="386"/>
              <w:jc w:val="right"/>
              <w:rPr>
                <w:color w:val="000000"/>
                <w:sz w:val="20"/>
              </w:rPr>
            </w:pPr>
            <w:r w:rsidRPr="001E08CC">
              <w:rPr>
                <w:color w:val="000000"/>
                <w:sz w:val="20"/>
              </w:rPr>
              <w:t>900.00</w:t>
            </w:r>
          </w:p>
        </w:tc>
        <w:tc>
          <w:tcPr>
            <w:tcW w:w="1620" w:type="dxa"/>
            <w:noWrap/>
            <w:hideMark/>
          </w:tcPr>
          <w:p w14:paraId="2D16AC68" w14:textId="77777777" w:rsidR="00C37199" w:rsidRDefault="001E08CC">
            <w:pPr>
              <w:ind w:right="386"/>
              <w:jc w:val="right"/>
              <w:rPr>
                <w:color w:val="000000"/>
                <w:sz w:val="20"/>
              </w:rPr>
            </w:pPr>
            <w:r w:rsidRPr="001E08CC">
              <w:rPr>
                <w:color w:val="000000"/>
                <w:sz w:val="20"/>
              </w:rPr>
              <w:t>5.66</w:t>
            </w:r>
          </w:p>
        </w:tc>
      </w:tr>
      <w:tr w:rsidR="001E08CC" w:rsidRPr="001E08CC" w14:paraId="0ADD38EC" w14:textId="77777777" w:rsidTr="005C1690">
        <w:trPr>
          <w:cantSplit/>
          <w:trHeight w:val="315"/>
        </w:trPr>
        <w:tc>
          <w:tcPr>
            <w:tcW w:w="2895" w:type="dxa"/>
            <w:hideMark/>
          </w:tcPr>
          <w:p w14:paraId="249985FD" w14:textId="77777777" w:rsidR="001E08CC" w:rsidRPr="001E08CC" w:rsidRDefault="001E08CC" w:rsidP="001E08CC">
            <w:pPr>
              <w:rPr>
                <w:color w:val="000000"/>
                <w:sz w:val="20"/>
              </w:rPr>
            </w:pPr>
            <w:r w:rsidRPr="001E08CC">
              <w:rPr>
                <w:color w:val="000000"/>
                <w:sz w:val="20"/>
                <w:szCs w:val="24"/>
              </w:rPr>
              <w:t>Gas-steam supercritical boiler</w:t>
            </w:r>
          </w:p>
        </w:tc>
        <w:tc>
          <w:tcPr>
            <w:tcW w:w="1620" w:type="dxa"/>
            <w:noWrap/>
            <w:hideMark/>
          </w:tcPr>
          <w:p w14:paraId="30B5F907" w14:textId="77777777" w:rsidR="00C37199" w:rsidRDefault="001E08CC">
            <w:pPr>
              <w:ind w:right="386"/>
              <w:jc w:val="right"/>
              <w:rPr>
                <w:color w:val="000000"/>
                <w:sz w:val="20"/>
              </w:rPr>
            </w:pPr>
            <w:r w:rsidRPr="001E08CC">
              <w:rPr>
                <w:color w:val="000000"/>
                <w:sz w:val="20"/>
              </w:rPr>
              <w:t>3,840.00</w:t>
            </w:r>
          </w:p>
        </w:tc>
        <w:tc>
          <w:tcPr>
            <w:tcW w:w="1530" w:type="dxa"/>
            <w:noWrap/>
            <w:hideMark/>
          </w:tcPr>
          <w:p w14:paraId="501F4B46" w14:textId="77777777" w:rsidR="00C37199" w:rsidRDefault="001E08CC">
            <w:pPr>
              <w:ind w:right="386"/>
              <w:jc w:val="right"/>
              <w:rPr>
                <w:color w:val="000000"/>
                <w:sz w:val="20"/>
              </w:rPr>
            </w:pPr>
            <w:r w:rsidRPr="001E08CC">
              <w:rPr>
                <w:color w:val="000000"/>
                <w:sz w:val="20"/>
              </w:rPr>
              <w:t>2,880.00</w:t>
            </w:r>
          </w:p>
        </w:tc>
        <w:tc>
          <w:tcPr>
            <w:tcW w:w="1530" w:type="dxa"/>
            <w:noWrap/>
            <w:hideMark/>
          </w:tcPr>
          <w:p w14:paraId="5B978C14" w14:textId="77777777" w:rsidR="00C37199" w:rsidRDefault="001E08CC">
            <w:pPr>
              <w:ind w:right="386"/>
              <w:jc w:val="right"/>
              <w:rPr>
                <w:color w:val="000000"/>
                <w:sz w:val="20"/>
              </w:rPr>
            </w:pPr>
            <w:r w:rsidRPr="001E08CC">
              <w:rPr>
                <w:color w:val="000000"/>
                <w:sz w:val="20"/>
              </w:rPr>
              <w:t>1,440.00</w:t>
            </w:r>
          </w:p>
        </w:tc>
        <w:tc>
          <w:tcPr>
            <w:tcW w:w="1620" w:type="dxa"/>
            <w:noWrap/>
            <w:hideMark/>
          </w:tcPr>
          <w:p w14:paraId="5FE5B853" w14:textId="77777777" w:rsidR="00C37199" w:rsidRDefault="001E08CC">
            <w:pPr>
              <w:ind w:right="386"/>
              <w:jc w:val="right"/>
              <w:rPr>
                <w:color w:val="000000"/>
                <w:sz w:val="20"/>
              </w:rPr>
            </w:pPr>
            <w:r w:rsidRPr="001E08CC">
              <w:rPr>
                <w:color w:val="000000"/>
                <w:sz w:val="20"/>
              </w:rPr>
              <w:t>5.66</w:t>
            </w:r>
          </w:p>
        </w:tc>
      </w:tr>
      <w:tr w:rsidR="001E08CC" w:rsidRPr="001E08CC" w14:paraId="16CD6951" w14:textId="77777777" w:rsidTr="005C1690">
        <w:trPr>
          <w:cantSplit/>
          <w:trHeight w:val="315"/>
        </w:trPr>
        <w:tc>
          <w:tcPr>
            <w:tcW w:w="2895" w:type="dxa"/>
            <w:hideMark/>
          </w:tcPr>
          <w:p w14:paraId="63DD775F" w14:textId="77777777" w:rsidR="001E08CC" w:rsidRPr="001E08CC" w:rsidRDefault="001E08CC" w:rsidP="001E08CC">
            <w:pPr>
              <w:rPr>
                <w:color w:val="000000"/>
                <w:sz w:val="20"/>
              </w:rPr>
            </w:pPr>
            <w:r w:rsidRPr="001E08CC">
              <w:rPr>
                <w:color w:val="000000"/>
                <w:sz w:val="20"/>
                <w:szCs w:val="24"/>
              </w:rPr>
              <w:t xml:space="preserve">Nuclear, coal, </w:t>
            </w:r>
            <w:proofErr w:type="gramStart"/>
            <w:r w:rsidRPr="001E08CC">
              <w:rPr>
                <w:color w:val="000000"/>
                <w:sz w:val="20"/>
                <w:szCs w:val="24"/>
              </w:rPr>
              <w:t>lignite</w:t>
            </w:r>
            <w:proofErr w:type="gramEnd"/>
            <w:r w:rsidRPr="001E08CC">
              <w:rPr>
                <w:color w:val="000000"/>
                <w:sz w:val="20"/>
                <w:szCs w:val="24"/>
              </w:rPr>
              <w:t xml:space="preserve"> and hydro</w:t>
            </w:r>
          </w:p>
        </w:tc>
        <w:tc>
          <w:tcPr>
            <w:tcW w:w="1620" w:type="dxa"/>
            <w:noWrap/>
            <w:hideMark/>
          </w:tcPr>
          <w:p w14:paraId="423955D9" w14:textId="77777777" w:rsidR="00C37199" w:rsidRDefault="001E08CC">
            <w:pPr>
              <w:ind w:right="386"/>
              <w:jc w:val="right"/>
              <w:rPr>
                <w:color w:val="000000"/>
                <w:sz w:val="20"/>
              </w:rPr>
            </w:pPr>
            <w:r w:rsidRPr="001E08CC">
              <w:rPr>
                <w:color w:val="000000"/>
                <w:sz w:val="20"/>
              </w:rPr>
              <w:t>5,760.00</w:t>
            </w:r>
          </w:p>
        </w:tc>
        <w:tc>
          <w:tcPr>
            <w:tcW w:w="1530" w:type="dxa"/>
            <w:noWrap/>
            <w:hideMark/>
          </w:tcPr>
          <w:p w14:paraId="2C9F339C" w14:textId="77777777" w:rsidR="00C37199" w:rsidRDefault="001E08CC">
            <w:pPr>
              <w:ind w:right="386"/>
              <w:jc w:val="right"/>
              <w:rPr>
                <w:color w:val="000000"/>
                <w:sz w:val="20"/>
              </w:rPr>
            </w:pPr>
            <w:r w:rsidRPr="001E08CC">
              <w:rPr>
                <w:color w:val="000000"/>
                <w:sz w:val="20"/>
              </w:rPr>
              <w:t>4,320.00</w:t>
            </w:r>
          </w:p>
        </w:tc>
        <w:tc>
          <w:tcPr>
            <w:tcW w:w="1530" w:type="dxa"/>
            <w:noWrap/>
            <w:hideMark/>
          </w:tcPr>
          <w:p w14:paraId="728BAFFA" w14:textId="77777777" w:rsidR="00C37199" w:rsidRDefault="001E08CC">
            <w:pPr>
              <w:ind w:right="386"/>
              <w:jc w:val="right"/>
              <w:rPr>
                <w:color w:val="000000"/>
                <w:sz w:val="20"/>
              </w:rPr>
            </w:pPr>
            <w:r w:rsidRPr="001E08CC">
              <w:rPr>
                <w:color w:val="000000"/>
                <w:sz w:val="20"/>
              </w:rPr>
              <w:t>2,160.00</w:t>
            </w:r>
          </w:p>
        </w:tc>
        <w:tc>
          <w:tcPr>
            <w:tcW w:w="1620" w:type="dxa"/>
            <w:noWrap/>
            <w:hideMark/>
          </w:tcPr>
          <w:p w14:paraId="73EAEE85" w14:textId="77777777" w:rsidR="00C37199" w:rsidRDefault="001E08CC">
            <w:pPr>
              <w:ind w:right="386"/>
              <w:jc w:val="right"/>
              <w:rPr>
                <w:color w:val="000000"/>
                <w:sz w:val="20"/>
              </w:rPr>
            </w:pPr>
            <w:r w:rsidRPr="001E08CC">
              <w:rPr>
                <w:color w:val="000000"/>
                <w:sz w:val="20"/>
              </w:rPr>
              <w:t>4.02</w:t>
            </w:r>
          </w:p>
        </w:tc>
      </w:tr>
      <w:tr w:rsidR="001E08CC" w:rsidRPr="001E08CC" w14:paraId="0A3D3607" w14:textId="77777777" w:rsidTr="005C1690">
        <w:trPr>
          <w:cantSplit/>
          <w:trHeight w:val="315"/>
        </w:trPr>
        <w:tc>
          <w:tcPr>
            <w:tcW w:w="2895" w:type="dxa"/>
            <w:hideMark/>
          </w:tcPr>
          <w:p w14:paraId="614E0BC9" w14:textId="77777777" w:rsidR="001E08CC" w:rsidRPr="001E08CC" w:rsidRDefault="001E08CC" w:rsidP="001E08CC">
            <w:pPr>
              <w:rPr>
                <w:color w:val="000000"/>
                <w:sz w:val="20"/>
              </w:rPr>
            </w:pPr>
            <w:r w:rsidRPr="001E08CC">
              <w:rPr>
                <w:color w:val="000000"/>
                <w:sz w:val="20"/>
                <w:szCs w:val="24"/>
              </w:rPr>
              <w:t>Renewable</w:t>
            </w:r>
          </w:p>
        </w:tc>
        <w:tc>
          <w:tcPr>
            <w:tcW w:w="1620" w:type="dxa"/>
            <w:noWrap/>
            <w:hideMark/>
          </w:tcPr>
          <w:p w14:paraId="0A27032D" w14:textId="77777777" w:rsidR="001E08CC" w:rsidRPr="001E08CC" w:rsidRDefault="001E08CC" w:rsidP="001E08CC">
            <w:pPr>
              <w:jc w:val="center"/>
              <w:rPr>
                <w:color w:val="000000"/>
                <w:sz w:val="20"/>
              </w:rPr>
            </w:pPr>
            <w:r w:rsidRPr="001E08CC">
              <w:rPr>
                <w:color w:val="000000"/>
                <w:sz w:val="20"/>
                <w:szCs w:val="24"/>
              </w:rPr>
              <w:t>Not Applicable</w:t>
            </w:r>
          </w:p>
        </w:tc>
        <w:tc>
          <w:tcPr>
            <w:tcW w:w="1530" w:type="dxa"/>
            <w:noWrap/>
            <w:hideMark/>
          </w:tcPr>
          <w:p w14:paraId="15B19112" w14:textId="77777777" w:rsidR="001E08CC" w:rsidRPr="001E08CC" w:rsidRDefault="001E08CC" w:rsidP="001E08CC">
            <w:pPr>
              <w:jc w:val="center"/>
              <w:rPr>
                <w:color w:val="000000"/>
                <w:sz w:val="20"/>
              </w:rPr>
            </w:pPr>
            <w:r w:rsidRPr="001E08CC">
              <w:rPr>
                <w:color w:val="000000"/>
                <w:sz w:val="20"/>
                <w:szCs w:val="24"/>
              </w:rPr>
              <w:t>Not Applicable</w:t>
            </w:r>
          </w:p>
        </w:tc>
        <w:tc>
          <w:tcPr>
            <w:tcW w:w="1530" w:type="dxa"/>
            <w:noWrap/>
            <w:hideMark/>
          </w:tcPr>
          <w:p w14:paraId="58170A19" w14:textId="77777777" w:rsidR="001E08CC" w:rsidRPr="001E08CC" w:rsidRDefault="001E08CC" w:rsidP="001E08CC">
            <w:pPr>
              <w:jc w:val="center"/>
              <w:rPr>
                <w:color w:val="000000"/>
                <w:sz w:val="20"/>
              </w:rPr>
            </w:pPr>
            <w:r w:rsidRPr="001E08CC">
              <w:rPr>
                <w:color w:val="000000"/>
                <w:sz w:val="20"/>
                <w:szCs w:val="24"/>
              </w:rPr>
              <w:t>Not Applicable</w:t>
            </w:r>
          </w:p>
        </w:tc>
        <w:tc>
          <w:tcPr>
            <w:tcW w:w="1620" w:type="dxa"/>
            <w:noWrap/>
            <w:hideMark/>
          </w:tcPr>
          <w:p w14:paraId="06EB4185" w14:textId="77777777" w:rsidR="00C37199" w:rsidRDefault="001E08CC">
            <w:pPr>
              <w:ind w:right="386"/>
              <w:jc w:val="right"/>
              <w:rPr>
                <w:color w:val="000000"/>
                <w:sz w:val="20"/>
              </w:rPr>
            </w:pPr>
            <w:r w:rsidRPr="001E08CC">
              <w:rPr>
                <w:color w:val="000000"/>
                <w:sz w:val="20"/>
              </w:rPr>
              <w:t>4.40</w:t>
            </w:r>
          </w:p>
        </w:tc>
      </w:tr>
    </w:tbl>
    <w:p w14:paraId="694E728C" w14:textId="77777777" w:rsidR="005151E0" w:rsidRDefault="00816C8E">
      <w:pPr>
        <w:pStyle w:val="List2"/>
        <w:spacing w:before="240"/>
      </w:pPr>
      <w:r>
        <w:t>(</w:t>
      </w:r>
      <w:r w:rsidR="001E08CC">
        <w:t>d</w:t>
      </w:r>
      <w:r>
        <w:t>)</w:t>
      </w:r>
      <w:r>
        <w:tab/>
        <w:t>If the QSE or Resource Entity chooses to utilize the standard O&amp;M costs for O&amp;M, standard O&amp;M costs will be used by ERCOT going forward until</w:t>
      </w:r>
      <w:r w:rsidRPr="00D145D6">
        <w:t xml:space="preserve"> </w:t>
      </w:r>
      <w:r>
        <w:t>either:</w:t>
      </w:r>
    </w:p>
    <w:p w14:paraId="018D540F" w14:textId="77777777" w:rsidR="00816C8E" w:rsidRDefault="00816C8E" w:rsidP="00816C8E">
      <w:pPr>
        <w:pStyle w:val="List3"/>
      </w:pPr>
      <w:r>
        <w:t>(i)</w:t>
      </w:r>
      <w:r>
        <w:tab/>
        <w:t xml:space="preserve">Verifiable variable O&amp;M costs are filed; or </w:t>
      </w:r>
    </w:p>
    <w:p w14:paraId="25DE65D8" w14:textId="77777777" w:rsidR="005151E0" w:rsidRDefault="00816C8E">
      <w:pPr>
        <w:pStyle w:val="List2"/>
        <w:ind w:left="2160"/>
      </w:pPr>
      <w:r>
        <w:t>(ii)</w:t>
      </w:r>
      <w:r>
        <w:tab/>
        <w:t>ERCOT notifies the QSE or Resource Entity to update its verifiable costs as set forth in either paragraph (</w:t>
      </w:r>
      <w:r w:rsidR="00000984">
        <w:t>9</w:t>
      </w:r>
      <w:r>
        <w:t>) or (1</w:t>
      </w:r>
      <w:r w:rsidR="00000984">
        <w:t>0</w:t>
      </w:r>
      <w:r>
        <w:t>) below.  If a Resource is receiving standard O&amp;M costs, it may reelect standard O&amp;M costs when resubmitting verifiable costs.</w:t>
      </w:r>
    </w:p>
    <w:p w14:paraId="5FF5D141" w14:textId="77777777" w:rsidR="005151E0" w:rsidRDefault="00816C8E">
      <w:pPr>
        <w:pStyle w:val="List2"/>
        <w:ind w:left="720"/>
      </w:pPr>
      <w:r>
        <w:t>(7)</w:t>
      </w:r>
      <w:r>
        <w:tab/>
        <w:t xml:space="preserve">When submitting verifiable costs for combined cycle Resources, the QSE or Resource Entity must elect standard O&amp;M costs for all Combined-Cycle Configurations or verifiable </w:t>
      </w:r>
      <w:r w:rsidR="00627799">
        <w:t>costs for all Combined-</w:t>
      </w:r>
      <w:r>
        <w:t xml:space="preserve">Cycle Configurations within the combined cycle train.  </w:t>
      </w:r>
    </w:p>
    <w:p w14:paraId="7469A262" w14:textId="77777777" w:rsidR="00F80C33" w:rsidRDefault="00723BFB">
      <w:pPr>
        <w:pStyle w:val="List2"/>
        <w:ind w:left="720"/>
      </w:pPr>
      <w:r>
        <w:t>(</w:t>
      </w:r>
      <w:r w:rsidR="00816C8E">
        <w:t>8</w:t>
      </w:r>
      <w:r>
        <w:t>)</w:t>
      </w:r>
      <w:r>
        <w:tab/>
        <w:t>QSEs submitting PPAs as Resource-specific verifiable costs documentation are subject to the guidelines detailed below and in the Verifiable Cost Manual.</w:t>
      </w:r>
    </w:p>
    <w:p w14:paraId="13878430" w14:textId="77777777" w:rsidR="00F80C33" w:rsidRDefault="00723BFB">
      <w:pPr>
        <w:spacing w:before="120" w:after="120"/>
        <w:ind w:left="1440" w:hanging="720"/>
      </w:pPr>
      <w:r>
        <w:t>(a)</w:t>
      </w:r>
      <w:r>
        <w:tab/>
        <w:t>Only QSEs offering Three-Part Supply Offers for a specific Resource may submit a PPA as verifiable costs documentation.</w:t>
      </w:r>
    </w:p>
    <w:p w14:paraId="50E6DF35" w14:textId="77777777" w:rsidR="00F80C33" w:rsidRDefault="00723BFB">
      <w:pPr>
        <w:spacing w:before="120" w:after="120"/>
        <w:ind w:left="1440" w:hanging="720"/>
      </w:pPr>
      <w:r>
        <w:t>(b)</w:t>
      </w:r>
      <w:r>
        <w:tab/>
        <w:t xml:space="preserve">A QSE submitting a PPA as verifiable costs documentation must represent 100% of the Resource’s capacity.  </w:t>
      </w:r>
    </w:p>
    <w:p w14:paraId="440DCFD1" w14:textId="77777777" w:rsidR="00F80C33" w:rsidRDefault="00723BFB">
      <w:pPr>
        <w:pStyle w:val="List2"/>
        <w:spacing w:before="120"/>
        <w:rPr>
          <w:szCs w:val="24"/>
        </w:rPr>
      </w:pPr>
      <w:r>
        <w:rPr>
          <w:szCs w:val="24"/>
        </w:rPr>
        <w:t>(c)</w:t>
      </w:r>
      <w:r>
        <w:rPr>
          <w:szCs w:val="24"/>
        </w:rPr>
        <w:tab/>
        <w:t xml:space="preserve">Only PPAs:  </w:t>
      </w:r>
    </w:p>
    <w:p w14:paraId="60EA5D6A" w14:textId="77777777" w:rsidR="00F80C33" w:rsidRDefault="00723BFB">
      <w:pPr>
        <w:pStyle w:val="List2"/>
        <w:ind w:left="2160"/>
        <w:rPr>
          <w:szCs w:val="24"/>
        </w:rPr>
      </w:pPr>
      <w:r>
        <w:rPr>
          <w:szCs w:val="24"/>
        </w:rPr>
        <w:t xml:space="preserve">(i) </w:t>
      </w:r>
      <w:r>
        <w:rPr>
          <w:szCs w:val="24"/>
        </w:rPr>
        <w:tab/>
        <w:t xml:space="preserve">Signed prior to July 16, 2008; and </w:t>
      </w:r>
    </w:p>
    <w:p w14:paraId="1A0E9935" w14:textId="77777777" w:rsidR="00F80C33" w:rsidRDefault="00723BFB">
      <w:pPr>
        <w:pStyle w:val="List2"/>
        <w:ind w:left="2160"/>
        <w:rPr>
          <w:szCs w:val="24"/>
        </w:rPr>
      </w:pPr>
      <w:r>
        <w:rPr>
          <w:szCs w:val="24"/>
        </w:rPr>
        <w:lastRenderedPageBreak/>
        <w:t>(ii)</w:t>
      </w:r>
      <w:r>
        <w:rPr>
          <w:szCs w:val="24"/>
        </w:rPr>
        <w:tab/>
        <w:t>Not between Affiliates, subsidiaries or partners will be accepted as verifiable cost documentation.</w:t>
      </w:r>
    </w:p>
    <w:p w14:paraId="3D1836BC" w14:textId="77777777" w:rsidR="00F80C33" w:rsidRDefault="00723BFB">
      <w:pPr>
        <w:pStyle w:val="List2"/>
        <w:rPr>
          <w:szCs w:val="24"/>
        </w:rPr>
      </w:pPr>
      <w:r>
        <w:rPr>
          <w:szCs w:val="24"/>
        </w:rPr>
        <w:t>(d)</w:t>
      </w:r>
      <w:r>
        <w:rPr>
          <w:szCs w:val="24"/>
        </w:rPr>
        <w:tab/>
        <w:t xml:space="preserve">Verifiable costs for PPAs shall be capped at the level of the highest comparable Resource (referred to as the reference Resource) specific verifiable costs approved by ERCOT without a PPA.  The ERCOT approved verifiable costs for a PPA shall be equal to the lesser of:  </w:t>
      </w:r>
    </w:p>
    <w:p w14:paraId="64F891C7" w14:textId="77777777" w:rsidR="00F80C33" w:rsidRDefault="00723BFB">
      <w:pPr>
        <w:pStyle w:val="List2"/>
        <w:ind w:firstLine="0"/>
        <w:rPr>
          <w:szCs w:val="24"/>
        </w:rPr>
      </w:pPr>
      <w:r>
        <w:rPr>
          <w:szCs w:val="24"/>
        </w:rPr>
        <w:t>(i)</w:t>
      </w:r>
      <w:r>
        <w:rPr>
          <w:szCs w:val="24"/>
        </w:rPr>
        <w:tab/>
        <w:t xml:space="preserve">The cap as described in paragraph (d) above; and </w:t>
      </w:r>
    </w:p>
    <w:p w14:paraId="2EFD6413" w14:textId="77777777" w:rsidR="00F80C33" w:rsidRDefault="00723BFB">
      <w:pPr>
        <w:pStyle w:val="List2"/>
        <w:ind w:left="720" w:firstLine="720"/>
        <w:rPr>
          <w:szCs w:val="24"/>
        </w:rPr>
      </w:pPr>
      <w:r>
        <w:rPr>
          <w:szCs w:val="24"/>
        </w:rPr>
        <w:t>(ii)</w:t>
      </w:r>
      <w:r>
        <w:rPr>
          <w:szCs w:val="24"/>
        </w:rPr>
        <w:tab/>
        <w:t>The costs from the PPA.</w:t>
      </w:r>
    </w:p>
    <w:p w14:paraId="49F4EC24" w14:textId="77777777" w:rsidR="00F80C33" w:rsidRDefault="00723BFB">
      <w:pPr>
        <w:pStyle w:val="List2"/>
        <w:rPr>
          <w:szCs w:val="24"/>
        </w:rPr>
      </w:pPr>
      <w:r>
        <w:rPr>
          <w:szCs w:val="24"/>
        </w:rPr>
        <w:t>(e)</w:t>
      </w:r>
      <w:r>
        <w:rPr>
          <w:szCs w:val="24"/>
        </w:rPr>
        <w:tab/>
        <w:t>ERCOT shall use the Resource actual fuel costs submitted by the QSE for startup and operation at minimum</w:t>
      </w:r>
      <w:r w:rsidR="00816C8E">
        <w:rPr>
          <w:szCs w:val="24"/>
        </w:rPr>
        <w:t>-</w:t>
      </w:r>
      <w:r>
        <w:rPr>
          <w:szCs w:val="24"/>
        </w:rPr>
        <w:t xml:space="preserve">energy level (LSL), and shall use the Resource Category Startup Offer Generic Costs as the cap for the O&amp;M portion of the </w:t>
      </w:r>
      <w:r w:rsidR="00816C8E">
        <w:rPr>
          <w:szCs w:val="24"/>
        </w:rPr>
        <w:t>S</w:t>
      </w:r>
      <w:r>
        <w:rPr>
          <w:szCs w:val="24"/>
        </w:rPr>
        <w:t xml:space="preserve">tartup </w:t>
      </w:r>
      <w:r w:rsidR="00816C8E">
        <w:rPr>
          <w:szCs w:val="24"/>
        </w:rPr>
        <w:t>C</w:t>
      </w:r>
      <w:r>
        <w:rPr>
          <w:szCs w:val="24"/>
        </w:rPr>
        <w:t xml:space="preserve">osts until ERCOT receives and approves comparable Resource specific verifiable costs.  </w:t>
      </w:r>
    </w:p>
    <w:p w14:paraId="5414069B" w14:textId="77777777" w:rsidR="00F80C33" w:rsidRDefault="00723BFB">
      <w:pPr>
        <w:pStyle w:val="List2"/>
      </w:pPr>
      <w:r>
        <w:t>(f)</w:t>
      </w:r>
      <w:r>
        <w:tab/>
      </w:r>
      <w:r>
        <w:rPr>
          <w:szCs w:val="24"/>
        </w:rPr>
        <w:t>PPAs</w:t>
      </w:r>
      <w:r>
        <w:t xml:space="preserve"> will no longer be accepted as verifiable cost documentation after the primary term of the contract expires. </w:t>
      </w:r>
    </w:p>
    <w:p w14:paraId="1F4E46DF" w14:textId="77777777" w:rsidR="00F80C33" w:rsidRDefault="00723BFB">
      <w:pPr>
        <w:pStyle w:val="List2"/>
      </w:pPr>
      <w:r>
        <w:t>(g)</w:t>
      </w:r>
      <w:r>
        <w:tab/>
      </w:r>
      <w:r>
        <w:rPr>
          <w:szCs w:val="24"/>
        </w:rPr>
        <w:t>ERCOT</w:t>
      </w:r>
      <w:r>
        <w:t xml:space="preserve"> shall produce a report each April that provides the percentage of RUC </w:t>
      </w:r>
      <w:r w:rsidR="00816C8E">
        <w:t>M</w:t>
      </w:r>
      <w:r>
        <w:t>ake-</w:t>
      </w:r>
      <w:r w:rsidR="00816C8E">
        <w:t>W</w:t>
      </w:r>
      <w:r>
        <w:t xml:space="preserve">hole </w:t>
      </w:r>
      <w:r w:rsidR="00816C8E">
        <w:t>P</w:t>
      </w:r>
      <w:r>
        <w:t xml:space="preserve">ayments for Resources with PPAs during the 12 months of the previous calendar year.  </w:t>
      </w:r>
      <w:r w:rsidR="00E60247">
        <w:t xml:space="preserve">If there are no Make-Whole Payments for Resources with PPAs, ERCOT shall not produce the annual report.  </w:t>
      </w:r>
      <w:r>
        <w:t xml:space="preserve">The report shall be based on the </w:t>
      </w:r>
      <w:r w:rsidR="00816C8E">
        <w:t>f</w:t>
      </w:r>
      <w:r>
        <w:t>inal Settlements and include the total number of Resources that used a PPA for their most recent verifiable cost submission that was approved by ERCOT.  ERCOT shall present the results of this study to the appropriate Technical Advisory Committee (TAC) subcommittee.</w:t>
      </w:r>
    </w:p>
    <w:p w14:paraId="19019555" w14:textId="77777777" w:rsidR="00F80C33" w:rsidRDefault="00723BFB">
      <w:pPr>
        <w:pStyle w:val="List2"/>
      </w:pPr>
      <w:r>
        <w:t>(h)</w:t>
      </w:r>
      <w:r>
        <w:tab/>
      </w:r>
      <w:r>
        <w:rPr>
          <w:szCs w:val="24"/>
        </w:rPr>
        <w:t>Notwithstanding</w:t>
      </w:r>
      <w:r>
        <w:t xml:space="preserve"> anything to the contrary in this Section 5.6.1, QSEs representing PPAs may, at any time, submit data from a Resource as verifiable costs documentation and such documentation will be accepted for consideration by ERCOT.  A QSE submitting verifiable costs documentation pursuant to this paragraph shall not be required to submit a PPA to ERCOT for consideration for verifiable cost recovery</w:t>
      </w:r>
      <w:r>
        <w:rPr>
          <w:color w:val="0000FF"/>
        </w:rPr>
        <w:t>.</w:t>
      </w:r>
    </w:p>
    <w:p w14:paraId="6CCA99D2" w14:textId="77777777" w:rsidR="00F80C33" w:rsidRDefault="00723BFB">
      <w:pPr>
        <w:pStyle w:val="BodyTextNumberedChar"/>
      </w:pPr>
      <w:r>
        <w:t>(</w:t>
      </w:r>
      <w:r w:rsidR="00B00195">
        <w:t>9</w:t>
      </w:r>
      <w:r>
        <w:t>)</w:t>
      </w:r>
      <w:r>
        <w:tab/>
        <w:t xml:space="preserve">ERCOT shall notify a QSE to update verifiable cost data of a Resource when the Resource has received more than 50 RUC instructions meeting the criteria in Section 5.6.2, RUC Startup Cost Eligibility, in a year, but ERCOT may not request an update more frequently than annually. </w:t>
      </w:r>
    </w:p>
    <w:p w14:paraId="337BF31E" w14:textId="77777777" w:rsidR="00F80C33" w:rsidRDefault="00723BFB">
      <w:pPr>
        <w:pStyle w:val="BodyTextNumberedChar"/>
      </w:pPr>
      <w:r>
        <w:t>(</w:t>
      </w:r>
      <w:r w:rsidR="00816C8E">
        <w:t>1</w:t>
      </w:r>
      <w:r w:rsidR="00B00195">
        <w:t>0</w:t>
      </w:r>
      <w:r>
        <w:t>)</w:t>
      </w:r>
      <w:r>
        <w:tab/>
        <w:t xml:space="preserve">ERCOT shall notify a QSE to update verifiable cost data of a Resource if at least five years have passed since ERCOT previously approved verifiable cost data for that Resource. </w:t>
      </w:r>
    </w:p>
    <w:p w14:paraId="352A9A0B" w14:textId="04E60AFD" w:rsidR="00F80C33" w:rsidRDefault="00723BFB" w:rsidP="004F4F0E">
      <w:pPr>
        <w:pStyle w:val="BodyTextNumberedChar"/>
      </w:pPr>
      <w:r>
        <w:t>(</w:t>
      </w:r>
      <w:r w:rsidR="00816C8E">
        <w:t>1</w:t>
      </w:r>
      <w:r w:rsidR="00B00195">
        <w:t>1</w:t>
      </w:r>
      <w:r>
        <w:t>)</w:t>
      </w:r>
      <w:r>
        <w:tab/>
        <w:t xml:space="preserve">Within 30 days after receiving an update </w:t>
      </w:r>
      <w:r w:rsidR="00745D50">
        <w:t>N</w:t>
      </w:r>
      <w:r>
        <w:t xml:space="preserve">otice from ERCOT under </w:t>
      </w:r>
      <w:r w:rsidR="001E08CC">
        <w:t xml:space="preserve">either </w:t>
      </w:r>
      <w:r w:rsidR="00816C8E">
        <w:t xml:space="preserve">paragraph </w:t>
      </w:r>
      <w:r>
        <w:t>(</w:t>
      </w:r>
      <w:r w:rsidR="00B00195">
        <w:t>9</w:t>
      </w:r>
      <w:r>
        <w:t>) or (</w:t>
      </w:r>
      <w:r w:rsidR="00816C8E">
        <w:t>1</w:t>
      </w:r>
      <w:r w:rsidR="00B00195">
        <w:t>0</w:t>
      </w:r>
      <w:r>
        <w:t xml:space="preserve">) above, a QSE </w:t>
      </w:r>
      <w:r w:rsidR="00B76CE6">
        <w:t xml:space="preserve">or Resource Entity </w:t>
      </w:r>
      <w:r>
        <w:t xml:space="preserve">must submit verifiable cost data for the </w:t>
      </w:r>
      <w:r>
        <w:lastRenderedPageBreak/>
        <w:t xml:space="preserve">Resource.  Despite the provisions in </w:t>
      </w:r>
      <w:r w:rsidR="00816C8E">
        <w:t xml:space="preserve">paragraph </w:t>
      </w:r>
      <w:r>
        <w:t>(</w:t>
      </w:r>
      <w:r w:rsidR="00CD5631">
        <w:t>2</w:t>
      </w:r>
      <w:r>
        <w:t xml:space="preserve">) above, if the QSE </w:t>
      </w:r>
      <w:r w:rsidR="00B76CE6">
        <w:t xml:space="preserve">or Resource Entity </w:t>
      </w:r>
      <w:r>
        <w:t xml:space="preserve">does not submit verifiable cost data within 30 days after receiving an update </w:t>
      </w:r>
      <w:r w:rsidR="00745D50">
        <w:t>N</w:t>
      </w:r>
      <w:r>
        <w:t xml:space="preserve">otice, then ERCOT shall determine payment using the Resource Category Startup </w:t>
      </w:r>
      <w:r w:rsidR="00D4756C">
        <w:t xml:space="preserve">Offer </w:t>
      </w:r>
      <w:r>
        <w:t>Generic</w:t>
      </w:r>
      <w:r w:rsidR="00D4756C">
        <w:t xml:space="preserve"> Cap,</w:t>
      </w:r>
      <w:r>
        <w:t xml:space="preserve"> Resource Category Minimum-Energy</w:t>
      </w:r>
      <w:r w:rsidR="00D4756C">
        <w:t xml:space="preserve"> Offer</w:t>
      </w:r>
      <w:r>
        <w:t xml:space="preserve"> Generic Cap</w:t>
      </w:r>
      <w:r w:rsidR="00D4756C">
        <w:t>,</w:t>
      </w:r>
      <w:r>
        <w:t xml:space="preserve"> and</w:t>
      </w:r>
      <w:r w:rsidR="00D4756C">
        <w:t xml:space="preserve"> a zeroed value for </w:t>
      </w:r>
      <w:r w:rsidR="00D4756C" w:rsidRPr="00E82FDD">
        <w:t xml:space="preserve">variable </w:t>
      </w:r>
      <w:r w:rsidR="00D4756C">
        <w:t>O&amp;M</w:t>
      </w:r>
      <w:r w:rsidR="00D4756C" w:rsidRPr="00E82FDD">
        <w:t xml:space="preserve"> </w:t>
      </w:r>
      <w:r w:rsidR="00533E48">
        <w:t>c</w:t>
      </w:r>
      <w:r w:rsidR="00D4756C" w:rsidRPr="00E82FDD">
        <w:t>ost</w:t>
      </w:r>
      <w:r w:rsidR="00D4756C">
        <w:t xml:space="preserve"> as described in Section 4.4.9.4.1, Mitigated Offer Cap, in accordance with the schedule established in this section until updated verifiable costs are approved.  If the 30-day deadline has been reached before the start of the tenth day before the end of the month, the Resource’s verifiable costs will </w:t>
      </w:r>
      <w:proofErr w:type="gramStart"/>
      <w:r w:rsidR="00D4756C">
        <w:t>revert back</w:t>
      </w:r>
      <w:proofErr w:type="gramEnd"/>
      <w:r w:rsidR="00D4756C">
        <w:t xml:space="preserve"> to generic costs beginning on the first day of the following month.  If the 30-day deadline falls within the last ten days of the month, the Resource’s verifiable costs will </w:t>
      </w:r>
      <w:proofErr w:type="gramStart"/>
      <w:r w:rsidR="00D4756C">
        <w:t>revert back</w:t>
      </w:r>
      <w:proofErr w:type="gramEnd"/>
      <w:r w:rsidR="00D4756C">
        <w:t xml:space="preserve"> to generic costs on the first day of the second month following the deadline month.</w:t>
      </w:r>
    </w:p>
    <w:p w14:paraId="117EC45F" w14:textId="47402C74" w:rsidR="009644C1" w:rsidRDefault="009644C1" w:rsidP="004F4F0E">
      <w:pPr>
        <w:pStyle w:val="BodyTextNumberedChar"/>
      </w:pPr>
      <w:r>
        <w:t xml:space="preserve">(12) </w:t>
      </w:r>
      <w:r>
        <w:tab/>
        <w:t>Notwithstanding the foregoing, QSEs and Resource Entities shall not submit verifiable costs for Energy Storage Resources (ESRs).</w:t>
      </w:r>
    </w:p>
    <w:p w14:paraId="743AC616" w14:textId="77777777" w:rsidR="00F80C33" w:rsidRDefault="00723BFB" w:rsidP="00D47EED">
      <w:pPr>
        <w:pStyle w:val="H4"/>
        <w:ind w:left="1267" w:hanging="1267"/>
      </w:pPr>
      <w:bookmarkStart w:id="138" w:name="_Toc88017252"/>
      <w:bookmarkStart w:id="139" w:name="_Toc101091051"/>
      <w:bookmarkStart w:id="140" w:name="_Toc400547180"/>
      <w:bookmarkStart w:id="141" w:name="_Toc405384285"/>
      <w:bookmarkStart w:id="142" w:name="_Toc405543552"/>
      <w:bookmarkStart w:id="143" w:name="_Toc428178061"/>
      <w:bookmarkStart w:id="144" w:name="_Toc440872692"/>
      <w:bookmarkStart w:id="145" w:name="_Toc458766237"/>
      <w:bookmarkStart w:id="146" w:name="_Toc459292642"/>
      <w:bookmarkStart w:id="147" w:name="_Toc60038345"/>
      <w:r>
        <w:t>5.6.1.1</w:t>
      </w:r>
      <w:r>
        <w:tab/>
        <w:t>Verifiable Startup Costs</w:t>
      </w:r>
      <w:bookmarkEnd w:id="138"/>
      <w:bookmarkEnd w:id="139"/>
      <w:bookmarkEnd w:id="140"/>
      <w:bookmarkEnd w:id="141"/>
      <w:bookmarkEnd w:id="142"/>
      <w:bookmarkEnd w:id="143"/>
      <w:bookmarkEnd w:id="144"/>
      <w:bookmarkEnd w:id="145"/>
      <w:bookmarkEnd w:id="146"/>
      <w:bookmarkEnd w:id="147"/>
    </w:p>
    <w:p w14:paraId="0DCE25F8" w14:textId="77777777" w:rsidR="00F80C33" w:rsidRDefault="001609AC" w:rsidP="00083F9B">
      <w:pPr>
        <w:pStyle w:val="BodyTextNumberedChar"/>
      </w:pPr>
      <w:r>
        <w:t>(1)</w:t>
      </w:r>
      <w:r>
        <w:tab/>
      </w:r>
      <w:r w:rsidR="00723BFB">
        <w:t xml:space="preserve">The unit-specific verifiable costs for starting a Resource for each cold, intermediate, and hot start condition, as determined using the data submitted under Section 5.6.1, Verifiable Costs, and the Resource Parameters for the Resource are: </w:t>
      </w:r>
    </w:p>
    <w:p w14:paraId="389344D4" w14:textId="77777777" w:rsidR="00F80C33" w:rsidRDefault="00723BFB">
      <w:pPr>
        <w:pStyle w:val="List2"/>
      </w:pPr>
      <w:r>
        <w:t xml:space="preserve">(a) </w:t>
      </w:r>
      <w:r>
        <w:tab/>
        <w:t>Actual fuel consumption rate per start (MMBtu/start) multiplied by a resource fuel price</w:t>
      </w:r>
      <w:r w:rsidR="00213629">
        <w:t xml:space="preserve"> plus consideration of a fuel adder that compensates for the transportation and purchasing of spot fuel</w:t>
      </w:r>
      <w:r>
        <w:t xml:space="preserve"> </w:t>
      </w:r>
      <w:r w:rsidR="009D0949">
        <w:t>as described in the Verifiable Cost Manual</w:t>
      </w:r>
      <w:r>
        <w:t>;</w:t>
      </w:r>
      <w:r w:rsidR="00B76947">
        <w:t xml:space="preserve"> and</w:t>
      </w:r>
    </w:p>
    <w:p w14:paraId="04C45987" w14:textId="77777777" w:rsidR="00806301" w:rsidRDefault="00723BFB">
      <w:pPr>
        <w:pStyle w:val="List2"/>
      </w:pPr>
      <w:r>
        <w:t xml:space="preserve">(b) </w:t>
      </w:r>
      <w:r>
        <w:tab/>
        <w:t xml:space="preserve">Unit-specific verifiable </w:t>
      </w:r>
      <w:r w:rsidR="00816C8E">
        <w:t>or standard O&amp;M</w:t>
      </w:r>
      <w:r>
        <w:t xml:space="preserve"> expenses</w:t>
      </w:r>
      <w:r w:rsidR="00B76947">
        <w:t>.</w:t>
      </w:r>
    </w:p>
    <w:p w14:paraId="7BAB41B8" w14:textId="77777777" w:rsidR="00F80C33" w:rsidRDefault="00723BFB">
      <w:pPr>
        <w:pStyle w:val="H4"/>
      </w:pPr>
      <w:bookmarkStart w:id="148" w:name="_Toc101091052"/>
      <w:bookmarkStart w:id="149" w:name="_Toc400547181"/>
      <w:bookmarkStart w:id="150" w:name="_Toc405384286"/>
      <w:bookmarkStart w:id="151" w:name="_Toc405543553"/>
      <w:bookmarkStart w:id="152" w:name="_Toc428178062"/>
      <w:bookmarkStart w:id="153" w:name="_Toc440872693"/>
      <w:bookmarkStart w:id="154" w:name="_Toc458766238"/>
      <w:bookmarkStart w:id="155" w:name="_Toc459292643"/>
      <w:bookmarkStart w:id="156" w:name="_Toc60038346"/>
      <w:bookmarkStart w:id="157" w:name="_Toc88017253"/>
      <w:r>
        <w:t>5.6.1.2</w:t>
      </w:r>
      <w:r>
        <w:tab/>
        <w:t>Verifiable Minimum-Energy Costs</w:t>
      </w:r>
      <w:bookmarkEnd w:id="148"/>
      <w:bookmarkEnd w:id="149"/>
      <w:bookmarkEnd w:id="150"/>
      <w:bookmarkEnd w:id="151"/>
      <w:bookmarkEnd w:id="152"/>
      <w:bookmarkEnd w:id="153"/>
      <w:bookmarkEnd w:id="154"/>
      <w:bookmarkEnd w:id="155"/>
      <w:bookmarkEnd w:id="156"/>
      <w:r>
        <w:t xml:space="preserve"> </w:t>
      </w:r>
      <w:bookmarkEnd w:id="157"/>
    </w:p>
    <w:p w14:paraId="74051A17" w14:textId="77777777" w:rsidR="00F80C33" w:rsidRDefault="00723BFB">
      <w:pPr>
        <w:pStyle w:val="BodyTextNumberedChar"/>
      </w:pPr>
      <w:r>
        <w:t>(1)</w:t>
      </w:r>
      <w:r>
        <w:tab/>
        <w:t xml:space="preserve">The unit-specific verifiable minimum-energy costs for a Resource are: </w:t>
      </w:r>
    </w:p>
    <w:p w14:paraId="02C6D414" w14:textId="77777777" w:rsidR="00F80C33" w:rsidRDefault="00723BFB">
      <w:pPr>
        <w:pStyle w:val="List2"/>
      </w:pPr>
      <w:r>
        <w:t>(a)</w:t>
      </w:r>
      <w:r>
        <w:tab/>
        <w:t>Actual fuel cost to operate the unit at its LSL</w:t>
      </w:r>
      <w:r w:rsidR="00213629">
        <w:t xml:space="preserve"> including a fuel adder that compensates for the transportation and purchasing of spot fuel as described in the Verifiable Cost Manual</w:t>
      </w:r>
      <w:r>
        <w:t>; plus</w:t>
      </w:r>
    </w:p>
    <w:p w14:paraId="20C2B026" w14:textId="77777777" w:rsidR="00F80C33" w:rsidRDefault="00723BFB">
      <w:pPr>
        <w:pStyle w:val="List2"/>
      </w:pPr>
      <w:r>
        <w:t>(b)</w:t>
      </w:r>
      <w:r>
        <w:tab/>
      </w:r>
      <w:r w:rsidR="00816C8E">
        <w:t>Verifiable or standard v</w:t>
      </w:r>
      <w:r>
        <w:t xml:space="preserve">ariable </w:t>
      </w:r>
      <w:r w:rsidR="00816C8E">
        <w:t>O&amp;M</w:t>
      </w:r>
      <w:r>
        <w:t xml:space="preserve"> expenses</w:t>
      </w:r>
      <w:r w:rsidR="00B76947">
        <w:t>.</w:t>
      </w:r>
    </w:p>
    <w:p w14:paraId="67EC7414" w14:textId="77777777" w:rsidR="00F80C33" w:rsidRDefault="00723BFB">
      <w:pPr>
        <w:pStyle w:val="BodyTextNumberedChar"/>
      </w:pPr>
      <w:r>
        <w:t>(2)</w:t>
      </w:r>
      <w:r>
        <w:tab/>
        <w:t xml:space="preserve">The QSE must submit the Resource’s cost information by </w:t>
      </w:r>
      <w:r w:rsidR="003A0999">
        <w:t>S</w:t>
      </w:r>
      <w:r>
        <w:t xml:space="preserve">eason if the Resource’s costs vary by </w:t>
      </w:r>
      <w:r w:rsidR="003A0999">
        <w:t>S</w:t>
      </w:r>
      <w:r>
        <w:t xml:space="preserve">eason.  For gas-fired units, the actual fuel costs must be calculated using the actual </w:t>
      </w:r>
      <w:r w:rsidR="003A0999">
        <w:t>S</w:t>
      </w:r>
      <w:r>
        <w:t xml:space="preserve">easonal heat rate (which must be supplied to ERCOT with </w:t>
      </w:r>
      <w:r w:rsidR="003A0999">
        <w:t>S</w:t>
      </w:r>
      <w:r>
        <w:t xml:space="preserve">easonal heat-rate test data) multiplied by the </w:t>
      </w:r>
      <w:r w:rsidR="00884414">
        <w:t>fuel price</w:t>
      </w:r>
      <w:r w:rsidR="00213629">
        <w:t xml:space="preserve"> plus consideration of a fuel adder that compensates for the transportation and purchasing of spot fuel </w:t>
      </w:r>
      <w:r w:rsidR="00B752D1">
        <w:t xml:space="preserve">as described in the Verifiable Cost Manual.  </w:t>
      </w:r>
      <w:r>
        <w:t xml:space="preserve">For coal- and lignite-fired units, the actual fuel costs must be calculated using the actual </w:t>
      </w:r>
      <w:r w:rsidR="003A0999">
        <w:t>S</w:t>
      </w:r>
      <w:r>
        <w:t>easonal heat rate multiplied by a deemed fuel price of $1.50 per MMBtu.  For fuel oil-fired operations, the number of gallons burned must be multiplied by the FOP.</w:t>
      </w:r>
    </w:p>
    <w:p w14:paraId="752DFEAD" w14:textId="77777777" w:rsidR="00F80C33" w:rsidRPr="000B7479" w:rsidRDefault="00723BFB">
      <w:pPr>
        <w:pStyle w:val="H3"/>
        <w:rPr>
          <w:b/>
          <w:i/>
        </w:rPr>
      </w:pPr>
      <w:bookmarkStart w:id="158" w:name="_Toc101091053"/>
      <w:bookmarkStart w:id="159" w:name="_Toc400547182"/>
      <w:bookmarkStart w:id="160" w:name="_Toc405384287"/>
      <w:bookmarkStart w:id="161" w:name="_Toc405543554"/>
      <w:bookmarkStart w:id="162" w:name="_Toc428178063"/>
      <w:bookmarkStart w:id="163" w:name="_Toc440872694"/>
      <w:bookmarkStart w:id="164" w:name="_Toc458766239"/>
      <w:bookmarkStart w:id="165" w:name="_Toc459292644"/>
      <w:bookmarkStart w:id="166" w:name="_Toc60038347"/>
      <w:r w:rsidRPr="000B7479">
        <w:rPr>
          <w:b/>
          <w:i/>
        </w:rPr>
        <w:lastRenderedPageBreak/>
        <w:t>5.6.2</w:t>
      </w:r>
      <w:r w:rsidRPr="000B7479">
        <w:rPr>
          <w:b/>
          <w:i/>
        </w:rPr>
        <w:tab/>
        <w:t>RUC Startup Cost Eligibility</w:t>
      </w:r>
      <w:bookmarkEnd w:id="158"/>
      <w:bookmarkEnd w:id="159"/>
      <w:bookmarkEnd w:id="160"/>
      <w:bookmarkEnd w:id="161"/>
      <w:bookmarkEnd w:id="162"/>
      <w:bookmarkEnd w:id="163"/>
      <w:bookmarkEnd w:id="164"/>
      <w:bookmarkEnd w:id="165"/>
      <w:bookmarkEnd w:id="166"/>
    </w:p>
    <w:p w14:paraId="009023C5" w14:textId="77777777" w:rsidR="00F80C33" w:rsidRDefault="00723BFB">
      <w:pPr>
        <w:pStyle w:val="BodyTextNumberedChar"/>
      </w:pPr>
      <w:r>
        <w:t>(1)</w:t>
      </w:r>
      <w:r>
        <w:tab/>
        <w:t>For purposes of this Section 5.6.2, all contiguous RUC-Committed Hours are considered as one RUC instruction.  For each Resource, only one Startup Cost is eligible per block of contiguous RUC-Committed Hours.</w:t>
      </w:r>
    </w:p>
    <w:p w14:paraId="34B8E5DA" w14:textId="77777777" w:rsidR="00F80C33" w:rsidRDefault="00723BFB">
      <w:pPr>
        <w:pStyle w:val="BodyTextNumberedChar"/>
      </w:pPr>
      <w:r>
        <w:t>(2)</w:t>
      </w:r>
      <w:r>
        <w:tab/>
        <w:t xml:space="preserve">For a Resource’s Startup Costs in the Operating Day, per RUC instruction, to be included in the calculation of the RUC guarantee for that Operating Day, all the criteria below must be met: </w:t>
      </w:r>
    </w:p>
    <w:p w14:paraId="3456B942" w14:textId="77777777" w:rsidR="00F80C33" w:rsidRDefault="00723BFB">
      <w:pPr>
        <w:pStyle w:val="List2"/>
      </w:pPr>
      <w:r>
        <w:t>(a)</w:t>
      </w:r>
      <w:r>
        <w:tab/>
      </w:r>
      <w:r w:rsidR="00591169">
        <w:t xml:space="preserve">According to </w:t>
      </w:r>
      <w:r w:rsidR="003A03B4">
        <w:t xml:space="preserve">the </w:t>
      </w:r>
      <w:r w:rsidR="00591169">
        <w:t>Current Operati</w:t>
      </w:r>
      <w:r w:rsidR="003A03B4">
        <w:t>ng</w:t>
      </w:r>
      <w:r w:rsidR="00591169">
        <w:t xml:space="preserve"> Plan (COP) and Trades Snapshot for the</w:t>
      </w:r>
      <w:r>
        <w:t xml:space="preserve"> RUC</w:t>
      </w:r>
      <w:r w:rsidR="00591169">
        <w:t xml:space="preserve"> process that committed the Resource</w:t>
      </w:r>
      <w:r>
        <w:t>, the Resource must not be QSE-committed in the Settlement Interval immediately before the designated start hour or after the last hour of the RUC instruction;</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A77605" w:rsidRPr="004B32CF" w14:paraId="6F3A54A4" w14:textId="77777777" w:rsidTr="00300C4D">
        <w:trPr>
          <w:trHeight w:val="566"/>
        </w:trPr>
        <w:tc>
          <w:tcPr>
            <w:tcW w:w="9350" w:type="dxa"/>
            <w:shd w:val="pct12" w:color="auto" w:fill="auto"/>
          </w:tcPr>
          <w:p w14:paraId="5E8EF72D" w14:textId="10A1A8D2" w:rsidR="00A77605" w:rsidRPr="004B32CF" w:rsidRDefault="00A77605" w:rsidP="00FD6A54">
            <w:pPr>
              <w:spacing w:after="240"/>
              <w:rPr>
                <w:b/>
                <w:i/>
                <w:iCs/>
              </w:rPr>
            </w:pPr>
            <w:r w:rsidRPr="004B32CF">
              <w:rPr>
                <w:b/>
                <w:i/>
                <w:iCs/>
              </w:rPr>
              <w:t>[NPR</w:t>
            </w:r>
            <w:r>
              <w:rPr>
                <w:b/>
                <w:i/>
                <w:iCs/>
              </w:rPr>
              <w:t>R1009</w:t>
            </w:r>
            <w:r w:rsidRPr="004B32CF">
              <w:rPr>
                <w:b/>
                <w:i/>
                <w:iCs/>
              </w:rPr>
              <w:t xml:space="preserve">:  Replace </w:t>
            </w:r>
            <w:r>
              <w:rPr>
                <w:b/>
                <w:i/>
                <w:iCs/>
              </w:rPr>
              <w:t>paragraph</w:t>
            </w:r>
            <w:r w:rsidRPr="004B32CF">
              <w:rPr>
                <w:b/>
                <w:i/>
                <w:iCs/>
              </w:rPr>
              <w:t xml:space="preserve"> (</w:t>
            </w:r>
            <w:r>
              <w:rPr>
                <w:b/>
                <w:i/>
                <w:iCs/>
              </w:rPr>
              <w:t>a</w:t>
            </w:r>
            <w:r w:rsidRPr="004B32CF">
              <w:rPr>
                <w:b/>
                <w:i/>
                <w:iCs/>
              </w:rPr>
              <w:t>) above with the following upon system implementation</w:t>
            </w:r>
            <w:r>
              <w:rPr>
                <w:b/>
                <w:i/>
                <w:iCs/>
              </w:rPr>
              <w:t xml:space="preserve"> of the Real-Time Co-Optimization (RTC) project</w:t>
            </w:r>
            <w:r w:rsidRPr="004B32CF">
              <w:rPr>
                <w:b/>
                <w:i/>
                <w:iCs/>
              </w:rPr>
              <w:t>:]</w:t>
            </w:r>
          </w:p>
          <w:p w14:paraId="2DAD5FA0" w14:textId="5F1A0373" w:rsidR="00A77605" w:rsidRPr="00FA3373" w:rsidRDefault="00A77605" w:rsidP="00A77605">
            <w:pPr>
              <w:spacing w:after="240"/>
              <w:ind w:left="1440" w:hanging="720"/>
            </w:pPr>
            <w:r w:rsidRPr="003166ED">
              <w:t>(a)</w:t>
            </w:r>
            <w:r w:rsidRPr="003166ED">
              <w:tab/>
              <w:t xml:space="preserve">According to the </w:t>
            </w:r>
            <w:r>
              <w:t>RUC S</w:t>
            </w:r>
            <w:r w:rsidRPr="003166ED">
              <w:t>napshot for the RUC process that committed the Resource, the Resource must not be QSE-committed in the Settlement Interval immediately before the designated start hour or after the la</w:t>
            </w:r>
            <w:r>
              <w:t>st hour of the RUC instruction;</w:t>
            </w:r>
          </w:p>
        </w:tc>
      </w:tr>
    </w:tbl>
    <w:p w14:paraId="7E0DEEE1" w14:textId="17995D46" w:rsidR="00F80C33" w:rsidRDefault="00723BFB" w:rsidP="00300C4D">
      <w:pPr>
        <w:pStyle w:val="List2"/>
        <w:spacing w:before="240"/>
      </w:pPr>
      <w:r>
        <w:t>(b)</w:t>
      </w:r>
      <w:r>
        <w:tab/>
        <w:t>A later RUC instruction or QSE commitment must not connect the designated start hour or last hour of the RUC instruction to a block of QSE-committed Intervals that was QSE-committed before the RUC instruction was given</w:t>
      </w:r>
      <w:r w:rsidR="00591169">
        <w:t>, according to the COP and Trades Snapshot for the RUC process that committed the Resource</w:t>
      </w:r>
      <w:r>
        <w:t>;</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A77605" w:rsidRPr="004B32CF" w14:paraId="76CD4AD6" w14:textId="77777777" w:rsidTr="00FD6A54">
        <w:trPr>
          <w:trHeight w:val="566"/>
        </w:trPr>
        <w:tc>
          <w:tcPr>
            <w:tcW w:w="9350" w:type="dxa"/>
            <w:shd w:val="pct12" w:color="auto" w:fill="auto"/>
          </w:tcPr>
          <w:p w14:paraId="0AC8069D" w14:textId="3C0C1B67" w:rsidR="00A77605" w:rsidRPr="004B32CF" w:rsidRDefault="00A77605" w:rsidP="00FD6A54">
            <w:pPr>
              <w:spacing w:after="240"/>
              <w:rPr>
                <w:b/>
                <w:i/>
                <w:iCs/>
              </w:rPr>
            </w:pPr>
            <w:r w:rsidRPr="004B32CF">
              <w:rPr>
                <w:b/>
                <w:i/>
                <w:iCs/>
              </w:rPr>
              <w:t>[NPR</w:t>
            </w:r>
            <w:r>
              <w:rPr>
                <w:b/>
                <w:i/>
                <w:iCs/>
              </w:rPr>
              <w:t>R1009</w:t>
            </w:r>
            <w:r w:rsidRPr="004B32CF">
              <w:rPr>
                <w:b/>
                <w:i/>
                <w:iCs/>
              </w:rPr>
              <w:t xml:space="preserve">:  Replace </w:t>
            </w:r>
            <w:r>
              <w:rPr>
                <w:b/>
                <w:i/>
                <w:iCs/>
              </w:rPr>
              <w:t>paragraph</w:t>
            </w:r>
            <w:r w:rsidRPr="004B32CF">
              <w:rPr>
                <w:b/>
                <w:i/>
                <w:iCs/>
              </w:rPr>
              <w:t xml:space="preserve"> (</w:t>
            </w:r>
            <w:r>
              <w:rPr>
                <w:b/>
                <w:i/>
                <w:iCs/>
              </w:rPr>
              <w:t>b</w:t>
            </w:r>
            <w:r w:rsidRPr="004B32CF">
              <w:rPr>
                <w:b/>
                <w:i/>
                <w:iCs/>
              </w:rPr>
              <w:t>) above with the following upon system implementation</w:t>
            </w:r>
            <w:r>
              <w:rPr>
                <w:b/>
                <w:i/>
                <w:iCs/>
              </w:rPr>
              <w:t xml:space="preserve"> of the Real-Time Co-Optimization (RTC) project</w:t>
            </w:r>
            <w:r w:rsidRPr="004B32CF">
              <w:rPr>
                <w:b/>
                <w:i/>
                <w:iCs/>
              </w:rPr>
              <w:t>:]</w:t>
            </w:r>
          </w:p>
          <w:p w14:paraId="36B27207" w14:textId="3887DD8D" w:rsidR="00A77605" w:rsidRPr="00FA3373" w:rsidRDefault="00A77605" w:rsidP="00A77605">
            <w:pPr>
              <w:spacing w:after="240"/>
              <w:ind w:left="1440" w:hanging="720"/>
            </w:pPr>
            <w:r w:rsidRPr="003166ED">
              <w:t>(b)</w:t>
            </w:r>
            <w:r w:rsidRPr="003166ED">
              <w:tab/>
              <w:t xml:space="preserve">A later RUC instruction or QSE commitment must not connect the designated start hour or last hour of the RUC instruction to a block of QSE-committed Intervals that was QSE-committed before the RUC instruction was given, according to the </w:t>
            </w:r>
            <w:r>
              <w:t>RUC S</w:t>
            </w:r>
            <w:r w:rsidRPr="003166ED">
              <w:t>napshot for the RUC proce</w:t>
            </w:r>
            <w:r>
              <w:t>ss that committed the Resource;</w:t>
            </w:r>
          </w:p>
        </w:tc>
      </w:tr>
    </w:tbl>
    <w:p w14:paraId="77922462" w14:textId="342467E9" w:rsidR="00F80C33" w:rsidRDefault="00723BFB" w:rsidP="00300C4D">
      <w:pPr>
        <w:pStyle w:val="List2"/>
        <w:spacing w:before="240"/>
      </w:pPr>
      <w:r>
        <w:t>(c)</w:t>
      </w:r>
      <w:r>
        <w:tab/>
        <w:t xml:space="preserve">The generation breakers must have been open, as indicated by a telemetered Resource </w:t>
      </w:r>
      <w:r w:rsidR="008F4077">
        <w:t>S</w:t>
      </w:r>
      <w:r>
        <w:t>tatus of Off-Line, for at least five minutes during the six hours preceding the first RUC-Committed Hour; and</w:t>
      </w:r>
    </w:p>
    <w:p w14:paraId="3C8AC8C0" w14:textId="77777777" w:rsidR="00F80C33" w:rsidRDefault="00723BFB">
      <w:pPr>
        <w:pStyle w:val="List2"/>
      </w:pPr>
      <w:r>
        <w:t>(d)</w:t>
      </w:r>
      <w:r>
        <w:tab/>
        <w:t xml:space="preserve">The generation breakers must have been closed, as indicated by a telemetered Resource </w:t>
      </w:r>
      <w:r w:rsidR="008F4077">
        <w:t>S</w:t>
      </w:r>
      <w:r>
        <w:t xml:space="preserve">tatus of On-Line, for at least one minute during the RUC commitment period or after the determined five-minute open breaker, as indicated by a </w:t>
      </w:r>
      <w:r>
        <w:lastRenderedPageBreak/>
        <w:t xml:space="preserve">telemetered Resource </w:t>
      </w:r>
      <w:r w:rsidR="008F4077">
        <w:t>S</w:t>
      </w:r>
      <w:r>
        <w:t>tatus of Off-Line, in the six hours preceding the first RUC-Committed Hour.</w:t>
      </w:r>
    </w:p>
    <w:p w14:paraId="33443F0C" w14:textId="77777777" w:rsidR="008F4077" w:rsidRDefault="008F4077" w:rsidP="008F4077">
      <w:pPr>
        <w:spacing w:after="240"/>
        <w:ind w:left="720" w:hanging="720"/>
        <w:rPr>
          <w:iCs/>
        </w:rPr>
      </w:pPr>
      <w:r>
        <w:t>(3)</w:t>
      </w:r>
      <w:r>
        <w:tab/>
        <w:t>Notwithstanding paragraphs (2)(c) and (2)(d) above, the QSE of a RUC-committed Resource may submit a Settlement dispute for</w:t>
      </w:r>
      <w:r w:rsidRPr="007236FA">
        <w:t xml:space="preserve"> </w:t>
      </w:r>
      <w:r>
        <w:t xml:space="preserve">a Resource’s Startup Costs in the Operating Day, per RUC instruction, to be included in the calculation of the RUC guarantee for that Operating Day if the startup time for the RUC-committed Resource is greater than six hours.  The dispute is </w:t>
      </w:r>
      <w:r w:rsidRPr="00A4246C">
        <w:rPr>
          <w:iCs/>
        </w:rPr>
        <w:t>subject to verifi</w:t>
      </w:r>
      <w:r>
        <w:rPr>
          <w:iCs/>
        </w:rPr>
        <w:t>cation and approval by ERCOT based on the criteria below:</w:t>
      </w:r>
    </w:p>
    <w:p w14:paraId="5C338C45" w14:textId="77777777" w:rsidR="008F4077" w:rsidRDefault="008F4077" w:rsidP="008F4077">
      <w:pPr>
        <w:pStyle w:val="List2"/>
      </w:pPr>
      <w:r>
        <w:t>(a)</w:t>
      </w:r>
      <w:r>
        <w:tab/>
        <w:t>The generation breakers must have been open, as indicated by a telemetered Resource Status of Off-Line, for at least five minutes between the time the QSE is notified of the RUC instruction and the first RUC-Committed Hour;</w:t>
      </w:r>
    </w:p>
    <w:p w14:paraId="409915E6" w14:textId="77777777" w:rsidR="008F4077" w:rsidRDefault="008F4077" w:rsidP="008F4077">
      <w:pPr>
        <w:pStyle w:val="List2"/>
      </w:pPr>
      <w:r>
        <w:t>(b)</w:t>
      </w:r>
      <w:r>
        <w:tab/>
        <w:t>The generation breakers must have been closed, as indicated by a telemetered Resource Status of On-Line, for at least one minute during the RUC commitment period or after the five-minute open breaker determined in item (a) above;</w:t>
      </w:r>
    </w:p>
    <w:p w14:paraId="4BE9E26F" w14:textId="77777777" w:rsidR="008F4077" w:rsidRDefault="008F4077" w:rsidP="008F4077">
      <w:pPr>
        <w:pStyle w:val="List2"/>
      </w:pPr>
      <w:r>
        <w:t>(c)</w:t>
      </w:r>
      <w:r>
        <w:tab/>
      </w:r>
      <w:r w:rsidRPr="00C770D5">
        <w:t xml:space="preserve">The breaker open-close sequence </w:t>
      </w:r>
      <w:r>
        <w:t xml:space="preserve">from </w:t>
      </w:r>
      <w:r w:rsidRPr="00C770D5">
        <w:t>items (a) and (b) above</w:t>
      </w:r>
      <w:r>
        <w:t xml:space="preserve"> does not make the Resource eligible </w:t>
      </w:r>
      <w:r w:rsidRPr="00C770D5">
        <w:t xml:space="preserve">for </w:t>
      </w:r>
      <w:r>
        <w:t>S</w:t>
      </w:r>
      <w:r w:rsidRPr="00C770D5">
        <w:t xml:space="preserve">tartup </w:t>
      </w:r>
      <w:r>
        <w:t>C</w:t>
      </w:r>
      <w:r w:rsidRPr="00C770D5">
        <w:t xml:space="preserve">ost compensation in the </w:t>
      </w:r>
      <w:r>
        <w:t>Day-Ahead Market (</w:t>
      </w:r>
      <w:r w:rsidRPr="00C770D5">
        <w:t>D</w:t>
      </w:r>
      <w:r>
        <w:t>A</w:t>
      </w:r>
      <w:r w:rsidRPr="00C770D5">
        <w:t>M</w:t>
      </w:r>
      <w:r>
        <w:t>)</w:t>
      </w:r>
      <w:r w:rsidRPr="00C770D5">
        <w:t xml:space="preserve"> or </w:t>
      </w:r>
      <w:r>
        <w:t>for any other contiguous block of RUC-Committed Hours; and</w:t>
      </w:r>
    </w:p>
    <w:p w14:paraId="66A099E8" w14:textId="77777777" w:rsidR="008F4077" w:rsidRDefault="008F4077" w:rsidP="008F4077">
      <w:pPr>
        <w:pStyle w:val="List2"/>
      </w:pPr>
      <w:r>
        <w:t>(d)</w:t>
      </w:r>
      <w:r>
        <w:tab/>
      </w:r>
      <w:r w:rsidRPr="00C770D5">
        <w:t xml:space="preserve">The </w:t>
      </w:r>
      <w:r>
        <w:t>startup time used to process the dispute will be the startup time considered by the ERCOT Operator at the time the RUC instruction was issued.</w:t>
      </w:r>
    </w:p>
    <w:p w14:paraId="3A3D5477" w14:textId="3086BF47" w:rsidR="00C221CE" w:rsidRPr="004B32CF" w:rsidRDefault="00C221CE" w:rsidP="00C221CE">
      <w:pPr>
        <w:spacing w:after="240"/>
        <w:ind w:left="720" w:hanging="720"/>
      </w:pPr>
      <w:bookmarkStart w:id="167" w:name="_Toc74137737"/>
      <w:bookmarkStart w:id="168" w:name="_Toc88017247"/>
      <w:bookmarkStart w:id="169" w:name="_Toc101091054"/>
      <w:bookmarkStart w:id="170" w:name="_Toc400547183"/>
      <w:bookmarkStart w:id="171" w:name="_Toc405384288"/>
      <w:bookmarkStart w:id="172" w:name="_Toc405543555"/>
      <w:bookmarkStart w:id="173" w:name="_Toc428178064"/>
      <w:bookmarkStart w:id="174" w:name="_Toc440872695"/>
      <w:bookmarkStart w:id="175" w:name="_Toc458766240"/>
      <w:bookmarkStart w:id="176" w:name="_Toc459292645"/>
      <w:bookmarkStart w:id="177" w:name="_Toc74113616"/>
      <w:r w:rsidRPr="004B32CF">
        <w:t>(4)</w:t>
      </w:r>
      <w:r w:rsidRPr="004B32CF">
        <w:tab/>
      </w:r>
      <w:r w:rsidR="008A064B" w:rsidRPr="004B32CF">
        <w:t>For purposes of this Section 5.6.2, the telemetered Resource Status of OFFQS shall be considered as Off-Line.</w:t>
      </w:r>
    </w:p>
    <w:p w14:paraId="2CD2E336" w14:textId="77777777" w:rsidR="004D47A6" w:rsidRDefault="00383CF9" w:rsidP="00646994">
      <w:pPr>
        <w:spacing w:after="240"/>
        <w:ind w:left="720" w:hanging="720"/>
        <w:rPr>
          <w:b/>
          <w:i/>
        </w:rPr>
      </w:pPr>
      <w:r>
        <w:t>(5)</w:t>
      </w:r>
      <w:r>
        <w:tab/>
        <w:t>A Resource that has a Three-Part Supply Offer cleared in the DAM and subsequently receives a RUC commitment for the Operating Hour for which it was awarded will be settled in accordance with Section 4.6.2.3, Day-Ahead Make-Whole Settlements.</w:t>
      </w:r>
    </w:p>
    <w:p w14:paraId="31635A12" w14:textId="77777777" w:rsidR="00F80C33" w:rsidRPr="000B7479" w:rsidRDefault="00723BFB" w:rsidP="00646994">
      <w:pPr>
        <w:pStyle w:val="H3"/>
        <w:rPr>
          <w:b/>
          <w:i/>
        </w:rPr>
      </w:pPr>
      <w:bookmarkStart w:id="178" w:name="_Toc60038348"/>
      <w:r w:rsidRPr="000B7479">
        <w:rPr>
          <w:b/>
          <w:i/>
        </w:rPr>
        <w:t>5.6.3</w:t>
      </w:r>
      <w:r w:rsidRPr="000B7479">
        <w:rPr>
          <w:b/>
          <w:i/>
        </w:rPr>
        <w:tab/>
        <w:t>Forced Outage</w:t>
      </w:r>
      <w:bookmarkEnd w:id="167"/>
      <w:r w:rsidRPr="000B7479">
        <w:rPr>
          <w:b/>
          <w:i/>
        </w:rPr>
        <w:t xml:space="preserve"> </w:t>
      </w:r>
      <w:bookmarkEnd w:id="168"/>
      <w:r w:rsidRPr="000B7479">
        <w:rPr>
          <w:b/>
          <w:i/>
        </w:rPr>
        <w:t>of a RUC-Committed Resource</w:t>
      </w:r>
      <w:bookmarkEnd w:id="169"/>
      <w:bookmarkEnd w:id="170"/>
      <w:bookmarkEnd w:id="171"/>
      <w:bookmarkEnd w:id="172"/>
      <w:bookmarkEnd w:id="173"/>
      <w:bookmarkEnd w:id="174"/>
      <w:bookmarkEnd w:id="175"/>
      <w:bookmarkEnd w:id="176"/>
      <w:bookmarkEnd w:id="178"/>
    </w:p>
    <w:bookmarkEnd w:id="177"/>
    <w:p w14:paraId="4B833B02" w14:textId="77777777" w:rsidR="00F80C33" w:rsidRDefault="00723BFB">
      <w:pPr>
        <w:pStyle w:val="BodyTextNumberedChar"/>
      </w:pPr>
      <w:r>
        <w:t>(1)</w:t>
      </w:r>
      <w:r>
        <w:tab/>
        <w:t>The calculation of a Make-Whole Payment for a RUC-committed Resource that is eligible to receive startup costs under Section 5.6.2, RUC Startup Cost Eligibility, and that experiences a Forced Outage after unit synchronization is governed by Section 5.6.2.</w:t>
      </w:r>
    </w:p>
    <w:p w14:paraId="047B86BC" w14:textId="77777777" w:rsidR="00F80C33" w:rsidRDefault="00723BFB" w:rsidP="00D4756C">
      <w:pPr>
        <w:pStyle w:val="BodyTextNumberedChar"/>
      </w:pPr>
      <w:r>
        <w:t>(2)</w:t>
      </w:r>
      <w:r>
        <w:tab/>
        <w:t xml:space="preserve">If a RUC-committed Resource, which Resource is eligible to include startup costs in its RUC guarantee under Section 5.6.2 without considering the criteria in item (2)(d) of Section 5.6.2, experiences startup failure that creates a Forced Outage before breaker close, ERCOT shall include the Resource’s submitted and approved verifiable actual costs in the Resource’s RUC guarantee, limited to the lesser of: </w:t>
      </w:r>
    </w:p>
    <w:p w14:paraId="11EC86F5" w14:textId="77777777" w:rsidR="00F80C33" w:rsidRDefault="00723BFB" w:rsidP="00D4756C">
      <w:pPr>
        <w:pStyle w:val="List2"/>
      </w:pPr>
      <w:r>
        <w:t>(a)</w:t>
      </w:r>
      <w:r>
        <w:tab/>
        <w:t>Costs that qualify as normal startup expenses, including fuel and operation and maintenance expenses, incurred before the event that caused the Forced Outage; or</w:t>
      </w:r>
    </w:p>
    <w:p w14:paraId="3A02225F" w14:textId="77777777" w:rsidR="00F80C33" w:rsidRDefault="00723BFB" w:rsidP="00D4756C">
      <w:pPr>
        <w:pStyle w:val="List2"/>
      </w:pPr>
      <w:r>
        <w:lastRenderedPageBreak/>
        <w:t>(b)</w:t>
      </w:r>
      <w:r>
        <w:tab/>
        <w:t xml:space="preserve">Resource’s Startup Offer in the RUC. </w:t>
      </w:r>
    </w:p>
    <w:p w14:paraId="7EED6748" w14:textId="77777777" w:rsidR="00F80C33" w:rsidRDefault="00723BFB" w:rsidP="00D4756C">
      <w:pPr>
        <w:pStyle w:val="BodyTextNumberedChar"/>
      </w:pPr>
      <w:r>
        <w:t>(3)</w:t>
      </w:r>
      <w:r>
        <w:tab/>
        <w:t xml:space="preserve">The process for determining the verifiable actual costs for a startup attempt under item (2) above </w:t>
      </w:r>
      <w:r w:rsidR="004F2485">
        <w:t>is described in the Verifiable Cost Manual</w:t>
      </w:r>
      <w:r>
        <w:t xml:space="preserve">. </w:t>
      </w:r>
    </w:p>
    <w:p w14:paraId="74A02E03" w14:textId="77777777" w:rsidR="00F80C33" w:rsidRDefault="00723BFB" w:rsidP="00D4756C">
      <w:pPr>
        <w:pStyle w:val="BodyTextNumberedChar"/>
      </w:pPr>
      <w:r>
        <w:t>(4)</w:t>
      </w:r>
      <w:r>
        <w:tab/>
        <w:t>The verifiable actual costs for a startup attempt under item (2) above shall only be included in the Resource’s RUC guarantee upon QSE notification of the startup attempt under item (2) and approval of the verifiable actual costs under item (3) above.</w:t>
      </w:r>
    </w:p>
    <w:p w14:paraId="401228D8" w14:textId="77777777" w:rsidR="00050FE9" w:rsidRPr="000B7479" w:rsidRDefault="00050FE9" w:rsidP="00050FE9">
      <w:pPr>
        <w:pStyle w:val="H3"/>
        <w:rPr>
          <w:b/>
          <w:i/>
        </w:rPr>
      </w:pPr>
      <w:bookmarkStart w:id="179" w:name="_Toc400547184"/>
      <w:bookmarkStart w:id="180" w:name="_Toc405384289"/>
      <w:bookmarkStart w:id="181" w:name="_Toc405543556"/>
      <w:bookmarkStart w:id="182" w:name="_Toc428178065"/>
      <w:bookmarkStart w:id="183" w:name="_Toc440872696"/>
      <w:bookmarkStart w:id="184" w:name="_Toc458766241"/>
      <w:bookmarkStart w:id="185" w:name="_Toc459292646"/>
      <w:bookmarkStart w:id="186" w:name="_Toc60038349"/>
      <w:r w:rsidRPr="000B7479">
        <w:rPr>
          <w:b/>
          <w:i/>
        </w:rPr>
        <w:t>5.6.4</w:t>
      </w:r>
      <w:r w:rsidRPr="000B7479">
        <w:rPr>
          <w:b/>
          <w:i/>
        </w:rPr>
        <w:tab/>
        <w:t xml:space="preserve">Cancellation of a RUC </w:t>
      </w:r>
      <w:r w:rsidR="00C80EA7" w:rsidRPr="000B7479">
        <w:rPr>
          <w:b/>
          <w:i/>
        </w:rPr>
        <w:t>Commitment</w:t>
      </w:r>
      <w:bookmarkEnd w:id="179"/>
      <w:bookmarkEnd w:id="180"/>
      <w:bookmarkEnd w:id="181"/>
      <w:bookmarkEnd w:id="182"/>
      <w:bookmarkEnd w:id="183"/>
      <w:bookmarkEnd w:id="184"/>
      <w:bookmarkEnd w:id="185"/>
      <w:bookmarkEnd w:id="186"/>
    </w:p>
    <w:p w14:paraId="13B5B4C6" w14:textId="77777777" w:rsidR="00E260F3" w:rsidRDefault="00050FE9">
      <w:pPr>
        <w:pStyle w:val="BodyTextNumbered"/>
      </w:pPr>
      <w:bookmarkStart w:id="187" w:name="_Toc229983018"/>
      <w:bookmarkStart w:id="188" w:name="_Toc229983078"/>
      <w:r w:rsidRPr="003B6D66">
        <w:rPr>
          <w:color w:val="000000"/>
        </w:rPr>
        <w:t>(1)</w:t>
      </w:r>
      <w:r w:rsidRPr="003B6D66">
        <w:rPr>
          <w:color w:val="000000"/>
        </w:rPr>
        <w:tab/>
      </w:r>
      <w:r w:rsidRPr="003B6D66">
        <w:t>The</w:t>
      </w:r>
      <w:r w:rsidRPr="00F40FF9">
        <w:rPr>
          <w:color w:val="000000"/>
        </w:rPr>
        <w:t xml:space="preserve"> </w:t>
      </w:r>
      <w:r w:rsidRPr="00021FD9">
        <w:t>calculation of payment for a RUC-committed Resource that is issued a RUC Cancellation instruction for the RUC commitment from ERCOT prior to breaker close shall be paid through the RUC Decommitment Payment as described in Section</w:t>
      </w:r>
      <w:bookmarkStart w:id="189" w:name="_Toc189453911"/>
      <w:r w:rsidRPr="00021FD9">
        <w:t xml:space="preserve"> 5.7.3, Payment When ERCOT Decommits a QSE-Committed Resource</w:t>
      </w:r>
      <w:bookmarkEnd w:id="187"/>
      <w:bookmarkEnd w:id="188"/>
      <w:bookmarkEnd w:id="189"/>
      <w:r w:rsidRPr="00021FD9">
        <w:t xml:space="preserve">. </w:t>
      </w:r>
    </w:p>
    <w:p w14:paraId="3CE4BC4A" w14:textId="77777777" w:rsidR="00E260F3" w:rsidRDefault="00050FE9" w:rsidP="00D4756C">
      <w:pPr>
        <w:pStyle w:val="BodyTextNumbered"/>
      </w:pPr>
      <w:r w:rsidRPr="00021FD9">
        <w:t>(2)</w:t>
      </w:r>
      <w:r w:rsidRPr="00021FD9">
        <w:tab/>
        <w:t>A RUC-committed Resource that receives a RUC Cancellation instruction</w:t>
      </w:r>
      <w:r w:rsidRPr="00F40FF9">
        <w:rPr>
          <w:color w:val="000000"/>
        </w:rPr>
        <w:t xml:space="preserve"> prior to breaker close may submit through the dispute process all incremental expenses associated with the RUC Cancellation of the RUC-</w:t>
      </w:r>
      <w:r>
        <w:rPr>
          <w:color w:val="000000"/>
        </w:rPr>
        <w:t>c</w:t>
      </w:r>
      <w:r w:rsidRPr="00F40FF9">
        <w:rPr>
          <w:color w:val="000000"/>
        </w:rPr>
        <w:t xml:space="preserve">ommitted Resource. </w:t>
      </w:r>
      <w:r>
        <w:rPr>
          <w:color w:val="000000"/>
        </w:rPr>
        <w:t xml:space="preserve"> </w:t>
      </w:r>
      <w:r w:rsidRPr="00F40FF9">
        <w:rPr>
          <w:color w:val="000000"/>
        </w:rPr>
        <w:t xml:space="preserve">These costs include all costs that qualify as normal </w:t>
      </w:r>
      <w:r>
        <w:rPr>
          <w:color w:val="000000"/>
        </w:rPr>
        <w:t>S</w:t>
      </w:r>
      <w:r w:rsidRPr="00F40FF9">
        <w:rPr>
          <w:color w:val="000000"/>
        </w:rPr>
        <w:t xml:space="preserve">tartup </w:t>
      </w:r>
      <w:r>
        <w:rPr>
          <w:color w:val="000000"/>
        </w:rPr>
        <w:t>Costs</w:t>
      </w:r>
      <w:r w:rsidRPr="00F40FF9">
        <w:rPr>
          <w:color w:val="000000"/>
        </w:rPr>
        <w:t xml:space="preserve">, </w:t>
      </w:r>
      <w:r w:rsidR="00C84291">
        <w:rPr>
          <w:color w:val="000000"/>
        </w:rPr>
        <w:t>O&amp;M</w:t>
      </w:r>
      <w:r w:rsidRPr="00F40FF9">
        <w:rPr>
          <w:color w:val="000000"/>
        </w:rPr>
        <w:t xml:space="preserve"> expenses and associated fuel expenses incurred for </w:t>
      </w:r>
      <w:r w:rsidR="004F2485">
        <w:rPr>
          <w:color w:val="000000"/>
        </w:rPr>
        <w:t>any</w:t>
      </w:r>
      <w:r w:rsidRPr="00F40FF9">
        <w:rPr>
          <w:color w:val="000000"/>
        </w:rPr>
        <w:t xml:space="preserve"> attempted start.</w:t>
      </w:r>
    </w:p>
    <w:p w14:paraId="2E182ABE" w14:textId="77777777" w:rsidR="00E260F3" w:rsidRDefault="00050FE9">
      <w:pPr>
        <w:pStyle w:val="BodyTextNumbered"/>
        <w:rPr>
          <w:color w:val="000000"/>
        </w:rPr>
      </w:pPr>
      <w:r w:rsidRPr="00F40FF9">
        <w:rPr>
          <w:color w:val="000000"/>
        </w:rPr>
        <w:t>(3)</w:t>
      </w:r>
      <w:r w:rsidRPr="00F40FF9">
        <w:rPr>
          <w:color w:val="000000"/>
        </w:rPr>
        <w:tab/>
        <w:t xml:space="preserve">The process for determining the verifiable actual costs for a RUC </w:t>
      </w:r>
      <w:r>
        <w:rPr>
          <w:color w:val="000000"/>
        </w:rPr>
        <w:t>c</w:t>
      </w:r>
      <w:r w:rsidRPr="00F40FF9">
        <w:rPr>
          <w:color w:val="000000"/>
        </w:rPr>
        <w:t xml:space="preserve">ancellation </w:t>
      </w:r>
      <w:r w:rsidR="004F2485">
        <w:rPr>
          <w:color w:val="000000"/>
        </w:rPr>
        <w:t>is described in the Verifiable Cost Manual</w:t>
      </w:r>
      <w:r w:rsidRPr="00F40FF9">
        <w:rPr>
          <w:color w:val="000000"/>
        </w:rPr>
        <w:t>.</w:t>
      </w:r>
    </w:p>
    <w:p w14:paraId="6C7CBE2F" w14:textId="77777777" w:rsidR="00D96499" w:rsidRPr="00BE03CB" w:rsidRDefault="00D96499" w:rsidP="00D96499">
      <w:pPr>
        <w:pStyle w:val="H3"/>
        <w:rPr>
          <w:b/>
          <w:i/>
        </w:rPr>
      </w:pPr>
      <w:bookmarkStart w:id="190" w:name="_Toc60038350"/>
      <w:r w:rsidRPr="00BE03CB">
        <w:rPr>
          <w:b/>
          <w:i/>
        </w:rPr>
        <w:t>5.6.5</w:t>
      </w:r>
      <w:r w:rsidRPr="00BE03CB">
        <w:rPr>
          <w:b/>
          <w:i/>
        </w:rPr>
        <w:tab/>
        <w:t>Settlement for Canceled or Delayed Outages for Outage Schedule Adjustments (OSAs)</w:t>
      </w:r>
      <w:bookmarkEnd w:id="190"/>
    </w:p>
    <w:p w14:paraId="08991148" w14:textId="77777777" w:rsidR="00D96499" w:rsidRPr="00BE03CB" w:rsidRDefault="00D96499" w:rsidP="00D96499">
      <w:pPr>
        <w:pStyle w:val="H4"/>
        <w:ind w:left="1267" w:hanging="1267"/>
      </w:pPr>
      <w:bookmarkStart w:id="191" w:name="_Toc60038351"/>
      <w:r w:rsidRPr="00BE03CB">
        <w:t>5.6.5.1</w:t>
      </w:r>
      <w:r w:rsidRPr="00BE03CB">
        <w:tab/>
        <w:t>Make-Whole Payment for Canceled or Delayed Outages for OSAs</w:t>
      </w:r>
      <w:bookmarkEnd w:id="191"/>
    </w:p>
    <w:p w14:paraId="7338A289" w14:textId="3B1C4AF6" w:rsidR="00D96499" w:rsidRPr="00F057BA" w:rsidRDefault="00D96499" w:rsidP="00D96499">
      <w:pPr>
        <w:pStyle w:val="BodyTextNumbered"/>
      </w:pPr>
      <w:r w:rsidRPr="00F057BA">
        <w:t xml:space="preserve">(1) </w:t>
      </w:r>
      <w:r w:rsidRPr="00F057BA">
        <w:tab/>
        <w:t xml:space="preserve">If ERCOT issues an Outage Schedule Adjustment (OSA) pursuant to Section 3.1.4.6, Outage Coordination of Potential Transmission Emergency Conditions, or Section 3.1.6.9, Withdrawal of Approval and Rescheduling of Approved Planned Outages of Resource Facilities, ERCOT shall pay the QSE representing the Resource a Make-Whole Payment as calculated in Section 5.6.5.2, RUC Make-Whole Payment and RUC </w:t>
      </w:r>
      <w:proofErr w:type="spellStart"/>
      <w:r w:rsidRPr="00F057BA">
        <w:t>Clawback</w:t>
      </w:r>
      <w:proofErr w:type="spellEnd"/>
      <w:r w:rsidRPr="00F057BA">
        <w:t xml:space="preserve"> Charge for Resources </w:t>
      </w:r>
      <w:r>
        <w:t>R</w:t>
      </w:r>
      <w:r w:rsidRPr="00F057BA">
        <w:t>eceiving OSAs, if the QSE has:</w:t>
      </w:r>
    </w:p>
    <w:p w14:paraId="5EC0687D" w14:textId="77777777" w:rsidR="00D96499" w:rsidRPr="00F057BA" w:rsidRDefault="00D96499" w:rsidP="00D96499">
      <w:pPr>
        <w:spacing w:after="240"/>
        <w:ind w:left="1440" w:hanging="720"/>
      </w:pPr>
      <w:r w:rsidRPr="00F057BA">
        <w:t>(a)</w:t>
      </w:r>
      <w:r w:rsidRPr="00F057BA">
        <w:tab/>
        <w:t xml:space="preserve">Submitted a Settlement and billing dispute consistent with the dispute process described in Section 9.14, Settlement and Billing Dispute Process; and </w:t>
      </w:r>
    </w:p>
    <w:p w14:paraId="16757408" w14:textId="77777777" w:rsidR="00D96499" w:rsidRPr="00F057BA" w:rsidRDefault="00D96499" w:rsidP="00D96499">
      <w:pPr>
        <w:spacing w:after="240"/>
        <w:ind w:left="1440" w:hanging="720"/>
      </w:pPr>
      <w:r w:rsidRPr="00F057BA">
        <w:t>(b)</w:t>
      </w:r>
      <w:r w:rsidRPr="00F057BA">
        <w:tab/>
        <w:t xml:space="preserve">Submitted the following within 60 days of the issuance of a Real-Time Market (RTM) Initial Statement for an Operating Day on which one or more OSAs was in effect for the Resource: </w:t>
      </w:r>
    </w:p>
    <w:p w14:paraId="32F10A9C" w14:textId="77777777" w:rsidR="00D96499" w:rsidRPr="00F057BA" w:rsidRDefault="00D96499" w:rsidP="00D96499">
      <w:pPr>
        <w:spacing w:after="240"/>
        <w:ind w:left="2160" w:hanging="720"/>
      </w:pPr>
      <w:r w:rsidRPr="00F057BA">
        <w:lastRenderedPageBreak/>
        <w:t>(i)</w:t>
      </w:r>
      <w:r w:rsidRPr="00F057BA">
        <w:tab/>
        <w:t>An attestation signed by an officer or executive with authority to bind the QSE stating that the information contained in the submission is accurate;</w:t>
      </w:r>
    </w:p>
    <w:p w14:paraId="6430C2E2" w14:textId="77777777" w:rsidR="00D96499" w:rsidRPr="00F057BA" w:rsidRDefault="00D96499" w:rsidP="00D96499">
      <w:pPr>
        <w:spacing w:after="240"/>
        <w:ind w:left="2160" w:hanging="720"/>
      </w:pPr>
      <w:r w:rsidRPr="00F057BA">
        <w:t>(ii)</w:t>
      </w:r>
      <w:r w:rsidRPr="00F057BA">
        <w:tab/>
        <w:t>The dollar amount and calculation of the net financial loss, if applicable, by Settlement Interval for:</w:t>
      </w:r>
    </w:p>
    <w:p w14:paraId="3DB14B7E" w14:textId="77777777" w:rsidR="00D96499" w:rsidRPr="00F057BA" w:rsidRDefault="00D96499" w:rsidP="00D96499">
      <w:pPr>
        <w:pStyle w:val="BodyTextNumberedChar"/>
        <w:ind w:left="2880"/>
      </w:pPr>
      <w:r w:rsidRPr="00F057BA">
        <w:t>(A)</w:t>
      </w:r>
      <w:r w:rsidRPr="00F057BA">
        <w:tab/>
        <w:t xml:space="preserve">Actual and indirect costs incurred due to delaying or canceling and rescheduling the Outage.  Such costs include, but are not limited to: </w:t>
      </w:r>
    </w:p>
    <w:p w14:paraId="55A9F01F" w14:textId="77777777" w:rsidR="00D96499" w:rsidRPr="00F057BA" w:rsidRDefault="00D96499" w:rsidP="00D96499">
      <w:pPr>
        <w:pStyle w:val="BodyTextNumberedChar"/>
        <w:ind w:left="3600"/>
      </w:pPr>
      <w:r w:rsidRPr="00F057BA">
        <w:t>(1)</w:t>
      </w:r>
      <w:r w:rsidRPr="00F057BA">
        <w:tab/>
        <w:t>Additional staff or contractor time;</w:t>
      </w:r>
    </w:p>
    <w:p w14:paraId="736DBCCF" w14:textId="77777777" w:rsidR="00D96499" w:rsidRPr="00F057BA" w:rsidRDefault="00D96499" w:rsidP="00D96499">
      <w:pPr>
        <w:pStyle w:val="BodyTextNumberedChar"/>
        <w:ind w:left="3600"/>
      </w:pPr>
      <w:r w:rsidRPr="00F057BA">
        <w:t>(2)</w:t>
      </w:r>
      <w:r w:rsidRPr="00F057BA">
        <w:tab/>
        <w:t>Costs associated with re-planning the Outage;</w:t>
      </w:r>
    </w:p>
    <w:p w14:paraId="53F15273" w14:textId="77777777" w:rsidR="00D96499" w:rsidRPr="00F057BA" w:rsidRDefault="00D96499" w:rsidP="00D96499">
      <w:pPr>
        <w:pStyle w:val="BodyTextNumberedChar"/>
        <w:ind w:left="3600"/>
      </w:pPr>
      <w:r w:rsidRPr="00F057BA">
        <w:t>(3)</w:t>
      </w:r>
      <w:r w:rsidRPr="00F057BA">
        <w:tab/>
        <w:t>Costs of equipment rental (including but not limited to cranes, manlifts, welding machines, etc.);</w:t>
      </w:r>
    </w:p>
    <w:p w14:paraId="6BF4EC5A" w14:textId="77777777" w:rsidR="00D96499" w:rsidRPr="00F057BA" w:rsidRDefault="00D96499" w:rsidP="00D96499">
      <w:pPr>
        <w:pStyle w:val="BodyTextNumberedChar"/>
        <w:ind w:left="3600"/>
      </w:pPr>
      <w:r w:rsidRPr="00F057BA">
        <w:t>(4)</w:t>
      </w:r>
      <w:r w:rsidRPr="00F057BA">
        <w:tab/>
        <w:t>Costs of facility rentals and other incidental incremental costs incurred by the Resource, its QSE, or its fuel supplier (</w:t>
      </w:r>
      <w:proofErr w:type="gramStart"/>
      <w:r w:rsidRPr="00F057BA">
        <w:t>e.g.</w:t>
      </w:r>
      <w:proofErr w:type="gramEnd"/>
      <w:r w:rsidRPr="00F057BA">
        <w:t xml:space="preserve"> mine-related expenses) created by the cance</w:t>
      </w:r>
      <w:r>
        <w:t>l</w:t>
      </w:r>
      <w:r w:rsidRPr="00F057BA">
        <w:t>lation or delay of the Outage; and</w:t>
      </w:r>
    </w:p>
    <w:p w14:paraId="2E1C2C16" w14:textId="77777777" w:rsidR="00D96499" w:rsidRPr="00F057BA" w:rsidRDefault="00D96499" w:rsidP="00D96499">
      <w:pPr>
        <w:pStyle w:val="BodyTextNumberedChar"/>
        <w:ind w:left="3600"/>
      </w:pPr>
      <w:r w:rsidRPr="00F057BA">
        <w:t>(5)</w:t>
      </w:r>
      <w:r w:rsidRPr="00F057BA">
        <w:tab/>
        <w:t>Indirect costs necessary for moving any additional Outages due to the OSA.</w:t>
      </w:r>
    </w:p>
    <w:p w14:paraId="09D41758" w14:textId="77777777" w:rsidR="00D96499" w:rsidRPr="00F057BA" w:rsidRDefault="00D96499" w:rsidP="00D96499">
      <w:pPr>
        <w:pStyle w:val="BodyTextNumberedChar"/>
        <w:ind w:left="2880"/>
      </w:pPr>
      <w:r w:rsidRPr="00F057BA">
        <w:t>(B)</w:t>
      </w:r>
      <w:r w:rsidRPr="00F057BA">
        <w:tab/>
        <w:t>Costs covered by paragraph (A) above do not include:</w:t>
      </w:r>
    </w:p>
    <w:p w14:paraId="28904C28" w14:textId="77777777" w:rsidR="00D96499" w:rsidRPr="00F057BA" w:rsidRDefault="00D96499" w:rsidP="00D96499">
      <w:pPr>
        <w:pStyle w:val="BodyTextNumberedChar"/>
        <w:ind w:left="3658" w:hanging="778"/>
      </w:pPr>
      <w:r w:rsidRPr="00F057BA">
        <w:t>(1)</w:t>
      </w:r>
      <w:r w:rsidRPr="00F057BA">
        <w:tab/>
        <w:t xml:space="preserve">The cost of materials due to be installed during the Outage.  Such equipment will presumably be installed </w:t>
      </w:r>
      <w:proofErr w:type="gramStart"/>
      <w:r w:rsidRPr="00F057BA">
        <w:t>at a later date</w:t>
      </w:r>
      <w:proofErr w:type="gramEnd"/>
      <w:r w:rsidRPr="00F057BA">
        <w:t xml:space="preserve"> in a rescheduled or delayed Outage; and </w:t>
      </w:r>
    </w:p>
    <w:p w14:paraId="42C6756B" w14:textId="77777777" w:rsidR="00D96499" w:rsidRPr="00F057BA" w:rsidRDefault="00D96499" w:rsidP="00D96499">
      <w:pPr>
        <w:pStyle w:val="BodyTextNumberedChar"/>
        <w:ind w:left="3658" w:hanging="778"/>
      </w:pPr>
      <w:r w:rsidRPr="00F057BA">
        <w:t xml:space="preserve">(2) </w:t>
      </w:r>
      <w:r w:rsidRPr="00F057BA">
        <w:tab/>
        <w:t xml:space="preserve">All loss amounts associated with the Outage Resource </w:t>
      </w:r>
      <w:proofErr w:type="gramStart"/>
      <w:r w:rsidRPr="00F057BA">
        <w:t>as a result of</w:t>
      </w:r>
      <w:proofErr w:type="gramEnd"/>
      <w:r w:rsidRPr="00F057BA">
        <w:t xml:space="preserve"> any financial transaction, including selling or repurchasing a hedge (whether the hedge is for energy, Ancillary Services, or fuel); and</w:t>
      </w:r>
    </w:p>
    <w:p w14:paraId="5293705F" w14:textId="77777777" w:rsidR="00D96499" w:rsidRDefault="00D96499" w:rsidP="00D96499">
      <w:pPr>
        <w:spacing w:after="240"/>
        <w:ind w:left="2160" w:hanging="720"/>
      </w:pPr>
      <w:r w:rsidRPr="00F057BA">
        <w:t>(iii)</w:t>
      </w:r>
      <w:r w:rsidRPr="00F057BA">
        <w:tab/>
        <w:t xml:space="preserve">Sufficient documentation to support the QSE’s calculation of </w:t>
      </w:r>
      <w:r>
        <w:t>all submitted costs.</w:t>
      </w:r>
    </w:p>
    <w:p w14:paraId="7D4AD8EE" w14:textId="77777777" w:rsidR="00D96499" w:rsidRPr="00F057BA" w:rsidRDefault="00D96499" w:rsidP="00300C4D">
      <w:pPr>
        <w:pStyle w:val="H4"/>
        <w:ind w:left="1267" w:hanging="1267"/>
        <w:rPr>
          <w:b w:val="0"/>
          <w:bCs w:val="0"/>
        </w:rPr>
      </w:pPr>
      <w:bookmarkStart w:id="192" w:name="_Toc60038352"/>
      <w:r w:rsidRPr="00F057BA">
        <w:t>5.6.5.2</w:t>
      </w:r>
      <w:r w:rsidRPr="00F057BA">
        <w:tab/>
        <w:t xml:space="preserve">RUC Make-Whole Payment and RUC </w:t>
      </w:r>
      <w:proofErr w:type="spellStart"/>
      <w:r w:rsidRPr="00F057BA">
        <w:t>Clawback</w:t>
      </w:r>
      <w:proofErr w:type="spellEnd"/>
      <w:r w:rsidRPr="00F057BA">
        <w:t xml:space="preserve"> Charge for Resources Receiving OSAs</w:t>
      </w:r>
      <w:bookmarkEnd w:id="192"/>
    </w:p>
    <w:p w14:paraId="3B711C4C" w14:textId="39EBE1FF" w:rsidR="00D96499" w:rsidRPr="00F057BA" w:rsidRDefault="00D96499" w:rsidP="00D96499">
      <w:pPr>
        <w:spacing w:after="240"/>
        <w:ind w:left="720" w:hanging="720"/>
      </w:pPr>
      <w:r w:rsidRPr="00F057BA">
        <w:t>(1)</w:t>
      </w:r>
      <w:r w:rsidRPr="00F057BA">
        <w:tab/>
        <w:t xml:space="preserve">To compensate QSEs representing Resources that submitted a timely Settlement and billing dispute, ERCOT shall calculate a RUC </w:t>
      </w:r>
      <w:r w:rsidR="007F05AD">
        <w:t>Guarantee</w:t>
      </w:r>
      <w:r w:rsidRPr="00F057BA">
        <w:t xml:space="preserve"> for an Operating Day for the OSA Period</w:t>
      </w:r>
      <w:r w:rsidR="007F05AD" w:rsidRPr="007F05AD">
        <w:t xml:space="preserve"> </w:t>
      </w:r>
      <w:r w:rsidR="007F05AD" w:rsidRPr="00A83AE0">
        <w:t xml:space="preserve">to be used in the RUC </w:t>
      </w:r>
      <w:r w:rsidR="007F05AD">
        <w:t>S</w:t>
      </w:r>
      <w:r w:rsidR="007F05AD" w:rsidRPr="00A83AE0">
        <w:t>ettlements process and</w:t>
      </w:r>
      <w:r w:rsidRPr="00F057BA">
        <w:t xml:space="preserve"> allocated to each instructed Operating Hour as follows:</w:t>
      </w:r>
    </w:p>
    <w:p w14:paraId="7D575092" w14:textId="2949D6D8" w:rsidR="00D96499" w:rsidRPr="00F057BA" w:rsidRDefault="00D96499" w:rsidP="00D96499">
      <w:pPr>
        <w:spacing w:after="240"/>
        <w:ind w:left="1440" w:hanging="720"/>
      </w:pPr>
      <w:r w:rsidRPr="00F057BA">
        <w:lastRenderedPageBreak/>
        <w:t>(a)</w:t>
      </w:r>
      <w:r w:rsidRPr="00F057BA">
        <w:tab/>
        <w:t>For a Resource with RUC instruction</w:t>
      </w:r>
      <w:r w:rsidR="007F05AD">
        <w:t>s</w:t>
      </w:r>
      <w:r w:rsidRPr="00F057BA">
        <w:t xml:space="preserve"> issued</w:t>
      </w:r>
      <w:r w:rsidR="007F05AD" w:rsidRPr="007F05AD">
        <w:t xml:space="preserve"> </w:t>
      </w:r>
      <w:r w:rsidR="007F05AD" w:rsidRPr="00A83AE0">
        <w:t>for hours during the OSA Period</w:t>
      </w:r>
      <w:r w:rsidRPr="00F057BA">
        <w:t xml:space="preserve">, the RUC Guarantee </w:t>
      </w:r>
      <w:r w:rsidR="007F05AD" w:rsidRPr="00A83AE0">
        <w:t xml:space="preserve">calculated for the RUC-Committed </w:t>
      </w:r>
      <w:r w:rsidR="007F05AD">
        <w:t>H</w:t>
      </w:r>
      <w:r w:rsidR="007F05AD" w:rsidRPr="00A83AE0">
        <w:t>ours</w:t>
      </w:r>
      <w:r w:rsidR="007F05AD" w:rsidRPr="00F057BA">
        <w:t xml:space="preserve"> </w:t>
      </w:r>
      <w:r w:rsidRPr="00F057BA">
        <w:t xml:space="preserve">shall include the following: </w:t>
      </w:r>
      <w:r w:rsidRPr="00F057BA">
        <w:tab/>
      </w:r>
    </w:p>
    <w:p w14:paraId="19BADD63" w14:textId="77777777" w:rsidR="00D96499" w:rsidRPr="00F057BA" w:rsidRDefault="00D96499" w:rsidP="00D96499">
      <w:pPr>
        <w:spacing w:after="240"/>
        <w:ind w:left="2160" w:hanging="720"/>
      </w:pPr>
      <w:r w:rsidRPr="00F057BA">
        <w:t>(i)</w:t>
      </w:r>
      <w:r w:rsidRPr="00F057BA">
        <w:tab/>
        <w:t>Eligible Startup costs per Section 5.6.2, RUC Startup Cost Eligibility;</w:t>
      </w:r>
    </w:p>
    <w:p w14:paraId="30CBEB9E" w14:textId="77777777" w:rsidR="00D96499" w:rsidRPr="00F057BA" w:rsidRDefault="00D96499" w:rsidP="00D96499">
      <w:pPr>
        <w:spacing w:after="240"/>
        <w:ind w:left="2160" w:hanging="720"/>
      </w:pPr>
      <w:r w:rsidRPr="00F057BA">
        <w:t>(ii)</w:t>
      </w:r>
      <w:r w:rsidRPr="00F057BA">
        <w:tab/>
        <w:t>Minimum-energy costs;</w:t>
      </w:r>
    </w:p>
    <w:p w14:paraId="1A1ADF46" w14:textId="77777777" w:rsidR="00D96499" w:rsidRPr="00F057BA" w:rsidRDefault="00D96499" w:rsidP="00D96499">
      <w:pPr>
        <w:spacing w:after="240"/>
        <w:ind w:left="2160" w:hanging="720"/>
      </w:pPr>
      <w:r w:rsidRPr="00F057BA">
        <w:t>(iii)</w:t>
      </w:r>
      <w:r w:rsidRPr="00F057BA">
        <w:tab/>
        <w:t>10% of both Startup costs and minimum-energy costs; and</w:t>
      </w:r>
    </w:p>
    <w:p w14:paraId="13F42FDD" w14:textId="77777777" w:rsidR="00D96499" w:rsidRPr="00F057BA" w:rsidRDefault="00D96499" w:rsidP="00D96499">
      <w:pPr>
        <w:spacing w:after="240"/>
        <w:ind w:left="2160" w:hanging="720"/>
      </w:pPr>
      <w:r w:rsidRPr="00F057BA">
        <w:t>(iv)</w:t>
      </w:r>
      <w:r w:rsidRPr="00F057BA">
        <w:tab/>
        <w:t>Approved net financial loss as defined in Section 5.6.5.1, Make-Whole Payment for Canceled or Delayed Outages for OSAs</w:t>
      </w:r>
      <w:r>
        <w:t>.</w:t>
      </w:r>
    </w:p>
    <w:p w14:paraId="19DCE3F0" w14:textId="45E1A7FF" w:rsidR="00D96499" w:rsidRPr="00F057BA" w:rsidRDefault="00D96499" w:rsidP="00D96499">
      <w:pPr>
        <w:spacing w:after="240"/>
        <w:ind w:left="1440" w:hanging="720"/>
      </w:pPr>
      <w:r w:rsidRPr="00F057BA">
        <w:t>(b)</w:t>
      </w:r>
      <w:r w:rsidRPr="00F057BA">
        <w:tab/>
        <w:t>For a Resource without RUC Instruction</w:t>
      </w:r>
      <w:r w:rsidR="007F05AD">
        <w:t>s</w:t>
      </w:r>
      <w:r w:rsidRPr="00F057BA">
        <w:t xml:space="preserve"> issued</w:t>
      </w:r>
      <w:r w:rsidR="007F05AD" w:rsidRPr="007F05AD">
        <w:t xml:space="preserve"> </w:t>
      </w:r>
      <w:r w:rsidR="007F05AD" w:rsidRPr="00A83AE0">
        <w:t>for hours during the OSA Period</w:t>
      </w:r>
      <w:r w:rsidRPr="00F057BA">
        <w:t xml:space="preserve">, </w:t>
      </w:r>
      <w:r w:rsidR="007F05AD" w:rsidRPr="00A83AE0">
        <w:t xml:space="preserve">ERCOT shall create RUC instructions for all hours of the OSA Period for </w:t>
      </w:r>
      <w:r w:rsidR="007F05AD">
        <w:t>S</w:t>
      </w:r>
      <w:r w:rsidR="007F05AD" w:rsidRPr="00A83AE0">
        <w:t xml:space="preserve">ettlement purposes only.  The created RUC instructions will be assigned to the first RUC process of each Operating Day. </w:t>
      </w:r>
      <w:r w:rsidR="007F05AD">
        <w:t xml:space="preserve"> </w:t>
      </w:r>
      <w:r w:rsidR="007F05AD" w:rsidRPr="00A83AE0">
        <w:t>T</w:t>
      </w:r>
      <w:r w:rsidRPr="00F057BA">
        <w:t>he RUC Guarantee shall include only the following:</w:t>
      </w:r>
    </w:p>
    <w:p w14:paraId="4A213FEF" w14:textId="77777777" w:rsidR="00D96499" w:rsidRPr="00F057BA" w:rsidRDefault="00D96499" w:rsidP="00D96499">
      <w:pPr>
        <w:spacing w:after="240"/>
        <w:ind w:left="2160" w:hanging="720"/>
      </w:pPr>
      <w:r w:rsidRPr="00F057BA">
        <w:t>(i)</w:t>
      </w:r>
      <w:r w:rsidRPr="00F057BA">
        <w:tab/>
        <w:t>Approved net financial loss as defined in Section 5.6.5.1.</w:t>
      </w:r>
    </w:p>
    <w:p w14:paraId="789E942E" w14:textId="710E1DCD" w:rsidR="00D96499" w:rsidRDefault="00D96499" w:rsidP="00D96499">
      <w:pPr>
        <w:spacing w:after="240"/>
        <w:ind w:left="1440" w:hanging="720"/>
      </w:pPr>
      <w:r>
        <w:t>(c)</w:t>
      </w:r>
      <w:r>
        <w:tab/>
        <w:t xml:space="preserve">For a Resource that rescheduled an Outage within 120 days of the end of the OSA Period under paragraph (4) of Section 3.1.6.9, </w:t>
      </w:r>
      <w:r w:rsidRPr="003B27D4">
        <w:t>Withdrawal of Approval and Rescheduling of Approved Planned Outages of Resource Facilities</w:t>
      </w:r>
      <w:r>
        <w:t xml:space="preserve">, the RUC Guarantee determined in paragraphs (a) and (b) above must include an OSA </w:t>
      </w:r>
      <w:r w:rsidR="007F05AD">
        <w:t>M</w:t>
      </w:r>
      <w:r>
        <w:t>ake-</w:t>
      </w:r>
      <w:r w:rsidR="007F05AD">
        <w:t>W</w:t>
      </w:r>
      <w:r>
        <w:t xml:space="preserve">hole </w:t>
      </w:r>
      <w:r w:rsidR="007F05AD">
        <w:t>C</w:t>
      </w:r>
      <w:r>
        <w:t>ost</w:t>
      </w:r>
      <w:r w:rsidR="007F05AD">
        <w:t xml:space="preserve"> (OSAMW)</w:t>
      </w:r>
      <w:r>
        <w:t>, calculated for the same corresponding OSA Period hours, when the Outage is rescheduled due to the OSA</w:t>
      </w:r>
      <w:r w:rsidR="007F05AD" w:rsidRPr="00A83AE0">
        <w:t>, starting with the first day of the rescheduled Outage period</w:t>
      </w:r>
      <w:r>
        <w:t xml:space="preserve">.  </w:t>
      </w:r>
      <w:r w:rsidR="007F05AD" w:rsidRPr="00A83AE0">
        <w:t xml:space="preserve">The OSAMW calculated for the rescheduled </w:t>
      </w:r>
      <w:r w:rsidR="007F05AD">
        <w:t>O</w:t>
      </w:r>
      <w:r w:rsidR="007F05AD" w:rsidRPr="00A83AE0">
        <w:t xml:space="preserve">utage hours shall be allocated to the corresponding RUC instructed hours, in </w:t>
      </w:r>
      <w:r w:rsidR="007F05AD">
        <w:t>paragraphs (</w:t>
      </w:r>
      <w:r w:rsidR="007F05AD" w:rsidRPr="00A83AE0">
        <w:t>a</w:t>
      </w:r>
      <w:r w:rsidR="007F05AD">
        <w:t>)</w:t>
      </w:r>
      <w:r w:rsidR="007F05AD" w:rsidRPr="00A83AE0">
        <w:t xml:space="preserve"> or</w:t>
      </w:r>
      <w:r w:rsidR="007F05AD">
        <w:t xml:space="preserve"> (</w:t>
      </w:r>
      <w:r w:rsidR="007F05AD" w:rsidRPr="00A83AE0">
        <w:t>b</w:t>
      </w:r>
      <w:r w:rsidR="007F05AD">
        <w:t>)</w:t>
      </w:r>
      <w:r w:rsidR="007F05AD" w:rsidRPr="00A83AE0">
        <w:t xml:space="preserve"> above, on a day-by-day basis. </w:t>
      </w:r>
      <w:r w:rsidR="007F05AD">
        <w:t xml:space="preserve"> </w:t>
      </w:r>
      <w:r>
        <w:t>The OSAMW shall be calculated as follows:</w:t>
      </w:r>
    </w:p>
    <w:p w14:paraId="76A7992D" w14:textId="77777777" w:rsidR="00D96499" w:rsidRPr="00F057BA" w:rsidRDefault="00D96499" w:rsidP="00D96499">
      <w:pPr>
        <w:spacing w:after="240"/>
        <w:ind w:left="1440"/>
      </w:pPr>
      <w:r w:rsidRPr="00BB0A56">
        <w:t xml:space="preserve">OSAMW </w:t>
      </w:r>
      <w:r w:rsidRPr="00BB0A56">
        <w:rPr>
          <w:i/>
          <w:vertAlign w:val="subscript"/>
        </w:rPr>
        <w:t xml:space="preserve">q, r, d   </w:t>
      </w:r>
      <w:r w:rsidRPr="00BB0A56">
        <w:t xml:space="preserve">= </w:t>
      </w:r>
      <w:r w:rsidRPr="00BB0A56">
        <w:rPr>
          <w:position w:val="-20"/>
        </w:rPr>
        <w:object w:dxaOrig="220" w:dyaOrig="440" w14:anchorId="6B2102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24.6pt" o:ole="">
            <v:imagedata r:id="rId17" o:title=""/>
          </v:shape>
          <o:OLEObject Type="Embed" ProgID="Equation.3" ShapeID="_x0000_i1025" DrawAspect="Content" ObjectID="_1775281555" r:id="rId18"/>
        </w:object>
      </w:r>
      <w:r w:rsidRPr="00BB0A56">
        <w:t>(Max (0, (RTSPP – MOC</w:t>
      </w:r>
      <w:r w:rsidRPr="00BB0A56">
        <w:rPr>
          <w:i/>
          <w:vertAlign w:val="subscript"/>
        </w:rPr>
        <w:t xml:space="preserve"> q, r, h</w:t>
      </w:r>
      <w:r w:rsidRPr="00BB0A56">
        <w:t xml:space="preserve">)) * HSL </w:t>
      </w:r>
      <w:r w:rsidRPr="00BB0A56">
        <w:rPr>
          <w:i/>
          <w:vertAlign w:val="subscript"/>
        </w:rPr>
        <w:t>q, r, h</w:t>
      </w:r>
      <w:r w:rsidRPr="00BB0A56">
        <w:t xml:space="preserve"> * (¼))</w:t>
      </w:r>
    </w:p>
    <w:p w14:paraId="16AC45EA" w14:textId="77777777" w:rsidR="00D96499" w:rsidRPr="00BB0A56" w:rsidRDefault="00D96499" w:rsidP="00D96499">
      <w:r w:rsidRPr="00BB0A56">
        <w:t>The above variables are defined as follows:</w:t>
      </w:r>
    </w:p>
    <w:tbl>
      <w:tblPr>
        <w:tblW w:w="5003"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71"/>
        <w:gridCol w:w="904"/>
        <w:gridCol w:w="6774"/>
        <w:gridCol w:w="7"/>
      </w:tblGrid>
      <w:tr w:rsidR="00D96499" w:rsidRPr="00BB0A56" w14:paraId="35B572DC" w14:textId="77777777" w:rsidTr="00FA3373">
        <w:trPr>
          <w:cantSplit/>
          <w:tblHeader/>
        </w:trPr>
        <w:tc>
          <w:tcPr>
            <w:tcW w:w="893" w:type="pct"/>
          </w:tcPr>
          <w:p w14:paraId="6A02F181" w14:textId="77777777" w:rsidR="00D96499" w:rsidRPr="00BB0A56" w:rsidRDefault="00D96499" w:rsidP="00FA3373">
            <w:pPr>
              <w:spacing w:after="120"/>
              <w:rPr>
                <w:b/>
                <w:iCs/>
                <w:sz w:val="18"/>
                <w:szCs w:val="18"/>
              </w:rPr>
            </w:pPr>
            <w:r w:rsidRPr="00BB0A56">
              <w:rPr>
                <w:b/>
                <w:iCs/>
                <w:sz w:val="18"/>
                <w:szCs w:val="18"/>
              </w:rPr>
              <w:t>Variable</w:t>
            </w:r>
          </w:p>
        </w:tc>
        <w:tc>
          <w:tcPr>
            <w:tcW w:w="483" w:type="pct"/>
          </w:tcPr>
          <w:p w14:paraId="0DF7D75B" w14:textId="77777777" w:rsidR="00D96499" w:rsidRPr="00BB0A56" w:rsidRDefault="00D96499" w:rsidP="00FA3373">
            <w:pPr>
              <w:spacing w:after="120"/>
              <w:jc w:val="center"/>
              <w:rPr>
                <w:b/>
                <w:iCs/>
                <w:sz w:val="18"/>
                <w:szCs w:val="18"/>
              </w:rPr>
            </w:pPr>
            <w:r w:rsidRPr="00BB0A56">
              <w:rPr>
                <w:b/>
                <w:iCs/>
                <w:sz w:val="18"/>
                <w:szCs w:val="18"/>
              </w:rPr>
              <w:t>Unit</w:t>
            </w:r>
          </w:p>
        </w:tc>
        <w:tc>
          <w:tcPr>
            <w:tcW w:w="3624" w:type="pct"/>
            <w:gridSpan w:val="2"/>
          </w:tcPr>
          <w:p w14:paraId="780D6A57" w14:textId="77777777" w:rsidR="00D96499" w:rsidRPr="00BB0A56" w:rsidRDefault="00D96499" w:rsidP="00FA3373">
            <w:pPr>
              <w:spacing w:after="120"/>
              <w:rPr>
                <w:b/>
                <w:iCs/>
                <w:sz w:val="18"/>
                <w:szCs w:val="18"/>
              </w:rPr>
            </w:pPr>
            <w:r w:rsidRPr="00BB0A56">
              <w:rPr>
                <w:b/>
                <w:iCs/>
                <w:sz w:val="18"/>
                <w:szCs w:val="18"/>
              </w:rPr>
              <w:t>Definition</w:t>
            </w:r>
          </w:p>
        </w:tc>
      </w:tr>
      <w:tr w:rsidR="00D96499" w:rsidRPr="00BB0A56" w14:paraId="358C364D" w14:textId="77777777" w:rsidTr="00FA3373">
        <w:trPr>
          <w:cantSplit/>
        </w:trPr>
        <w:tc>
          <w:tcPr>
            <w:tcW w:w="893" w:type="pct"/>
          </w:tcPr>
          <w:p w14:paraId="0D042117" w14:textId="77777777" w:rsidR="00D96499" w:rsidRPr="00B33BEF" w:rsidRDefault="00D96499" w:rsidP="00FA3373">
            <w:pPr>
              <w:spacing w:after="60"/>
              <w:rPr>
                <w:sz w:val="20"/>
              </w:rPr>
            </w:pPr>
            <w:r w:rsidRPr="00B33BEF">
              <w:rPr>
                <w:sz w:val="20"/>
              </w:rPr>
              <w:t xml:space="preserve">OSAMW </w:t>
            </w:r>
            <w:r w:rsidRPr="00B33BEF">
              <w:rPr>
                <w:i/>
                <w:sz w:val="20"/>
                <w:vertAlign w:val="subscript"/>
              </w:rPr>
              <w:t xml:space="preserve">q, r, d   </w:t>
            </w:r>
          </w:p>
        </w:tc>
        <w:tc>
          <w:tcPr>
            <w:tcW w:w="483" w:type="pct"/>
          </w:tcPr>
          <w:p w14:paraId="7276278D" w14:textId="77777777" w:rsidR="00D96499" w:rsidRPr="00B33BEF" w:rsidRDefault="00D96499" w:rsidP="00FA3373">
            <w:pPr>
              <w:spacing w:after="60"/>
              <w:jc w:val="center"/>
              <w:rPr>
                <w:sz w:val="20"/>
              </w:rPr>
            </w:pPr>
            <w:r w:rsidRPr="00B33BEF">
              <w:rPr>
                <w:sz w:val="20"/>
              </w:rPr>
              <w:t>$</w:t>
            </w:r>
          </w:p>
        </w:tc>
        <w:tc>
          <w:tcPr>
            <w:tcW w:w="3624" w:type="pct"/>
            <w:gridSpan w:val="2"/>
          </w:tcPr>
          <w:p w14:paraId="39D82EE7" w14:textId="77777777" w:rsidR="00D96499" w:rsidRPr="00B33BEF" w:rsidRDefault="00D96499" w:rsidP="00FA3373">
            <w:pPr>
              <w:spacing w:after="60"/>
              <w:rPr>
                <w:sz w:val="20"/>
              </w:rPr>
            </w:pPr>
            <w:r w:rsidRPr="00B33BEF">
              <w:rPr>
                <w:sz w:val="20"/>
              </w:rPr>
              <w:t xml:space="preserve">OSA Make-Whole Cost—The OSA Make-Whole cost for Resource </w:t>
            </w:r>
            <w:r w:rsidRPr="00B33BEF">
              <w:rPr>
                <w:i/>
                <w:sz w:val="20"/>
              </w:rPr>
              <w:t>r</w:t>
            </w:r>
            <w:r w:rsidRPr="00B33BEF">
              <w:rPr>
                <w:sz w:val="20"/>
              </w:rPr>
              <w:t xml:space="preserve"> represented by QSE </w:t>
            </w:r>
            <w:r w:rsidRPr="00B33BEF">
              <w:rPr>
                <w:i/>
                <w:sz w:val="20"/>
              </w:rPr>
              <w:t>q</w:t>
            </w:r>
            <w:r>
              <w:rPr>
                <w:sz w:val="20"/>
              </w:rPr>
              <w:t xml:space="preserve"> </w:t>
            </w:r>
            <w:r w:rsidRPr="00B33BEF">
              <w:rPr>
                <w:sz w:val="20"/>
              </w:rPr>
              <w:t>during the eligible rescheduled Outage Hours</w:t>
            </w:r>
            <w:r>
              <w:rPr>
                <w:sz w:val="20"/>
              </w:rPr>
              <w:t xml:space="preserve">, </w:t>
            </w:r>
            <w:r w:rsidRPr="00B33BEF">
              <w:rPr>
                <w:sz w:val="20"/>
              </w:rPr>
              <w:t xml:space="preserve">for the Operating Day </w:t>
            </w:r>
            <w:r w:rsidRPr="00B33BEF">
              <w:rPr>
                <w:i/>
                <w:sz w:val="20"/>
              </w:rPr>
              <w:t>d</w:t>
            </w:r>
            <w:r w:rsidRPr="00B33BEF">
              <w:rPr>
                <w:sz w:val="20"/>
              </w:rPr>
              <w:t>.  When one or more Combined Cycle Generation Resources receive an OSA, the Make-Whole cost is calculated for the Combined Cycle Train for the OSA Period.</w:t>
            </w:r>
          </w:p>
        </w:tc>
      </w:tr>
      <w:tr w:rsidR="00D96499" w:rsidRPr="00BB0A56" w14:paraId="7B0EA025" w14:textId="77777777" w:rsidTr="00FA3373">
        <w:trPr>
          <w:cantSplit/>
        </w:trPr>
        <w:tc>
          <w:tcPr>
            <w:tcW w:w="893" w:type="pct"/>
          </w:tcPr>
          <w:p w14:paraId="5F0BEE67" w14:textId="77777777" w:rsidR="00D96499" w:rsidRPr="00B33BEF" w:rsidRDefault="00D96499" w:rsidP="00FA3373">
            <w:pPr>
              <w:spacing w:after="60"/>
              <w:rPr>
                <w:iCs/>
                <w:sz w:val="20"/>
              </w:rPr>
            </w:pPr>
            <w:r w:rsidRPr="00B33BEF">
              <w:rPr>
                <w:sz w:val="20"/>
              </w:rPr>
              <w:t>RTSPP</w:t>
            </w:r>
          </w:p>
        </w:tc>
        <w:tc>
          <w:tcPr>
            <w:tcW w:w="483" w:type="pct"/>
          </w:tcPr>
          <w:p w14:paraId="67C5DBBA" w14:textId="77777777" w:rsidR="00D96499" w:rsidRPr="00B33BEF" w:rsidRDefault="00D96499" w:rsidP="00FA3373">
            <w:pPr>
              <w:spacing w:after="60"/>
              <w:jc w:val="center"/>
              <w:rPr>
                <w:iCs/>
                <w:sz w:val="20"/>
              </w:rPr>
            </w:pPr>
            <w:r w:rsidRPr="00B33BEF">
              <w:rPr>
                <w:sz w:val="20"/>
              </w:rPr>
              <w:t>$/MWh</w:t>
            </w:r>
          </w:p>
        </w:tc>
        <w:tc>
          <w:tcPr>
            <w:tcW w:w="3624" w:type="pct"/>
            <w:gridSpan w:val="2"/>
          </w:tcPr>
          <w:p w14:paraId="2C8B6782" w14:textId="77777777" w:rsidR="00D96499" w:rsidRPr="00B33BEF" w:rsidRDefault="00D96499" w:rsidP="00FA3373">
            <w:pPr>
              <w:spacing w:after="60"/>
              <w:rPr>
                <w:iCs/>
                <w:sz w:val="20"/>
              </w:rPr>
            </w:pPr>
            <w:r w:rsidRPr="00B33BEF">
              <w:rPr>
                <w:sz w:val="20"/>
              </w:rPr>
              <w:t>Real-Time Settlement Point Price—The Real-Time Settlement Point Price at the Settlement Point for the 15-minute Settlement Interval of an eligible rescheduled Outage Hour.</w:t>
            </w:r>
          </w:p>
        </w:tc>
      </w:tr>
      <w:tr w:rsidR="00D96499" w:rsidRPr="00BB0A56" w14:paraId="21A27055" w14:textId="77777777" w:rsidTr="00FA3373">
        <w:trPr>
          <w:cantSplit/>
        </w:trPr>
        <w:tc>
          <w:tcPr>
            <w:tcW w:w="893" w:type="pct"/>
          </w:tcPr>
          <w:p w14:paraId="7B2294F0" w14:textId="77777777" w:rsidR="00D96499" w:rsidRPr="00B33BEF" w:rsidRDefault="00D96499" w:rsidP="00FA3373">
            <w:pPr>
              <w:spacing w:after="60"/>
              <w:rPr>
                <w:iCs/>
                <w:sz w:val="20"/>
              </w:rPr>
            </w:pPr>
            <w:r w:rsidRPr="00B33BEF">
              <w:rPr>
                <w:sz w:val="20"/>
              </w:rPr>
              <w:lastRenderedPageBreak/>
              <w:t xml:space="preserve">MOC </w:t>
            </w:r>
            <w:r w:rsidRPr="00B33BEF">
              <w:rPr>
                <w:i/>
                <w:sz w:val="20"/>
                <w:vertAlign w:val="subscript"/>
              </w:rPr>
              <w:t>q, r, h</w:t>
            </w:r>
          </w:p>
        </w:tc>
        <w:tc>
          <w:tcPr>
            <w:tcW w:w="483" w:type="pct"/>
          </w:tcPr>
          <w:p w14:paraId="78B8B1CC" w14:textId="77777777" w:rsidR="00D96499" w:rsidRPr="00B33BEF" w:rsidRDefault="00D96499" w:rsidP="00FA3373">
            <w:pPr>
              <w:spacing w:after="60"/>
              <w:jc w:val="center"/>
              <w:rPr>
                <w:iCs/>
                <w:sz w:val="20"/>
              </w:rPr>
            </w:pPr>
            <w:r w:rsidRPr="00B33BEF">
              <w:rPr>
                <w:sz w:val="20"/>
              </w:rPr>
              <w:t>$/MWh</w:t>
            </w:r>
          </w:p>
        </w:tc>
        <w:tc>
          <w:tcPr>
            <w:tcW w:w="3624" w:type="pct"/>
            <w:gridSpan w:val="2"/>
          </w:tcPr>
          <w:p w14:paraId="6089CDA0" w14:textId="77777777" w:rsidR="00D96499" w:rsidRPr="00B33BEF" w:rsidRDefault="00D96499" w:rsidP="00FA3373">
            <w:pPr>
              <w:spacing w:after="60"/>
              <w:rPr>
                <w:iCs/>
                <w:sz w:val="20"/>
              </w:rPr>
            </w:pPr>
            <w:r w:rsidRPr="00B33BEF">
              <w:rPr>
                <w:iCs/>
                <w:sz w:val="20"/>
              </w:rPr>
              <w:t xml:space="preserve">Mitigated Offer Cap per Resource—The MOC for Resource </w:t>
            </w:r>
            <w:r w:rsidRPr="00B33BEF">
              <w:rPr>
                <w:i/>
                <w:iCs/>
                <w:sz w:val="20"/>
              </w:rPr>
              <w:t>r</w:t>
            </w:r>
            <w:r w:rsidRPr="00B33BEF">
              <w:rPr>
                <w:sz w:val="20"/>
              </w:rPr>
              <w:t xml:space="preserve"> represented by QSE </w:t>
            </w:r>
            <w:r w:rsidRPr="00B33BEF">
              <w:rPr>
                <w:i/>
                <w:sz w:val="20"/>
              </w:rPr>
              <w:t>q</w:t>
            </w:r>
            <w:r w:rsidRPr="00B33BEF">
              <w:rPr>
                <w:iCs/>
                <w:sz w:val="20"/>
              </w:rPr>
              <w:t xml:space="preserve">, for the </w:t>
            </w:r>
            <w:r w:rsidRPr="00B33BEF">
              <w:rPr>
                <w:sz w:val="20"/>
              </w:rPr>
              <w:t xml:space="preserve">eligible rescheduled Outage </w:t>
            </w:r>
            <w:r w:rsidRPr="00B33BEF">
              <w:rPr>
                <w:iCs/>
                <w:sz w:val="20"/>
              </w:rPr>
              <w:t xml:space="preserve">hour </w:t>
            </w:r>
            <w:r w:rsidRPr="00B33BEF">
              <w:rPr>
                <w:i/>
                <w:iCs/>
                <w:sz w:val="20"/>
              </w:rPr>
              <w:t>h</w:t>
            </w:r>
            <w:r>
              <w:rPr>
                <w:iCs/>
                <w:sz w:val="20"/>
              </w:rPr>
              <w:t xml:space="preserve"> </w:t>
            </w:r>
            <w:r w:rsidRPr="00B33BEF">
              <w:rPr>
                <w:iCs/>
                <w:sz w:val="20"/>
              </w:rPr>
              <w:t xml:space="preserve">at the </w:t>
            </w:r>
            <w:r>
              <w:rPr>
                <w:iCs/>
                <w:sz w:val="20"/>
              </w:rPr>
              <w:t>High Sustained Limit (</w:t>
            </w:r>
            <w:r w:rsidRPr="00B33BEF">
              <w:rPr>
                <w:iCs/>
                <w:sz w:val="20"/>
              </w:rPr>
              <w:t>HSL</w:t>
            </w:r>
            <w:r>
              <w:rPr>
                <w:iCs/>
                <w:sz w:val="20"/>
              </w:rPr>
              <w:t>)</w:t>
            </w:r>
            <w:r w:rsidRPr="00B33BEF">
              <w:rPr>
                <w:iCs/>
                <w:sz w:val="20"/>
              </w:rPr>
              <w:t xml:space="preserve"> as submitted in the COP. Where for a Combined Cycle Train, the Resource </w:t>
            </w:r>
            <w:r w:rsidRPr="00B33BEF">
              <w:rPr>
                <w:i/>
                <w:iCs/>
                <w:sz w:val="20"/>
              </w:rPr>
              <w:t>r</w:t>
            </w:r>
            <w:r w:rsidRPr="00B33BEF">
              <w:rPr>
                <w:iCs/>
                <w:sz w:val="20"/>
              </w:rPr>
              <w:t xml:space="preserve"> is a Combined Cycle Generation Resource within the Combined Cycle Train.</w:t>
            </w:r>
          </w:p>
        </w:tc>
      </w:tr>
      <w:tr w:rsidR="00D96499" w:rsidRPr="00BB0A56" w14:paraId="5DBC7B63" w14:textId="77777777" w:rsidTr="00FA3373">
        <w:trPr>
          <w:cantSplit/>
        </w:trPr>
        <w:tc>
          <w:tcPr>
            <w:tcW w:w="893" w:type="pct"/>
          </w:tcPr>
          <w:p w14:paraId="6FBC345C" w14:textId="77777777" w:rsidR="00D96499" w:rsidRPr="00B33BEF" w:rsidRDefault="00D96499" w:rsidP="00FA3373">
            <w:pPr>
              <w:spacing w:after="60"/>
              <w:rPr>
                <w:iCs/>
                <w:sz w:val="20"/>
              </w:rPr>
            </w:pPr>
            <w:r w:rsidRPr="00B33BEF">
              <w:rPr>
                <w:iCs/>
                <w:sz w:val="20"/>
              </w:rPr>
              <w:t xml:space="preserve">HSL </w:t>
            </w:r>
            <w:r w:rsidRPr="00B33BEF">
              <w:rPr>
                <w:i/>
                <w:iCs/>
                <w:sz w:val="20"/>
                <w:vertAlign w:val="subscript"/>
              </w:rPr>
              <w:t>q, r, i</w:t>
            </w:r>
          </w:p>
        </w:tc>
        <w:tc>
          <w:tcPr>
            <w:tcW w:w="483" w:type="pct"/>
          </w:tcPr>
          <w:p w14:paraId="22319234" w14:textId="77777777" w:rsidR="00D96499" w:rsidRPr="00B33BEF" w:rsidRDefault="00D96499" w:rsidP="00FA3373">
            <w:pPr>
              <w:spacing w:after="60"/>
              <w:jc w:val="center"/>
              <w:rPr>
                <w:iCs/>
                <w:sz w:val="20"/>
              </w:rPr>
            </w:pPr>
            <w:r w:rsidRPr="00B33BEF">
              <w:rPr>
                <w:iCs/>
                <w:sz w:val="20"/>
              </w:rPr>
              <w:t>MW</w:t>
            </w:r>
          </w:p>
        </w:tc>
        <w:tc>
          <w:tcPr>
            <w:tcW w:w="3624" w:type="pct"/>
            <w:gridSpan w:val="2"/>
          </w:tcPr>
          <w:p w14:paraId="62C29434" w14:textId="77777777" w:rsidR="00D96499" w:rsidRPr="00B33BEF" w:rsidRDefault="00D96499" w:rsidP="00FA3373">
            <w:pPr>
              <w:spacing w:after="60"/>
              <w:rPr>
                <w:iCs/>
                <w:sz w:val="20"/>
              </w:rPr>
            </w:pPr>
            <w:r w:rsidRPr="00B33BEF">
              <w:rPr>
                <w:iCs/>
                <w:sz w:val="20"/>
              </w:rPr>
              <w:t xml:space="preserve">High Sustained Limit—The HSL of a Generation Resource </w:t>
            </w:r>
            <w:r w:rsidRPr="00B33BEF">
              <w:rPr>
                <w:i/>
                <w:sz w:val="20"/>
              </w:rPr>
              <w:t>r</w:t>
            </w:r>
            <w:r w:rsidRPr="00B33BEF">
              <w:rPr>
                <w:sz w:val="20"/>
              </w:rPr>
              <w:t xml:space="preserve"> represented by QSE </w:t>
            </w:r>
            <w:r w:rsidRPr="00B33BEF">
              <w:rPr>
                <w:i/>
                <w:sz w:val="20"/>
              </w:rPr>
              <w:t>q</w:t>
            </w:r>
            <w:r w:rsidRPr="00B33BEF">
              <w:rPr>
                <w:iCs/>
                <w:sz w:val="20"/>
              </w:rPr>
              <w:t xml:space="preserve"> as submitted in the COP, for the hour that includes the Settlement Interval </w:t>
            </w:r>
            <w:r w:rsidRPr="00B33BEF">
              <w:rPr>
                <w:i/>
                <w:iCs/>
                <w:sz w:val="20"/>
              </w:rPr>
              <w:t>i</w:t>
            </w:r>
            <w:r w:rsidRPr="00B33BEF">
              <w:rPr>
                <w:iCs/>
                <w:sz w:val="20"/>
              </w:rPr>
              <w:t xml:space="preserve">.  Where for a combined cycle Resource, </w:t>
            </w:r>
            <w:r w:rsidRPr="00B33BEF">
              <w:rPr>
                <w:i/>
                <w:iCs/>
                <w:sz w:val="20"/>
              </w:rPr>
              <w:t>r</w:t>
            </w:r>
            <w:r w:rsidRPr="00B33BEF">
              <w:rPr>
                <w:iCs/>
                <w:sz w:val="20"/>
              </w:rPr>
              <w:t xml:space="preserve"> is a Combined Cycle Generation Resource.</w:t>
            </w:r>
          </w:p>
        </w:tc>
      </w:tr>
      <w:tr w:rsidR="00D96499" w:rsidRPr="00B33BEF" w14:paraId="649A873E" w14:textId="77777777" w:rsidTr="00FA3373">
        <w:tblPrEx>
          <w:tblBorders>
            <w:insideH w:val="single" w:sz="4" w:space="0" w:color="auto"/>
            <w:insideV w:val="single" w:sz="4" w:space="0" w:color="auto"/>
          </w:tblBorders>
        </w:tblPrEx>
        <w:trPr>
          <w:gridAfter w:val="1"/>
          <w:wAfter w:w="4" w:type="pct"/>
          <w:cantSplit/>
        </w:trPr>
        <w:tc>
          <w:tcPr>
            <w:tcW w:w="893" w:type="pct"/>
          </w:tcPr>
          <w:p w14:paraId="22D65F68" w14:textId="77777777" w:rsidR="00D96499" w:rsidRPr="00B33BEF" w:rsidRDefault="00D96499" w:rsidP="00FA3373">
            <w:pPr>
              <w:pStyle w:val="TableBody"/>
              <w:rPr>
                <w:i/>
              </w:rPr>
            </w:pPr>
            <w:r w:rsidRPr="00B33BEF">
              <w:rPr>
                <w:i/>
              </w:rPr>
              <w:t>q</w:t>
            </w:r>
          </w:p>
        </w:tc>
        <w:tc>
          <w:tcPr>
            <w:tcW w:w="483" w:type="pct"/>
          </w:tcPr>
          <w:p w14:paraId="1516D57A" w14:textId="77777777" w:rsidR="00D96499" w:rsidRPr="00B33BEF" w:rsidRDefault="00D96499" w:rsidP="00FA3373">
            <w:pPr>
              <w:pStyle w:val="TableBody"/>
            </w:pPr>
            <w:r w:rsidRPr="00B33BEF">
              <w:t>none</w:t>
            </w:r>
          </w:p>
        </w:tc>
        <w:tc>
          <w:tcPr>
            <w:tcW w:w="3620" w:type="pct"/>
          </w:tcPr>
          <w:p w14:paraId="280861BE" w14:textId="77777777" w:rsidR="00D96499" w:rsidRPr="00B33BEF" w:rsidRDefault="00D96499" w:rsidP="00FA3373">
            <w:pPr>
              <w:pStyle w:val="TableBody"/>
            </w:pPr>
            <w:r w:rsidRPr="00B33BEF">
              <w:t>A QSE.</w:t>
            </w:r>
          </w:p>
        </w:tc>
      </w:tr>
      <w:tr w:rsidR="00D96499" w:rsidRPr="00B33BEF" w14:paraId="1A44EDB1" w14:textId="77777777" w:rsidTr="00FA3373">
        <w:tblPrEx>
          <w:tblBorders>
            <w:insideH w:val="single" w:sz="4" w:space="0" w:color="auto"/>
            <w:insideV w:val="single" w:sz="4" w:space="0" w:color="auto"/>
          </w:tblBorders>
        </w:tblPrEx>
        <w:trPr>
          <w:gridAfter w:val="1"/>
          <w:wAfter w:w="4" w:type="pct"/>
          <w:cantSplit/>
        </w:trPr>
        <w:tc>
          <w:tcPr>
            <w:tcW w:w="893" w:type="pct"/>
          </w:tcPr>
          <w:p w14:paraId="174351D5" w14:textId="77777777" w:rsidR="00D96499" w:rsidRPr="00B33BEF" w:rsidRDefault="00D96499" w:rsidP="00FA3373">
            <w:pPr>
              <w:pStyle w:val="TableBody"/>
              <w:rPr>
                <w:i/>
              </w:rPr>
            </w:pPr>
            <w:r w:rsidRPr="00B33BEF">
              <w:rPr>
                <w:i/>
              </w:rPr>
              <w:t>r</w:t>
            </w:r>
          </w:p>
        </w:tc>
        <w:tc>
          <w:tcPr>
            <w:tcW w:w="483" w:type="pct"/>
          </w:tcPr>
          <w:p w14:paraId="0CA718F8" w14:textId="77777777" w:rsidR="00D96499" w:rsidRPr="00B33BEF" w:rsidRDefault="00D96499" w:rsidP="00FA3373">
            <w:pPr>
              <w:pStyle w:val="TableBody"/>
            </w:pPr>
            <w:r w:rsidRPr="00B33BEF">
              <w:t>none</w:t>
            </w:r>
          </w:p>
        </w:tc>
        <w:tc>
          <w:tcPr>
            <w:tcW w:w="3620" w:type="pct"/>
          </w:tcPr>
          <w:p w14:paraId="0175AB9A" w14:textId="77777777" w:rsidR="00D96499" w:rsidRPr="00B33BEF" w:rsidRDefault="00D96499" w:rsidP="00FA3373">
            <w:pPr>
              <w:pStyle w:val="TableBody"/>
            </w:pPr>
            <w:r w:rsidRPr="00B33BEF">
              <w:t>A Generation Resource.</w:t>
            </w:r>
          </w:p>
        </w:tc>
      </w:tr>
      <w:tr w:rsidR="00D96499" w:rsidRPr="00B33BEF" w14:paraId="10F289F2" w14:textId="77777777" w:rsidTr="00FA3373">
        <w:tblPrEx>
          <w:tblBorders>
            <w:insideH w:val="single" w:sz="4" w:space="0" w:color="auto"/>
            <w:insideV w:val="single" w:sz="4" w:space="0" w:color="auto"/>
          </w:tblBorders>
        </w:tblPrEx>
        <w:trPr>
          <w:gridAfter w:val="1"/>
          <w:wAfter w:w="4" w:type="pct"/>
          <w:cantSplit/>
        </w:trPr>
        <w:tc>
          <w:tcPr>
            <w:tcW w:w="893" w:type="pct"/>
          </w:tcPr>
          <w:p w14:paraId="615F625C" w14:textId="77777777" w:rsidR="00D96499" w:rsidRPr="00B33BEF" w:rsidRDefault="00D96499" w:rsidP="00FA3373">
            <w:pPr>
              <w:pStyle w:val="TableBody"/>
              <w:rPr>
                <w:i/>
              </w:rPr>
            </w:pPr>
            <w:r w:rsidRPr="00B33BEF">
              <w:rPr>
                <w:i/>
              </w:rPr>
              <w:t>d</w:t>
            </w:r>
          </w:p>
        </w:tc>
        <w:tc>
          <w:tcPr>
            <w:tcW w:w="483" w:type="pct"/>
          </w:tcPr>
          <w:p w14:paraId="234D5E92" w14:textId="77777777" w:rsidR="00D96499" w:rsidRPr="00B33BEF" w:rsidRDefault="00D96499" w:rsidP="00FA3373">
            <w:pPr>
              <w:pStyle w:val="TableBody"/>
            </w:pPr>
            <w:r w:rsidRPr="00B33BEF">
              <w:t>none</w:t>
            </w:r>
          </w:p>
        </w:tc>
        <w:tc>
          <w:tcPr>
            <w:tcW w:w="3620" w:type="pct"/>
          </w:tcPr>
          <w:p w14:paraId="6A31BB7D" w14:textId="77777777" w:rsidR="00D96499" w:rsidRPr="00B33BEF" w:rsidRDefault="00D96499" w:rsidP="00FA3373">
            <w:pPr>
              <w:pStyle w:val="TableBody"/>
            </w:pPr>
            <w:r w:rsidRPr="00B33BEF">
              <w:t>The Operating Day</w:t>
            </w:r>
            <w:r>
              <w:t>.</w:t>
            </w:r>
          </w:p>
        </w:tc>
      </w:tr>
      <w:tr w:rsidR="00D96499" w:rsidRPr="00B33BEF" w14:paraId="2947F6FE" w14:textId="77777777" w:rsidTr="00FA3373">
        <w:tblPrEx>
          <w:tblBorders>
            <w:insideH w:val="single" w:sz="4" w:space="0" w:color="auto"/>
            <w:insideV w:val="single" w:sz="4" w:space="0" w:color="auto"/>
          </w:tblBorders>
        </w:tblPrEx>
        <w:trPr>
          <w:gridAfter w:val="1"/>
          <w:wAfter w:w="4" w:type="pct"/>
          <w:cantSplit/>
        </w:trPr>
        <w:tc>
          <w:tcPr>
            <w:tcW w:w="893" w:type="pct"/>
          </w:tcPr>
          <w:p w14:paraId="43A2D318" w14:textId="77777777" w:rsidR="00D96499" w:rsidRPr="00B33BEF" w:rsidRDefault="00D96499" w:rsidP="00FA3373">
            <w:pPr>
              <w:pStyle w:val="TableBody"/>
              <w:rPr>
                <w:i/>
              </w:rPr>
            </w:pPr>
            <w:r w:rsidRPr="00B33BEF">
              <w:rPr>
                <w:i/>
              </w:rPr>
              <w:t>h</w:t>
            </w:r>
          </w:p>
        </w:tc>
        <w:tc>
          <w:tcPr>
            <w:tcW w:w="483" w:type="pct"/>
          </w:tcPr>
          <w:p w14:paraId="588912D0" w14:textId="77777777" w:rsidR="00D96499" w:rsidRPr="00B33BEF" w:rsidRDefault="00D96499" w:rsidP="00FA3373">
            <w:pPr>
              <w:pStyle w:val="TableBody"/>
            </w:pPr>
            <w:r w:rsidRPr="00B33BEF">
              <w:t>none</w:t>
            </w:r>
          </w:p>
        </w:tc>
        <w:tc>
          <w:tcPr>
            <w:tcW w:w="3620" w:type="pct"/>
          </w:tcPr>
          <w:p w14:paraId="1DA3A043" w14:textId="77777777" w:rsidR="00D96499" w:rsidRPr="00B33BEF" w:rsidRDefault="00D96499" w:rsidP="00FA3373">
            <w:pPr>
              <w:pStyle w:val="TableBody"/>
            </w:pPr>
            <w:r w:rsidRPr="00B33BEF">
              <w:t xml:space="preserve">The Operating Hour. </w:t>
            </w:r>
          </w:p>
        </w:tc>
      </w:tr>
      <w:tr w:rsidR="00D96499" w:rsidRPr="00B33BEF" w14:paraId="2BFA2950" w14:textId="77777777" w:rsidTr="00FA3373">
        <w:tblPrEx>
          <w:tblBorders>
            <w:insideH w:val="single" w:sz="4" w:space="0" w:color="auto"/>
            <w:insideV w:val="single" w:sz="4" w:space="0" w:color="auto"/>
          </w:tblBorders>
        </w:tblPrEx>
        <w:trPr>
          <w:gridAfter w:val="1"/>
          <w:wAfter w:w="4" w:type="pct"/>
          <w:cantSplit/>
        </w:trPr>
        <w:tc>
          <w:tcPr>
            <w:tcW w:w="893" w:type="pct"/>
          </w:tcPr>
          <w:p w14:paraId="48DB4125" w14:textId="77777777" w:rsidR="00D96499" w:rsidRPr="00B33BEF" w:rsidRDefault="00D96499" w:rsidP="00FA3373">
            <w:pPr>
              <w:pStyle w:val="TableBody"/>
              <w:rPr>
                <w:i/>
              </w:rPr>
            </w:pPr>
            <w:r w:rsidRPr="00B33BEF">
              <w:rPr>
                <w:i/>
              </w:rPr>
              <w:t>i</w:t>
            </w:r>
          </w:p>
        </w:tc>
        <w:tc>
          <w:tcPr>
            <w:tcW w:w="483" w:type="pct"/>
          </w:tcPr>
          <w:p w14:paraId="1E5EFE3D" w14:textId="77777777" w:rsidR="00D96499" w:rsidRPr="00B33BEF" w:rsidRDefault="00D96499" w:rsidP="00FA3373">
            <w:pPr>
              <w:pStyle w:val="TableBody"/>
            </w:pPr>
            <w:r w:rsidRPr="00B33BEF">
              <w:t>none</w:t>
            </w:r>
          </w:p>
        </w:tc>
        <w:tc>
          <w:tcPr>
            <w:tcW w:w="3620" w:type="pct"/>
          </w:tcPr>
          <w:p w14:paraId="3D4C1CD0" w14:textId="77777777" w:rsidR="00D96499" w:rsidRPr="00B33BEF" w:rsidRDefault="00D96499" w:rsidP="00FA3373">
            <w:pPr>
              <w:pStyle w:val="TableBody"/>
            </w:pPr>
            <w:r w:rsidRPr="00B33BEF">
              <w:t>A 15-minute Settlement Interval within the hour.</w:t>
            </w:r>
          </w:p>
        </w:tc>
      </w:tr>
    </w:tbl>
    <w:p w14:paraId="370F9C0F" w14:textId="459A22E1" w:rsidR="00D96499" w:rsidRPr="00F057BA" w:rsidRDefault="00D96499" w:rsidP="00D96499">
      <w:pPr>
        <w:pStyle w:val="BodyTextNumbered"/>
        <w:spacing w:before="240"/>
      </w:pPr>
      <w:r w:rsidRPr="00F057BA">
        <w:t xml:space="preserve">(2) </w:t>
      </w:r>
      <w:r w:rsidRPr="00F057BA">
        <w:tab/>
        <w:t xml:space="preserve">Notwithstanding the </w:t>
      </w:r>
      <w:proofErr w:type="spellStart"/>
      <w:r w:rsidRPr="00F057BA">
        <w:t>clawback</w:t>
      </w:r>
      <w:proofErr w:type="spellEnd"/>
      <w:r w:rsidRPr="00F057BA">
        <w:t xml:space="preserve"> provisions described in Section 5.7.2, RUC </w:t>
      </w:r>
      <w:proofErr w:type="spellStart"/>
      <w:r w:rsidRPr="00F057BA">
        <w:t>Clawback</w:t>
      </w:r>
      <w:proofErr w:type="spellEnd"/>
      <w:r w:rsidRPr="00F057BA">
        <w:t xml:space="preserve"> Charge, the </w:t>
      </w:r>
      <w:proofErr w:type="spellStart"/>
      <w:r w:rsidRPr="00F057BA">
        <w:t>clawback</w:t>
      </w:r>
      <w:proofErr w:type="spellEnd"/>
      <w:r w:rsidRPr="00F057BA">
        <w:t xml:space="preserve"> percentage shall be set at 100%.</w:t>
      </w:r>
    </w:p>
    <w:p w14:paraId="6CE2B58D" w14:textId="77777777" w:rsidR="00D96499" w:rsidRPr="00F057BA" w:rsidRDefault="00D96499" w:rsidP="00300C4D">
      <w:pPr>
        <w:pStyle w:val="H4"/>
        <w:ind w:left="1267" w:hanging="1267"/>
        <w:rPr>
          <w:b w:val="0"/>
          <w:bCs w:val="0"/>
        </w:rPr>
      </w:pPr>
      <w:bookmarkStart w:id="193" w:name="_Toc60038353"/>
      <w:r w:rsidRPr="00F057BA">
        <w:t>5.6.5.3</w:t>
      </w:r>
      <w:r w:rsidRPr="00F057BA">
        <w:tab/>
        <w:t xml:space="preserve">Timeline for Calculating RUC </w:t>
      </w:r>
      <w:proofErr w:type="spellStart"/>
      <w:r w:rsidRPr="00F057BA">
        <w:t>Clawback</w:t>
      </w:r>
      <w:proofErr w:type="spellEnd"/>
      <w:r w:rsidRPr="00F057BA">
        <w:t xml:space="preserve"> Charges for Resources Receiving OSAs</w:t>
      </w:r>
      <w:bookmarkEnd w:id="193"/>
    </w:p>
    <w:p w14:paraId="505BD4B6" w14:textId="77777777" w:rsidR="00D96499" w:rsidRPr="00F057BA" w:rsidRDefault="00D96499" w:rsidP="00D96499">
      <w:pPr>
        <w:spacing w:after="240"/>
        <w:ind w:left="720" w:hanging="720"/>
      </w:pPr>
      <w:r w:rsidRPr="00F057BA">
        <w:t>(1)</w:t>
      </w:r>
      <w:r w:rsidRPr="00F057BA">
        <w:tab/>
        <w:t>Within ten Business Days after the issuance of the RTM True-Up Statement, ERCOT will issue a Miscellaneous Invoice to charge the QSE representing the Resource that has received an OSA the excess revenues not clawed back in RUC Settlements.</w:t>
      </w:r>
    </w:p>
    <w:p w14:paraId="20F827F1" w14:textId="6DFC38EF" w:rsidR="00D96499" w:rsidRDefault="00D96499" w:rsidP="00D96499">
      <w:pPr>
        <w:pStyle w:val="BodyTextNumbered"/>
      </w:pPr>
      <w:r w:rsidRPr="00F057BA">
        <w:t>(2)</w:t>
      </w:r>
      <w:r w:rsidRPr="00F057BA">
        <w:tab/>
        <w:t>All clawed back revenues will be paid</w:t>
      </w:r>
      <w:r>
        <w:t xml:space="preserve"> to</w:t>
      </w:r>
      <w:r w:rsidRPr="00F057BA">
        <w:t xml:space="preserve"> QSE</w:t>
      </w:r>
      <w:r>
        <w:t>s</w:t>
      </w:r>
      <w:r w:rsidRPr="00F057BA">
        <w:t xml:space="preserve"> based on a 15-minute L</w:t>
      </w:r>
      <w:r>
        <w:t>oad-</w:t>
      </w:r>
      <w:r w:rsidRPr="00F057BA">
        <w:t>R</w:t>
      </w:r>
      <w:r>
        <w:t xml:space="preserve">atio </w:t>
      </w:r>
      <w:r w:rsidRPr="00F057BA">
        <w:t>S</w:t>
      </w:r>
      <w:r>
        <w:t>hare basis.</w:t>
      </w:r>
    </w:p>
    <w:p w14:paraId="21A567B7" w14:textId="77777777" w:rsidR="00F80C33" w:rsidRDefault="00723BFB" w:rsidP="00B33756">
      <w:pPr>
        <w:pStyle w:val="H2"/>
      </w:pPr>
      <w:bookmarkStart w:id="194" w:name="_Toc400547185"/>
      <w:bookmarkStart w:id="195" w:name="_Toc405384290"/>
      <w:bookmarkStart w:id="196" w:name="_Toc405543557"/>
      <w:bookmarkStart w:id="197" w:name="_Toc428178066"/>
      <w:bookmarkStart w:id="198" w:name="_Toc440872697"/>
      <w:bookmarkStart w:id="199" w:name="_Toc458766242"/>
      <w:bookmarkStart w:id="200" w:name="_Toc459292647"/>
      <w:bookmarkStart w:id="201" w:name="_Toc60038354"/>
      <w:r>
        <w:t>5.7</w:t>
      </w:r>
      <w:r>
        <w:tab/>
        <w:t>Settlement for RUC Process</w:t>
      </w:r>
      <w:bookmarkEnd w:id="194"/>
      <w:bookmarkEnd w:id="195"/>
      <w:bookmarkEnd w:id="196"/>
      <w:bookmarkEnd w:id="197"/>
      <w:bookmarkEnd w:id="198"/>
      <w:bookmarkEnd w:id="199"/>
      <w:bookmarkEnd w:id="200"/>
      <w:bookmarkEnd w:id="201"/>
    </w:p>
    <w:p w14:paraId="61888E67" w14:textId="77777777" w:rsidR="00F80C33" w:rsidRPr="000B7479" w:rsidRDefault="00723BFB">
      <w:pPr>
        <w:pStyle w:val="H3"/>
        <w:rPr>
          <w:b/>
          <w:i/>
        </w:rPr>
      </w:pPr>
      <w:bookmarkStart w:id="202" w:name="_Toc74113614"/>
      <w:bookmarkStart w:id="203" w:name="_Toc88017245"/>
      <w:bookmarkStart w:id="204" w:name="_Toc101091055"/>
      <w:bookmarkStart w:id="205" w:name="_Toc400547186"/>
      <w:bookmarkStart w:id="206" w:name="_Toc405384291"/>
      <w:bookmarkStart w:id="207" w:name="_Toc405543558"/>
      <w:bookmarkStart w:id="208" w:name="_Toc428178067"/>
      <w:bookmarkStart w:id="209" w:name="_Toc440872698"/>
      <w:bookmarkStart w:id="210" w:name="_Toc458766243"/>
      <w:bookmarkStart w:id="211" w:name="_Toc459292648"/>
      <w:bookmarkStart w:id="212" w:name="_Toc60038355"/>
      <w:r w:rsidRPr="000B7479">
        <w:rPr>
          <w:b/>
          <w:i/>
        </w:rPr>
        <w:t>5.7.1</w:t>
      </w:r>
      <w:r w:rsidRPr="000B7479">
        <w:rPr>
          <w:b/>
          <w:i/>
        </w:rPr>
        <w:tab/>
        <w:t>RUC Make-Whole Payment</w:t>
      </w:r>
      <w:bookmarkEnd w:id="202"/>
      <w:bookmarkEnd w:id="203"/>
      <w:bookmarkEnd w:id="204"/>
      <w:bookmarkEnd w:id="205"/>
      <w:bookmarkEnd w:id="206"/>
      <w:bookmarkEnd w:id="207"/>
      <w:bookmarkEnd w:id="208"/>
      <w:bookmarkEnd w:id="209"/>
      <w:bookmarkEnd w:id="210"/>
      <w:bookmarkEnd w:id="211"/>
      <w:bookmarkEnd w:id="212"/>
    </w:p>
    <w:p w14:paraId="4ECBE4BA" w14:textId="77777777" w:rsidR="00F80C33" w:rsidRDefault="00723BFB">
      <w:pPr>
        <w:pStyle w:val="BodyTextNumberedChar"/>
      </w:pPr>
      <w:r>
        <w:t>(1)</w:t>
      </w:r>
      <w:r>
        <w:tab/>
        <w:t xml:space="preserve">To make up the difference when the revenues that a </w:t>
      </w:r>
      <w:r w:rsidR="0074370F">
        <w:t>Reliability Unit Commitment (</w:t>
      </w:r>
      <w:r>
        <w:t>RUC</w:t>
      </w:r>
      <w:r w:rsidR="0074370F">
        <w:t>)</w:t>
      </w:r>
      <w:r>
        <w:t xml:space="preserve">-committed Resource receives are less than its costs as described in </w:t>
      </w:r>
      <w:r w:rsidR="0074370F">
        <w:t xml:space="preserve">paragraph </w:t>
      </w:r>
      <w:r>
        <w:t xml:space="preserve">(2) below, ERCOT shall calculate a RUC Make-Whole Payment for that Operating Day for that Resource (whether committed by </w:t>
      </w:r>
      <w:r w:rsidR="0074370F">
        <w:t>Day-Ahead RUC (</w:t>
      </w:r>
      <w:r>
        <w:t>DRUC</w:t>
      </w:r>
      <w:r w:rsidR="0074370F">
        <w:t>)</w:t>
      </w:r>
      <w:r>
        <w:t xml:space="preserve"> or </w:t>
      </w:r>
      <w:r w:rsidR="0074370F">
        <w:t>Hourly RUC (</w:t>
      </w:r>
      <w:r>
        <w:t>HRUC)</w:t>
      </w:r>
      <w:r w:rsidR="0074370F">
        <w:t>)</w:t>
      </w:r>
      <w:r>
        <w:t>.</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FD6A54" w:rsidRPr="004B32CF" w14:paraId="5117430E" w14:textId="77777777" w:rsidTr="00FD6A54">
        <w:trPr>
          <w:trHeight w:val="1205"/>
        </w:trPr>
        <w:tc>
          <w:tcPr>
            <w:tcW w:w="9350" w:type="dxa"/>
            <w:shd w:val="pct12" w:color="auto" w:fill="auto"/>
          </w:tcPr>
          <w:p w14:paraId="32890D29" w14:textId="6C1493F8" w:rsidR="00FD6A54" w:rsidRPr="004B32CF" w:rsidRDefault="00FD6A54" w:rsidP="00FD6A54">
            <w:pPr>
              <w:spacing w:after="240"/>
              <w:rPr>
                <w:b/>
                <w:i/>
                <w:iCs/>
              </w:rPr>
            </w:pPr>
            <w:r w:rsidRPr="004B32CF">
              <w:rPr>
                <w:b/>
                <w:i/>
                <w:iCs/>
              </w:rPr>
              <w:t>[</w:t>
            </w:r>
            <w:r>
              <w:rPr>
                <w:b/>
                <w:i/>
                <w:iCs/>
              </w:rPr>
              <w:t>NPRR1014</w:t>
            </w:r>
            <w:r w:rsidRPr="004B32CF">
              <w:rPr>
                <w:b/>
                <w:i/>
                <w:iCs/>
              </w:rPr>
              <w:t>:  Replace</w:t>
            </w:r>
            <w:r>
              <w:rPr>
                <w:b/>
                <w:i/>
                <w:iCs/>
              </w:rPr>
              <w:t xml:space="preserve"> paragraph</w:t>
            </w:r>
            <w:r w:rsidRPr="004B32CF">
              <w:rPr>
                <w:b/>
                <w:i/>
                <w:iCs/>
              </w:rPr>
              <w:t xml:space="preserve"> (</w:t>
            </w:r>
            <w:r>
              <w:rPr>
                <w:b/>
                <w:i/>
                <w:iCs/>
              </w:rPr>
              <w:t>1</w:t>
            </w:r>
            <w:r w:rsidRPr="004B32CF">
              <w:rPr>
                <w:b/>
                <w:i/>
                <w:iCs/>
              </w:rPr>
              <w:t>) above with the following upon system implementation:]</w:t>
            </w:r>
          </w:p>
          <w:p w14:paraId="4ECAB1E3" w14:textId="393CB417" w:rsidR="00FD6A54" w:rsidRPr="00FA3373" w:rsidRDefault="00FD6A54" w:rsidP="00FD6A54">
            <w:pPr>
              <w:spacing w:after="240"/>
              <w:ind w:left="720" w:hanging="720"/>
            </w:pPr>
            <w:r w:rsidRPr="00A552C3">
              <w:t>(1)</w:t>
            </w:r>
            <w:r w:rsidRPr="00A552C3">
              <w:tab/>
              <w:t xml:space="preserve">To make up the difference when the revenues that a Reliability Unit Commitment (RUC)-committed Resource receives are less than its costs as described in paragraph (2) below, ERCOT shall calculate a RUC Make-Whole Payment for that Operating </w:t>
            </w:r>
            <w:r w:rsidRPr="00A552C3">
              <w:lastRenderedPageBreak/>
              <w:t>Day for that Resource (whether committed by Day-Ahead RUC (DRUC) or Hourly RUC (HRUC)).  ERCOT shall not calculate or pay a RUC Make-Whole Payment for an</w:t>
            </w:r>
            <w:r>
              <w:t xml:space="preserve"> Energy Storage Resource (ESR).</w:t>
            </w:r>
          </w:p>
        </w:tc>
      </w:tr>
    </w:tbl>
    <w:p w14:paraId="7F128F34" w14:textId="7E614274" w:rsidR="00F80C33" w:rsidRDefault="00723BFB" w:rsidP="00300C4D">
      <w:pPr>
        <w:pStyle w:val="BodyTextNumberedChar"/>
        <w:spacing w:before="240"/>
      </w:pPr>
      <w:r>
        <w:lastRenderedPageBreak/>
        <w:t>(2)</w:t>
      </w:r>
      <w:r>
        <w:tab/>
        <w:t xml:space="preserve">ERCOT shall pay to the </w:t>
      </w:r>
      <w:r w:rsidR="00304CFC">
        <w:t>Qualified Scheduling Entity (</w:t>
      </w:r>
      <w:r>
        <w:t>QSE</w:t>
      </w:r>
      <w:r w:rsidR="00304CFC">
        <w:t>)</w:t>
      </w:r>
      <w:r>
        <w:t xml:space="preserve"> for the Resource a Make-Whole Payment if the RUC Guarantee calculated in Section 5.7.1.1, RUC Guarantee, is greater than the sum of:</w:t>
      </w:r>
    </w:p>
    <w:p w14:paraId="060CC3B7" w14:textId="77777777" w:rsidR="00F80C33" w:rsidRDefault="00723BFB">
      <w:pPr>
        <w:pStyle w:val="List2"/>
        <w:rPr>
          <w:rStyle w:val="BodyTextChar"/>
          <w:iCs w:val="0"/>
        </w:rPr>
      </w:pPr>
      <w:bookmarkStart w:id="213" w:name="_Toc106616860"/>
      <w:r>
        <w:rPr>
          <w:rStyle w:val="BodyTextChar"/>
          <w:iCs w:val="0"/>
        </w:rPr>
        <w:t>(a)</w:t>
      </w:r>
      <w:r>
        <w:rPr>
          <w:rStyle w:val="BodyTextChar"/>
          <w:iCs w:val="0"/>
        </w:rPr>
        <w:tab/>
        <w:t xml:space="preserve">RUC Minimum-Energy </w:t>
      </w:r>
      <w:r w:rsidR="0074370F">
        <w:rPr>
          <w:rStyle w:val="BodyTextChar"/>
          <w:iCs w:val="0"/>
        </w:rPr>
        <w:t>R</w:t>
      </w:r>
      <w:r>
        <w:rPr>
          <w:rStyle w:val="BodyTextChar"/>
          <w:iCs w:val="0"/>
        </w:rPr>
        <w:t>evenue calculated in Section 5.7.1.2, RUC Minimum-Energy Revenue;</w:t>
      </w:r>
    </w:p>
    <w:p w14:paraId="32BD06D8" w14:textId="77777777" w:rsidR="00F80C33" w:rsidRDefault="00723BFB">
      <w:pPr>
        <w:pStyle w:val="List2"/>
        <w:rPr>
          <w:rStyle w:val="BodyTextChar"/>
          <w:iCs w:val="0"/>
        </w:rPr>
      </w:pPr>
      <w:r>
        <w:rPr>
          <w:rStyle w:val="BodyTextChar"/>
          <w:iCs w:val="0"/>
        </w:rPr>
        <w:t>(b)</w:t>
      </w:r>
      <w:r>
        <w:rPr>
          <w:rStyle w:val="BodyTextChar"/>
          <w:iCs w:val="0"/>
        </w:rPr>
        <w:tab/>
        <w:t xml:space="preserve">Revenue less cost above </w:t>
      </w:r>
      <w:r w:rsidR="0074370F">
        <w:rPr>
          <w:rStyle w:val="BodyTextChar"/>
          <w:iCs w:val="0"/>
        </w:rPr>
        <w:t>Low Sustained Limited (</w:t>
      </w:r>
      <w:r>
        <w:rPr>
          <w:rStyle w:val="BodyTextChar"/>
          <w:iCs w:val="0"/>
        </w:rPr>
        <w:t>LSL</w:t>
      </w:r>
      <w:r w:rsidR="0074370F">
        <w:rPr>
          <w:rStyle w:val="BodyTextChar"/>
          <w:iCs w:val="0"/>
        </w:rPr>
        <w:t>)</w:t>
      </w:r>
      <w:r>
        <w:rPr>
          <w:rStyle w:val="BodyTextChar"/>
          <w:iCs w:val="0"/>
        </w:rPr>
        <w:t xml:space="preserve"> during RUC-Committed Hours calculated in Section 5.7.1.3, Revenue Less Cost Above LSL During RUC-Committed Hours; and</w:t>
      </w:r>
      <w:bookmarkEnd w:id="213"/>
      <w:r>
        <w:rPr>
          <w:rStyle w:val="BodyTextChar"/>
          <w:iCs w:val="0"/>
        </w:rPr>
        <w:t xml:space="preserve"> </w:t>
      </w:r>
    </w:p>
    <w:p w14:paraId="18BC4B43" w14:textId="77777777" w:rsidR="00F80C33" w:rsidRDefault="00723BFB">
      <w:pPr>
        <w:pStyle w:val="List2"/>
        <w:rPr>
          <w:rStyle w:val="BodyTextChar"/>
          <w:iCs w:val="0"/>
        </w:rPr>
      </w:pPr>
      <w:bookmarkStart w:id="214" w:name="_Toc106616861"/>
      <w:r>
        <w:rPr>
          <w:rStyle w:val="BodyTextChar"/>
          <w:iCs w:val="0"/>
        </w:rPr>
        <w:t>(c)</w:t>
      </w:r>
      <w:r>
        <w:rPr>
          <w:rStyle w:val="BodyTextChar"/>
          <w:iCs w:val="0"/>
        </w:rPr>
        <w:tab/>
        <w:t>Revenue less cost during QSE</w:t>
      </w:r>
      <w:r w:rsidR="00A463E0">
        <w:rPr>
          <w:rStyle w:val="BodyTextChar"/>
          <w:iCs w:val="0"/>
        </w:rPr>
        <w:t xml:space="preserve"> </w:t>
      </w:r>
      <w:proofErr w:type="spellStart"/>
      <w:r>
        <w:rPr>
          <w:rStyle w:val="BodyTextChar"/>
          <w:iCs w:val="0"/>
        </w:rPr>
        <w:t>Clawback</w:t>
      </w:r>
      <w:proofErr w:type="spellEnd"/>
      <w:r>
        <w:rPr>
          <w:rStyle w:val="BodyTextChar"/>
          <w:iCs w:val="0"/>
        </w:rPr>
        <w:t xml:space="preserve"> Intervals calculated in Section 5.7.1.4, Revenue Less Cost During QSE </w:t>
      </w:r>
      <w:proofErr w:type="spellStart"/>
      <w:r>
        <w:rPr>
          <w:rStyle w:val="BodyTextChar"/>
          <w:iCs w:val="0"/>
        </w:rPr>
        <w:t>Clawback</w:t>
      </w:r>
      <w:proofErr w:type="spellEnd"/>
      <w:r>
        <w:rPr>
          <w:rStyle w:val="BodyTextChar"/>
          <w:iCs w:val="0"/>
        </w:rPr>
        <w:t xml:space="preserve"> Intervals.</w:t>
      </w:r>
      <w:bookmarkEnd w:id="214"/>
      <w:r>
        <w:rPr>
          <w:rStyle w:val="BodyTextChar"/>
          <w:iCs w:val="0"/>
        </w:rPr>
        <w:t xml:space="preserve"> </w:t>
      </w:r>
    </w:p>
    <w:p w14:paraId="0AA00510" w14:textId="77777777" w:rsidR="00F80C33" w:rsidRDefault="00723BFB">
      <w:pPr>
        <w:pStyle w:val="BodyTextNumberedChar"/>
        <w:rPr>
          <w:rStyle w:val="CharCharCharChar"/>
          <w:iCs w:val="0"/>
        </w:rPr>
      </w:pPr>
      <w:r>
        <w:t>(3)</w:t>
      </w:r>
      <w:r>
        <w:tab/>
      </w:r>
      <w:r>
        <w:rPr>
          <w:rStyle w:val="CharCharCharChar"/>
          <w:iCs w:val="0"/>
        </w:rPr>
        <w:t xml:space="preserve">The RUC Make-Whole Payment to the QSE for each RUC-committed Resource, including </w:t>
      </w:r>
      <w:r w:rsidR="00A463E0">
        <w:rPr>
          <w:rStyle w:val="CharCharCharChar"/>
          <w:iCs w:val="0"/>
        </w:rPr>
        <w:t>Reliability Must-Run (</w:t>
      </w:r>
      <w:r>
        <w:rPr>
          <w:rStyle w:val="CharCharCharChar"/>
          <w:iCs w:val="0"/>
        </w:rPr>
        <w:t>RMR</w:t>
      </w:r>
      <w:r w:rsidR="00A463E0">
        <w:rPr>
          <w:rStyle w:val="CharCharCharChar"/>
          <w:iCs w:val="0"/>
        </w:rPr>
        <w:t>)</w:t>
      </w:r>
      <w:r>
        <w:rPr>
          <w:rStyle w:val="CharCharCharChar"/>
          <w:iCs w:val="0"/>
        </w:rPr>
        <w:t xml:space="preserve"> </w:t>
      </w:r>
      <w:r w:rsidR="00A463E0">
        <w:rPr>
          <w:rStyle w:val="CharCharCharChar"/>
          <w:iCs w:val="0"/>
        </w:rPr>
        <w:t>U</w:t>
      </w:r>
      <w:r>
        <w:rPr>
          <w:rStyle w:val="CharCharCharChar"/>
          <w:iCs w:val="0"/>
        </w:rPr>
        <w:t>nits, for each RUC-Committed Hour in an Operating Day is calculated as follows:</w:t>
      </w:r>
    </w:p>
    <w:p w14:paraId="37EEE15F" w14:textId="77777777" w:rsidR="00F80C33" w:rsidRDefault="00723BFB" w:rsidP="00C078A2">
      <w:pPr>
        <w:pStyle w:val="FormulaBold"/>
        <w:rPr>
          <w:i/>
          <w:vertAlign w:val="subscript"/>
        </w:rPr>
      </w:pPr>
      <w:proofErr w:type="spellStart"/>
      <w:r>
        <w:t>RUCMWAMT</w:t>
      </w:r>
      <w:r>
        <w:rPr>
          <w:i/>
          <w:vertAlign w:val="subscript"/>
        </w:rPr>
        <w:t>q,r,h</w:t>
      </w:r>
      <w:proofErr w:type="spellEnd"/>
      <w:r>
        <w:tab/>
        <w:t>=</w:t>
      </w:r>
      <w:r>
        <w:tab/>
        <w:t xml:space="preserve">(-1) * Max (0, </w:t>
      </w:r>
      <w:proofErr w:type="spellStart"/>
      <w:r>
        <w:t>RUCG</w:t>
      </w:r>
      <w:r>
        <w:rPr>
          <w:i/>
          <w:vertAlign w:val="subscript"/>
        </w:rPr>
        <w:t>q,r,d</w:t>
      </w:r>
      <w:proofErr w:type="spellEnd"/>
      <w:r>
        <w:t xml:space="preserve"> – </w:t>
      </w:r>
      <w:proofErr w:type="spellStart"/>
      <w:r>
        <w:t>RUCMEREV</w:t>
      </w:r>
      <w:r>
        <w:rPr>
          <w:i/>
          <w:vertAlign w:val="subscript"/>
        </w:rPr>
        <w:t>q,r,d</w:t>
      </w:r>
      <w:proofErr w:type="spellEnd"/>
      <w:r>
        <w:t xml:space="preserve"> – </w:t>
      </w:r>
      <w:proofErr w:type="spellStart"/>
      <w:r>
        <w:t>RUCEXRR</w:t>
      </w:r>
      <w:r>
        <w:rPr>
          <w:i/>
          <w:vertAlign w:val="subscript"/>
        </w:rPr>
        <w:t>q,r,d</w:t>
      </w:r>
      <w:proofErr w:type="spellEnd"/>
      <w:r>
        <w:t xml:space="preserve"> – </w:t>
      </w:r>
      <w:proofErr w:type="spellStart"/>
      <w:r>
        <w:t>RUCEXRQC</w:t>
      </w:r>
      <w:r>
        <w:rPr>
          <w:i/>
          <w:vertAlign w:val="subscript"/>
        </w:rPr>
        <w:t>q,r,d</w:t>
      </w:r>
      <w:proofErr w:type="spellEnd"/>
      <w:r>
        <w:t xml:space="preserve">) / </w:t>
      </w:r>
      <w:proofErr w:type="spellStart"/>
      <w:r>
        <w:t>RUCHR</w:t>
      </w:r>
      <w:r>
        <w:rPr>
          <w:i/>
          <w:vertAlign w:val="subscript"/>
        </w:rPr>
        <w:t>q,r,d</w:t>
      </w:r>
      <w:proofErr w:type="spellEnd"/>
    </w:p>
    <w:p w14:paraId="6248D9F1" w14:textId="77777777" w:rsidR="00E2667F" w:rsidRDefault="00723BFB">
      <w:pPr>
        <w:pStyle w:val="BodyText"/>
        <w:spacing w:before="120" w:after="0"/>
      </w:pPr>
      <w:r>
        <w:t>The above variables are defined as follows:</w:t>
      </w:r>
    </w:p>
    <w:tbl>
      <w:tblPr>
        <w:tblW w:w="5001"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19"/>
        <w:gridCol w:w="761"/>
        <w:gridCol w:w="6672"/>
      </w:tblGrid>
      <w:tr w:rsidR="00F80C33" w14:paraId="7A5C19A5" w14:textId="77777777" w:rsidTr="00186F76">
        <w:trPr>
          <w:cantSplit/>
          <w:tblHeader/>
        </w:trPr>
        <w:tc>
          <w:tcPr>
            <w:tcW w:w="1026" w:type="pct"/>
          </w:tcPr>
          <w:p w14:paraId="1FDDE9FD" w14:textId="77777777" w:rsidR="00F80C33" w:rsidRDefault="00723BFB">
            <w:pPr>
              <w:pStyle w:val="TableHead"/>
            </w:pPr>
            <w:r>
              <w:t>Variable</w:t>
            </w:r>
          </w:p>
        </w:tc>
        <w:tc>
          <w:tcPr>
            <w:tcW w:w="407" w:type="pct"/>
          </w:tcPr>
          <w:p w14:paraId="1F6656EB" w14:textId="77777777" w:rsidR="00F80C33" w:rsidRDefault="00723BFB" w:rsidP="00B34C5D">
            <w:pPr>
              <w:pStyle w:val="TableHead"/>
              <w:jc w:val="center"/>
            </w:pPr>
            <w:r>
              <w:t>Unit</w:t>
            </w:r>
          </w:p>
        </w:tc>
        <w:tc>
          <w:tcPr>
            <w:tcW w:w="3567" w:type="pct"/>
          </w:tcPr>
          <w:p w14:paraId="34213E34" w14:textId="77777777" w:rsidR="00F80C33" w:rsidRDefault="00723BFB">
            <w:pPr>
              <w:pStyle w:val="TableHead"/>
            </w:pPr>
            <w:r>
              <w:t>Definition</w:t>
            </w:r>
          </w:p>
        </w:tc>
      </w:tr>
      <w:tr w:rsidR="00F80C33" w14:paraId="4CF17204" w14:textId="77777777" w:rsidTr="00186F76">
        <w:trPr>
          <w:cantSplit/>
        </w:trPr>
        <w:tc>
          <w:tcPr>
            <w:tcW w:w="1026" w:type="pct"/>
          </w:tcPr>
          <w:p w14:paraId="3A50B718" w14:textId="77777777" w:rsidR="00F80C33" w:rsidRDefault="00723BFB">
            <w:pPr>
              <w:pStyle w:val="TableBody"/>
            </w:pPr>
            <w:proofErr w:type="spellStart"/>
            <w:r>
              <w:t>RUCMWAMT</w:t>
            </w:r>
            <w:r w:rsidRPr="003667DB">
              <w:rPr>
                <w:i/>
                <w:vertAlign w:val="subscript"/>
              </w:rPr>
              <w:t>q,r,h</w:t>
            </w:r>
            <w:proofErr w:type="spellEnd"/>
          </w:p>
        </w:tc>
        <w:tc>
          <w:tcPr>
            <w:tcW w:w="407" w:type="pct"/>
          </w:tcPr>
          <w:p w14:paraId="458CD9C7" w14:textId="77777777" w:rsidR="00F80C33" w:rsidRDefault="00723BFB" w:rsidP="00B34C5D">
            <w:pPr>
              <w:pStyle w:val="TableBody"/>
              <w:jc w:val="center"/>
            </w:pPr>
            <w:r>
              <w:t>$</w:t>
            </w:r>
          </w:p>
        </w:tc>
        <w:tc>
          <w:tcPr>
            <w:tcW w:w="3567" w:type="pct"/>
          </w:tcPr>
          <w:p w14:paraId="478B7AC3" w14:textId="77777777" w:rsidR="00F80C33" w:rsidRDefault="00723BFB">
            <w:pPr>
              <w:pStyle w:val="TableBody"/>
            </w:pPr>
            <w:r w:rsidRPr="00B34C5D">
              <w:rPr>
                <w:i/>
              </w:rPr>
              <w:t>RUC Make-Whole Payment</w:t>
            </w:r>
            <w:r>
              <w:t>—The RUC Make-Whole Payment to the QSE for Resource</w:t>
            </w:r>
            <w:r w:rsidR="00A463E0">
              <w:t xml:space="preserve"> </w:t>
            </w:r>
            <w:r w:rsidR="00A463E0">
              <w:rPr>
                <w:i/>
              </w:rPr>
              <w:t>r</w:t>
            </w:r>
            <w:r>
              <w:t>, for each RUC-Committed Hour of the Operating Day.</w:t>
            </w:r>
            <w:r w:rsidR="00A463E0">
              <w:t xml:space="preserve">  When one or more Combined Cycle Generation Resources are committed by RUC, payment is made to the Combined Cycle Train for all RUC-committed Combined Cycle Generation Resources.</w:t>
            </w:r>
          </w:p>
        </w:tc>
      </w:tr>
      <w:tr w:rsidR="00F80C33" w14:paraId="697F426E" w14:textId="77777777" w:rsidTr="00186F76">
        <w:trPr>
          <w:cantSplit/>
        </w:trPr>
        <w:tc>
          <w:tcPr>
            <w:tcW w:w="1026" w:type="pct"/>
          </w:tcPr>
          <w:p w14:paraId="65AFE1DC" w14:textId="77777777" w:rsidR="00F80C33" w:rsidRDefault="00723BFB">
            <w:pPr>
              <w:pStyle w:val="TableBody"/>
            </w:pPr>
            <w:proofErr w:type="spellStart"/>
            <w:r>
              <w:t>RUCG</w:t>
            </w:r>
            <w:r w:rsidRPr="003667DB">
              <w:rPr>
                <w:i/>
                <w:vertAlign w:val="subscript"/>
              </w:rPr>
              <w:t>q,r,d</w:t>
            </w:r>
            <w:proofErr w:type="spellEnd"/>
          </w:p>
        </w:tc>
        <w:tc>
          <w:tcPr>
            <w:tcW w:w="407" w:type="pct"/>
          </w:tcPr>
          <w:p w14:paraId="2778B008" w14:textId="77777777" w:rsidR="00F80C33" w:rsidRDefault="00723BFB" w:rsidP="00B34C5D">
            <w:pPr>
              <w:pStyle w:val="TableBody"/>
              <w:jc w:val="center"/>
            </w:pPr>
            <w:r>
              <w:t>$</w:t>
            </w:r>
          </w:p>
        </w:tc>
        <w:tc>
          <w:tcPr>
            <w:tcW w:w="3567" w:type="pct"/>
          </w:tcPr>
          <w:p w14:paraId="5C05E717" w14:textId="77777777" w:rsidR="00F80C33" w:rsidRDefault="00723BFB" w:rsidP="00A463E0">
            <w:pPr>
              <w:pStyle w:val="TableBody"/>
            </w:pPr>
            <w:r w:rsidRPr="00B34C5D">
              <w:rPr>
                <w:i/>
              </w:rPr>
              <w:t>RUC Guarantee</w:t>
            </w:r>
            <w:r>
              <w:t xml:space="preserve">—The sum of eligible Startup Costs and </w:t>
            </w:r>
            <w:r w:rsidR="00A463E0">
              <w:t>m</w:t>
            </w:r>
            <w:r>
              <w:t>inimum-</w:t>
            </w:r>
            <w:r w:rsidR="00A463E0">
              <w:t>e</w:t>
            </w:r>
            <w:r>
              <w:t xml:space="preserve">nergy </w:t>
            </w:r>
            <w:r w:rsidR="00A463E0">
              <w:t>c</w:t>
            </w:r>
            <w:r>
              <w:t>osts</w:t>
            </w:r>
            <w:r w:rsidR="00A463E0">
              <w:t xml:space="preserve"> for Resource </w:t>
            </w:r>
            <w:r w:rsidR="00A463E0">
              <w:rPr>
                <w:i/>
              </w:rPr>
              <w:t>r</w:t>
            </w:r>
            <w:r>
              <w:t xml:space="preserve"> during all RUC-Committed Hours, for the Operating Day.  See Section 5.7.1.1.</w:t>
            </w:r>
            <w:r w:rsidR="00A463E0">
              <w:t xml:space="preserve">  When one or more Combined Cycle Generation Resources are committed by RUC, guaranteed costs are calculated for the Combined Cycle Train for all RUC-committed Combined Cycle Generation Resources.</w:t>
            </w:r>
          </w:p>
        </w:tc>
      </w:tr>
      <w:tr w:rsidR="00F80C33" w14:paraId="01E3ADDF" w14:textId="77777777" w:rsidTr="00186F76">
        <w:trPr>
          <w:cantSplit/>
        </w:trPr>
        <w:tc>
          <w:tcPr>
            <w:tcW w:w="1026" w:type="pct"/>
          </w:tcPr>
          <w:p w14:paraId="52247770" w14:textId="77777777" w:rsidR="00F80C33" w:rsidRDefault="00723BFB">
            <w:pPr>
              <w:pStyle w:val="TableBody"/>
            </w:pPr>
            <w:proofErr w:type="spellStart"/>
            <w:r>
              <w:t>RUCMEREV</w:t>
            </w:r>
            <w:r w:rsidRPr="003667DB">
              <w:rPr>
                <w:i/>
                <w:vertAlign w:val="subscript"/>
              </w:rPr>
              <w:t>q,r,d</w:t>
            </w:r>
            <w:proofErr w:type="spellEnd"/>
          </w:p>
        </w:tc>
        <w:tc>
          <w:tcPr>
            <w:tcW w:w="407" w:type="pct"/>
          </w:tcPr>
          <w:p w14:paraId="5C06D8BB" w14:textId="77777777" w:rsidR="00F80C33" w:rsidRDefault="00723BFB" w:rsidP="00B34C5D">
            <w:pPr>
              <w:pStyle w:val="TableBody"/>
              <w:jc w:val="center"/>
            </w:pPr>
            <w:r>
              <w:t>$</w:t>
            </w:r>
          </w:p>
        </w:tc>
        <w:tc>
          <w:tcPr>
            <w:tcW w:w="3567" w:type="pct"/>
          </w:tcPr>
          <w:p w14:paraId="0DB55DFF" w14:textId="77777777" w:rsidR="00F80C33" w:rsidRDefault="00723BFB" w:rsidP="00A463E0">
            <w:pPr>
              <w:pStyle w:val="TableBody"/>
            </w:pPr>
            <w:r w:rsidRPr="00B34C5D">
              <w:rPr>
                <w:i/>
              </w:rPr>
              <w:t>RUC Minimum-Energy Revenue</w:t>
            </w:r>
            <w:r>
              <w:t>—The sum of the energy revenues for Resource</w:t>
            </w:r>
            <w:r w:rsidR="00A463E0">
              <w:t xml:space="preserve"> </w:t>
            </w:r>
            <w:r w:rsidR="00A463E0">
              <w:rPr>
                <w:i/>
              </w:rPr>
              <w:t>r</w:t>
            </w:r>
            <w:r>
              <w:t>’s generation up to LSL during all RUC-Committed Hours, for the Operating Day.  See Section 5.7.1.2.</w:t>
            </w:r>
            <w:r w:rsidR="00A463E0">
              <w:t xml:space="preserve">  When one or more Combined Cycle Generation Resources are committed by RUC, minimum-energy revenue is calculated for the Combined Cycle Train for all RUC-committed Combined Cycle Generation Resources.</w:t>
            </w:r>
          </w:p>
        </w:tc>
      </w:tr>
      <w:tr w:rsidR="00F80C33" w14:paraId="25E1C8EB" w14:textId="77777777" w:rsidTr="00186F76">
        <w:trPr>
          <w:cantSplit/>
        </w:trPr>
        <w:tc>
          <w:tcPr>
            <w:tcW w:w="1026" w:type="pct"/>
          </w:tcPr>
          <w:p w14:paraId="1691FA43" w14:textId="77777777" w:rsidR="00F80C33" w:rsidRDefault="00723BFB">
            <w:pPr>
              <w:pStyle w:val="TableBody"/>
            </w:pPr>
            <w:proofErr w:type="spellStart"/>
            <w:r>
              <w:lastRenderedPageBreak/>
              <w:t>RUCEXRR</w:t>
            </w:r>
            <w:r w:rsidRPr="003667DB">
              <w:rPr>
                <w:i/>
                <w:vertAlign w:val="subscript"/>
              </w:rPr>
              <w:t>q,r,d</w:t>
            </w:r>
            <w:proofErr w:type="spellEnd"/>
          </w:p>
        </w:tc>
        <w:tc>
          <w:tcPr>
            <w:tcW w:w="407" w:type="pct"/>
          </w:tcPr>
          <w:p w14:paraId="793AA34C" w14:textId="77777777" w:rsidR="00F80C33" w:rsidRDefault="00723BFB" w:rsidP="00B34C5D">
            <w:pPr>
              <w:pStyle w:val="TableBody"/>
              <w:jc w:val="center"/>
            </w:pPr>
            <w:r>
              <w:t>$</w:t>
            </w:r>
          </w:p>
        </w:tc>
        <w:tc>
          <w:tcPr>
            <w:tcW w:w="3567" w:type="pct"/>
          </w:tcPr>
          <w:p w14:paraId="59978BFA" w14:textId="77777777" w:rsidR="00F80C33" w:rsidRDefault="00723BFB" w:rsidP="00A463E0">
            <w:pPr>
              <w:pStyle w:val="TableBody"/>
            </w:pPr>
            <w:r w:rsidRPr="00B34C5D">
              <w:rPr>
                <w:i/>
              </w:rPr>
              <w:t>Revenue Less Cost Above LSL During RUC-Committed Hours</w:t>
            </w:r>
            <w:r>
              <w:t>—The sum of the total revenue for Resource</w:t>
            </w:r>
            <w:r w:rsidR="00A463E0">
              <w:t xml:space="preserve"> </w:t>
            </w:r>
            <w:r w:rsidR="00A463E0">
              <w:rPr>
                <w:i/>
              </w:rPr>
              <w:t>r</w:t>
            </w:r>
            <w:r>
              <w:t xml:space="preserve"> operating above its LSL less the cost during all RUC-Committed Hours, for the Operating Day.  See Section 5.7.1.3.</w:t>
            </w:r>
            <w:r w:rsidR="00A463E0">
              <w:t xml:space="preserve">  When one or more Combined Cycle Generation Resources are committed by RUC, revenue less cost above LSL is calculated for the Combined Cycle Train for all RUC-committed Combined Cycle Generation Resources.</w:t>
            </w:r>
          </w:p>
        </w:tc>
      </w:tr>
      <w:tr w:rsidR="00F80C33" w14:paraId="35501F76" w14:textId="77777777" w:rsidTr="00186F76">
        <w:trPr>
          <w:cantSplit/>
        </w:trPr>
        <w:tc>
          <w:tcPr>
            <w:tcW w:w="1026" w:type="pct"/>
          </w:tcPr>
          <w:p w14:paraId="61E5A3B4" w14:textId="77777777" w:rsidR="00F80C33" w:rsidRDefault="00723BFB">
            <w:pPr>
              <w:pStyle w:val="TableBody"/>
            </w:pPr>
            <w:proofErr w:type="spellStart"/>
            <w:r>
              <w:t>RUCEXRQC</w:t>
            </w:r>
            <w:r w:rsidRPr="003667DB">
              <w:rPr>
                <w:i/>
                <w:vertAlign w:val="subscript"/>
              </w:rPr>
              <w:t>q,r,d</w:t>
            </w:r>
            <w:proofErr w:type="spellEnd"/>
          </w:p>
        </w:tc>
        <w:tc>
          <w:tcPr>
            <w:tcW w:w="407" w:type="pct"/>
          </w:tcPr>
          <w:p w14:paraId="41C62368" w14:textId="77777777" w:rsidR="00F80C33" w:rsidRDefault="00723BFB" w:rsidP="00B34C5D">
            <w:pPr>
              <w:pStyle w:val="TableBody"/>
              <w:jc w:val="center"/>
            </w:pPr>
            <w:r>
              <w:t>$</w:t>
            </w:r>
          </w:p>
        </w:tc>
        <w:tc>
          <w:tcPr>
            <w:tcW w:w="3567" w:type="pct"/>
          </w:tcPr>
          <w:p w14:paraId="69491FA6" w14:textId="77777777" w:rsidR="00F80C33" w:rsidRDefault="00723BFB" w:rsidP="00A463E0">
            <w:pPr>
              <w:pStyle w:val="TableBody"/>
            </w:pPr>
            <w:r w:rsidRPr="00B34C5D">
              <w:rPr>
                <w:i/>
              </w:rPr>
              <w:t>Revenue Less Cost During QSE</w:t>
            </w:r>
            <w:r w:rsidR="00A463E0">
              <w:rPr>
                <w:i/>
              </w:rPr>
              <w:t xml:space="preserve"> </w:t>
            </w:r>
            <w:proofErr w:type="spellStart"/>
            <w:r w:rsidRPr="00B34C5D">
              <w:rPr>
                <w:i/>
              </w:rPr>
              <w:t>Clawback</w:t>
            </w:r>
            <w:proofErr w:type="spellEnd"/>
            <w:r w:rsidRPr="00B34C5D">
              <w:rPr>
                <w:i/>
              </w:rPr>
              <w:t xml:space="preserve"> Intervals</w:t>
            </w:r>
            <w:r>
              <w:t>—The sum of the total revenue for Resource</w:t>
            </w:r>
            <w:r w:rsidR="00A463E0">
              <w:t xml:space="preserve"> </w:t>
            </w:r>
            <w:r w:rsidR="00A463E0">
              <w:rPr>
                <w:i/>
              </w:rPr>
              <w:t>r</w:t>
            </w:r>
            <w:r>
              <w:t xml:space="preserve"> less the cost during all QSE</w:t>
            </w:r>
            <w:r w:rsidR="00A463E0">
              <w:t xml:space="preserve"> </w:t>
            </w:r>
            <w:proofErr w:type="spellStart"/>
            <w:r>
              <w:t>Clawback</w:t>
            </w:r>
            <w:proofErr w:type="spellEnd"/>
            <w:r>
              <w:t xml:space="preserve"> Intervals, for the Operating Day.  See Section 5.7.1.4.</w:t>
            </w:r>
            <w:r w:rsidR="00A463E0">
              <w:t xml:space="preserve">  When one or more Combined Cycle Generation Resources are committed by RUC, revenue less cost during QSE </w:t>
            </w:r>
            <w:proofErr w:type="spellStart"/>
            <w:r w:rsidR="00A463E0">
              <w:t>Clawback</w:t>
            </w:r>
            <w:proofErr w:type="spellEnd"/>
            <w:r w:rsidR="00A463E0">
              <w:t xml:space="preserve"> Intervals is calculated for the Combined Cycle Train for all Combined Cycle Generation Resources earning revenue in QSE </w:t>
            </w:r>
            <w:proofErr w:type="spellStart"/>
            <w:r w:rsidR="00A463E0">
              <w:t>Clawback</w:t>
            </w:r>
            <w:proofErr w:type="spellEnd"/>
            <w:r w:rsidR="00A463E0">
              <w:t xml:space="preserve"> Intervals.</w:t>
            </w:r>
          </w:p>
        </w:tc>
      </w:tr>
      <w:tr w:rsidR="00F80C33" w14:paraId="605D2BE7" w14:textId="77777777" w:rsidTr="00186F76">
        <w:trPr>
          <w:cantSplit/>
        </w:trPr>
        <w:tc>
          <w:tcPr>
            <w:tcW w:w="1026" w:type="pct"/>
          </w:tcPr>
          <w:p w14:paraId="5DD3CAE1" w14:textId="77777777" w:rsidR="00F80C33" w:rsidRDefault="00723BFB">
            <w:pPr>
              <w:pStyle w:val="TableBody"/>
            </w:pPr>
            <w:proofErr w:type="spellStart"/>
            <w:r>
              <w:t>RUCHR</w:t>
            </w:r>
            <w:r w:rsidRPr="003667DB">
              <w:rPr>
                <w:i/>
                <w:vertAlign w:val="subscript"/>
              </w:rPr>
              <w:t>q,r,d</w:t>
            </w:r>
            <w:proofErr w:type="spellEnd"/>
          </w:p>
        </w:tc>
        <w:tc>
          <w:tcPr>
            <w:tcW w:w="407" w:type="pct"/>
          </w:tcPr>
          <w:p w14:paraId="211B11DA" w14:textId="77777777" w:rsidR="00F80C33" w:rsidRDefault="00723BFB" w:rsidP="00B34C5D">
            <w:pPr>
              <w:pStyle w:val="TableBody"/>
              <w:jc w:val="center"/>
            </w:pPr>
            <w:r>
              <w:t>None</w:t>
            </w:r>
          </w:p>
        </w:tc>
        <w:tc>
          <w:tcPr>
            <w:tcW w:w="3567" w:type="pct"/>
          </w:tcPr>
          <w:p w14:paraId="26889231" w14:textId="77777777" w:rsidR="00F80C33" w:rsidRDefault="00723BFB">
            <w:pPr>
              <w:pStyle w:val="TableBody"/>
            </w:pPr>
            <w:r>
              <w:t>RUC Hour</w:t>
            </w:r>
            <w:r w:rsidR="00A463E0">
              <w:t>—</w:t>
            </w:r>
            <w:r>
              <w:t>The total number of RUC-Committed Hours, for Resource</w:t>
            </w:r>
            <w:r w:rsidR="00A463E0">
              <w:t xml:space="preserve"> </w:t>
            </w:r>
            <w:r w:rsidR="00A463E0">
              <w:rPr>
                <w:i/>
              </w:rPr>
              <w:t>r</w:t>
            </w:r>
            <w:r>
              <w:t xml:space="preserve"> for the Operating Day.</w:t>
            </w:r>
            <w:r w:rsidR="00A463E0">
              <w:t xml:space="preserve">  When one or more Combined Cycle Generation Resources are committed by RUC, the total number of RUC-Committed Hours is calculated for the Combined Cycle Train for all RUC-committed Combined Cycle Generation Resources.</w:t>
            </w:r>
          </w:p>
        </w:tc>
      </w:tr>
      <w:tr w:rsidR="00F80C33" w14:paraId="06032FF9" w14:textId="77777777" w:rsidTr="00186F76">
        <w:trPr>
          <w:cantSplit/>
        </w:trPr>
        <w:tc>
          <w:tcPr>
            <w:tcW w:w="1026" w:type="pct"/>
          </w:tcPr>
          <w:p w14:paraId="716A2F68" w14:textId="77777777" w:rsidR="00F80C33" w:rsidRDefault="00723BFB">
            <w:pPr>
              <w:pStyle w:val="TableBody"/>
            </w:pPr>
            <w:r w:rsidRPr="00B34C5D">
              <w:rPr>
                <w:i/>
              </w:rPr>
              <w:t>q</w:t>
            </w:r>
          </w:p>
        </w:tc>
        <w:tc>
          <w:tcPr>
            <w:tcW w:w="407" w:type="pct"/>
          </w:tcPr>
          <w:p w14:paraId="11A9979A" w14:textId="77777777" w:rsidR="00F80C33" w:rsidRDefault="00723BFB" w:rsidP="00B34C5D">
            <w:pPr>
              <w:pStyle w:val="TableBody"/>
              <w:jc w:val="center"/>
            </w:pPr>
            <w:r>
              <w:t>None</w:t>
            </w:r>
          </w:p>
        </w:tc>
        <w:tc>
          <w:tcPr>
            <w:tcW w:w="3567" w:type="pct"/>
          </w:tcPr>
          <w:p w14:paraId="3229BB4C" w14:textId="77777777" w:rsidR="00F80C33" w:rsidRDefault="00723BFB">
            <w:pPr>
              <w:pStyle w:val="TableBody"/>
            </w:pPr>
            <w:r>
              <w:t>A QSE.</w:t>
            </w:r>
          </w:p>
        </w:tc>
      </w:tr>
      <w:tr w:rsidR="00F80C33" w14:paraId="173567EE" w14:textId="77777777" w:rsidTr="00186F76">
        <w:trPr>
          <w:cantSplit/>
        </w:trPr>
        <w:tc>
          <w:tcPr>
            <w:tcW w:w="1026" w:type="pct"/>
          </w:tcPr>
          <w:p w14:paraId="4354235F" w14:textId="77777777" w:rsidR="00F80C33" w:rsidRDefault="00723BFB">
            <w:pPr>
              <w:pStyle w:val="TableBody"/>
            </w:pPr>
            <w:r w:rsidRPr="00B34C5D">
              <w:rPr>
                <w:i/>
              </w:rPr>
              <w:t>r</w:t>
            </w:r>
          </w:p>
        </w:tc>
        <w:tc>
          <w:tcPr>
            <w:tcW w:w="407" w:type="pct"/>
          </w:tcPr>
          <w:p w14:paraId="0DDDCB08" w14:textId="77777777" w:rsidR="00F80C33" w:rsidRDefault="00723BFB" w:rsidP="00B34C5D">
            <w:pPr>
              <w:pStyle w:val="TableBody"/>
              <w:jc w:val="center"/>
            </w:pPr>
            <w:r>
              <w:t>None</w:t>
            </w:r>
          </w:p>
        </w:tc>
        <w:tc>
          <w:tcPr>
            <w:tcW w:w="3567" w:type="pct"/>
          </w:tcPr>
          <w:p w14:paraId="10C2AB61" w14:textId="77777777" w:rsidR="00F80C33" w:rsidRDefault="00723BFB">
            <w:pPr>
              <w:pStyle w:val="TableBody"/>
            </w:pPr>
            <w:r>
              <w:t>A RUC-committed Generation Resource.</w:t>
            </w:r>
          </w:p>
        </w:tc>
      </w:tr>
      <w:tr w:rsidR="00F80C33" w14:paraId="3D93F13F" w14:textId="77777777" w:rsidTr="00186F76">
        <w:trPr>
          <w:cantSplit/>
        </w:trPr>
        <w:tc>
          <w:tcPr>
            <w:tcW w:w="1026" w:type="pct"/>
          </w:tcPr>
          <w:p w14:paraId="76E0D812" w14:textId="77777777" w:rsidR="00F80C33" w:rsidRDefault="00723BFB">
            <w:pPr>
              <w:pStyle w:val="TableBody"/>
            </w:pPr>
            <w:r w:rsidRPr="00B34C5D">
              <w:rPr>
                <w:i/>
              </w:rPr>
              <w:t>d</w:t>
            </w:r>
          </w:p>
        </w:tc>
        <w:tc>
          <w:tcPr>
            <w:tcW w:w="407" w:type="pct"/>
          </w:tcPr>
          <w:p w14:paraId="2ACE16BD" w14:textId="77777777" w:rsidR="00F80C33" w:rsidRDefault="00723BFB" w:rsidP="00B34C5D">
            <w:pPr>
              <w:pStyle w:val="TableBody"/>
              <w:jc w:val="center"/>
            </w:pPr>
            <w:r>
              <w:t>None</w:t>
            </w:r>
          </w:p>
        </w:tc>
        <w:tc>
          <w:tcPr>
            <w:tcW w:w="3567" w:type="pct"/>
          </w:tcPr>
          <w:p w14:paraId="3F4B0F3A" w14:textId="77777777" w:rsidR="00F80C33" w:rsidRDefault="00723BFB">
            <w:pPr>
              <w:pStyle w:val="TableBody"/>
            </w:pPr>
            <w:r>
              <w:t>An Operating Day containing the RUC-commitment.</w:t>
            </w:r>
          </w:p>
        </w:tc>
      </w:tr>
      <w:tr w:rsidR="00F80C33" w14:paraId="1AC12B90" w14:textId="77777777" w:rsidTr="00186F76">
        <w:trPr>
          <w:cantSplit/>
        </w:trPr>
        <w:tc>
          <w:tcPr>
            <w:tcW w:w="1026" w:type="pct"/>
          </w:tcPr>
          <w:p w14:paraId="6F9ADB2B" w14:textId="77777777" w:rsidR="00F80C33" w:rsidRDefault="00723BFB">
            <w:pPr>
              <w:pStyle w:val="TableBody"/>
            </w:pPr>
            <w:r w:rsidRPr="00B34C5D">
              <w:rPr>
                <w:i/>
              </w:rPr>
              <w:t>h</w:t>
            </w:r>
          </w:p>
        </w:tc>
        <w:tc>
          <w:tcPr>
            <w:tcW w:w="407" w:type="pct"/>
          </w:tcPr>
          <w:p w14:paraId="22D7064C" w14:textId="77777777" w:rsidR="00F80C33" w:rsidRDefault="00723BFB" w:rsidP="00B34C5D">
            <w:pPr>
              <w:pStyle w:val="TableBody"/>
              <w:jc w:val="center"/>
            </w:pPr>
            <w:r>
              <w:t>None</w:t>
            </w:r>
          </w:p>
        </w:tc>
        <w:tc>
          <w:tcPr>
            <w:tcW w:w="3567" w:type="pct"/>
          </w:tcPr>
          <w:p w14:paraId="2E1946E3" w14:textId="77777777" w:rsidR="00F80C33" w:rsidRDefault="00723BFB">
            <w:pPr>
              <w:pStyle w:val="TableBody"/>
            </w:pPr>
            <w:r>
              <w:t>An hour in the RUC-commitment period.</w:t>
            </w:r>
          </w:p>
        </w:tc>
      </w:tr>
    </w:tbl>
    <w:p w14:paraId="7FB0F685" w14:textId="77777777" w:rsidR="00F80C33" w:rsidRDefault="00723BFB" w:rsidP="006F56C9">
      <w:pPr>
        <w:pStyle w:val="H4"/>
        <w:spacing w:before="480"/>
        <w:ind w:left="1267" w:hanging="1267"/>
      </w:pPr>
      <w:bookmarkStart w:id="215" w:name="_Toc400547187"/>
      <w:bookmarkStart w:id="216" w:name="_Toc405384292"/>
      <w:bookmarkStart w:id="217" w:name="_Toc405543559"/>
      <w:bookmarkStart w:id="218" w:name="_Toc428178068"/>
      <w:bookmarkStart w:id="219" w:name="_Toc440872699"/>
      <w:bookmarkStart w:id="220" w:name="_Toc458766244"/>
      <w:bookmarkStart w:id="221" w:name="_Toc459292649"/>
      <w:bookmarkStart w:id="222" w:name="_Toc60038356"/>
      <w:r>
        <w:t>5.7.1.1</w:t>
      </w:r>
      <w:r>
        <w:tab/>
        <w:t>RUC Guarantee</w:t>
      </w:r>
      <w:bookmarkEnd w:id="215"/>
      <w:bookmarkEnd w:id="216"/>
      <w:bookmarkEnd w:id="217"/>
      <w:bookmarkEnd w:id="218"/>
      <w:bookmarkEnd w:id="219"/>
      <w:bookmarkEnd w:id="220"/>
      <w:bookmarkEnd w:id="221"/>
      <w:bookmarkEnd w:id="222"/>
    </w:p>
    <w:p w14:paraId="42EE49E5" w14:textId="77777777" w:rsidR="00F80C33" w:rsidRDefault="00723BFB">
      <w:pPr>
        <w:pStyle w:val="BodyTextNumberedChar"/>
      </w:pPr>
      <w:r>
        <w:t>(1)</w:t>
      </w:r>
      <w:r>
        <w:tab/>
      </w:r>
      <w:r w:rsidR="004A3F5E">
        <w:rPr>
          <w:rStyle w:val="BodyTextChar"/>
        </w:rPr>
        <w:t xml:space="preserve">The allowable Startup Costs and minimum-energy costs of a Resource committed by RUC is the RUC Guarantee. </w:t>
      </w:r>
      <w:r w:rsidR="004A3F5E">
        <w:t xml:space="preserve"> </w:t>
      </w:r>
      <w:r>
        <w:t xml:space="preserve">The RUC Guarantee </w:t>
      </w:r>
      <w:r w:rsidR="0037213B">
        <w:t>m</w:t>
      </w:r>
      <w:r>
        <w:t>inimum-</w:t>
      </w:r>
      <w:r w:rsidR="0037213B">
        <w:t>e</w:t>
      </w:r>
      <w:r>
        <w:t xml:space="preserve">nergy </w:t>
      </w:r>
      <w:r w:rsidR="0037213B">
        <w:t>c</w:t>
      </w:r>
      <w:r>
        <w:t>osts are prorated according to the actual generation when the Resource’s average output during a 15-minute Settlement Interval is below the corresponding LSL.</w:t>
      </w:r>
    </w:p>
    <w:p w14:paraId="4A95C084" w14:textId="053B5654" w:rsidR="004A3F5E" w:rsidRDefault="004A3F5E">
      <w:pPr>
        <w:pStyle w:val="BodyTextNumberedChar"/>
      </w:pPr>
      <w:r>
        <w:t>(2)</w:t>
      </w:r>
      <w:r>
        <w:tab/>
      </w:r>
      <w:r w:rsidR="00EF0FB5">
        <w:t xml:space="preserve">The SUPR, MEPR and LSL used to calculate the RUC Guarantee for a Combined Cycle Train are the SUPR, MEPR and LSL that correspond to the Combined Cycle Generation Resource, within the Combined Cycle Train, that is RUC-committed for the hour.  If the RUC-Committed Interval is a </w:t>
      </w:r>
      <w:r w:rsidR="00EF0FB5" w:rsidRPr="00E157CA">
        <w:t>RUC</w:t>
      </w:r>
      <w:r w:rsidR="00EF0FB5">
        <w:t xml:space="preserve"> for Additional Capacity</w:t>
      </w:r>
      <w:r w:rsidR="00EF0FB5" w:rsidRPr="00181C50">
        <w:t xml:space="preserve"> </w:t>
      </w:r>
      <w:r w:rsidR="00EF0FB5" w:rsidRPr="00C66E0B">
        <w:t>(RUC</w:t>
      </w:r>
      <w:r w:rsidR="00EF0FB5">
        <w:t>AC</w:t>
      </w:r>
      <w:r w:rsidR="00EF0FB5" w:rsidRPr="00C66E0B">
        <w:t>)-</w:t>
      </w:r>
      <w:r w:rsidR="00EF0FB5">
        <w:t>Interval</w:t>
      </w:r>
      <w:r w:rsidR="00EF0FB5" w:rsidRPr="00E157CA">
        <w:t>, then the</w:t>
      </w:r>
      <w:r w:rsidR="00EF0FB5">
        <w:t xml:space="preserve"> SUPR, MEPR, and LSL that corresponds to the QSE-committed Combined Cycle Generation Resource is also used to calculate RUC Guarantee for a Combined Cycle Train.</w:t>
      </w:r>
    </w:p>
    <w:p w14:paraId="35983248" w14:textId="77777777" w:rsidR="001A6D3F" w:rsidRDefault="001A6D3F" w:rsidP="00646994">
      <w:pPr>
        <w:pStyle w:val="BodyTextNumberedChar"/>
      </w:pPr>
      <w:r w:rsidRPr="009E5389">
        <w:rPr>
          <w:iCs/>
        </w:rPr>
        <w:t>(3)</w:t>
      </w:r>
      <w:r w:rsidRPr="009E5389">
        <w:rPr>
          <w:iCs/>
        </w:rPr>
        <w:tab/>
        <w:t xml:space="preserve">For an Aggregate Generation Resource (AGR), the Startup Cost shall be scaled according to the </w:t>
      </w:r>
      <w:r w:rsidRPr="009E5389">
        <w:t>maximum number of its generators online during a contiguous block of RUC-committed intervals, as indicated by telemetry, compared to the total number of generators registered to the AGR and used in the approved verifiable cost for the AGR.</w:t>
      </w:r>
    </w:p>
    <w:p w14:paraId="2ACDB5B8" w14:textId="77777777" w:rsidR="00F80C33" w:rsidRDefault="00723BFB">
      <w:pPr>
        <w:pStyle w:val="BodyTextNumberedChar"/>
      </w:pPr>
      <w:r>
        <w:t>(</w:t>
      </w:r>
      <w:r w:rsidR="001A6D3F">
        <w:t>4</w:t>
      </w:r>
      <w:r>
        <w:t>)</w:t>
      </w:r>
      <w:r>
        <w:tab/>
        <w:t xml:space="preserve">The RUC Guarantee is calculated </w:t>
      </w:r>
      <w:r w:rsidR="004A3F5E">
        <w:t xml:space="preserve">for non-Combined Cycle Trains </w:t>
      </w:r>
      <w:r>
        <w:t>as follows:</w:t>
      </w:r>
      <w:r>
        <w:rPr>
          <w:highlight w:val="green"/>
        </w:rPr>
        <w:t xml:space="preserve"> </w:t>
      </w:r>
    </w:p>
    <w:p w14:paraId="30C12B36" w14:textId="77777777" w:rsidR="00F80C33" w:rsidRDefault="00723BFB" w:rsidP="00C078A2">
      <w:pPr>
        <w:pStyle w:val="FormulaBold"/>
      </w:pPr>
      <w:r>
        <w:lastRenderedPageBreak/>
        <w:t>RUCG</w:t>
      </w:r>
      <w:r w:rsidR="008032E7">
        <w:rPr>
          <w:lang w:val="en-US"/>
        </w:rPr>
        <w:t xml:space="preserve"> </w:t>
      </w:r>
      <w:r w:rsidRPr="003A4C46">
        <w:rPr>
          <w:i/>
          <w:vertAlign w:val="subscript"/>
        </w:rPr>
        <w:t>q,</w:t>
      </w:r>
      <w:r w:rsidR="008032E7">
        <w:rPr>
          <w:i/>
          <w:vertAlign w:val="subscript"/>
          <w:lang w:val="en-US"/>
        </w:rPr>
        <w:t xml:space="preserve"> </w:t>
      </w:r>
      <w:r w:rsidRPr="003A4C46">
        <w:rPr>
          <w:i/>
          <w:vertAlign w:val="subscript"/>
        </w:rPr>
        <w:t>r,</w:t>
      </w:r>
      <w:r w:rsidR="008032E7">
        <w:rPr>
          <w:i/>
          <w:vertAlign w:val="subscript"/>
          <w:lang w:val="en-US"/>
        </w:rPr>
        <w:t xml:space="preserve"> </w:t>
      </w:r>
      <w:r w:rsidRPr="003A4C46">
        <w:rPr>
          <w:i/>
          <w:vertAlign w:val="subscript"/>
        </w:rPr>
        <w:t>d</w:t>
      </w:r>
      <w:r>
        <w:tab/>
        <w:t>=</w:t>
      </w:r>
      <w:r>
        <w:tab/>
        <w:t xml:space="preserve"> </w:t>
      </w:r>
      <w:r w:rsidR="00F80C33" w:rsidRPr="00F80C33">
        <w:rPr>
          <w:position w:val="-20"/>
          <w:lang w:val="pt-BR"/>
        </w:rPr>
        <w:object w:dxaOrig="220" w:dyaOrig="440" w14:anchorId="0523E1FC">
          <v:shape id="_x0000_i1026" type="#_x0000_t75" style="width:9.6pt;height:22.8pt" o:ole="">
            <v:imagedata r:id="rId19" o:title=""/>
          </v:shape>
          <o:OLEObject Type="Embed" ProgID="Equation.3" ShapeID="_x0000_i1026" DrawAspect="Content" ObjectID="_1775281556" r:id="rId20"/>
        </w:object>
      </w:r>
      <w:r>
        <w:t>(SUPR</w:t>
      </w:r>
      <w:r w:rsidR="008032E7">
        <w:rPr>
          <w:lang w:val="en-US"/>
        </w:rPr>
        <w:t xml:space="preserve"> </w:t>
      </w:r>
      <w:r>
        <w:rPr>
          <w:i/>
          <w:vertAlign w:val="subscript"/>
        </w:rPr>
        <w:t>q,</w:t>
      </w:r>
      <w:r w:rsidR="008032E7">
        <w:rPr>
          <w:i/>
          <w:vertAlign w:val="subscript"/>
          <w:lang w:val="en-US"/>
        </w:rPr>
        <w:t xml:space="preserve"> </w:t>
      </w:r>
      <w:r>
        <w:rPr>
          <w:i/>
          <w:vertAlign w:val="subscript"/>
        </w:rPr>
        <w:t>r,</w:t>
      </w:r>
      <w:r w:rsidR="008032E7">
        <w:rPr>
          <w:i/>
          <w:vertAlign w:val="subscript"/>
          <w:lang w:val="en-US"/>
        </w:rPr>
        <w:t xml:space="preserve"> </w:t>
      </w:r>
      <w:r>
        <w:rPr>
          <w:i/>
          <w:vertAlign w:val="subscript"/>
        </w:rPr>
        <w:t>s</w:t>
      </w:r>
      <w:r>
        <w:t xml:space="preserve"> * RUCSUFLAG</w:t>
      </w:r>
      <w:r w:rsidR="008032E7">
        <w:rPr>
          <w:lang w:val="en-US"/>
        </w:rPr>
        <w:t xml:space="preserve"> </w:t>
      </w:r>
      <w:r w:rsidRPr="004A3F5E">
        <w:rPr>
          <w:i/>
          <w:vertAlign w:val="subscript"/>
        </w:rPr>
        <w:t>q,</w:t>
      </w:r>
      <w:r w:rsidR="008032E7">
        <w:rPr>
          <w:i/>
          <w:vertAlign w:val="subscript"/>
          <w:lang w:val="en-US"/>
        </w:rPr>
        <w:t xml:space="preserve"> </w:t>
      </w:r>
      <w:r w:rsidRPr="004A3F5E">
        <w:rPr>
          <w:i/>
          <w:vertAlign w:val="subscript"/>
        </w:rPr>
        <w:t>r,</w:t>
      </w:r>
      <w:r w:rsidR="008032E7">
        <w:rPr>
          <w:i/>
          <w:vertAlign w:val="subscript"/>
          <w:lang w:val="en-US"/>
        </w:rPr>
        <w:t xml:space="preserve"> </w:t>
      </w:r>
      <w:r w:rsidRPr="004A3F5E">
        <w:rPr>
          <w:i/>
          <w:vertAlign w:val="subscript"/>
        </w:rPr>
        <w:t>s</w:t>
      </w:r>
      <w:r>
        <w:t xml:space="preserve">) + </w:t>
      </w:r>
      <w:r w:rsidR="00F80C33" w:rsidRPr="00F80C33">
        <w:rPr>
          <w:position w:val="-20"/>
        </w:rPr>
        <w:object w:dxaOrig="220" w:dyaOrig="440" w14:anchorId="4CA12F27">
          <v:shape id="_x0000_i1027" type="#_x0000_t75" style="width:11.4pt;height:21pt" o:ole="">
            <v:imagedata r:id="rId17" o:title=""/>
          </v:shape>
          <o:OLEObject Type="Embed" ProgID="Equation.3" ShapeID="_x0000_i1027" DrawAspect="Content" ObjectID="_1775281557" r:id="rId21"/>
        </w:object>
      </w:r>
      <w:r>
        <w:t>(MEPR</w:t>
      </w:r>
      <w:r w:rsidR="008032E7">
        <w:rPr>
          <w:lang w:val="en-US"/>
        </w:rPr>
        <w:t xml:space="preserve"> </w:t>
      </w:r>
      <w:r w:rsidRPr="004A3F5E">
        <w:rPr>
          <w:i/>
          <w:vertAlign w:val="subscript"/>
        </w:rPr>
        <w:t>q,</w:t>
      </w:r>
      <w:r w:rsidR="008032E7">
        <w:rPr>
          <w:i/>
          <w:vertAlign w:val="subscript"/>
          <w:lang w:val="en-US"/>
        </w:rPr>
        <w:t xml:space="preserve"> </w:t>
      </w:r>
      <w:r w:rsidRPr="004A3F5E">
        <w:rPr>
          <w:i/>
          <w:vertAlign w:val="subscript"/>
        </w:rPr>
        <w:t>r,</w:t>
      </w:r>
      <w:r w:rsidR="008032E7">
        <w:rPr>
          <w:i/>
          <w:vertAlign w:val="subscript"/>
          <w:lang w:val="en-US"/>
        </w:rPr>
        <w:t xml:space="preserve"> </w:t>
      </w:r>
      <w:r w:rsidRPr="004A3F5E">
        <w:rPr>
          <w:i/>
          <w:vertAlign w:val="subscript"/>
        </w:rPr>
        <w:t>i</w:t>
      </w:r>
      <w:r w:rsidRPr="004A3F5E">
        <w:t xml:space="preserve"> </w:t>
      </w:r>
      <w:r>
        <w:t>* Min ((LSL</w:t>
      </w:r>
      <w:r w:rsidR="008032E7">
        <w:rPr>
          <w:lang w:val="en-US"/>
        </w:rPr>
        <w:t xml:space="preserve"> </w:t>
      </w:r>
      <w:r w:rsidRPr="004A3F5E">
        <w:rPr>
          <w:i/>
          <w:vertAlign w:val="subscript"/>
        </w:rPr>
        <w:t>q,</w:t>
      </w:r>
      <w:r w:rsidR="008032E7">
        <w:rPr>
          <w:i/>
          <w:vertAlign w:val="subscript"/>
          <w:lang w:val="en-US"/>
        </w:rPr>
        <w:t xml:space="preserve"> </w:t>
      </w:r>
      <w:r w:rsidRPr="004A3F5E">
        <w:rPr>
          <w:i/>
          <w:vertAlign w:val="subscript"/>
        </w:rPr>
        <w:t>r,</w:t>
      </w:r>
      <w:r w:rsidR="008032E7">
        <w:rPr>
          <w:i/>
          <w:vertAlign w:val="subscript"/>
          <w:lang w:val="en-US"/>
        </w:rPr>
        <w:t xml:space="preserve"> </w:t>
      </w:r>
      <w:r w:rsidRPr="004A3F5E">
        <w:rPr>
          <w:i/>
          <w:vertAlign w:val="subscript"/>
        </w:rPr>
        <w:t>i</w:t>
      </w:r>
      <w:r>
        <w:t xml:space="preserve"> * (¼)), RTMG</w:t>
      </w:r>
      <w:r w:rsidR="008032E7">
        <w:rPr>
          <w:lang w:val="en-US"/>
        </w:rPr>
        <w:t xml:space="preserve"> </w:t>
      </w:r>
      <w:r w:rsidRPr="004A3F5E">
        <w:rPr>
          <w:i/>
          <w:vertAlign w:val="subscript"/>
        </w:rPr>
        <w:t>q,</w:t>
      </w:r>
      <w:r w:rsidR="008032E7">
        <w:rPr>
          <w:i/>
          <w:vertAlign w:val="subscript"/>
          <w:lang w:val="en-US"/>
        </w:rPr>
        <w:t xml:space="preserve"> </w:t>
      </w:r>
      <w:r w:rsidRPr="004A3F5E">
        <w:rPr>
          <w:i/>
          <w:vertAlign w:val="subscript"/>
        </w:rPr>
        <w:t>r,</w:t>
      </w:r>
      <w:r w:rsidR="008032E7">
        <w:rPr>
          <w:i/>
          <w:vertAlign w:val="subscript"/>
          <w:lang w:val="en-US"/>
        </w:rPr>
        <w:t xml:space="preserve"> </w:t>
      </w:r>
      <w:r w:rsidRPr="004A3F5E">
        <w:rPr>
          <w:i/>
          <w:vertAlign w:val="subscript"/>
        </w:rPr>
        <w:t>i</w:t>
      </w:r>
      <w:r>
        <w:t>))</w:t>
      </w:r>
    </w:p>
    <w:p w14:paraId="4A013163" w14:textId="14161FF4" w:rsidR="00EF0FB5" w:rsidRDefault="004A3F5E" w:rsidP="00EF0FB5">
      <w:pPr>
        <w:spacing w:after="240"/>
        <w:ind w:left="720" w:hanging="720"/>
      </w:pPr>
      <w:r>
        <w:t>(</w:t>
      </w:r>
      <w:r w:rsidR="001A6D3F">
        <w:t>5</w:t>
      </w:r>
      <w:r>
        <w:t>)</w:t>
      </w:r>
      <w:r>
        <w:tab/>
      </w:r>
      <w:r w:rsidR="00EF0FB5">
        <w:t>The RUC Guarantee is calculated for Combined Cycle Trains as follows:</w:t>
      </w:r>
    </w:p>
    <w:p w14:paraId="2AD08A38" w14:textId="77777777" w:rsidR="00EF0FB5" w:rsidRPr="00C769A0" w:rsidRDefault="00EF0FB5" w:rsidP="00EF0FB5">
      <w:pPr>
        <w:tabs>
          <w:tab w:val="left" w:pos="1440"/>
          <w:tab w:val="left" w:pos="2340"/>
        </w:tabs>
        <w:spacing w:after="240"/>
        <w:ind w:left="720"/>
        <w:rPr>
          <w:bCs/>
          <w:lang w:val="x-none" w:eastAsia="x-none"/>
        </w:rPr>
      </w:pPr>
      <w:r w:rsidRPr="00C769A0">
        <w:rPr>
          <w:bCs/>
          <w:lang w:val="x-none" w:eastAsia="x-none"/>
        </w:rPr>
        <w:t>RUCG</w:t>
      </w:r>
      <w:r>
        <w:rPr>
          <w:bCs/>
          <w:lang w:eastAsia="x-none"/>
        </w:rPr>
        <w:t xml:space="preserve"> </w:t>
      </w:r>
      <w:r w:rsidRPr="00C769A0">
        <w:rPr>
          <w:bCs/>
          <w:i/>
          <w:vertAlign w:val="subscript"/>
          <w:lang w:val="x-none" w:eastAsia="x-none"/>
        </w:rPr>
        <w:t>q</w:t>
      </w:r>
      <w:r w:rsidRPr="00C769A0">
        <w:rPr>
          <w:bCs/>
          <w:i/>
          <w:iCs/>
          <w:vertAlign w:val="subscript"/>
          <w:lang w:val="x-none" w:eastAsia="x-none"/>
        </w:rPr>
        <w:t>,</w:t>
      </w:r>
      <w:r>
        <w:rPr>
          <w:bCs/>
          <w:i/>
          <w:iCs/>
          <w:vertAlign w:val="subscript"/>
          <w:lang w:eastAsia="x-none"/>
        </w:rPr>
        <w:t xml:space="preserve"> </w:t>
      </w:r>
      <w:r w:rsidRPr="00C769A0">
        <w:rPr>
          <w:bCs/>
          <w:i/>
          <w:iCs/>
          <w:vertAlign w:val="subscript"/>
          <w:lang w:val="x-none" w:eastAsia="x-none"/>
        </w:rPr>
        <w:t>r,</w:t>
      </w:r>
      <w:r>
        <w:rPr>
          <w:bCs/>
          <w:i/>
          <w:iCs/>
          <w:vertAlign w:val="subscript"/>
          <w:lang w:eastAsia="x-none"/>
        </w:rPr>
        <w:t xml:space="preserve"> </w:t>
      </w:r>
      <w:r w:rsidRPr="008032E7">
        <w:rPr>
          <w:bCs/>
          <w:i/>
          <w:iCs/>
          <w:vertAlign w:val="subscript"/>
          <w:lang w:val="x-none" w:eastAsia="x-none"/>
        </w:rPr>
        <w:t>d</w:t>
      </w:r>
      <w:r w:rsidRPr="00C769A0">
        <w:rPr>
          <w:bCs/>
          <w:iCs/>
          <w:lang w:val="x-none" w:eastAsia="x-none"/>
        </w:rPr>
        <w:tab/>
        <w:t>=</w:t>
      </w:r>
      <w:r w:rsidRPr="00C769A0">
        <w:rPr>
          <w:bCs/>
          <w:iCs/>
          <w:lang w:val="x-none" w:eastAsia="x-none"/>
        </w:rPr>
        <w:tab/>
      </w:r>
      <w:r w:rsidRPr="00C769A0">
        <w:rPr>
          <w:bCs/>
          <w:lang w:val="x-none" w:eastAsia="x-none"/>
        </w:rPr>
        <w:fldChar w:fldCharType="begin"/>
      </w:r>
      <w:r w:rsidRPr="00C769A0">
        <w:rPr>
          <w:bCs/>
          <w:lang w:val="x-none" w:eastAsia="x-none"/>
        </w:rPr>
        <w:fldChar w:fldCharType="separate"/>
      </w:r>
      <w:r>
        <w:rPr>
          <w:b/>
          <w:bCs/>
          <w:i/>
          <w:noProof/>
          <w:position w:val="-20"/>
        </w:rPr>
        <w:drawing>
          <wp:inline distT="0" distB="0" distL="0" distR="0" wp14:anchorId="737D0F8F" wp14:editId="1FCAD82A">
            <wp:extent cx="114300" cy="276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4300" cy="276225"/>
                    </a:xfrm>
                    <a:prstGeom prst="rect">
                      <a:avLst/>
                    </a:prstGeom>
                    <a:noFill/>
                    <a:ln>
                      <a:noFill/>
                    </a:ln>
                  </pic:spPr>
                </pic:pic>
              </a:graphicData>
            </a:graphic>
          </wp:inline>
        </w:drawing>
      </w:r>
      <w:r w:rsidRPr="00C769A0">
        <w:rPr>
          <w:bCs/>
          <w:lang w:val="x-none" w:eastAsia="x-none"/>
        </w:rPr>
        <w:fldChar w:fldCharType="end"/>
      </w:r>
      <w:r w:rsidRPr="00C769A0">
        <w:rPr>
          <w:bCs/>
          <w:iCs/>
          <w:lang w:val="x-none" w:eastAsia="x-none"/>
        </w:rPr>
        <w:t>(SUPR</w:t>
      </w:r>
      <w:r>
        <w:rPr>
          <w:bCs/>
          <w:iCs/>
          <w:lang w:eastAsia="x-none"/>
        </w:rPr>
        <w:t xml:space="preserve"> </w:t>
      </w:r>
      <w:r w:rsidRPr="00C769A0">
        <w:rPr>
          <w:bCs/>
          <w:i/>
          <w:iCs/>
          <w:vertAlign w:val="subscript"/>
          <w:lang w:val="x-none" w:eastAsia="x-none"/>
        </w:rPr>
        <w:t>q,</w:t>
      </w:r>
      <w:r>
        <w:rPr>
          <w:bCs/>
          <w:i/>
          <w:iCs/>
          <w:vertAlign w:val="subscript"/>
          <w:lang w:eastAsia="x-none"/>
        </w:rPr>
        <w:t xml:space="preserve"> </w:t>
      </w:r>
      <w:r w:rsidRPr="00C769A0">
        <w:rPr>
          <w:bCs/>
          <w:i/>
          <w:iCs/>
          <w:vertAlign w:val="subscript"/>
          <w:lang w:val="x-none" w:eastAsia="x-none"/>
        </w:rPr>
        <w:t>r,</w:t>
      </w:r>
      <w:r>
        <w:rPr>
          <w:bCs/>
          <w:i/>
          <w:iCs/>
          <w:vertAlign w:val="subscript"/>
          <w:lang w:eastAsia="x-none"/>
        </w:rPr>
        <w:t xml:space="preserve"> </w:t>
      </w:r>
      <w:r w:rsidRPr="00C769A0">
        <w:rPr>
          <w:bCs/>
          <w:iCs/>
          <w:vertAlign w:val="subscript"/>
          <w:lang w:val="x-none" w:eastAsia="x-none"/>
        </w:rPr>
        <w:t>s</w:t>
      </w:r>
      <w:r w:rsidRPr="00C769A0">
        <w:rPr>
          <w:bCs/>
          <w:iCs/>
          <w:lang w:val="x-none" w:eastAsia="x-none"/>
        </w:rPr>
        <w:t xml:space="preserve"> * RUCSUFLAG</w:t>
      </w:r>
      <w:r>
        <w:rPr>
          <w:bCs/>
          <w:iCs/>
          <w:lang w:eastAsia="x-none"/>
        </w:rPr>
        <w:t xml:space="preserve"> </w:t>
      </w:r>
      <w:r w:rsidRPr="00C769A0">
        <w:rPr>
          <w:bCs/>
          <w:i/>
          <w:iCs/>
          <w:vertAlign w:val="subscript"/>
          <w:lang w:val="x-none" w:eastAsia="x-none"/>
        </w:rPr>
        <w:t>q,</w:t>
      </w:r>
      <w:r>
        <w:rPr>
          <w:bCs/>
          <w:i/>
          <w:iCs/>
          <w:vertAlign w:val="subscript"/>
          <w:lang w:eastAsia="x-none"/>
        </w:rPr>
        <w:t xml:space="preserve"> </w:t>
      </w:r>
      <w:r w:rsidRPr="00C769A0">
        <w:rPr>
          <w:bCs/>
          <w:i/>
          <w:iCs/>
          <w:vertAlign w:val="subscript"/>
          <w:lang w:val="x-none" w:eastAsia="x-none"/>
        </w:rPr>
        <w:t>r,</w:t>
      </w:r>
      <w:r>
        <w:rPr>
          <w:bCs/>
          <w:i/>
          <w:iCs/>
          <w:vertAlign w:val="subscript"/>
          <w:lang w:eastAsia="x-none"/>
        </w:rPr>
        <w:t xml:space="preserve"> </w:t>
      </w:r>
      <w:r w:rsidRPr="00C769A0">
        <w:rPr>
          <w:bCs/>
          <w:iCs/>
          <w:vertAlign w:val="subscript"/>
          <w:lang w:val="x-none" w:eastAsia="x-none"/>
        </w:rPr>
        <w:t>s</w:t>
      </w:r>
      <w:r w:rsidRPr="00C769A0">
        <w:rPr>
          <w:bCs/>
          <w:iCs/>
          <w:lang w:val="x-none" w:eastAsia="x-none"/>
        </w:rPr>
        <w:t xml:space="preserve">) + </w:t>
      </w:r>
    </w:p>
    <w:p w14:paraId="1D53455C" w14:textId="77777777" w:rsidR="00EF0FB5" w:rsidRPr="00C769A0" w:rsidRDefault="00EF0FB5" w:rsidP="00EF0FB5">
      <w:pPr>
        <w:tabs>
          <w:tab w:val="left" w:pos="2340"/>
          <w:tab w:val="left" w:pos="2880"/>
        </w:tabs>
        <w:spacing w:after="240"/>
        <w:ind w:left="3067" w:hanging="2347"/>
        <w:rPr>
          <w:bCs/>
          <w:lang w:val="x-none" w:eastAsia="x-none"/>
        </w:rPr>
      </w:pPr>
      <w:r w:rsidRPr="00C769A0">
        <w:rPr>
          <w:bCs/>
          <w:lang w:val="x-none" w:eastAsia="x-none"/>
        </w:rPr>
        <w:tab/>
      </w:r>
      <w:r w:rsidRPr="00C769A0">
        <w:rPr>
          <w:b/>
          <w:bCs/>
          <w:i/>
          <w:lang w:val="x-none" w:eastAsia="x-none"/>
        </w:rPr>
        <w:tab/>
      </w:r>
      <w:r>
        <w:rPr>
          <w:b/>
          <w:bCs/>
          <w:i/>
          <w:noProof/>
          <w:position w:val="-20"/>
        </w:rPr>
        <w:drawing>
          <wp:inline distT="0" distB="0" distL="0" distR="0" wp14:anchorId="43D3766F" wp14:editId="22735C7D">
            <wp:extent cx="142875" cy="285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2875" cy="285750"/>
                    </a:xfrm>
                    <a:prstGeom prst="rect">
                      <a:avLst/>
                    </a:prstGeom>
                    <a:noFill/>
                    <a:ln>
                      <a:noFill/>
                    </a:ln>
                  </pic:spPr>
                </pic:pic>
              </a:graphicData>
            </a:graphic>
          </wp:inline>
        </w:drawing>
      </w:r>
      <w:r w:rsidRPr="00C769A0">
        <w:rPr>
          <w:bCs/>
          <w:lang w:val="x-none" w:eastAsia="x-none"/>
        </w:rPr>
        <w:t xml:space="preserve">(MAX (0, SUPR - SUPR)) + </w:t>
      </w:r>
      <w:r>
        <w:rPr>
          <w:bCs/>
          <w:noProof/>
          <w:position w:val="-20"/>
        </w:rPr>
        <w:drawing>
          <wp:inline distT="0" distB="0" distL="0" distR="0" wp14:anchorId="3EAFEAEC" wp14:editId="7DD42C75">
            <wp:extent cx="142875" cy="276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2875" cy="276225"/>
                    </a:xfrm>
                    <a:prstGeom prst="rect">
                      <a:avLst/>
                    </a:prstGeom>
                    <a:noFill/>
                    <a:ln>
                      <a:noFill/>
                    </a:ln>
                  </pic:spPr>
                </pic:pic>
              </a:graphicData>
            </a:graphic>
          </wp:inline>
        </w:drawing>
      </w:r>
      <w:r w:rsidRPr="00C769A0">
        <w:rPr>
          <w:bCs/>
          <w:lang w:val="x-none" w:eastAsia="x-none"/>
        </w:rPr>
        <w:t>(</w:t>
      </w:r>
      <w:r w:rsidRPr="0039673C">
        <w:t>RUCG</w:t>
      </w:r>
      <w:r>
        <w:t>ME</w:t>
      </w:r>
      <w:r w:rsidRPr="00A86E7E">
        <w:rPr>
          <w:i/>
          <w:vertAlign w:val="subscript"/>
          <w:lang w:val="it-IT"/>
        </w:rPr>
        <w:t xml:space="preserve"> </w:t>
      </w:r>
      <w:r w:rsidRPr="009C0416">
        <w:rPr>
          <w:i/>
          <w:vertAlign w:val="subscript"/>
          <w:lang w:val="it-IT"/>
        </w:rPr>
        <w:t>q,</w:t>
      </w:r>
      <w:r>
        <w:rPr>
          <w:i/>
          <w:vertAlign w:val="subscript"/>
          <w:lang w:val="it-IT"/>
        </w:rPr>
        <w:t xml:space="preserve"> </w:t>
      </w:r>
      <w:r w:rsidRPr="009C0416">
        <w:rPr>
          <w:i/>
          <w:vertAlign w:val="subscript"/>
          <w:lang w:val="it-IT"/>
        </w:rPr>
        <w:t>r,</w:t>
      </w:r>
      <w:r>
        <w:rPr>
          <w:i/>
          <w:vertAlign w:val="subscript"/>
          <w:lang w:val="it-IT"/>
        </w:rPr>
        <w:t xml:space="preserve"> </w:t>
      </w:r>
      <w:r w:rsidRPr="009C0416">
        <w:rPr>
          <w:i/>
          <w:vertAlign w:val="subscript"/>
          <w:lang w:val="it-IT"/>
        </w:rPr>
        <w:t>i</w:t>
      </w:r>
      <w:r w:rsidRPr="00C769A0">
        <w:rPr>
          <w:bCs/>
          <w:lang w:val="x-none" w:eastAsia="x-none"/>
        </w:rPr>
        <w:t>)</w:t>
      </w:r>
    </w:p>
    <w:p w14:paraId="1E98AB0C" w14:textId="77777777" w:rsidR="00EF0FB5" w:rsidRDefault="00EF0FB5" w:rsidP="00EF0FB5">
      <w:pPr>
        <w:pStyle w:val="List2"/>
        <w:ind w:left="0" w:firstLine="720"/>
        <w:rPr>
          <w:rStyle w:val="BodyTextChar"/>
        </w:rPr>
      </w:pPr>
      <w:proofErr w:type="gramStart"/>
      <w:r>
        <w:rPr>
          <w:rStyle w:val="BodyTextChar"/>
        </w:rPr>
        <w:t>Where</w:t>
      </w:r>
      <w:proofErr w:type="gramEnd"/>
      <w:r>
        <w:rPr>
          <w:rStyle w:val="BodyTextChar"/>
        </w:rPr>
        <w:t>,</w:t>
      </w:r>
    </w:p>
    <w:p w14:paraId="61E6AFEB" w14:textId="77777777" w:rsidR="00EF0FB5" w:rsidRPr="009C0416" w:rsidRDefault="00EF0FB5" w:rsidP="00EF0FB5">
      <w:pPr>
        <w:pStyle w:val="List2"/>
        <w:ind w:left="720"/>
        <w:rPr>
          <w:rStyle w:val="BodyTextChar"/>
          <w:b/>
          <w:bCs/>
          <w:szCs w:val="24"/>
        </w:rPr>
      </w:pPr>
      <w:r>
        <w:rPr>
          <w:rStyle w:val="BodyTextChar"/>
        </w:rPr>
        <w:tab/>
        <w:t>If a Combin</w:t>
      </w:r>
      <w:r w:rsidRPr="009C0416">
        <w:rPr>
          <w:rStyle w:val="BodyTextChar"/>
        </w:rPr>
        <w:t>ed Cycle Train transitions to a RUC-committed configuration from a QSE-committed or other RUC-committed configuration between two contiguous hours, or to a RUC-committed configuration from a QSE-committed configuration within the same hour due to a RUCAC, the transition is calculated as follows:</w:t>
      </w:r>
    </w:p>
    <w:p w14:paraId="69F7ABED" w14:textId="77777777" w:rsidR="00EF0FB5" w:rsidRPr="009C0416" w:rsidRDefault="00EF0FB5" w:rsidP="0063616C">
      <w:pPr>
        <w:pStyle w:val="Formula"/>
        <w:rPr>
          <w:rStyle w:val="BodyTextChar"/>
          <w:b/>
        </w:rPr>
      </w:pPr>
      <w:r w:rsidRPr="009C0416">
        <w:t>MAX (0, SUPR</w:t>
      </w:r>
      <w:r>
        <w:rPr>
          <w:lang w:val="en-US"/>
        </w:rPr>
        <w:t xml:space="preserve"> </w:t>
      </w:r>
      <w:proofErr w:type="spellStart"/>
      <w:r w:rsidRPr="009C0416">
        <w:rPr>
          <w:i/>
          <w:vertAlign w:val="subscript"/>
        </w:rPr>
        <w:t>afterCCGR</w:t>
      </w:r>
      <w:proofErr w:type="spellEnd"/>
      <w:r w:rsidRPr="009C0416">
        <w:t xml:space="preserve"> – SUPR</w:t>
      </w:r>
      <w:r>
        <w:rPr>
          <w:lang w:val="en-US"/>
        </w:rPr>
        <w:t xml:space="preserve"> </w:t>
      </w:r>
      <w:proofErr w:type="spellStart"/>
      <w:r w:rsidRPr="009C0416">
        <w:rPr>
          <w:i/>
          <w:vertAlign w:val="subscript"/>
        </w:rPr>
        <w:t>beforeCCGR</w:t>
      </w:r>
      <w:proofErr w:type="spellEnd"/>
      <w:r w:rsidRPr="009C0416">
        <w:t>)</w:t>
      </w:r>
    </w:p>
    <w:p w14:paraId="5D8B8FF8" w14:textId="77777777" w:rsidR="00EF0FB5" w:rsidRPr="009C0416" w:rsidRDefault="00EF0FB5" w:rsidP="00EF0FB5">
      <w:pPr>
        <w:pStyle w:val="List2"/>
        <w:ind w:left="720"/>
        <w:rPr>
          <w:rStyle w:val="BodyTextChar"/>
          <w:b/>
          <w:bCs/>
          <w:szCs w:val="24"/>
        </w:rPr>
      </w:pPr>
      <w:r>
        <w:rPr>
          <w:rStyle w:val="BodyTextChar"/>
        </w:rPr>
        <w:tab/>
      </w:r>
      <w:r w:rsidRPr="009C0416">
        <w:rPr>
          <w:rStyle w:val="BodyTextChar"/>
        </w:rPr>
        <w:t>If a Combined Cycle Train transitions to a QSE-committed configuration from a RUC-committed configuration, the transition is calculated as follows:</w:t>
      </w:r>
    </w:p>
    <w:p w14:paraId="4E1EF403" w14:textId="77777777" w:rsidR="00EF0FB5" w:rsidRPr="009C0416" w:rsidRDefault="00EF0FB5" w:rsidP="0063616C">
      <w:pPr>
        <w:pStyle w:val="Formula"/>
      </w:pPr>
      <w:r w:rsidRPr="009C0416">
        <w:t>MAX (0, SUPR</w:t>
      </w:r>
      <w:r>
        <w:rPr>
          <w:lang w:val="en-US"/>
        </w:rPr>
        <w:t xml:space="preserve"> </w:t>
      </w:r>
      <w:proofErr w:type="spellStart"/>
      <w:r w:rsidRPr="009C0416">
        <w:rPr>
          <w:i/>
          <w:vertAlign w:val="subscript"/>
        </w:rPr>
        <w:t>beforeCCGR</w:t>
      </w:r>
      <w:proofErr w:type="spellEnd"/>
      <w:r w:rsidRPr="009C0416">
        <w:t xml:space="preserve"> – SUPR</w:t>
      </w:r>
      <w:r>
        <w:rPr>
          <w:lang w:val="en-US"/>
        </w:rPr>
        <w:t xml:space="preserve"> </w:t>
      </w:r>
      <w:proofErr w:type="spellStart"/>
      <w:r w:rsidRPr="009C0416">
        <w:rPr>
          <w:i/>
          <w:vertAlign w:val="subscript"/>
        </w:rPr>
        <w:t>afterCCGR</w:t>
      </w:r>
      <w:proofErr w:type="spellEnd"/>
      <w:r w:rsidRPr="009C0416">
        <w:t>)</w:t>
      </w:r>
    </w:p>
    <w:p w14:paraId="1483E58B" w14:textId="77777777" w:rsidR="00EF0FB5" w:rsidRPr="009C0416" w:rsidRDefault="00EF0FB5" w:rsidP="00EF0FB5">
      <w:pPr>
        <w:pStyle w:val="BodyText"/>
        <w:ind w:left="720"/>
        <w:rPr>
          <w:rStyle w:val="BodyTextChar"/>
        </w:rPr>
      </w:pPr>
      <w:r w:rsidRPr="009C0416">
        <w:rPr>
          <w:rStyle w:val="BodyTextChar"/>
        </w:rPr>
        <w:t xml:space="preserve">If the interval </w:t>
      </w:r>
      <w:r w:rsidRPr="009C0416">
        <w:rPr>
          <w:rStyle w:val="BodyTextChar"/>
          <w:i/>
        </w:rPr>
        <w:t>i</w:t>
      </w:r>
      <w:r w:rsidRPr="009C0416">
        <w:rPr>
          <w:rStyle w:val="BodyTextChar"/>
        </w:rPr>
        <w:t xml:space="preserve"> is a RUC-</w:t>
      </w:r>
      <w:r>
        <w:rPr>
          <w:rStyle w:val="BodyTextChar"/>
        </w:rPr>
        <w:t>C</w:t>
      </w:r>
      <w:r w:rsidRPr="009C0416">
        <w:rPr>
          <w:rStyle w:val="BodyTextChar"/>
        </w:rPr>
        <w:t xml:space="preserve">ommitted </w:t>
      </w:r>
      <w:r>
        <w:rPr>
          <w:rStyle w:val="BodyTextChar"/>
        </w:rPr>
        <w:t>I</w:t>
      </w:r>
      <w:r w:rsidRPr="009C0416">
        <w:rPr>
          <w:rStyle w:val="BodyTextChar"/>
        </w:rPr>
        <w:t>nterval that is not a RUCAC, then:</w:t>
      </w:r>
    </w:p>
    <w:p w14:paraId="2309BFCB" w14:textId="77777777" w:rsidR="00EF0FB5" w:rsidRPr="009C0416" w:rsidRDefault="00EF0FB5" w:rsidP="00EF0FB5">
      <w:pPr>
        <w:pStyle w:val="BodyText"/>
        <w:tabs>
          <w:tab w:val="left" w:pos="1710"/>
        </w:tabs>
        <w:ind w:left="2610" w:hanging="1890"/>
        <w:rPr>
          <w:rStyle w:val="BodyTextChar"/>
        </w:rPr>
      </w:pPr>
      <w:r w:rsidRPr="009C0416">
        <w:rPr>
          <w:rStyle w:val="BodyTextChar"/>
        </w:rPr>
        <w:t xml:space="preserve">RUCGME </w:t>
      </w:r>
      <w:r w:rsidRPr="009C0416">
        <w:rPr>
          <w:i/>
          <w:vertAlign w:val="subscript"/>
          <w:lang w:val="it-IT"/>
        </w:rPr>
        <w:t>q,</w:t>
      </w:r>
      <w:r>
        <w:rPr>
          <w:i/>
          <w:vertAlign w:val="subscript"/>
          <w:lang w:val="it-IT"/>
        </w:rPr>
        <w:t xml:space="preserve"> </w:t>
      </w:r>
      <w:r w:rsidRPr="009C0416">
        <w:rPr>
          <w:i/>
          <w:vertAlign w:val="subscript"/>
          <w:lang w:val="it-IT"/>
        </w:rPr>
        <w:t>r,</w:t>
      </w:r>
      <w:r>
        <w:rPr>
          <w:i/>
          <w:vertAlign w:val="subscript"/>
          <w:lang w:val="it-IT"/>
        </w:rPr>
        <w:t xml:space="preserve"> </w:t>
      </w:r>
      <w:r w:rsidRPr="009C0416">
        <w:rPr>
          <w:i/>
          <w:vertAlign w:val="subscript"/>
          <w:lang w:val="it-IT"/>
        </w:rPr>
        <w:t>i</w:t>
      </w:r>
      <w:r w:rsidRPr="009C0416">
        <w:rPr>
          <w:lang w:val="it-IT"/>
        </w:rPr>
        <w:tab/>
        <w:t xml:space="preserve">=  </w:t>
      </w:r>
      <w:r w:rsidRPr="009C0416">
        <w:t>MEPR</w:t>
      </w:r>
      <w:r>
        <w:t xml:space="preserve"> </w:t>
      </w:r>
      <w:r w:rsidRPr="009C0416">
        <w:rPr>
          <w:i/>
          <w:vertAlign w:val="subscript"/>
        </w:rPr>
        <w:t>q</w:t>
      </w:r>
      <w:r>
        <w:rPr>
          <w:i/>
          <w:vertAlign w:val="subscript"/>
        </w:rPr>
        <w:t>,</w:t>
      </w:r>
      <w:r w:rsidRPr="009C0416">
        <w:rPr>
          <w:i/>
          <w:vertAlign w:val="subscript"/>
        </w:rPr>
        <w:t xml:space="preserve"> r,</w:t>
      </w:r>
      <w:r>
        <w:rPr>
          <w:i/>
          <w:vertAlign w:val="subscript"/>
        </w:rPr>
        <w:t xml:space="preserve"> </w:t>
      </w:r>
      <w:r w:rsidRPr="009C0416">
        <w:rPr>
          <w:i/>
          <w:vertAlign w:val="subscript"/>
        </w:rPr>
        <w:t>i</w:t>
      </w:r>
      <w:r w:rsidRPr="009C0416">
        <w:t xml:space="preserve"> * Min ((LSL</w:t>
      </w:r>
      <w:r>
        <w:t xml:space="preserve"> </w:t>
      </w:r>
      <w:r w:rsidRPr="009C0416">
        <w:rPr>
          <w:i/>
          <w:vertAlign w:val="subscript"/>
        </w:rPr>
        <w:t>q,</w:t>
      </w:r>
      <w:r>
        <w:rPr>
          <w:i/>
          <w:vertAlign w:val="subscript"/>
        </w:rPr>
        <w:t xml:space="preserve"> </w:t>
      </w:r>
      <w:r w:rsidRPr="009C0416">
        <w:rPr>
          <w:i/>
          <w:vertAlign w:val="subscript"/>
        </w:rPr>
        <w:t>r,</w:t>
      </w:r>
      <w:r>
        <w:rPr>
          <w:i/>
          <w:vertAlign w:val="subscript"/>
        </w:rPr>
        <w:t xml:space="preserve"> </w:t>
      </w:r>
      <w:r w:rsidRPr="009C0416">
        <w:rPr>
          <w:i/>
          <w:vertAlign w:val="subscript"/>
        </w:rPr>
        <w:t>i</w:t>
      </w:r>
      <w:r w:rsidRPr="009C0416">
        <w:t xml:space="preserve"> * (¼)), RTMG</w:t>
      </w:r>
      <w:r>
        <w:t xml:space="preserve"> </w:t>
      </w:r>
      <w:r w:rsidRPr="009C0416">
        <w:rPr>
          <w:i/>
          <w:vertAlign w:val="subscript"/>
        </w:rPr>
        <w:t>q,</w:t>
      </w:r>
      <w:r>
        <w:rPr>
          <w:i/>
          <w:vertAlign w:val="subscript"/>
        </w:rPr>
        <w:t xml:space="preserve"> </w:t>
      </w:r>
      <w:r w:rsidRPr="009C0416">
        <w:rPr>
          <w:i/>
          <w:vertAlign w:val="subscript"/>
        </w:rPr>
        <w:t>r,</w:t>
      </w:r>
      <w:r>
        <w:rPr>
          <w:i/>
          <w:vertAlign w:val="subscript"/>
        </w:rPr>
        <w:t xml:space="preserve"> </w:t>
      </w:r>
      <w:r w:rsidRPr="009C0416">
        <w:rPr>
          <w:i/>
          <w:vertAlign w:val="subscript"/>
        </w:rPr>
        <w:t>i</w:t>
      </w:r>
      <w:r w:rsidRPr="009C0416">
        <w:t>)</w:t>
      </w:r>
    </w:p>
    <w:p w14:paraId="480F8E5C" w14:textId="77777777" w:rsidR="00EF0FB5" w:rsidRPr="009C0416" w:rsidRDefault="00EF0FB5" w:rsidP="00EF0FB5">
      <w:pPr>
        <w:pStyle w:val="BodyText"/>
        <w:ind w:left="720"/>
        <w:rPr>
          <w:rStyle w:val="BodyTextChar"/>
        </w:rPr>
      </w:pPr>
      <w:r w:rsidRPr="009C0416">
        <w:rPr>
          <w:rStyle w:val="BodyTextChar"/>
        </w:rPr>
        <w:t xml:space="preserve">If the interval </w:t>
      </w:r>
      <w:r w:rsidRPr="009C0416">
        <w:rPr>
          <w:rStyle w:val="BodyTextChar"/>
          <w:i/>
        </w:rPr>
        <w:t>i</w:t>
      </w:r>
      <w:r w:rsidRPr="009C0416">
        <w:rPr>
          <w:rStyle w:val="BodyTextChar"/>
        </w:rPr>
        <w:t xml:space="preserve"> is a</w:t>
      </w:r>
      <w:r>
        <w:rPr>
          <w:rStyle w:val="BodyTextChar"/>
        </w:rPr>
        <w:t xml:space="preserve"> </w:t>
      </w:r>
      <w:r w:rsidRPr="009C0416">
        <w:rPr>
          <w:rStyle w:val="BodyTextChar"/>
        </w:rPr>
        <w:t>RUCAC of a previously QSE-</w:t>
      </w:r>
      <w:r>
        <w:rPr>
          <w:rStyle w:val="BodyTextChar"/>
        </w:rPr>
        <w:t>C</w:t>
      </w:r>
      <w:r w:rsidRPr="009C0416">
        <w:rPr>
          <w:rStyle w:val="BodyTextChar"/>
        </w:rPr>
        <w:t xml:space="preserve">ommitted </w:t>
      </w:r>
      <w:r>
        <w:rPr>
          <w:rStyle w:val="BodyTextChar"/>
        </w:rPr>
        <w:t>I</w:t>
      </w:r>
      <w:r w:rsidRPr="009C0416">
        <w:rPr>
          <w:rStyle w:val="BodyTextChar"/>
        </w:rPr>
        <w:t>nterval, then:</w:t>
      </w:r>
    </w:p>
    <w:p w14:paraId="17D5416E" w14:textId="77777777" w:rsidR="00EF0FB5" w:rsidRDefault="00EF0FB5" w:rsidP="00EF0FB5">
      <w:pPr>
        <w:pStyle w:val="BodyText"/>
        <w:tabs>
          <w:tab w:val="left" w:pos="1170"/>
        </w:tabs>
        <w:spacing w:after="0"/>
        <w:ind w:left="2610" w:hanging="1890"/>
      </w:pPr>
      <w:r w:rsidRPr="009C0416">
        <w:rPr>
          <w:rStyle w:val="BodyTextChar"/>
        </w:rPr>
        <w:t xml:space="preserve">RUCGME </w:t>
      </w:r>
      <w:r w:rsidRPr="009C0416">
        <w:rPr>
          <w:i/>
          <w:vertAlign w:val="subscript"/>
          <w:lang w:val="it-IT"/>
        </w:rPr>
        <w:t>q,</w:t>
      </w:r>
      <w:r>
        <w:rPr>
          <w:i/>
          <w:vertAlign w:val="subscript"/>
          <w:lang w:val="it-IT"/>
        </w:rPr>
        <w:t xml:space="preserve"> </w:t>
      </w:r>
      <w:r w:rsidRPr="009C0416">
        <w:rPr>
          <w:i/>
          <w:vertAlign w:val="subscript"/>
          <w:lang w:val="it-IT"/>
        </w:rPr>
        <w:t>r,</w:t>
      </w:r>
      <w:r>
        <w:rPr>
          <w:i/>
          <w:vertAlign w:val="subscript"/>
          <w:lang w:val="it-IT"/>
        </w:rPr>
        <w:t xml:space="preserve"> </w:t>
      </w:r>
      <w:r w:rsidRPr="009C0416">
        <w:rPr>
          <w:i/>
          <w:vertAlign w:val="subscript"/>
          <w:lang w:val="it-IT"/>
        </w:rPr>
        <w:t>i</w:t>
      </w:r>
      <w:r w:rsidRPr="009C0416">
        <w:rPr>
          <w:lang w:val="it-IT"/>
        </w:rPr>
        <w:tab/>
        <w:t xml:space="preserve">=  </w:t>
      </w:r>
      <w:r w:rsidRPr="009C0416">
        <w:t>Max [0, MEPR</w:t>
      </w:r>
      <w:r>
        <w:t xml:space="preserve"> </w:t>
      </w:r>
      <w:r w:rsidRPr="009C0416">
        <w:rPr>
          <w:i/>
          <w:vertAlign w:val="subscript"/>
        </w:rPr>
        <w:t>q,</w:t>
      </w:r>
      <w:r>
        <w:rPr>
          <w:i/>
          <w:vertAlign w:val="subscript"/>
        </w:rPr>
        <w:t xml:space="preserve"> </w:t>
      </w:r>
      <w:proofErr w:type="spellStart"/>
      <w:r w:rsidRPr="009C0416">
        <w:rPr>
          <w:i/>
          <w:vertAlign w:val="subscript"/>
        </w:rPr>
        <w:t>afterCCGR</w:t>
      </w:r>
      <w:proofErr w:type="spellEnd"/>
      <w:r w:rsidRPr="009C0416">
        <w:rPr>
          <w:i/>
          <w:vertAlign w:val="subscript"/>
        </w:rPr>
        <w:t>,</w:t>
      </w:r>
      <w:r>
        <w:rPr>
          <w:i/>
          <w:vertAlign w:val="subscript"/>
        </w:rPr>
        <w:t xml:space="preserve"> </w:t>
      </w:r>
      <w:r w:rsidRPr="009C0416">
        <w:rPr>
          <w:i/>
          <w:vertAlign w:val="subscript"/>
        </w:rPr>
        <w:t>i</w:t>
      </w:r>
      <w:r w:rsidRPr="009C0416">
        <w:t xml:space="preserve"> * Min ((LSL</w:t>
      </w:r>
      <w:r>
        <w:t xml:space="preserve"> </w:t>
      </w:r>
      <w:r w:rsidRPr="009C0416">
        <w:rPr>
          <w:i/>
          <w:vertAlign w:val="subscript"/>
        </w:rPr>
        <w:t>q,</w:t>
      </w:r>
      <w:r>
        <w:rPr>
          <w:i/>
          <w:vertAlign w:val="subscript"/>
        </w:rPr>
        <w:t xml:space="preserve"> </w:t>
      </w:r>
      <w:proofErr w:type="spellStart"/>
      <w:r w:rsidRPr="009C0416">
        <w:rPr>
          <w:i/>
          <w:vertAlign w:val="subscript"/>
        </w:rPr>
        <w:t>afterCCGR</w:t>
      </w:r>
      <w:proofErr w:type="spellEnd"/>
      <w:r w:rsidRPr="009C0416">
        <w:rPr>
          <w:i/>
          <w:vertAlign w:val="subscript"/>
        </w:rPr>
        <w:t>,</w:t>
      </w:r>
      <w:r>
        <w:rPr>
          <w:i/>
          <w:vertAlign w:val="subscript"/>
        </w:rPr>
        <w:t xml:space="preserve"> </w:t>
      </w:r>
      <w:r w:rsidRPr="009C0416">
        <w:rPr>
          <w:i/>
          <w:vertAlign w:val="subscript"/>
        </w:rPr>
        <w:t>i</w:t>
      </w:r>
      <w:r w:rsidRPr="009C0416">
        <w:t xml:space="preserve"> * </w:t>
      </w:r>
    </w:p>
    <w:p w14:paraId="04F18829" w14:textId="162C5286" w:rsidR="00E2667F" w:rsidRDefault="00EF0FB5" w:rsidP="0063616C">
      <w:pPr>
        <w:pStyle w:val="Formula"/>
      </w:pPr>
      <w:r>
        <w:tab/>
      </w:r>
      <w:r>
        <w:tab/>
      </w:r>
      <w:r w:rsidRPr="009C0416">
        <w:t>(¼)), RTMG</w:t>
      </w:r>
      <w:r>
        <w:t xml:space="preserve"> </w:t>
      </w:r>
      <w:r w:rsidRPr="009C0416">
        <w:rPr>
          <w:vertAlign w:val="subscript"/>
        </w:rPr>
        <w:t>q,</w:t>
      </w:r>
      <w:r>
        <w:rPr>
          <w:vertAlign w:val="subscript"/>
        </w:rPr>
        <w:t xml:space="preserve"> </w:t>
      </w:r>
      <w:r w:rsidRPr="009C0416">
        <w:rPr>
          <w:vertAlign w:val="subscript"/>
        </w:rPr>
        <w:t>r</w:t>
      </w:r>
      <w:r>
        <w:rPr>
          <w:vertAlign w:val="subscript"/>
        </w:rPr>
        <w:t>,</w:t>
      </w:r>
      <w:r w:rsidRPr="009C0416">
        <w:rPr>
          <w:vertAlign w:val="subscript"/>
        </w:rPr>
        <w:t xml:space="preserve"> i</w:t>
      </w:r>
      <w:r w:rsidRPr="009C0416">
        <w:t>) – MEPR</w:t>
      </w:r>
      <w:r>
        <w:t xml:space="preserve"> </w:t>
      </w:r>
      <w:r w:rsidRPr="009C0416">
        <w:rPr>
          <w:vertAlign w:val="subscript"/>
        </w:rPr>
        <w:t>q,</w:t>
      </w:r>
      <w:r>
        <w:rPr>
          <w:vertAlign w:val="subscript"/>
        </w:rPr>
        <w:t xml:space="preserve"> </w:t>
      </w:r>
      <w:proofErr w:type="spellStart"/>
      <w:r w:rsidRPr="009C0416">
        <w:rPr>
          <w:vertAlign w:val="subscript"/>
        </w:rPr>
        <w:t>beforeCCGR</w:t>
      </w:r>
      <w:proofErr w:type="spellEnd"/>
      <w:r w:rsidRPr="009C0416">
        <w:rPr>
          <w:vertAlign w:val="subscript"/>
        </w:rPr>
        <w:t>,</w:t>
      </w:r>
      <w:r>
        <w:rPr>
          <w:vertAlign w:val="subscript"/>
        </w:rPr>
        <w:t xml:space="preserve"> </w:t>
      </w:r>
      <w:r w:rsidRPr="009C0416">
        <w:rPr>
          <w:vertAlign w:val="subscript"/>
        </w:rPr>
        <w:t>i</w:t>
      </w:r>
      <w:r w:rsidRPr="009C0416">
        <w:t xml:space="preserve"> * (LSL</w:t>
      </w:r>
      <w:r>
        <w:t xml:space="preserve"> </w:t>
      </w:r>
      <w:r w:rsidRPr="009C0416">
        <w:rPr>
          <w:vertAlign w:val="subscript"/>
        </w:rPr>
        <w:t>q,</w:t>
      </w:r>
      <w:r>
        <w:rPr>
          <w:vertAlign w:val="subscript"/>
        </w:rPr>
        <w:t xml:space="preserve"> </w:t>
      </w:r>
      <w:proofErr w:type="spellStart"/>
      <w:r w:rsidRPr="009C0416">
        <w:rPr>
          <w:vertAlign w:val="subscript"/>
        </w:rPr>
        <w:t>beforeCCGR</w:t>
      </w:r>
      <w:proofErr w:type="spellEnd"/>
      <w:r w:rsidRPr="009C0416">
        <w:rPr>
          <w:vertAlign w:val="subscript"/>
        </w:rPr>
        <w:t>,</w:t>
      </w:r>
      <w:r>
        <w:rPr>
          <w:vertAlign w:val="subscript"/>
        </w:rPr>
        <w:t xml:space="preserve"> </w:t>
      </w:r>
      <w:r w:rsidRPr="009C0416">
        <w:rPr>
          <w:vertAlign w:val="subscript"/>
        </w:rPr>
        <w:t>i</w:t>
      </w:r>
      <w:r w:rsidRPr="009C0416">
        <w:t xml:space="preserve"> * (¼))]</w:t>
      </w:r>
    </w:p>
    <w:p w14:paraId="4D3DF9D7" w14:textId="77777777" w:rsidR="00E2667F" w:rsidRDefault="003667DB" w:rsidP="00646994">
      <w:pPr>
        <w:pStyle w:val="BodyTextNumberedChar"/>
      </w:pPr>
      <w:r>
        <w:t>(</w:t>
      </w:r>
      <w:r w:rsidR="001A6D3F">
        <w:t>6</w:t>
      </w:r>
      <w:r w:rsidRPr="00DC5688">
        <w:t>)</w:t>
      </w:r>
      <w:r>
        <w:tab/>
      </w:r>
      <w:r w:rsidR="004A3F5E">
        <w:t xml:space="preserve">If a validated Three-Part Supply Offer has been submitted for a Resource for the RUC, then the RUC Guarantee for that Resource is based on the </w:t>
      </w:r>
      <w:r w:rsidR="00665FD4">
        <w:t xml:space="preserve">minimum of the </w:t>
      </w:r>
      <w:r w:rsidR="004A3F5E">
        <w:t xml:space="preserve">Startup Offer </w:t>
      </w:r>
      <w:r w:rsidR="00665FD4" w:rsidRPr="006A7952">
        <w:t xml:space="preserve">in that validated Three-Part Supply Offer and Startup Cap </w:t>
      </w:r>
      <w:r w:rsidR="004A3F5E">
        <w:t xml:space="preserve">and </w:t>
      </w:r>
      <w:r w:rsidR="00665FD4">
        <w:t xml:space="preserve">the lesser of the </w:t>
      </w:r>
      <w:r w:rsidR="004A3F5E">
        <w:t>Minimum-Energy Offer in that validated Three-Part Supply Offer</w:t>
      </w:r>
      <w:r w:rsidR="00665FD4" w:rsidRPr="006A7952">
        <w:t xml:space="preserve"> and the Minimum-Energy Offer Cap</w:t>
      </w:r>
      <w:r w:rsidR="004A3F5E">
        <w:t>.  If a validated Three-Part Supply Offer has not been submitted for a Resource for the RUC and ERCOT has not yet approved verifiable unit-specific costs for the Resource, then the RUC Guarantee for a Resource is based on the Resource Category Startup Generic Cap and the Resource Category Minimum-Energy Generic Cap.  If a validated Three-Part Supply Offer has not been submitted for a Resource for the RUC and ERCOT has approved verifiable unit-specific costs for the Resource, then the RUC Guarantee for a Resource is based on the most recent ERCOT-approved verifiable unit-specific costs for that Resource.</w:t>
      </w:r>
    </w:p>
    <w:p w14:paraId="5DA68093" w14:textId="77777777" w:rsidR="001836C6" w:rsidRDefault="00E234CB">
      <w:pPr>
        <w:pStyle w:val="BodyTextNumberedChar"/>
        <w:ind w:left="1440"/>
        <w:rPr>
          <w:b/>
        </w:rPr>
      </w:pPr>
      <w:r w:rsidRPr="00E234CB">
        <w:rPr>
          <w:b/>
        </w:rPr>
        <w:t xml:space="preserve">For a Resource which is not an AGR, </w:t>
      </w:r>
    </w:p>
    <w:p w14:paraId="579F6E94" w14:textId="77777777" w:rsidR="00F80C33" w:rsidRDefault="00723BFB" w:rsidP="0063616C">
      <w:pPr>
        <w:pStyle w:val="Formula"/>
        <w:rPr>
          <w:rStyle w:val="BodyTextChar"/>
          <w:iCs w:val="0"/>
        </w:rPr>
      </w:pPr>
      <w:r>
        <w:rPr>
          <w:rStyle w:val="BodyTextChar"/>
        </w:rPr>
        <w:lastRenderedPageBreak/>
        <w:t xml:space="preserve">If the QSE submitted a validated Three-Part Supply Offer, </w:t>
      </w:r>
    </w:p>
    <w:p w14:paraId="1A62022E" w14:textId="77777777" w:rsidR="00F80C33" w:rsidRDefault="00723BFB">
      <w:pPr>
        <w:pStyle w:val="Formula"/>
        <w:rPr>
          <w:rStyle w:val="BodyTextChar"/>
          <w:iCs w:val="0"/>
        </w:rPr>
      </w:pPr>
      <w:r>
        <w:rPr>
          <w:rStyle w:val="BodyTextChar"/>
        </w:rPr>
        <w:tab/>
        <w:t xml:space="preserve">Then, </w:t>
      </w:r>
      <w:r>
        <w:rPr>
          <w:rStyle w:val="BodyTextChar"/>
        </w:rPr>
        <w:tab/>
      </w:r>
      <w:r>
        <w:rPr>
          <w:rStyle w:val="BodyTextChar"/>
        </w:rPr>
        <w:tab/>
        <w:t>SUPR</w:t>
      </w:r>
      <w:r w:rsidR="00DC5894">
        <w:rPr>
          <w:rStyle w:val="BodyTextChar"/>
        </w:rPr>
        <w:t xml:space="preserve"> </w:t>
      </w:r>
      <w:r>
        <w:rPr>
          <w:i/>
          <w:vertAlign w:val="subscript"/>
        </w:rPr>
        <w:t>q,</w:t>
      </w:r>
      <w:r w:rsidR="00DC5894">
        <w:rPr>
          <w:i/>
          <w:vertAlign w:val="subscript"/>
        </w:rPr>
        <w:t xml:space="preserve"> </w:t>
      </w:r>
      <w:r>
        <w:rPr>
          <w:i/>
          <w:vertAlign w:val="subscript"/>
        </w:rPr>
        <w:t>r,</w:t>
      </w:r>
      <w:r w:rsidR="00DC5894">
        <w:rPr>
          <w:i/>
          <w:vertAlign w:val="subscript"/>
        </w:rPr>
        <w:t xml:space="preserve"> </w:t>
      </w:r>
      <w:r>
        <w:rPr>
          <w:rStyle w:val="BodyTextChar"/>
          <w:vertAlign w:val="subscript"/>
        </w:rPr>
        <w:t>s</w:t>
      </w:r>
      <w:r>
        <w:rPr>
          <w:rStyle w:val="BodyTextChar"/>
        </w:rPr>
        <w:tab/>
        <w:t>=</w:t>
      </w:r>
      <w:r>
        <w:rPr>
          <w:rStyle w:val="BodyTextChar"/>
        </w:rPr>
        <w:tab/>
      </w:r>
      <w:r w:rsidR="00665FD4">
        <w:rPr>
          <w:rStyle w:val="BodyTextChar"/>
        </w:rPr>
        <w:t>Min (</w:t>
      </w:r>
      <w:r>
        <w:rPr>
          <w:rStyle w:val="BodyTextChar"/>
        </w:rPr>
        <w:t>SUO</w:t>
      </w:r>
      <w:r w:rsidR="00DC5894">
        <w:rPr>
          <w:rStyle w:val="BodyTextChar"/>
        </w:rPr>
        <w:t xml:space="preserve"> </w:t>
      </w:r>
      <w:r>
        <w:rPr>
          <w:i/>
          <w:vertAlign w:val="subscript"/>
        </w:rPr>
        <w:t>q,</w:t>
      </w:r>
      <w:r w:rsidR="00DC5894">
        <w:rPr>
          <w:i/>
          <w:vertAlign w:val="subscript"/>
        </w:rPr>
        <w:t xml:space="preserve"> </w:t>
      </w:r>
      <w:r>
        <w:rPr>
          <w:i/>
          <w:vertAlign w:val="subscript"/>
        </w:rPr>
        <w:t>r,</w:t>
      </w:r>
      <w:r w:rsidR="00DC5894">
        <w:rPr>
          <w:i/>
          <w:vertAlign w:val="subscript"/>
        </w:rPr>
        <w:t xml:space="preserve"> </w:t>
      </w:r>
      <w:r>
        <w:rPr>
          <w:i/>
          <w:vertAlign w:val="subscript"/>
        </w:rPr>
        <w:t>s</w:t>
      </w:r>
      <w:r w:rsidR="00665FD4" w:rsidRPr="006A7952">
        <w:t xml:space="preserve">, SUCAP </w:t>
      </w:r>
      <w:r w:rsidR="00665FD4" w:rsidRPr="006A7952">
        <w:rPr>
          <w:i/>
          <w:vertAlign w:val="subscript"/>
        </w:rPr>
        <w:t>q,</w:t>
      </w:r>
      <w:r w:rsidR="00DC5894">
        <w:rPr>
          <w:i/>
          <w:vertAlign w:val="subscript"/>
        </w:rPr>
        <w:t xml:space="preserve"> </w:t>
      </w:r>
      <w:r w:rsidR="00665FD4" w:rsidRPr="006A7952">
        <w:rPr>
          <w:i/>
          <w:vertAlign w:val="subscript"/>
        </w:rPr>
        <w:t>r,</w:t>
      </w:r>
      <w:r w:rsidR="00DC5894">
        <w:rPr>
          <w:i/>
          <w:vertAlign w:val="subscript"/>
        </w:rPr>
        <w:t xml:space="preserve"> </w:t>
      </w:r>
      <w:r w:rsidR="00665FD4" w:rsidRPr="006A7952">
        <w:rPr>
          <w:i/>
          <w:vertAlign w:val="subscript"/>
        </w:rPr>
        <w:t>s</w:t>
      </w:r>
      <w:r w:rsidR="00665FD4" w:rsidRPr="006A7952">
        <w:t>)</w:t>
      </w:r>
    </w:p>
    <w:p w14:paraId="3CFA4D18" w14:textId="77777777" w:rsidR="00F80C33" w:rsidRDefault="00723BFB">
      <w:pPr>
        <w:pStyle w:val="Formula"/>
        <w:rPr>
          <w:rStyle w:val="BodyTextChar"/>
          <w:iCs w:val="0"/>
          <w:lang w:val="it-IT"/>
        </w:rPr>
      </w:pPr>
      <w:r>
        <w:rPr>
          <w:rStyle w:val="BodyTextChar"/>
        </w:rPr>
        <w:tab/>
      </w:r>
      <w:r>
        <w:rPr>
          <w:rStyle w:val="BodyTextChar"/>
        </w:rPr>
        <w:tab/>
      </w:r>
      <w:r>
        <w:rPr>
          <w:rStyle w:val="BodyTextChar"/>
        </w:rPr>
        <w:tab/>
      </w:r>
      <w:r>
        <w:rPr>
          <w:rStyle w:val="BodyTextChar"/>
          <w:lang w:val="it-IT"/>
        </w:rPr>
        <w:t>MEPR</w:t>
      </w:r>
      <w:r w:rsidR="00DC5894">
        <w:rPr>
          <w:rStyle w:val="BodyTextChar"/>
          <w:lang w:val="it-IT"/>
        </w:rPr>
        <w:t xml:space="preserve"> </w:t>
      </w:r>
      <w:r>
        <w:rPr>
          <w:i/>
          <w:vertAlign w:val="subscript"/>
        </w:rPr>
        <w:t>q,</w:t>
      </w:r>
      <w:r w:rsidR="00DC5894">
        <w:rPr>
          <w:i/>
          <w:vertAlign w:val="subscript"/>
        </w:rPr>
        <w:t xml:space="preserve"> </w:t>
      </w:r>
      <w:r>
        <w:rPr>
          <w:i/>
          <w:vertAlign w:val="subscript"/>
        </w:rPr>
        <w:t>r,</w:t>
      </w:r>
      <w:r w:rsidR="00DC5894">
        <w:rPr>
          <w:i/>
          <w:vertAlign w:val="subscript"/>
        </w:rPr>
        <w:t xml:space="preserve"> </w:t>
      </w:r>
      <w:r>
        <w:rPr>
          <w:i/>
          <w:vertAlign w:val="subscript"/>
        </w:rPr>
        <w:t>i</w:t>
      </w:r>
      <w:r>
        <w:rPr>
          <w:rStyle w:val="BodyTextChar"/>
          <w:lang w:val="it-IT"/>
        </w:rPr>
        <w:tab/>
        <w:t>=</w:t>
      </w:r>
      <w:r>
        <w:rPr>
          <w:rStyle w:val="BodyTextChar"/>
          <w:lang w:val="it-IT"/>
        </w:rPr>
        <w:tab/>
      </w:r>
      <w:r w:rsidR="00665FD4">
        <w:rPr>
          <w:rStyle w:val="BodyTextChar"/>
        </w:rPr>
        <w:t>Min (</w:t>
      </w:r>
      <w:r>
        <w:rPr>
          <w:rStyle w:val="BodyTextChar"/>
          <w:lang w:val="it-IT"/>
        </w:rPr>
        <w:t>MEO</w:t>
      </w:r>
      <w:r w:rsidR="00DC5894">
        <w:rPr>
          <w:rStyle w:val="BodyTextChar"/>
          <w:lang w:val="it-IT"/>
        </w:rPr>
        <w:t xml:space="preserve"> </w:t>
      </w:r>
      <w:r>
        <w:rPr>
          <w:i/>
          <w:vertAlign w:val="subscript"/>
        </w:rPr>
        <w:t>q,</w:t>
      </w:r>
      <w:r w:rsidR="00DC5894">
        <w:rPr>
          <w:i/>
          <w:vertAlign w:val="subscript"/>
        </w:rPr>
        <w:t xml:space="preserve"> </w:t>
      </w:r>
      <w:r>
        <w:rPr>
          <w:i/>
          <w:vertAlign w:val="subscript"/>
        </w:rPr>
        <w:t>r,</w:t>
      </w:r>
      <w:r w:rsidR="00DC5894">
        <w:rPr>
          <w:i/>
          <w:vertAlign w:val="subscript"/>
        </w:rPr>
        <w:t xml:space="preserve"> </w:t>
      </w:r>
      <w:r>
        <w:rPr>
          <w:i/>
          <w:vertAlign w:val="subscript"/>
        </w:rPr>
        <w:t>i</w:t>
      </w:r>
      <w:r w:rsidR="00665FD4" w:rsidRPr="006A7952">
        <w:t xml:space="preserve">, MECAP </w:t>
      </w:r>
      <w:r w:rsidR="00665FD4" w:rsidRPr="006A7952">
        <w:rPr>
          <w:i/>
          <w:vertAlign w:val="subscript"/>
        </w:rPr>
        <w:t>q,</w:t>
      </w:r>
      <w:r w:rsidR="00DC5894">
        <w:rPr>
          <w:i/>
          <w:vertAlign w:val="subscript"/>
          <w:lang w:val="en-US"/>
        </w:rPr>
        <w:t xml:space="preserve"> </w:t>
      </w:r>
      <w:r w:rsidR="00665FD4" w:rsidRPr="006A7952">
        <w:rPr>
          <w:i/>
          <w:vertAlign w:val="subscript"/>
        </w:rPr>
        <w:t>r,</w:t>
      </w:r>
      <w:r w:rsidR="00DC5894">
        <w:rPr>
          <w:i/>
          <w:vertAlign w:val="subscript"/>
          <w:lang w:val="en-US"/>
        </w:rPr>
        <w:t xml:space="preserve"> </w:t>
      </w:r>
      <w:r w:rsidR="00665FD4" w:rsidRPr="006A7952">
        <w:rPr>
          <w:i/>
          <w:vertAlign w:val="subscript"/>
        </w:rPr>
        <w:t>i</w:t>
      </w:r>
      <w:r w:rsidR="00665FD4" w:rsidRPr="006A7952">
        <w:t>)</w:t>
      </w:r>
    </w:p>
    <w:p w14:paraId="696C55E7" w14:textId="77777777" w:rsidR="00F80C33" w:rsidRDefault="00723BFB">
      <w:pPr>
        <w:pStyle w:val="Formula"/>
        <w:rPr>
          <w:rStyle w:val="BodyTextChar"/>
          <w:iCs w:val="0"/>
        </w:rPr>
      </w:pPr>
      <w:r>
        <w:rPr>
          <w:rStyle w:val="BodyTextChar"/>
          <w:lang w:val="it-IT"/>
        </w:rPr>
        <w:tab/>
      </w:r>
      <w:r>
        <w:rPr>
          <w:rStyle w:val="BodyTextChar"/>
        </w:rPr>
        <w:t xml:space="preserve">Otherwise, </w:t>
      </w:r>
      <w:r>
        <w:rPr>
          <w:rStyle w:val="BodyTextChar"/>
        </w:rPr>
        <w:tab/>
        <w:t>SUPR</w:t>
      </w:r>
      <w:r w:rsidR="00DC5894">
        <w:rPr>
          <w:rStyle w:val="BodyTextChar"/>
        </w:rPr>
        <w:t xml:space="preserve"> </w:t>
      </w:r>
      <w:r>
        <w:rPr>
          <w:i/>
          <w:vertAlign w:val="subscript"/>
        </w:rPr>
        <w:t>q,</w:t>
      </w:r>
      <w:r w:rsidR="00DC5894">
        <w:rPr>
          <w:i/>
          <w:vertAlign w:val="subscript"/>
        </w:rPr>
        <w:t xml:space="preserve"> </w:t>
      </w:r>
      <w:r>
        <w:rPr>
          <w:i/>
          <w:vertAlign w:val="subscript"/>
        </w:rPr>
        <w:t>r,</w:t>
      </w:r>
      <w:r w:rsidR="00DC5894">
        <w:rPr>
          <w:i/>
          <w:vertAlign w:val="subscript"/>
        </w:rPr>
        <w:t xml:space="preserve"> </w:t>
      </w:r>
      <w:r>
        <w:rPr>
          <w:i/>
          <w:vertAlign w:val="subscript"/>
        </w:rPr>
        <w:t>s</w:t>
      </w:r>
      <w:r>
        <w:rPr>
          <w:rStyle w:val="BodyTextChar"/>
        </w:rPr>
        <w:t xml:space="preserve"> </w:t>
      </w:r>
      <w:r>
        <w:rPr>
          <w:rStyle w:val="BodyTextChar"/>
        </w:rPr>
        <w:tab/>
        <w:t xml:space="preserve">= </w:t>
      </w:r>
      <w:r>
        <w:rPr>
          <w:rStyle w:val="BodyTextChar"/>
        </w:rPr>
        <w:tab/>
        <w:t>SUCAP</w:t>
      </w:r>
      <w:r w:rsidR="00DC5894">
        <w:rPr>
          <w:rStyle w:val="BodyTextChar"/>
        </w:rPr>
        <w:t xml:space="preserve"> </w:t>
      </w:r>
      <w:r>
        <w:rPr>
          <w:i/>
          <w:vertAlign w:val="subscript"/>
        </w:rPr>
        <w:t>q,</w:t>
      </w:r>
      <w:r w:rsidR="00DC5894">
        <w:rPr>
          <w:i/>
          <w:vertAlign w:val="subscript"/>
        </w:rPr>
        <w:t xml:space="preserve"> </w:t>
      </w:r>
      <w:r>
        <w:rPr>
          <w:i/>
          <w:vertAlign w:val="subscript"/>
        </w:rPr>
        <w:t>r,</w:t>
      </w:r>
      <w:r w:rsidR="00DC5894">
        <w:rPr>
          <w:i/>
          <w:vertAlign w:val="subscript"/>
        </w:rPr>
        <w:t xml:space="preserve"> </w:t>
      </w:r>
      <w:r>
        <w:rPr>
          <w:i/>
          <w:vertAlign w:val="subscript"/>
        </w:rPr>
        <w:t>s</w:t>
      </w:r>
    </w:p>
    <w:p w14:paraId="7C2863FE" w14:textId="77777777" w:rsidR="00F80C33" w:rsidRDefault="00723BFB">
      <w:pPr>
        <w:pStyle w:val="Formula"/>
        <w:rPr>
          <w:rStyle w:val="BodyTextChar"/>
          <w:iCs w:val="0"/>
          <w:lang w:val="it-IT"/>
        </w:rPr>
      </w:pPr>
      <w:r>
        <w:rPr>
          <w:rStyle w:val="BodyTextChar"/>
        </w:rPr>
        <w:tab/>
      </w:r>
      <w:r>
        <w:rPr>
          <w:rStyle w:val="BodyTextChar"/>
        </w:rPr>
        <w:tab/>
      </w:r>
      <w:r>
        <w:rPr>
          <w:rStyle w:val="BodyTextChar"/>
        </w:rPr>
        <w:tab/>
      </w:r>
      <w:r>
        <w:rPr>
          <w:rStyle w:val="BodyTextChar"/>
          <w:lang w:val="it-IT"/>
        </w:rPr>
        <w:t>MEPR</w:t>
      </w:r>
      <w:r w:rsidR="00DC5894">
        <w:rPr>
          <w:rStyle w:val="BodyTextChar"/>
          <w:lang w:val="it-IT"/>
        </w:rPr>
        <w:t xml:space="preserve"> </w:t>
      </w:r>
      <w:r>
        <w:rPr>
          <w:i/>
          <w:vertAlign w:val="subscript"/>
        </w:rPr>
        <w:t>q,</w:t>
      </w:r>
      <w:r w:rsidR="00DC5894">
        <w:rPr>
          <w:i/>
          <w:vertAlign w:val="subscript"/>
        </w:rPr>
        <w:t xml:space="preserve"> </w:t>
      </w:r>
      <w:r>
        <w:rPr>
          <w:i/>
          <w:vertAlign w:val="subscript"/>
        </w:rPr>
        <w:t>r,</w:t>
      </w:r>
      <w:r w:rsidR="00DC5894">
        <w:rPr>
          <w:i/>
          <w:vertAlign w:val="subscript"/>
        </w:rPr>
        <w:t xml:space="preserve"> </w:t>
      </w:r>
      <w:r>
        <w:rPr>
          <w:i/>
          <w:vertAlign w:val="subscript"/>
        </w:rPr>
        <w:t>i</w:t>
      </w:r>
      <w:r>
        <w:rPr>
          <w:rStyle w:val="BodyTextChar"/>
          <w:lang w:val="it-IT"/>
        </w:rPr>
        <w:t xml:space="preserve"> </w:t>
      </w:r>
      <w:r>
        <w:rPr>
          <w:rStyle w:val="BodyTextChar"/>
          <w:lang w:val="it-IT"/>
        </w:rPr>
        <w:tab/>
        <w:t xml:space="preserve">= </w:t>
      </w:r>
      <w:r>
        <w:rPr>
          <w:rStyle w:val="BodyTextChar"/>
          <w:lang w:val="it-IT"/>
        </w:rPr>
        <w:tab/>
        <w:t>MECAP</w:t>
      </w:r>
      <w:r w:rsidR="00DC5894">
        <w:rPr>
          <w:rStyle w:val="BodyTextChar"/>
          <w:lang w:val="it-IT"/>
        </w:rPr>
        <w:t xml:space="preserve"> </w:t>
      </w:r>
      <w:r>
        <w:rPr>
          <w:i/>
          <w:vertAlign w:val="subscript"/>
        </w:rPr>
        <w:t>q,</w:t>
      </w:r>
      <w:r w:rsidR="00DC5894">
        <w:rPr>
          <w:i/>
          <w:vertAlign w:val="subscript"/>
        </w:rPr>
        <w:t xml:space="preserve"> </w:t>
      </w:r>
      <w:r>
        <w:rPr>
          <w:i/>
          <w:vertAlign w:val="subscript"/>
        </w:rPr>
        <w:t>r,</w:t>
      </w:r>
      <w:r w:rsidR="00DC5894">
        <w:rPr>
          <w:i/>
          <w:vertAlign w:val="subscript"/>
        </w:rPr>
        <w:t xml:space="preserve"> </w:t>
      </w:r>
      <w:r>
        <w:rPr>
          <w:i/>
          <w:vertAlign w:val="subscript"/>
        </w:rPr>
        <w:t>i</w:t>
      </w:r>
    </w:p>
    <w:p w14:paraId="349108C0" w14:textId="77777777" w:rsidR="001836C6" w:rsidRDefault="00723BFB">
      <w:pPr>
        <w:pStyle w:val="List2"/>
        <w:ind w:left="720" w:firstLine="0"/>
        <w:rPr>
          <w:rStyle w:val="BodyTextChar"/>
          <w:iCs w:val="0"/>
        </w:rPr>
      </w:pPr>
      <w:r>
        <w:rPr>
          <w:rStyle w:val="BodyTextChar"/>
        </w:rPr>
        <w:t xml:space="preserve">If ERCOT has approved verifiable </w:t>
      </w:r>
      <w:r w:rsidR="004A3F5E">
        <w:rPr>
          <w:rStyle w:val="BodyTextChar"/>
        </w:rPr>
        <w:t>S</w:t>
      </w:r>
      <w:r>
        <w:rPr>
          <w:rStyle w:val="BodyTextChar"/>
        </w:rPr>
        <w:t xml:space="preserve">tartup </w:t>
      </w:r>
      <w:r w:rsidR="004A3F5E">
        <w:rPr>
          <w:rStyle w:val="BodyTextChar"/>
        </w:rPr>
        <w:t xml:space="preserve">Costs </w:t>
      </w:r>
      <w:r>
        <w:rPr>
          <w:rStyle w:val="BodyTextChar"/>
        </w:rPr>
        <w:t>and minimum-energy costs for the Resource,</w:t>
      </w:r>
    </w:p>
    <w:p w14:paraId="3B0982CB" w14:textId="77777777" w:rsidR="00F80C33" w:rsidRDefault="00723BFB" w:rsidP="0063616C">
      <w:pPr>
        <w:pStyle w:val="Formula"/>
        <w:rPr>
          <w:rStyle w:val="BodyTextChar"/>
          <w:iCs w:val="0"/>
        </w:rPr>
      </w:pPr>
      <w:r>
        <w:rPr>
          <w:rStyle w:val="BodyTextChar"/>
        </w:rPr>
        <w:tab/>
        <w:t xml:space="preserve">Then, </w:t>
      </w:r>
      <w:r>
        <w:rPr>
          <w:rStyle w:val="BodyTextChar"/>
        </w:rPr>
        <w:tab/>
      </w:r>
      <w:r>
        <w:rPr>
          <w:rStyle w:val="BodyTextChar"/>
        </w:rPr>
        <w:tab/>
        <w:t>SUCAP</w:t>
      </w:r>
      <w:r w:rsidR="006E1F1E">
        <w:rPr>
          <w:rStyle w:val="BodyTextChar"/>
        </w:rPr>
        <w:t xml:space="preserve"> </w:t>
      </w:r>
      <w:r>
        <w:rPr>
          <w:i/>
          <w:vertAlign w:val="subscript"/>
        </w:rPr>
        <w:t>q,</w:t>
      </w:r>
      <w:r w:rsidR="006E1F1E">
        <w:rPr>
          <w:i/>
          <w:vertAlign w:val="subscript"/>
        </w:rPr>
        <w:t xml:space="preserve"> </w:t>
      </w:r>
      <w:r>
        <w:rPr>
          <w:i/>
          <w:vertAlign w:val="subscript"/>
        </w:rPr>
        <w:t>r,</w:t>
      </w:r>
      <w:r w:rsidR="006E1F1E">
        <w:rPr>
          <w:i/>
          <w:vertAlign w:val="subscript"/>
        </w:rPr>
        <w:t xml:space="preserve"> </w:t>
      </w:r>
      <w:r>
        <w:rPr>
          <w:i/>
          <w:vertAlign w:val="subscript"/>
        </w:rPr>
        <w:t>s</w:t>
      </w:r>
      <w:r>
        <w:rPr>
          <w:rStyle w:val="BodyTextChar"/>
        </w:rPr>
        <w:tab/>
        <w:t>=</w:t>
      </w:r>
      <w:r>
        <w:rPr>
          <w:rStyle w:val="BodyTextChar"/>
        </w:rPr>
        <w:tab/>
        <w:t xml:space="preserve">verifiable </w:t>
      </w:r>
      <w:r w:rsidR="00DC5688">
        <w:rPr>
          <w:rStyle w:val="BodyTextChar"/>
        </w:rPr>
        <w:t>S</w:t>
      </w:r>
      <w:r>
        <w:rPr>
          <w:rStyle w:val="BodyTextChar"/>
        </w:rPr>
        <w:t xml:space="preserve">tartup </w:t>
      </w:r>
      <w:r w:rsidR="00DC5688">
        <w:rPr>
          <w:rStyle w:val="BodyTextChar"/>
        </w:rPr>
        <w:t>C</w:t>
      </w:r>
      <w:r>
        <w:rPr>
          <w:rStyle w:val="BodyTextChar"/>
        </w:rPr>
        <w:t>osts</w:t>
      </w:r>
      <w:r w:rsidR="006E1F1E">
        <w:rPr>
          <w:rStyle w:val="BodyTextChar"/>
        </w:rPr>
        <w:t xml:space="preserve"> </w:t>
      </w:r>
      <w:r>
        <w:rPr>
          <w:i/>
          <w:vertAlign w:val="subscript"/>
        </w:rPr>
        <w:t>q,</w:t>
      </w:r>
      <w:r w:rsidR="006E1F1E">
        <w:rPr>
          <w:i/>
          <w:vertAlign w:val="subscript"/>
        </w:rPr>
        <w:t xml:space="preserve"> </w:t>
      </w:r>
      <w:r>
        <w:rPr>
          <w:i/>
          <w:vertAlign w:val="subscript"/>
        </w:rPr>
        <w:t>r,</w:t>
      </w:r>
      <w:r w:rsidR="006E1F1E">
        <w:rPr>
          <w:i/>
          <w:vertAlign w:val="subscript"/>
        </w:rPr>
        <w:t xml:space="preserve"> </w:t>
      </w:r>
      <w:r>
        <w:rPr>
          <w:i/>
          <w:vertAlign w:val="subscript"/>
        </w:rPr>
        <w:t>s</w:t>
      </w:r>
    </w:p>
    <w:p w14:paraId="76EB85CD" w14:textId="77777777" w:rsidR="00F80C33" w:rsidRDefault="00723BFB">
      <w:pPr>
        <w:pStyle w:val="Formula"/>
        <w:rPr>
          <w:rStyle w:val="BodyTextChar"/>
          <w:iCs w:val="0"/>
        </w:rPr>
      </w:pPr>
      <w:r>
        <w:rPr>
          <w:rStyle w:val="BodyTextChar"/>
        </w:rPr>
        <w:tab/>
      </w:r>
      <w:r>
        <w:rPr>
          <w:rStyle w:val="BodyTextChar"/>
        </w:rPr>
        <w:tab/>
      </w:r>
      <w:r>
        <w:rPr>
          <w:rStyle w:val="BodyTextChar"/>
        </w:rPr>
        <w:tab/>
        <w:t>MECAP</w:t>
      </w:r>
      <w:r w:rsidR="00DC5894">
        <w:rPr>
          <w:rStyle w:val="BodyTextChar"/>
        </w:rPr>
        <w:t xml:space="preserve"> </w:t>
      </w:r>
      <w:r>
        <w:rPr>
          <w:i/>
          <w:vertAlign w:val="subscript"/>
        </w:rPr>
        <w:t>q,</w:t>
      </w:r>
      <w:r w:rsidR="00DC5894">
        <w:rPr>
          <w:i/>
          <w:vertAlign w:val="subscript"/>
        </w:rPr>
        <w:t xml:space="preserve"> </w:t>
      </w:r>
      <w:r>
        <w:rPr>
          <w:i/>
          <w:vertAlign w:val="subscript"/>
        </w:rPr>
        <w:t>r,</w:t>
      </w:r>
      <w:r w:rsidR="00DC5894">
        <w:rPr>
          <w:i/>
          <w:vertAlign w:val="subscript"/>
        </w:rPr>
        <w:t xml:space="preserve"> </w:t>
      </w:r>
      <w:r>
        <w:rPr>
          <w:i/>
          <w:vertAlign w:val="subscript"/>
        </w:rPr>
        <w:t>i</w:t>
      </w:r>
      <w:r>
        <w:rPr>
          <w:rStyle w:val="BodyTextChar"/>
        </w:rPr>
        <w:tab/>
        <w:t>=</w:t>
      </w:r>
      <w:r>
        <w:rPr>
          <w:rStyle w:val="BodyTextChar"/>
        </w:rPr>
        <w:tab/>
        <w:t>verifiable minimum-energy costs</w:t>
      </w:r>
      <w:r w:rsidR="006E1F1E">
        <w:rPr>
          <w:rStyle w:val="BodyTextChar"/>
        </w:rPr>
        <w:t xml:space="preserve"> </w:t>
      </w:r>
      <w:r>
        <w:rPr>
          <w:i/>
          <w:vertAlign w:val="subscript"/>
        </w:rPr>
        <w:t>q,</w:t>
      </w:r>
      <w:r w:rsidR="006E1F1E">
        <w:rPr>
          <w:i/>
          <w:vertAlign w:val="subscript"/>
        </w:rPr>
        <w:t xml:space="preserve"> </w:t>
      </w:r>
      <w:r>
        <w:rPr>
          <w:i/>
          <w:vertAlign w:val="subscript"/>
        </w:rPr>
        <w:t>r,</w:t>
      </w:r>
      <w:r w:rsidR="006E1F1E">
        <w:rPr>
          <w:i/>
          <w:vertAlign w:val="subscript"/>
        </w:rPr>
        <w:t xml:space="preserve"> </w:t>
      </w:r>
      <w:r>
        <w:rPr>
          <w:i/>
          <w:vertAlign w:val="subscript"/>
        </w:rPr>
        <w:t>i</w:t>
      </w:r>
    </w:p>
    <w:p w14:paraId="4479046E" w14:textId="77777777" w:rsidR="00F80C33" w:rsidRDefault="00723BFB">
      <w:pPr>
        <w:pStyle w:val="Formula"/>
        <w:rPr>
          <w:rStyle w:val="BodyTextChar"/>
          <w:iCs w:val="0"/>
        </w:rPr>
      </w:pPr>
      <w:r>
        <w:rPr>
          <w:rStyle w:val="BodyTextChar"/>
        </w:rPr>
        <w:tab/>
        <w:t xml:space="preserve">Otherwise, </w:t>
      </w:r>
      <w:r>
        <w:rPr>
          <w:rStyle w:val="BodyTextChar"/>
        </w:rPr>
        <w:tab/>
        <w:t>SUCAP</w:t>
      </w:r>
      <w:r w:rsidR="006E1F1E">
        <w:rPr>
          <w:rStyle w:val="BodyTextChar"/>
        </w:rPr>
        <w:t xml:space="preserve"> </w:t>
      </w:r>
      <w:r>
        <w:rPr>
          <w:i/>
          <w:vertAlign w:val="subscript"/>
        </w:rPr>
        <w:t>q,</w:t>
      </w:r>
      <w:r w:rsidR="006E1F1E">
        <w:rPr>
          <w:i/>
          <w:vertAlign w:val="subscript"/>
        </w:rPr>
        <w:t xml:space="preserve"> </w:t>
      </w:r>
      <w:r>
        <w:rPr>
          <w:i/>
          <w:vertAlign w:val="subscript"/>
        </w:rPr>
        <w:t>r,</w:t>
      </w:r>
      <w:r w:rsidR="006E1F1E">
        <w:rPr>
          <w:i/>
          <w:vertAlign w:val="subscript"/>
        </w:rPr>
        <w:t xml:space="preserve"> </w:t>
      </w:r>
      <w:r>
        <w:rPr>
          <w:i/>
          <w:vertAlign w:val="subscript"/>
        </w:rPr>
        <w:t>s</w:t>
      </w:r>
      <w:r>
        <w:rPr>
          <w:rStyle w:val="BodyTextChar"/>
        </w:rPr>
        <w:t xml:space="preserve"> </w:t>
      </w:r>
      <w:r>
        <w:rPr>
          <w:rStyle w:val="BodyTextChar"/>
        </w:rPr>
        <w:tab/>
        <w:t xml:space="preserve">= </w:t>
      </w:r>
      <w:r>
        <w:rPr>
          <w:rStyle w:val="BodyTextChar"/>
        </w:rPr>
        <w:tab/>
        <w:t>RCGSC</w:t>
      </w:r>
      <w:r w:rsidR="006E1F1E">
        <w:rPr>
          <w:rStyle w:val="BodyTextChar"/>
        </w:rPr>
        <w:t xml:space="preserve"> </w:t>
      </w:r>
      <w:r>
        <w:rPr>
          <w:i/>
          <w:vertAlign w:val="subscript"/>
        </w:rPr>
        <w:t>s</w:t>
      </w:r>
    </w:p>
    <w:p w14:paraId="71ABCCA5" w14:textId="77777777" w:rsidR="00F80C33" w:rsidRDefault="00723BFB">
      <w:pPr>
        <w:pStyle w:val="Formula"/>
        <w:rPr>
          <w:i/>
          <w:vertAlign w:val="subscript"/>
        </w:rPr>
      </w:pPr>
      <w:r>
        <w:rPr>
          <w:rStyle w:val="BodyTextChar"/>
        </w:rPr>
        <w:tab/>
      </w:r>
      <w:r>
        <w:rPr>
          <w:rStyle w:val="BodyTextChar"/>
        </w:rPr>
        <w:tab/>
      </w:r>
      <w:r>
        <w:rPr>
          <w:rStyle w:val="BodyTextChar"/>
        </w:rPr>
        <w:tab/>
        <w:t>MECAP</w:t>
      </w:r>
      <w:r w:rsidR="006E1F1E">
        <w:rPr>
          <w:rStyle w:val="BodyTextChar"/>
        </w:rPr>
        <w:t xml:space="preserve"> </w:t>
      </w:r>
      <w:r>
        <w:rPr>
          <w:i/>
          <w:vertAlign w:val="subscript"/>
        </w:rPr>
        <w:t>q,</w:t>
      </w:r>
      <w:r w:rsidR="006E1F1E">
        <w:rPr>
          <w:i/>
          <w:vertAlign w:val="subscript"/>
        </w:rPr>
        <w:t xml:space="preserve"> </w:t>
      </w:r>
      <w:r>
        <w:rPr>
          <w:i/>
          <w:vertAlign w:val="subscript"/>
        </w:rPr>
        <w:t>r,</w:t>
      </w:r>
      <w:r w:rsidR="006E1F1E">
        <w:rPr>
          <w:i/>
          <w:vertAlign w:val="subscript"/>
        </w:rPr>
        <w:t xml:space="preserve"> </w:t>
      </w:r>
      <w:r>
        <w:rPr>
          <w:i/>
          <w:vertAlign w:val="subscript"/>
        </w:rPr>
        <w:t>i</w:t>
      </w:r>
      <w:r>
        <w:rPr>
          <w:rStyle w:val="BodyTextChar"/>
        </w:rPr>
        <w:tab/>
        <w:t xml:space="preserve">= </w:t>
      </w:r>
      <w:r>
        <w:rPr>
          <w:rStyle w:val="BodyTextChar"/>
        </w:rPr>
        <w:tab/>
        <w:t>RCGMEC</w:t>
      </w:r>
      <w:r w:rsidR="006E1F1E">
        <w:rPr>
          <w:rStyle w:val="BodyTextChar"/>
        </w:rPr>
        <w:t xml:space="preserve"> </w:t>
      </w:r>
      <w:r>
        <w:rPr>
          <w:i/>
          <w:vertAlign w:val="subscript"/>
        </w:rPr>
        <w:t>i</w:t>
      </w:r>
    </w:p>
    <w:p w14:paraId="66D6CA3A" w14:textId="77777777" w:rsidR="001A6D3F" w:rsidRPr="001A6D3F" w:rsidRDefault="00E234CB" w:rsidP="001A6D3F">
      <w:pPr>
        <w:spacing w:after="240"/>
        <w:ind w:left="720"/>
        <w:rPr>
          <w:b/>
          <w:bCs/>
          <w:iCs/>
        </w:rPr>
      </w:pPr>
      <w:r w:rsidRPr="00E234CB">
        <w:rPr>
          <w:b/>
          <w:bCs/>
          <w:iCs/>
        </w:rPr>
        <w:t>For AGRs,</w:t>
      </w:r>
    </w:p>
    <w:p w14:paraId="59190FAD" w14:textId="77777777" w:rsidR="001A6D3F" w:rsidRPr="009E5389" w:rsidRDefault="001A6D3F" w:rsidP="001A6D3F">
      <w:pPr>
        <w:tabs>
          <w:tab w:val="left" w:pos="1440"/>
          <w:tab w:val="left" w:pos="2340"/>
        </w:tabs>
        <w:spacing w:after="240"/>
        <w:ind w:left="720"/>
        <w:rPr>
          <w:bCs/>
        </w:rPr>
      </w:pPr>
      <w:r w:rsidRPr="009E5389">
        <w:rPr>
          <w:bCs/>
          <w:iCs/>
        </w:rPr>
        <w:t xml:space="preserve">If the QSE submitted a validated Three-Part Supply Offer, </w:t>
      </w:r>
    </w:p>
    <w:p w14:paraId="317B3C4F" w14:textId="77777777" w:rsidR="001A6D3F" w:rsidRPr="009E5389" w:rsidRDefault="001A6D3F" w:rsidP="001A6D3F">
      <w:pPr>
        <w:tabs>
          <w:tab w:val="left" w:pos="1440"/>
          <w:tab w:val="left" w:pos="2340"/>
        </w:tabs>
        <w:spacing w:after="240"/>
        <w:ind w:left="1440"/>
        <w:rPr>
          <w:bCs/>
        </w:rPr>
      </w:pPr>
      <w:r w:rsidRPr="009E5389">
        <w:rPr>
          <w:bCs/>
          <w:iCs/>
        </w:rPr>
        <w:t xml:space="preserve">Then, </w:t>
      </w:r>
      <w:r w:rsidRPr="009E5389">
        <w:rPr>
          <w:bCs/>
          <w:iCs/>
        </w:rPr>
        <w:tab/>
      </w:r>
      <w:r w:rsidRPr="009E5389">
        <w:rPr>
          <w:bCs/>
          <w:iCs/>
        </w:rPr>
        <w:tab/>
        <w:t xml:space="preserve">SUPR </w:t>
      </w:r>
      <w:r w:rsidR="00DC5894">
        <w:rPr>
          <w:bCs/>
          <w:iCs/>
        </w:rPr>
        <w:t xml:space="preserve"> </w:t>
      </w:r>
      <w:r w:rsidRPr="009E5389">
        <w:rPr>
          <w:bCs/>
          <w:i/>
          <w:vertAlign w:val="subscript"/>
        </w:rPr>
        <w:t>q,</w:t>
      </w:r>
      <w:r w:rsidR="00DC5894">
        <w:rPr>
          <w:bCs/>
          <w:i/>
          <w:vertAlign w:val="subscript"/>
        </w:rPr>
        <w:t xml:space="preserve"> </w:t>
      </w:r>
      <w:r w:rsidRPr="009E5389">
        <w:rPr>
          <w:bCs/>
          <w:i/>
          <w:vertAlign w:val="subscript"/>
        </w:rPr>
        <w:t>r,</w:t>
      </w:r>
      <w:r w:rsidR="00DC5894">
        <w:rPr>
          <w:bCs/>
          <w:i/>
          <w:vertAlign w:val="subscript"/>
        </w:rPr>
        <w:t xml:space="preserve"> </w:t>
      </w:r>
      <w:r w:rsidRPr="009E5389">
        <w:rPr>
          <w:bCs/>
          <w:iCs/>
          <w:vertAlign w:val="subscript"/>
        </w:rPr>
        <w:t>s</w:t>
      </w:r>
      <w:r w:rsidRPr="009E5389">
        <w:rPr>
          <w:bCs/>
          <w:iCs/>
        </w:rPr>
        <w:tab/>
        <w:t>=</w:t>
      </w:r>
      <w:r w:rsidRPr="009E5389">
        <w:rPr>
          <w:bCs/>
          <w:iCs/>
        </w:rPr>
        <w:tab/>
        <w:t>Min</w:t>
      </w:r>
      <w:r w:rsidR="00216E76">
        <w:rPr>
          <w:bCs/>
          <w:iCs/>
        </w:rPr>
        <w:t xml:space="preserve"> </w:t>
      </w:r>
      <w:r w:rsidRPr="009E5389">
        <w:rPr>
          <w:bCs/>
          <w:iCs/>
        </w:rPr>
        <w:t xml:space="preserve">(SUO </w:t>
      </w:r>
      <w:r w:rsidRPr="009E5389">
        <w:rPr>
          <w:bCs/>
          <w:i/>
          <w:vertAlign w:val="subscript"/>
        </w:rPr>
        <w:t>q,</w:t>
      </w:r>
      <w:r w:rsidR="00DC5894">
        <w:rPr>
          <w:bCs/>
          <w:i/>
          <w:vertAlign w:val="subscript"/>
        </w:rPr>
        <w:t xml:space="preserve"> </w:t>
      </w:r>
      <w:r w:rsidRPr="009E5389">
        <w:rPr>
          <w:bCs/>
          <w:i/>
          <w:vertAlign w:val="subscript"/>
        </w:rPr>
        <w:t>r,</w:t>
      </w:r>
      <w:r w:rsidR="00DC5894">
        <w:rPr>
          <w:bCs/>
          <w:i/>
          <w:vertAlign w:val="subscript"/>
        </w:rPr>
        <w:t xml:space="preserve"> </w:t>
      </w:r>
      <w:r w:rsidRPr="009E5389">
        <w:rPr>
          <w:bCs/>
          <w:i/>
          <w:vertAlign w:val="subscript"/>
        </w:rPr>
        <w:t>s</w:t>
      </w:r>
      <w:r w:rsidRPr="009E5389">
        <w:rPr>
          <w:bCs/>
        </w:rPr>
        <w:t xml:space="preserve">, SUCAP </w:t>
      </w:r>
      <w:r w:rsidRPr="009E5389">
        <w:rPr>
          <w:bCs/>
          <w:i/>
          <w:vertAlign w:val="subscript"/>
        </w:rPr>
        <w:t>q,</w:t>
      </w:r>
      <w:r w:rsidR="00DC5894">
        <w:rPr>
          <w:bCs/>
          <w:i/>
          <w:vertAlign w:val="subscript"/>
        </w:rPr>
        <w:t xml:space="preserve"> </w:t>
      </w:r>
      <w:r w:rsidRPr="009E5389">
        <w:rPr>
          <w:bCs/>
          <w:i/>
          <w:vertAlign w:val="subscript"/>
        </w:rPr>
        <w:t>r,</w:t>
      </w:r>
      <w:r w:rsidR="00DC5894">
        <w:rPr>
          <w:bCs/>
          <w:i/>
          <w:vertAlign w:val="subscript"/>
        </w:rPr>
        <w:t xml:space="preserve"> </w:t>
      </w:r>
      <w:r w:rsidRPr="009E5389">
        <w:rPr>
          <w:bCs/>
          <w:i/>
          <w:vertAlign w:val="subscript"/>
        </w:rPr>
        <w:t>s</w:t>
      </w:r>
      <w:r w:rsidRPr="009E5389">
        <w:rPr>
          <w:bCs/>
        </w:rPr>
        <w:t>)</w:t>
      </w:r>
    </w:p>
    <w:p w14:paraId="5FC58215" w14:textId="77777777" w:rsidR="001A6D3F" w:rsidRPr="009E5389" w:rsidRDefault="001A6D3F" w:rsidP="00665FD4">
      <w:pPr>
        <w:tabs>
          <w:tab w:val="left" w:pos="1440"/>
          <w:tab w:val="left" w:pos="2340"/>
        </w:tabs>
        <w:spacing w:after="240"/>
        <w:ind w:left="720"/>
        <w:rPr>
          <w:bCs/>
          <w:lang w:val="it-IT"/>
        </w:rPr>
      </w:pPr>
      <w:r w:rsidRPr="009E5389">
        <w:rPr>
          <w:bCs/>
          <w:iCs/>
        </w:rPr>
        <w:tab/>
      </w:r>
      <w:r w:rsidRPr="009E5389">
        <w:rPr>
          <w:bCs/>
          <w:iCs/>
        </w:rPr>
        <w:tab/>
      </w:r>
      <w:r w:rsidRPr="009E5389">
        <w:rPr>
          <w:bCs/>
          <w:iCs/>
        </w:rPr>
        <w:tab/>
      </w:r>
      <w:r w:rsidRPr="009E5389">
        <w:rPr>
          <w:bCs/>
          <w:iCs/>
          <w:lang w:val="it-IT"/>
        </w:rPr>
        <w:t xml:space="preserve">MEPR </w:t>
      </w:r>
      <w:r w:rsidRPr="009E5389">
        <w:rPr>
          <w:bCs/>
          <w:i/>
          <w:vertAlign w:val="subscript"/>
          <w:lang w:val="it-IT"/>
        </w:rPr>
        <w:t>q,</w:t>
      </w:r>
      <w:r w:rsidR="00DC5894">
        <w:rPr>
          <w:bCs/>
          <w:i/>
          <w:vertAlign w:val="subscript"/>
          <w:lang w:val="it-IT"/>
        </w:rPr>
        <w:t xml:space="preserve"> </w:t>
      </w:r>
      <w:r w:rsidRPr="009E5389">
        <w:rPr>
          <w:bCs/>
          <w:i/>
          <w:vertAlign w:val="subscript"/>
          <w:lang w:val="it-IT"/>
        </w:rPr>
        <w:t>r,</w:t>
      </w:r>
      <w:r w:rsidR="00DC5894">
        <w:rPr>
          <w:bCs/>
          <w:i/>
          <w:vertAlign w:val="subscript"/>
          <w:lang w:val="it-IT"/>
        </w:rPr>
        <w:t xml:space="preserve"> </w:t>
      </w:r>
      <w:r w:rsidRPr="009E5389">
        <w:rPr>
          <w:bCs/>
          <w:i/>
          <w:vertAlign w:val="subscript"/>
          <w:lang w:val="it-IT"/>
        </w:rPr>
        <w:t>i</w:t>
      </w:r>
      <w:r w:rsidRPr="009E5389">
        <w:rPr>
          <w:bCs/>
          <w:iCs/>
          <w:lang w:val="it-IT"/>
        </w:rPr>
        <w:tab/>
        <w:t>=</w:t>
      </w:r>
      <w:r w:rsidRPr="009E5389">
        <w:rPr>
          <w:bCs/>
          <w:iCs/>
          <w:lang w:val="it-IT"/>
        </w:rPr>
        <w:tab/>
      </w:r>
      <w:r w:rsidR="00665FD4" w:rsidRPr="006A7952">
        <w:rPr>
          <w:bCs/>
          <w:iCs/>
          <w:lang w:val="it-IT"/>
        </w:rPr>
        <w:t>Min</w:t>
      </w:r>
      <w:r w:rsidR="00216E76">
        <w:rPr>
          <w:bCs/>
          <w:iCs/>
          <w:lang w:val="it-IT"/>
        </w:rPr>
        <w:t xml:space="preserve"> </w:t>
      </w:r>
      <w:r w:rsidR="00665FD4" w:rsidRPr="006A7952">
        <w:rPr>
          <w:bCs/>
          <w:iCs/>
          <w:lang w:val="it-IT"/>
        </w:rPr>
        <w:t>(</w:t>
      </w:r>
      <w:r w:rsidRPr="009E5389">
        <w:rPr>
          <w:bCs/>
          <w:iCs/>
          <w:lang w:val="it-IT"/>
        </w:rPr>
        <w:t xml:space="preserve">MEO </w:t>
      </w:r>
      <w:r w:rsidRPr="009E5389">
        <w:rPr>
          <w:bCs/>
          <w:i/>
          <w:vertAlign w:val="subscript"/>
          <w:lang w:val="it-IT"/>
        </w:rPr>
        <w:t>q,</w:t>
      </w:r>
      <w:r w:rsidR="00DC5894">
        <w:rPr>
          <w:bCs/>
          <w:i/>
          <w:vertAlign w:val="subscript"/>
          <w:lang w:val="it-IT"/>
        </w:rPr>
        <w:t xml:space="preserve"> </w:t>
      </w:r>
      <w:r w:rsidRPr="009E5389">
        <w:rPr>
          <w:bCs/>
          <w:i/>
          <w:vertAlign w:val="subscript"/>
          <w:lang w:val="it-IT"/>
        </w:rPr>
        <w:t>r,</w:t>
      </w:r>
      <w:r w:rsidR="00DC5894">
        <w:rPr>
          <w:bCs/>
          <w:i/>
          <w:vertAlign w:val="subscript"/>
          <w:lang w:val="it-IT"/>
        </w:rPr>
        <w:t xml:space="preserve"> </w:t>
      </w:r>
      <w:r w:rsidRPr="009E5389">
        <w:rPr>
          <w:bCs/>
          <w:i/>
          <w:vertAlign w:val="subscript"/>
          <w:lang w:val="it-IT"/>
        </w:rPr>
        <w:t>i</w:t>
      </w:r>
      <w:r w:rsidR="00665FD4" w:rsidRPr="006A7952">
        <w:t xml:space="preserve">, MECAP </w:t>
      </w:r>
      <w:r w:rsidR="00665FD4" w:rsidRPr="006A7952">
        <w:rPr>
          <w:bCs/>
          <w:i/>
          <w:vertAlign w:val="subscript"/>
        </w:rPr>
        <w:t>q,</w:t>
      </w:r>
      <w:r w:rsidR="00DC5894">
        <w:rPr>
          <w:bCs/>
          <w:i/>
          <w:vertAlign w:val="subscript"/>
        </w:rPr>
        <w:t xml:space="preserve"> </w:t>
      </w:r>
      <w:r w:rsidR="00665FD4" w:rsidRPr="006A7952">
        <w:rPr>
          <w:bCs/>
          <w:i/>
          <w:vertAlign w:val="subscript"/>
        </w:rPr>
        <w:t>r,</w:t>
      </w:r>
      <w:r w:rsidR="00DC5894">
        <w:rPr>
          <w:bCs/>
          <w:i/>
          <w:vertAlign w:val="subscript"/>
        </w:rPr>
        <w:t xml:space="preserve"> </w:t>
      </w:r>
      <w:r w:rsidR="00665FD4" w:rsidRPr="006A7952">
        <w:rPr>
          <w:bCs/>
          <w:i/>
          <w:vertAlign w:val="subscript"/>
        </w:rPr>
        <w:t>i</w:t>
      </w:r>
      <w:r w:rsidR="00665FD4" w:rsidRPr="006A7952">
        <w:rPr>
          <w:bCs/>
        </w:rPr>
        <w:t>)</w:t>
      </w:r>
    </w:p>
    <w:p w14:paraId="371C423C" w14:textId="77777777" w:rsidR="001A6D3F" w:rsidRPr="009E5389" w:rsidRDefault="001A6D3F" w:rsidP="001A6D3F">
      <w:pPr>
        <w:tabs>
          <w:tab w:val="left" w:pos="1440"/>
          <w:tab w:val="left" w:pos="2340"/>
        </w:tabs>
        <w:spacing w:after="240"/>
        <w:ind w:left="720"/>
        <w:rPr>
          <w:bCs/>
        </w:rPr>
      </w:pPr>
      <w:r w:rsidRPr="009E5389">
        <w:rPr>
          <w:bCs/>
          <w:iCs/>
          <w:lang w:val="it-IT"/>
        </w:rPr>
        <w:tab/>
      </w:r>
      <w:r w:rsidRPr="009E5389">
        <w:rPr>
          <w:bCs/>
          <w:iCs/>
        </w:rPr>
        <w:t xml:space="preserve">Otherwise, </w:t>
      </w:r>
      <w:r w:rsidRPr="009E5389">
        <w:rPr>
          <w:bCs/>
          <w:iCs/>
        </w:rPr>
        <w:tab/>
        <w:t xml:space="preserve">SUPR </w:t>
      </w:r>
      <w:r w:rsidRPr="009E5389">
        <w:rPr>
          <w:bCs/>
          <w:i/>
          <w:vertAlign w:val="subscript"/>
        </w:rPr>
        <w:t>q,</w:t>
      </w:r>
      <w:r w:rsidR="00DC5894">
        <w:rPr>
          <w:bCs/>
          <w:i/>
          <w:vertAlign w:val="subscript"/>
        </w:rPr>
        <w:t xml:space="preserve"> </w:t>
      </w:r>
      <w:r w:rsidRPr="009E5389">
        <w:rPr>
          <w:bCs/>
          <w:i/>
          <w:vertAlign w:val="subscript"/>
        </w:rPr>
        <w:t>r,</w:t>
      </w:r>
      <w:r w:rsidR="00DC5894">
        <w:rPr>
          <w:bCs/>
          <w:i/>
          <w:vertAlign w:val="subscript"/>
        </w:rPr>
        <w:t xml:space="preserve"> </w:t>
      </w:r>
      <w:r w:rsidRPr="009E5389">
        <w:rPr>
          <w:bCs/>
          <w:i/>
          <w:vertAlign w:val="subscript"/>
        </w:rPr>
        <w:t>s</w:t>
      </w:r>
      <w:r w:rsidRPr="009E5389">
        <w:rPr>
          <w:bCs/>
          <w:iCs/>
        </w:rPr>
        <w:t xml:space="preserve"> </w:t>
      </w:r>
      <w:r w:rsidRPr="009E5389">
        <w:rPr>
          <w:bCs/>
          <w:iCs/>
        </w:rPr>
        <w:tab/>
        <w:t xml:space="preserve">= </w:t>
      </w:r>
      <w:r w:rsidRPr="009E5389">
        <w:rPr>
          <w:bCs/>
          <w:iCs/>
        </w:rPr>
        <w:tab/>
        <w:t xml:space="preserve">SUCAP </w:t>
      </w:r>
      <w:r w:rsidRPr="009E5389">
        <w:rPr>
          <w:bCs/>
          <w:i/>
          <w:vertAlign w:val="subscript"/>
        </w:rPr>
        <w:t>q,</w:t>
      </w:r>
      <w:r w:rsidR="00DC5894">
        <w:rPr>
          <w:bCs/>
          <w:i/>
          <w:vertAlign w:val="subscript"/>
        </w:rPr>
        <w:t xml:space="preserve"> </w:t>
      </w:r>
      <w:r w:rsidRPr="009E5389">
        <w:rPr>
          <w:bCs/>
          <w:i/>
          <w:vertAlign w:val="subscript"/>
        </w:rPr>
        <w:t>r,</w:t>
      </w:r>
      <w:r w:rsidR="00DC5894">
        <w:rPr>
          <w:bCs/>
          <w:i/>
          <w:vertAlign w:val="subscript"/>
        </w:rPr>
        <w:t xml:space="preserve"> </w:t>
      </w:r>
      <w:r w:rsidRPr="009E5389">
        <w:rPr>
          <w:bCs/>
          <w:i/>
          <w:vertAlign w:val="subscript"/>
        </w:rPr>
        <w:t>s</w:t>
      </w:r>
    </w:p>
    <w:p w14:paraId="5225D322" w14:textId="77777777" w:rsidR="001A6D3F" w:rsidRPr="009E5389" w:rsidRDefault="001A6D3F" w:rsidP="001A6D3F">
      <w:pPr>
        <w:tabs>
          <w:tab w:val="left" w:pos="1440"/>
          <w:tab w:val="left" w:pos="2340"/>
        </w:tabs>
        <w:spacing w:after="240"/>
        <w:ind w:left="720"/>
        <w:rPr>
          <w:bCs/>
          <w:lang w:val="it-IT"/>
        </w:rPr>
      </w:pPr>
      <w:r w:rsidRPr="009E5389">
        <w:rPr>
          <w:bCs/>
          <w:iCs/>
        </w:rPr>
        <w:tab/>
      </w:r>
      <w:r w:rsidRPr="009E5389">
        <w:rPr>
          <w:bCs/>
          <w:iCs/>
        </w:rPr>
        <w:tab/>
      </w:r>
      <w:r w:rsidRPr="009E5389">
        <w:rPr>
          <w:bCs/>
          <w:iCs/>
        </w:rPr>
        <w:tab/>
      </w:r>
      <w:r w:rsidRPr="009E5389">
        <w:rPr>
          <w:bCs/>
          <w:iCs/>
          <w:lang w:val="it-IT"/>
        </w:rPr>
        <w:t xml:space="preserve">MEPR </w:t>
      </w:r>
      <w:r w:rsidRPr="009E5389">
        <w:rPr>
          <w:bCs/>
          <w:i/>
          <w:vertAlign w:val="subscript"/>
          <w:lang w:val="it-IT"/>
        </w:rPr>
        <w:t>q,</w:t>
      </w:r>
      <w:r w:rsidR="00DC5894">
        <w:rPr>
          <w:bCs/>
          <w:i/>
          <w:vertAlign w:val="subscript"/>
          <w:lang w:val="it-IT"/>
        </w:rPr>
        <w:t xml:space="preserve"> </w:t>
      </w:r>
      <w:r w:rsidRPr="009E5389">
        <w:rPr>
          <w:bCs/>
          <w:i/>
          <w:vertAlign w:val="subscript"/>
          <w:lang w:val="it-IT"/>
        </w:rPr>
        <w:t>r,</w:t>
      </w:r>
      <w:r w:rsidR="00DC5894">
        <w:rPr>
          <w:bCs/>
          <w:i/>
          <w:vertAlign w:val="subscript"/>
          <w:lang w:val="it-IT"/>
        </w:rPr>
        <w:t xml:space="preserve"> </w:t>
      </w:r>
      <w:r w:rsidRPr="009E5389">
        <w:rPr>
          <w:bCs/>
          <w:i/>
          <w:vertAlign w:val="subscript"/>
          <w:lang w:val="it-IT"/>
        </w:rPr>
        <w:t>i</w:t>
      </w:r>
      <w:r w:rsidRPr="009E5389">
        <w:rPr>
          <w:bCs/>
          <w:iCs/>
          <w:lang w:val="it-IT"/>
        </w:rPr>
        <w:t xml:space="preserve"> </w:t>
      </w:r>
      <w:r w:rsidRPr="009E5389">
        <w:rPr>
          <w:bCs/>
          <w:iCs/>
          <w:lang w:val="it-IT"/>
        </w:rPr>
        <w:tab/>
        <w:t xml:space="preserve">= </w:t>
      </w:r>
      <w:r w:rsidRPr="009E5389">
        <w:rPr>
          <w:bCs/>
          <w:iCs/>
          <w:lang w:val="it-IT"/>
        </w:rPr>
        <w:tab/>
        <w:t xml:space="preserve">MECAP </w:t>
      </w:r>
      <w:r w:rsidRPr="009E5389">
        <w:rPr>
          <w:bCs/>
          <w:i/>
          <w:vertAlign w:val="subscript"/>
          <w:lang w:val="it-IT"/>
        </w:rPr>
        <w:t>q,</w:t>
      </w:r>
      <w:r w:rsidR="00DC5894">
        <w:rPr>
          <w:bCs/>
          <w:i/>
          <w:vertAlign w:val="subscript"/>
          <w:lang w:val="it-IT"/>
        </w:rPr>
        <w:t xml:space="preserve"> </w:t>
      </w:r>
      <w:r w:rsidRPr="009E5389">
        <w:rPr>
          <w:bCs/>
          <w:i/>
          <w:vertAlign w:val="subscript"/>
          <w:lang w:val="it-IT"/>
        </w:rPr>
        <w:t>r,</w:t>
      </w:r>
      <w:r w:rsidR="00DC5894">
        <w:rPr>
          <w:bCs/>
          <w:i/>
          <w:vertAlign w:val="subscript"/>
          <w:lang w:val="it-IT"/>
        </w:rPr>
        <w:t xml:space="preserve"> </w:t>
      </w:r>
      <w:r w:rsidRPr="009E5389">
        <w:rPr>
          <w:bCs/>
          <w:i/>
          <w:vertAlign w:val="subscript"/>
          <w:lang w:val="it-IT"/>
        </w:rPr>
        <w:t>i</w:t>
      </w:r>
    </w:p>
    <w:p w14:paraId="1021A94E" w14:textId="77777777" w:rsidR="001836C6" w:rsidRDefault="001A6D3F">
      <w:pPr>
        <w:spacing w:after="240"/>
        <w:ind w:left="720"/>
      </w:pPr>
      <w:r w:rsidRPr="009E5389">
        <w:rPr>
          <w:iCs/>
        </w:rPr>
        <w:t>If ERCOT has approved verifiable Startup Costs and minimum-energy costs for the Resource,</w:t>
      </w:r>
    </w:p>
    <w:p w14:paraId="7668C2AA" w14:textId="77777777" w:rsidR="001A6D3F" w:rsidRPr="009E5389" w:rsidRDefault="001A6D3F" w:rsidP="001A6D3F">
      <w:pPr>
        <w:tabs>
          <w:tab w:val="left" w:pos="1440"/>
          <w:tab w:val="left" w:pos="2340"/>
        </w:tabs>
        <w:spacing w:after="240"/>
        <w:ind w:left="2880" w:hanging="2160"/>
        <w:rPr>
          <w:bCs/>
        </w:rPr>
      </w:pPr>
      <w:r w:rsidRPr="009E5389">
        <w:rPr>
          <w:bCs/>
          <w:iCs/>
        </w:rPr>
        <w:tab/>
        <w:t xml:space="preserve">Then, </w:t>
      </w:r>
      <w:r w:rsidRPr="009E5389">
        <w:rPr>
          <w:bCs/>
          <w:iCs/>
        </w:rPr>
        <w:tab/>
      </w:r>
      <w:r w:rsidRPr="009E5389">
        <w:rPr>
          <w:bCs/>
          <w:iCs/>
        </w:rPr>
        <w:tab/>
        <w:t xml:space="preserve">SUCAP </w:t>
      </w:r>
      <w:r w:rsidRPr="009E5389">
        <w:rPr>
          <w:bCs/>
          <w:i/>
          <w:vertAlign w:val="subscript"/>
        </w:rPr>
        <w:t>q, r, s</w:t>
      </w:r>
      <w:r w:rsidRPr="009E5389">
        <w:rPr>
          <w:bCs/>
          <w:iCs/>
        </w:rPr>
        <w:tab/>
        <w:t>=</w:t>
      </w:r>
      <w:r w:rsidRPr="009E5389">
        <w:rPr>
          <w:bCs/>
          <w:iCs/>
        </w:rPr>
        <w:tab/>
      </w:r>
      <w:r w:rsidRPr="009E5389">
        <w:rPr>
          <w:rStyle w:val="BodyTextChar"/>
        </w:rPr>
        <w:t xml:space="preserve">Max </w:t>
      </w:r>
      <w:r w:rsidRPr="009E5389">
        <w:rPr>
          <w:rStyle w:val="BodyTextChar"/>
          <w:vertAlign w:val="subscript"/>
        </w:rPr>
        <w:t>c</w:t>
      </w:r>
      <w:r w:rsidRPr="009E5389">
        <w:rPr>
          <w:lang w:val="pt-BR"/>
        </w:rPr>
        <w:t xml:space="preserve"> (AGRRATIO</w:t>
      </w:r>
      <w:r w:rsidRPr="009E5389">
        <w:rPr>
          <w:i/>
          <w:vertAlign w:val="subscript"/>
          <w:lang w:val="pt-BR"/>
        </w:rPr>
        <w:t xml:space="preserve"> q, p, r</w:t>
      </w:r>
      <w:r w:rsidRPr="009E5389">
        <w:rPr>
          <w:rStyle w:val="BodyTextChar"/>
        </w:rPr>
        <w:t xml:space="preserve">) * </w:t>
      </w:r>
      <w:r w:rsidRPr="009E5389">
        <w:rPr>
          <w:bCs/>
          <w:iCs/>
        </w:rPr>
        <w:t xml:space="preserve">verifiable Startup Costs </w:t>
      </w:r>
      <w:r w:rsidRPr="009E5389">
        <w:rPr>
          <w:bCs/>
          <w:i/>
          <w:vertAlign w:val="subscript"/>
        </w:rPr>
        <w:t>q, r, s</w:t>
      </w:r>
    </w:p>
    <w:p w14:paraId="2C00EFD7" w14:textId="77777777" w:rsidR="001A6D3F" w:rsidRPr="009E5389" w:rsidRDefault="001A6D3F" w:rsidP="001A6D3F">
      <w:pPr>
        <w:tabs>
          <w:tab w:val="left" w:pos="1440"/>
          <w:tab w:val="left" w:pos="2340"/>
        </w:tabs>
        <w:spacing w:after="240"/>
        <w:ind w:left="720"/>
        <w:rPr>
          <w:bCs/>
          <w:i/>
          <w:vertAlign w:val="subscript"/>
        </w:rPr>
      </w:pPr>
      <w:r w:rsidRPr="009E5389">
        <w:rPr>
          <w:bCs/>
          <w:iCs/>
        </w:rPr>
        <w:tab/>
      </w:r>
      <w:r w:rsidRPr="009E5389">
        <w:rPr>
          <w:bCs/>
          <w:iCs/>
        </w:rPr>
        <w:tab/>
      </w:r>
      <w:r w:rsidRPr="009E5389">
        <w:rPr>
          <w:bCs/>
          <w:iCs/>
        </w:rPr>
        <w:tab/>
        <w:t xml:space="preserve">MECAP </w:t>
      </w:r>
      <w:r w:rsidRPr="009E5389">
        <w:rPr>
          <w:bCs/>
          <w:i/>
          <w:vertAlign w:val="subscript"/>
        </w:rPr>
        <w:t>q,</w:t>
      </w:r>
      <w:r w:rsidR="00DC5894">
        <w:rPr>
          <w:bCs/>
          <w:i/>
          <w:vertAlign w:val="subscript"/>
        </w:rPr>
        <w:t xml:space="preserve"> </w:t>
      </w:r>
      <w:r w:rsidRPr="009E5389">
        <w:rPr>
          <w:bCs/>
          <w:i/>
          <w:vertAlign w:val="subscript"/>
        </w:rPr>
        <w:t>r,</w:t>
      </w:r>
      <w:r w:rsidR="00DC5894">
        <w:rPr>
          <w:bCs/>
          <w:i/>
          <w:vertAlign w:val="subscript"/>
        </w:rPr>
        <w:t xml:space="preserve"> </w:t>
      </w:r>
      <w:r w:rsidRPr="009E5389">
        <w:rPr>
          <w:bCs/>
          <w:i/>
          <w:vertAlign w:val="subscript"/>
        </w:rPr>
        <w:t>i</w:t>
      </w:r>
      <w:r w:rsidRPr="009E5389">
        <w:rPr>
          <w:bCs/>
          <w:iCs/>
        </w:rPr>
        <w:tab/>
        <w:t>=</w:t>
      </w:r>
      <w:r w:rsidRPr="009E5389">
        <w:rPr>
          <w:bCs/>
          <w:iCs/>
        </w:rPr>
        <w:tab/>
        <w:t xml:space="preserve">verifiable minimum-energy costs </w:t>
      </w:r>
      <w:r w:rsidRPr="009E5389">
        <w:rPr>
          <w:bCs/>
          <w:i/>
          <w:vertAlign w:val="subscript"/>
        </w:rPr>
        <w:t>q, r, i</w:t>
      </w:r>
    </w:p>
    <w:p w14:paraId="3AFDDD27" w14:textId="77777777" w:rsidR="001A6D3F" w:rsidRPr="009E5389" w:rsidRDefault="001A6D3F" w:rsidP="001A6D3F">
      <w:pPr>
        <w:tabs>
          <w:tab w:val="left" w:pos="1440"/>
          <w:tab w:val="left" w:pos="2340"/>
        </w:tabs>
        <w:spacing w:after="240"/>
        <w:ind w:left="720"/>
        <w:rPr>
          <w:bCs/>
        </w:rPr>
      </w:pPr>
      <w:r w:rsidRPr="009E5389">
        <w:rPr>
          <w:bCs/>
          <w:iCs/>
        </w:rPr>
        <w:tab/>
        <w:t xml:space="preserve">Where, </w:t>
      </w:r>
      <w:r w:rsidRPr="009E5389">
        <w:rPr>
          <w:bCs/>
          <w:iCs/>
        </w:rPr>
        <w:tab/>
      </w:r>
      <w:r w:rsidRPr="009E5389">
        <w:rPr>
          <w:bCs/>
          <w:iCs/>
        </w:rPr>
        <w:tab/>
        <w:t xml:space="preserve">AGRRATIO </w:t>
      </w:r>
      <w:r w:rsidRPr="009E5389">
        <w:rPr>
          <w:bCs/>
          <w:i/>
          <w:vertAlign w:val="subscript"/>
        </w:rPr>
        <w:t>q,</w:t>
      </w:r>
      <w:r w:rsidR="00DC5894">
        <w:rPr>
          <w:bCs/>
          <w:i/>
          <w:vertAlign w:val="subscript"/>
        </w:rPr>
        <w:t xml:space="preserve"> </w:t>
      </w:r>
      <w:r w:rsidRPr="009E5389">
        <w:rPr>
          <w:bCs/>
          <w:i/>
          <w:vertAlign w:val="subscript"/>
        </w:rPr>
        <w:t>p,</w:t>
      </w:r>
      <w:r w:rsidR="00DC5894">
        <w:rPr>
          <w:bCs/>
          <w:i/>
          <w:vertAlign w:val="subscript"/>
        </w:rPr>
        <w:t xml:space="preserve"> </w:t>
      </w:r>
      <w:r w:rsidRPr="009E5389">
        <w:rPr>
          <w:bCs/>
          <w:i/>
          <w:vertAlign w:val="subscript"/>
        </w:rPr>
        <w:t>r</w:t>
      </w:r>
      <w:r w:rsidRPr="009E5389">
        <w:rPr>
          <w:bCs/>
          <w:i/>
          <w:vertAlign w:val="subscript"/>
        </w:rPr>
        <w:tab/>
        <w:t xml:space="preserve"> </w:t>
      </w:r>
      <w:r w:rsidRPr="009E5389">
        <w:rPr>
          <w:lang w:val="pt-BR"/>
        </w:rPr>
        <w:t>=</w:t>
      </w:r>
      <w:r w:rsidRPr="009E5389">
        <w:rPr>
          <w:lang w:val="pt-BR"/>
        </w:rPr>
        <w:tab/>
        <w:t>AGRMAXON</w:t>
      </w:r>
      <w:r w:rsidRPr="009E5389">
        <w:rPr>
          <w:i/>
          <w:vertAlign w:val="subscript"/>
          <w:lang w:val="pt-BR"/>
        </w:rPr>
        <w:t xml:space="preserve"> q, p, r</w:t>
      </w:r>
      <w:r w:rsidRPr="009E5389">
        <w:rPr>
          <w:lang w:val="pt-BR"/>
        </w:rPr>
        <w:t xml:space="preserve"> / AGRTOT</w:t>
      </w:r>
      <w:r w:rsidRPr="009E5389">
        <w:rPr>
          <w:i/>
          <w:vertAlign w:val="subscript"/>
          <w:lang w:val="pt-BR"/>
        </w:rPr>
        <w:t xml:space="preserve"> q, p, r</w:t>
      </w:r>
    </w:p>
    <w:p w14:paraId="3819F709" w14:textId="77777777" w:rsidR="001A6D3F" w:rsidRPr="009E5389" w:rsidRDefault="001A6D3F" w:rsidP="001A6D3F">
      <w:pPr>
        <w:tabs>
          <w:tab w:val="left" w:pos="1440"/>
          <w:tab w:val="left" w:pos="2340"/>
        </w:tabs>
        <w:spacing w:after="240"/>
        <w:ind w:left="720"/>
        <w:rPr>
          <w:bCs/>
        </w:rPr>
      </w:pPr>
      <w:r w:rsidRPr="009E5389">
        <w:rPr>
          <w:bCs/>
          <w:iCs/>
        </w:rPr>
        <w:tab/>
        <w:t xml:space="preserve">Otherwise, </w:t>
      </w:r>
      <w:r w:rsidRPr="009E5389">
        <w:rPr>
          <w:bCs/>
          <w:iCs/>
        </w:rPr>
        <w:tab/>
        <w:t xml:space="preserve">SUCAP </w:t>
      </w:r>
      <w:r w:rsidRPr="009E5389">
        <w:rPr>
          <w:bCs/>
          <w:i/>
          <w:vertAlign w:val="subscript"/>
        </w:rPr>
        <w:t>q, r, s</w:t>
      </w:r>
      <w:r w:rsidRPr="009E5389">
        <w:rPr>
          <w:bCs/>
          <w:iCs/>
        </w:rPr>
        <w:t xml:space="preserve"> </w:t>
      </w:r>
      <w:r w:rsidRPr="009E5389">
        <w:rPr>
          <w:bCs/>
          <w:iCs/>
        </w:rPr>
        <w:tab/>
        <w:t xml:space="preserve">= </w:t>
      </w:r>
      <w:r w:rsidRPr="009E5389">
        <w:rPr>
          <w:bCs/>
          <w:iCs/>
        </w:rPr>
        <w:tab/>
      </w:r>
      <w:r w:rsidRPr="009E5389">
        <w:rPr>
          <w:rStyle w:val="BodyTextChar"/>
        </w:rPr>
        <w:t xml:space="preserve">Max </w:t>
      </w:r>
      <w:r w:rsidRPr="009E5389">
        <w:rPr>
          <w:rStyle w:val="BodyTextChar"/>
          <w:vertAlign w:val="subscript"/>
        </w:rPr>
        <w:t>c</w:t>
      </w:r>
      <w:r w:rsidRPr="009E5389">
        <w:rPr>
          <w:lang w:val="pt-BR"/>
        </w:rPr>
        <w:t xml:space="preserve"> (AGRRATIO</w:t>
      </w:r>
      <w:r w:rsidRPr="009E5389">
        <w:rPr>
          <w:i/>
          <w:vertAlign w:val="subscript"/>
          <w:lang w:val="pt-BR"/>
        </w:rPr>
        <w:t xml:space="preserve"> q, p, r</w:t>
      </w:r>
      <w:r w:rsidRPr="009E5389">
        <w:rPr>
          <w:rStyle w:val="BodyTextChar"/>
        </w:rPr>
        <w:t xml:space="preserve">) * </w:t>
      </w:r>
      <w:r w:rsidRPr="009E5389">
        <w:rPr>
          <w:bCs/>
          <w:iCs/>
        </w:rPr>
        <w:t xml:space="preserve">RCGSC </w:t>
      </w:r>
      <w:r w:rsidRPr="009E5389">
        <w:rPr>
          <w:bCs/>
          <w:i/>
          <w:vertAlign w:val="subscript"/>
        </w:rPr>
        <w:t>s</w:t>
      </w:r>
    </w:p>
    <w:p w14:paraId="5726F440" w14:textId="77777777" w:rsidR="001A6D3F" w:rsidRPr="009E5389" w:rsidRDefault="001A6D3F" w:rsidP="001A6D3F">
      <w:pPr>
        <w:tabs>
          <w:tab w:val="left" w:pos="1440"/>
          <w:tab w:val="left" w:pos="2340"/>
        </w:tabs>
        <w:spacing w:after="240"/>
        <w:ind w:left="720"/>
        <w:rPr>
          <w:bCs/>
          <w:i/>
          <w:vertAlign w:val="subscript"/>
        </w:rPr>
      </w:pPr>
      <w:r w:rsidRPr="009E5389">
        <w:rPr>
          <w:bCs/>
          <w:iCs/>
        </w:rPr>
        <w:tab/>
      </w:r>
      <w:r w:rsidRPr="009E5389">
        <w:rPr>
          <w:bCs/>
          <w:iCs/>
        </w:rPr>
        <w:tab/>
      </w:r>
      <w:r w:rsidRPr="009E5389">
        <w:rPr>
          <w:bCs/>
          <w:iCs/>
        </w:rPr>
        <w:tab/>
        <w:t xml:space="preserve">MECAP </w:t>
      </w:r>
      <w:r w:rsidRPr="009E5389">
        <w:rPr>
          <w:bCs/>
          <w:i/>
          <w:vertAlign w:val="subscript"/>
        </w:rPr>
        <w:t>q, r, i</w:t>
      </w:r>
      <w:r w:rsidRPr="009E5389">
        <w:rPr>
          <w:bCs/>
          <w:iCs/>
        </w:rPr>
        <w:tab/>
        <w:t xml:space="preserve">= </w:t>
      </w:r>
      <w:r w:rsidRPr="009E5389">
        <w:rPr>
          <w:bCs/>
          <w:iCs/>
        </w:rPr>
        <w:tab/>
        <w:t xml:space="preserve">RCGMEC </w:t>
      </w:r>
      <w:r w:rsidRPr="009E5389">
        <w:rPr>
          <w:bCs/>
          <w:i/>
          <w:vertAlign w:val="subscript"/>
        </w:rPr>
        <w:t>i</w:t>
      </w:r>
    </w:p>
    <w:p w14:paraId="0C752F3E" w14:textId="77777777" w:rsidR="00E2667F" w:rsidRDefault="00723BFB">
      <w:pPr>
        <w:pStyle w:val="BodyText"/>
        <w:spacing w:after="0"/>
        <w:rPr>
          <w:rStyle w:val="BodyTextChar"/>
          <w:bCs/>
          <w:iCs/>
          <w:szCs w:val="24"/>
        </w:rPr>
      </w:pPr>
      <w:r>
        <w:rPr>
          <w:rStyle w:val="BodyTextChar"/>
        </w:rPr>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774"/>
        <w:gridCol w:w="838"/>
        <w:gridCol w:w="6738"/>
      </w:tblGrid>
      <w:tr w:rsidR="00F80C33" w14:paraId="470C6341" w14:textId="77777777" w:rsidTr="000B3D07">
        <w:trPr>
          <w:cantSplit/>
          <w:tblHeader/>
        </w:trPr>
        <w:tc>
          <w:tcPr>
            <w:tcW w:w="949" w:type="pct"/>
          </w:tcPr>
          <w:p w14:paraId="06A217E5" w14:textId="77777777" w:rsidR="00F80C33" w:rsidRPr="003A4C46" w:rsidRDefault="00723BFB">
            <w:pPr>
              <w:pStyle w:val="TableHead"/>
            </w:pPr>
            <w:r w:rsidRPr="003A4C46">
              <w:lastRenderedPageBreak/>
              <w:t>Variable</w:t>
            </w:r>
          </w:p>
        </w:tc>
        <w:tc>
          <w:tcPr>
            <w:tcW w:w="448" w:type="pct"/>
          </w:tcPr>
          <w:p w14:paraId="137B72C7" w14:textId="77777777" w:rsidR="00F80C33" w:rsidRDefault="00723BFB">
            <w:pPr>
              <w:pStyle w:val="TableHead"/>
            </w:pPr>
            <w:r>
              <w:t>Unit</w:t>
            </w:r>
          </w:p>
        </w:tc>
        <w:tc>
          <w:tcPr>
            <w:tcW w:w="3603" w:type="pct"/>
          </w:tcPr>
          <w:p w14:paraId="01EEF3D2" w14:textId="77777777" w:rsidR="00F80C33" w:rsidRDefault="00723BFB">
            <w:pPr>
              <w:pStyle w:val="TableHead"/>
            </w:pPr>
            <w:r>
              <w:t>Definition</w:t>
            </w:r>
          </w:p>
        </w:tc>
      </w:tr>
      <w:tr w:rsidR="00F80C33" w14:paraId="208DB3C4" w14:textId="77777777" w:rsidTr="000B3D07">
        <w:trPr>
          <w:cantSplit/>
        </w:trPr>
        <w:tc>
          <w:tcPr>
            <w:tcW w:w="949" w:type="pct"/>
          </w:tcPr>
          <w:p w14:paraId="414895A6" w14:textId="77777777" w:rsidR="00F80C33" w:rsidRPr="003A4C46" w:rsidRDefault="00723BFB">
            <w:pPr>
              <w:pStyle w:val="TableBody"/>
            </w:pPr>
            <w:r w:rsidRPr="003A4C46">
              <w:t>RUCG</w:t>
            </w:r>
            <w:r w:rsidR="008032E7">
              <w:t xml:space="preserve"> </w:t>
            </w:r>
            <w:r w:rsidRPr="003667DB">
              <w:rPr>
                <w:i/>
                <w:vertAlign w:val="subscript"/>
              </w:rPr>
              <w:t>q,</w:t>
            </w:r>
            <w:r w:rsidR="008032E7">
              <w:rPr>
                <w:i/>
                <w:vertAlign w:val="subscript"/>
              </w:rPr>
              <w:t xml:space="preserve"> </w:t>
            </w:r>
            <w:r w:rsidRPr="003667DB">
              <w:rPr>
                <w:i/>
                <w:vertAlign w:val="subscript"/>
              </w:rPr>
              <w:t>r,</w:t>
            </w:r>
            <w:r w:rsidR="008032E7">
              <w:rPr>
                <w:i/>
                <w:vertAlign w:val="subscript"/>
              </w:rPr>
              <w:t xml:space="preserve"> </w:t>
            </w:r>
            <w:r w:rsidRPr="003667DB">
              <w:rPr>
                <w:i/>
                <w:vertAlign w:val="subscript"/>
              </w:rPr>
              <w:t>d</w:t>
            </w:r>
          </w:p>
        </w:tc>
        <w:tc>
          <w:tcPr>
            <w:tcW w:w="448" w:type="pct"/>
          </w:tcPr>
          <w:p w14:paraId="18A1D467" w14:textId="77777777" w:rsidR="00F80C33" w:rsidRDefault="00723BFB" w:rsidP="00B34C5D">
            <w:pPr>
              <w:pStyle w:val="TableBody"/>
              <w:jc w:val="center"/>
            </w:pPr>
            <w:r>
              <w:t>$</w:t>
            </w:r>
          </w:p>
        </w:tc>
        <w:tc>
          <w:tcPr>
            <w:tcW w:w="3603" w:type="pct"/>
          </w:tcPr>
          <w:p w14:paraId="135E37C1" w14:textId="77777777" w:rsidR="00F80C33" w:rsidRDefault="00723BFB" w:rsidP="00F126DF">
            <w:pPr>
              <w:pStyle w:val="TableBody"/>
            </w:pPr>
            <w:r w:rsidRPr="00B34C5D">
              <w:rPr>
                <w:i/>
              </w:rPr>
              <w:t>RUC Guarantee</w:t>
            </w:r>
            <w:r>
              <w:t xml:space="preserve">—The sum of eligible Startup Costs and </w:t>
            </w:r>
            <w:r w:rsidR="00F126DF">
              <w:t>m</w:t>
            </w:r>
            <w:r>
              <w:t>inimum-</w:t>
            </w:r>
            <w:r w:rsidR="00F126DF">
              <w:t>e</w:t>
            </w:r>
            <w:r>
              <w:t xml:space="preserve">nergy </w:t>
            </w:r>
            <w:r w:rsidR="00F126DF">
              <w:t>c</w:t>
            </w:r>
            <w:r>
              <w:t xml:space="preserve">osts </w:t>
            </w:r>
            <w:r w:rsidR="00F126DF">
              <w:t xml:space="preserve">for Resource </w:t>
            </w:r>
            <w:r w:rsidR="00F126DF">
              <w:rPr>
                <w:i/>
              </w:rPr>
              <w:t xml:space="preserve">r </w:t>
            </w:r>
            <w:r w:rsidR="008032E7" w:rsidRPr="007569AA">
              <w:t xml:space="preserve">represented by QSE </w:t>
            </w:r>
            <w:r w:rsidR="008032E7" w:rsidRPr="007569AA">
              <w:rPr>
                <w:i/>
              </w:rPr>
              <w:t>q</w:t>
            </w:r>
            <w:r w:rsidR="008032E7">
              <w:rPr>
                <w:i/>
              </w:rPr>
              <w:t xml:space="preserve"> </w:t>
            </w:r>
            <w:r w:rsidRPr="00F126DF">
              <w:t>during</w:t>
            </w:r>
            <w:r>
              <w:t xml:space="preserve"> all RUC-Committed Hours, for the Operating Day</w:t>
            </w:r>
            <w:r w:rsidR="008032E7">
              <w:t xml:space="preserve"> </w:t>
            </w:r>
            <w:r w:rsidR="008032E7" w:rsidRPr="007569AA">
              <w:rPr>
                <w:i/>
              </w:rPr>
              <w:t>d</w:t>
            </w:r>
            <w:r>
              <w:t>.</w:t>
            </w:r>
            <w:r w:rsidR="00F126DF">
              <w:t xml:space="preserve">  When one or more Combined Cycle Generation Resources are committed by RUC, guaranteed costs are calculated for the Combined Cycle Train for all RUC-committed Combined Cycle Generation Resources.</w:t>
            </w:r>
          </w:p>
        </w:tc>
      </w:tr>
      <w:tr w:rsidR="00EF0FB5" w14:paraId="441788A9" w14:textId="77777777" w:rsidTr="000B3D07">
        <w:trPr>
          <w:cantSplit/>
        </w:trPr>
        <w:tc>
          <w:tcPr>
            <w:tcW w:w="949" w:type="pct"/>
          </w:tcPr>
          <w:p w14:paraId="66E134B1" w14:textId="7AF4D457" w:rsidR="00EF0FB5" w:rsidRPr="003A4C46" w:rsidRDefault="00EF0FB5" w:rsidP="00EF0FB5">
            <w:pPr>
              <w:pStyle w:val="TableBody"/>
            </w:pPr>
            <w:r w:rsidRPr="003A4C46">
              <w:t>RUCG</w:t>
            </w:r>
            <w:r>
              <w:t xml:space="preserve">ME </w:t>
            </w:r>
            <w:r w:rsidRPr="003667DB">
              <w:rPr>
                <w:i/>
                <w:vertAlign w:val="subscript"/>
              </w:rPr>
              <w:t>q,</w:t>
            </w:r>
            <w:r>
              <w:rPr>
                <w:i/>
                <w:vertAlign w:val="subscript"/>
              </w:rPr>
              <w:t xml:space="preserve"> </w:t>
            </w:r>
            <w:r w:rsidRPr="003667DB">
              <w:rPr>
                <w:i/>
                <w:vertAlign w:val="subscript"/>
              </w:rPr>
              <w:t>r,</w:t>
            </w:r>
            <w:r>
              <w:rPr>
                <w:i/>
                <w:vertAlign w:val="subscript"/>
              </w:rPr>
              <w:t xml:space="preserve"> i</w:t>
            </w:r>
          </w:p>
        </w:tc>
        <w:tc>
          <w:tcPr>
            <w:tcW w:w="448" w:type="pct"/>
          </w:tcPr>
          <w:p w14:paraId="68AF50CD" w14:textId="1D82F456" w:rsidR="00EF0FB5" w:rsidRDefault="00EF0FB5" w:rsidP="00EF0FB5">
            <w:pPr>
              <w:pStyle w:val="TableBody"/>
              <w:jc w:val="center"/>
            </w:pPr>
            <w:r>
              <w:t>$</w:t>
            </w:r>
          </w:p>
        </w:tc>
        <w:tc>
          <w:tcPr>
            <w:tcW w:w="3603" w:type="pct"/>
          </w:tcPr>
          <w:p w14:paraId="28BBB4E5" w14:textId="43E43BEB" w:rsidR="00EF0FB5" w:rsidRPr="00B34C5D" w:rsidRDefault="00EF0FB5" w:rsidP="00EF0FB5">
            <w:pPr>
              <w:pStyle w:val="TableBody"/>
              <w:rPr>
                <w:i/>
              </w:rPr>
            </w:pPr>
            <w:r w:rsidRPr="007D46F1">
              <w:rPr>
                <w:i/>
              </w:rPr>
              <w:t>RUC Minimum-Energy Guarantee by interval</w:t>
            </w:r>
            <w:r w:rsidRPr="007D46F1">
              <w:t xml:space="preserve">—The guaranteed costs for Resource </w:t>
            </w:r>
            <w:r w:rsidRPr="007F17E1">
              <w:rPr>
                <w:i/>
              </w:rPr>
              <w:t>r</w:t>
            </w:r>
            <w:r w:rsidRPr="00F64C58">
              <w:t xml:space="preserve"> </w:t>
            </w:r>
            <w:r w:rsidRPr="007569AA">
              <w:t xml:space="preserve">represented by QSE </w:t>
            </w:r>
            <w:r w:rsidRPr="007569AA">
              <w:rPr>
                <w:i/>
              </w:rPr>
              <w:t>q</w:t>
            </w:r>
            <w:r>
              <w:rPr>
                <w:i/>
              </w:rPr>
              <w:t xml:space="preserve"> </w:t>
            </w:r>
            <w:r w:rsidRPr="00C67109">
              <w:t xml:space="preserve">for minimum energy for the Settlement Interval </w:t>
            </w:r>
            <w:r w:rsidRPr="00C67109">
              <w:rPr>
                <w:i/>
              </w:rPr>
              <w:t>i</w:t>
            </w:r>
            <w:r w:rsidRPr="00C67109">
              <w:t>.  When one or more Combined Cycle Generation Resources are committed by R</w:t>
            </w:r>
            <w:r w:rsidRPr="000A101E">
              <w:t>UC, RUC Minimum-Energy Guarantee is calculated for the Combined Cycl</w:t>
            </w:r>
            <w:r w:rsidRPr="00606BF3">
              <w:t xml:space="preserve">e Train for all RUC-committed Combined Cycle Generation Resources. </w:t>
            </w:r>
            <w:r>
              <w:t xml:space="preserve"> </w:t>
            </w:r>
            <w:r w:rsidRPr="00606BF3">
              <w:t>During RUCAC-Intervals for a Combined Cycle Train, minimum energy cost is calculated as the difference between the minimum energy cost between the RUC-committed</w:t>
            </w:r>
            <w:r w:rsidRPr="001C37F6">
              <w:t xml:space="preserve"> configuration and the QSE-committed configuration.</w:t>
            </w:r>
          </w:p>
        </w:tc>
      </w:tr>
      <w:tr w:rsidR="00F80C33" w14:paraId="61A46FF5" w14:textId="77777777" w:rsidTr="000B3D07">
        <w:trPr>
          <w:cantSplit/>
        </w:trPr>
        <w:tc>
          <w:tcPr>
            <w:tcW w:w="949" w:type="pct"/>
          </w:tcPr>
          <w:p w14:paraId="5D0C89D1" w14:textId="77777777" w:rsidR="00F80C33" w:rsidRPr="003A4C46" w:rsidRDefault="00723BFB">
            <w:pPr>
              <w:pStyle w:val="TableBody"/>
            </w:pPr>
            <w:r w:rsidRPr="003A4C46">
              <w:t>SUPR</w:t>
            </w:r>
            <w:r w:rsidR="008032E7">
              <w:t xml:space="preserve"> </w:t>
            </w:r>
            <w:r w:rsidRPr="003667DB">
              <w:rPr>
                <w:i/>
                <w:vertAlign w:val="subscript"/>
              </w:rPr>
              <w:t>q,</w:t>
            </w:r>
            <w:r w:rsidR="008032E7">
              <w:rPr>
                <w:i/>
                <w:vertAlign w:val="subscript"/>
              </w:rPr>
              <w:t xml:space="preserve"> </w:t>
            </w:r>
            <w:r w:rsidRPr="003667DB">
              <w:rPr>
                <w:i/>
                <w:vertAlign w:val="subscript"/>
              </w:rPr>
              <w:t>r,</w:t>
            </w:r>
            <w:r w:rsidR="008032E7">
              <w:rPr>
                <w:i/>
                <w:vertAlign w:val="subscript"/>
              </w:rPr>
              <w:t xml:space="preserve"> </w:t>
            </w:r>
            <w:r w:rsidRPr="003667DB">
              <w:rPr>
                <w:i/>
                <w:vertAlign w:val="subscript"/>
              </w:rPr>
              <w:t>s</w:t>
            </w:r>
          </w:p>
        </w:tc>
        <w:tc>
          <w:tcPr>
            <w:tcW w:w="448" w:type="pct"/>
          </w:tcPr>
          <w:p w14:paraId="450FFDA7" w14:textId="77777777" w:rsidR="00F80C33" w:rsidRDefault="00723BFB" w:rsidP="00B34C5D">
            <w:pPr>
              <w:pStyle w:val="TableBody"/>
              <w:jc w:val="center"/>
            </w:pPr>
            <w:r>
              <w:t>$/Start</w:t>
            </w:r>
          </w:p>
        </w:tc>
        <w:tc>
          <w:tcPr>
            <w:tcW w:w="3603" w:type="pct"/>
          </w:tcPr>
          <w:p w14:paraId="1182CAA2" w14:textId="77777777" w:rsidR="00F80C33" w:rsidRDefault="00723BFB" w:rsidP="00C22096">
            <w:pPr>
              <w:pStyle w:val="TableBody"/>
            </w:pPr>
            <w:r w:rsidRPr="00B34C5D">
              <w:rPr>
                <w:i/>
              </w:rPr>
              <w:t>Startup Price per start</w:t>
            </w:r>
            <w:r>
              <w:t xml:space="preserve">—The </w:t>
            </w:r>
            <w:r w:rsidR="00C22096">
              <w:t>S</w:t>
            </w:r>
            <w:r>
              <w:t xml:space="preserve">ettlement price </w:t>
            </w:r>
            <w:r w:rsidR="00F126DF">
              <w:t xml:space="preserve">for Resource </w:t>
            </w:r>
            <w:r w:rsidR="00F126DF">
              <w:rPr>
                <w:i/>
              </w:rPr>
              <w:t xml:space="preserve">r </w:t>
            </w:r>
            <w:r w:rsidR="002F72BB" w:rsidRPr="007569AA">
              <w:t xml:space="preserve">represented by QSE </w:t>
            </w:r>
            <w:r w:rsidR="002F72BB" w:rsidRPr="007569AA">
              <w:rPr>
                <w:i/>
              </w:rPr>
              <w:t>q</w:t>
            </w:r>
            <w:r w:rsidR="002F72BB" w:rsidRPr="00F126DF">
              <w:t xml:space="preserve"> </w:t>
            </w:r>
            <w:r w:rsidRPr="00F126DF">
              <w:t>for</w:t>
            </w:r>
            <w:r>
              <w:t xml:space="preserve"> the start </w:t>
            </w:r>
            <w:r w:rsidRPr="00B34C5D">
              <w:rPr>
                <w:i/>
              </w:rPr>
              <w:t>s</w:t>
            </w:r>
            <w:r>
              <w:t>.</w:t>
            </w:r>
            <w:r w:rsidR="00F126DF">
              <w:t xml:space="preserve">  Where for a Combined Cycle Train, the Resource </w:t>
            </w:r>
            <w:r w:rsidR="00F126DF" w:rsidRPr="00B34C5D">
              <w:rPr>
                <w:i/>
              </w:rPr>
              <w:t>r</w:t>
            </w:r>
            <w:r w:rsidR="00F126DF">
              <w:rPr>
                <w:i/>
              </w:rPr>
              <w:t xml:space="preserve"> </w:t>
            </w:r>
            <w:r w:rsidR="00F126DF" w:rsidRPr="001C65E0">
              <w:t xml:space="preserve">is a </w:t>
            </w:r>
            <w:r w:rsidR="00F126DF">
              <w:t>Combined Cycle Generation Resource within the Combined Cycle Train.</w:t>
            </w:r>
          </w:p>
        </w:tc>
      </w:tr>
      <w:tr w:rsidR="006F56C9" w14:paraId="55C8C5D3" w14:textId="77777777" w:rsidTr="000B3D07">
        <w:trPr>
          <w:cantSplit/>
        </w:trPr>
        <w:tc>
          <w:tcPr>
            <w:tcW w:w="949" w:type="pct"/>
          </w:tcPr>
          <w:p w14:paraId="7C67F24D" w14:textId="77777777" w:rsidR="006F56C9" w:rsidRPr="003A4C46" w:rsidRDefault="006F56C9" w:rsidP="006F56C9">
            <w:pPr>
              <w:pStyle w:val="TableBody"/>
            </w:pPr>
            <w:r w:rsidRPr="003A4C46">
              <w:t>SUO</w:t>
            </w:r>
            <w:r w:rsidR="002F72BB">
              <w:t xml:space="preserve"> </w:t>
            </w:r>
            <w:r w:rsidRPr="003667DB">
              <w:rPr>
                <w:i/>
                <w:vertAlign w:val="subscript"/>
              </w:rPr>
              <w:t>q,</w:t>
            </w:r>
            <w:r w:rsidR="002F72BB">
              <w:rPr>
                <w:i/>
                <w:vertAlign w:val="subscript"/>
              </w:rPr>
              <w:t xml:space="preserve"> </w:t>
            </w:r>
            <w:r w:rsidRPr="003667DB">
              <w:rPr>
                <w:i/>
                <w:vertAlign w:val="subscript"/>
              </w:rPr>
              <w:t>r,</w:t>
            </w:r>
            <w:r w:rsidR="002F72BB">
              <w:rPr>
                <w:i/>
                <w:vertAlign w:val="subscript"/>
              </w:rPr>
              <w:t xml:space="preserve"> </w:t>
            </w:r>
            <w:r w:rsidRPr="003667DB">
              <w:rPr>
                <w:i/>
                <w:vertAlign w:val="subscript"/>
              </w:rPr>
              <w:t>s</w:t>
            </w:r>
          </w:p>
        </w:tc>
        <w:tc>
          <w:tcPr>
            <w:tcW w:w="448" w:type="pct"/>
          </w:tcPr>
          <w:p w14:paraId="3AC76E2E" w14:textId="77777777" w:rsidR="006F56C9" w:rsidRDefault="006F56C9" w:rsidP="006F56C9">
            <w:pPr>
              <w:pStyle w:val="TableBody"/>
              <w:jc w:val="center"/>
            </w:pPr>
            <w:r>
              <w:t>$/Start</w:t>
            </w:r>
          </w:p>
        </w:tc>
        <w:tc>
          <w:tcPr>
            <w:tcW w:w="3603" w:type="pct"/>
          </w:tcPr>
          <w:p w14:paraId="0FDABE72" w14:textId="77777777" w:rsidR="006F56C9" w:rsidRDefault="006F56C9" w:rsidP="00FE1692">
            <w:pPr>
              <w:pStyle w:val="TableBody"/>
            </w:pPr>
            <w:r w:rsidRPr="00B34C5D">
              <w:rPr>
                <w:i/>
              </w:rPr>
              <w:t>Startup Offer per start</w:t>
            </w:r>
            <w:r>
              <w:t xml:space="preserve">—Represents an offer for all costs incurred by Generation Resource </w:t>
            </w:r>
            <w:r>
              <w:rPr>
                <w:i/>
              </w:rPr>
              <w:t>r</w:t>
            </w:r>
            <w:r>
              <w:t xml:space="preserve"> </w:t>
            </w:r>
            <w:r w:rsidR="002F72BB" w:rsidRPr="007569AA">
              <w:t xml:space="preserve">represented by QSE </w:t>
            </w:r>
            <w:r w:rsidR="002F72BB" w:rsidRPr="007569AA">
              <w:rPr>
                <w:i/>
              </w:rPr>
              <w:t>q</w:t>
            </w:r>
            <w:r w:rsidR="002F72BB">
              <w:t xml:space="preserve"> </w:t>
            </w:r>
            <w:r>
              <w:t>in starting up and reaching the Resource’s LSL</w:t>
            </w:r>
            <w:r w:rsidR="002F72BB" w:rsidRPr="00F126DF">
              <w:t xml:space="preserve"> for</w:t>
            </w:r>
            <w:r w:rsidR="002F72BB">
              <w:t xml:space="preserve"> the start </w:t>
            </w:r>
            <w:r w:rsidR="002F72BB" w:rsidRPr="00B34C5D">
              <w:rPr>
                <w:i/>
              </w:rPr>
              <w:t>s</w:t>
            </w:r>
            <w:r>
              <w:t xml:space="preserve">.  Where for a Combined Cycle Train, the Resource </w:t>
            </w:r>
            <w:r w:rsidRPr="00B34C5D">
              <w:rPr>
                <w:i/>
              </w:rPr>
              <w:t>r</w:t>
            </w:r>
            <w:r>
              <w:rPr>
                <w:i/>
              </w:rPr>
              <w:t xml:space="preserve"> </w:t>
            </w:r>
            <w:r w:rsidRPr="001C65E0">
              <w:t xml:space="preserve">is a </w:t>
            </w:r>
            <w:r>
              <w:t>Combined Cycle Generation Resource within the Combined Cycle Train.</w:t>
            </w:r>
          </w:p>
        </w:tc>
      </w:tr>
      <w:tr w:rsidR="0005504D" w14:paraId="00FD2732" w14:textId="77777777" w:rsidTr="000B3D07">
        <w:trPr>
          <w:cantSplit/>
        </w:trPr>
        <w:tc>
          <w:tcPr>
            <w:tcW w:w="949" w:type="pct"/>
          </w:tcPr>
          <w:p w14:paraId="125A0227" w14:textId="77777777" w:rsidR="0005504D" w:rsidRPr="003A4C46" w:rsidRDefault="0005504D" w:rsidP="0005504D">
            <w:pPr>
              <w:pStyle w:val="TableBody"/>
            </w:pPr>
            <w:r w:rsidRPr="003A4C46">
              <w:t>SUCAP</w:t>
            </w:r>
            <w:r w:rsidR="007C1960">
              <w:t xml:space="preserve"> </w:t>
            </w:r>
            <w:r w:rsidRPr="003667DB">
              <w:rPr>
                <w:i/>
                <w:vertAlign w:val="subscript"/>
              </w:rPr>
              <w:t>q,</w:t>
            </w:r>
            <w:r w:rsidR="007C1960">
              <w:rPr>
                <w:i/>
                <w:vertAlign w:val="subscript"/>
              </w:rPr>
              <w:t xml:space="preserve"> </w:t>
            </w:r>
            <w:r w:rsidRPr="003667DB">
              <w:rPr>
                <w:i/>
                <w:vertAlign w:val="subscript"/>
              </w:rPr>
              <w:t>r,</w:t>
            </w:r>
            <w:r w:rsidR="007C1960">
              <w:rPr>
                <w:i/>
                <w:vertAlign w:val="subscript"/>
              </w:rPr>
              <w:t xml:space="preserve"> </w:t>
            </w:r>
            <w:r w:rsidRPr="003667DB">
              <w:rPr>
                <w:i/>
                <w:vertAlign w:val="subscript"/>
              </w:rPr>
              <w:t>s</w:t>
            </w:r>
          </w:p>
        </w:tc>
        <w:tc>
          <w:tcPr>
            <w:tcW w:w="448" w:type="pct"/>
          </w:tcPr>
          <w:p w14:paraId="2211451F" w14:textId="77777777" w:rsidR="0005504D" w:rsidRDefault="0005504D" w:rsidP="0005504D">
            <w:pPr>
              <w:pStyle w:val="TableBody"/>
              <w:jc w:val="center"/>
            </w:pPr>
            <w:r>
              <w:t>$/Start</w:t>
            </w:r>
          </w:p>
        </w:tc>
        <w:tc>
          <w:tcPr>
            <w:tcW w:w="3603" w:type="pct"/>
          </w:tcPr>
          <w:p w14:paraId="0B957D86" w14:textId="77777777" w:rsidR="0005504D" w:rsidRPr="00B34C5D" w:rsidRDefault="0005504D" w:rsidP="0061210F">
            <w:pPr>
              <w:pStyle w:val="TableBody"/>
              <w:rPr>
                <w:i/>
              </w:rPr>
            </w:pPr>
            <w:r w:rsidRPr="00B34C5D">
              <w:rPr>
                <w:i/>
              </w:rPr>
              <w:t>Startup Cap</w:t>
            </w:r>
            <w:r>
              <w:t xml:space="preserve">—The amount used for AGR </w:t>
            </w:r>
            <w:r w:rsidRPr="00665FD4">
              <w:rPr>
                <w:i/>
              </w:rPr>
              <w:t>r</w:t>
            </w:r>
            <w:r>
              <w:t xml:space="preserve"> or Resource </w:t>
            </w:r>
            <w:r>
              <w:rPr>
                <w:i/>
              </w:rPr>
              <w:t>r</w:t>
            </w:r>
            <w:r w:rsidR="007C1960" w:rsidRPr="007569AA">
              <w:t xml:space="preserve"> represented by QSE </w:t>
            </w:r>
            <w:r w:rsidR="007C1960" w:rsidRPr="007569AA">
              <w:rPr>
                <w:i/>
              </w:rPr>
              <w:t>q</w:t>
            </w:r>
            <w:r w:rsidR="007C1960">
              <w:t xml:space="preserve"> for the start </w:t>
            </w:r>
            <w:r w:rsidR="007C1960">
              <w:rPr>
                <w:i/>
              </w:rPr>
              <w:t>s</w:t>
            </w:r>
            <w:r>
              <w:rPr>
                <w:i/>
              </w:rPr>
              <w:t xml:space="preserve"> </w:t>
            </w:r>
            <w:r>
              <w:t xml:space="preserve">as Startup Costs.  The cap is the </w:t>
            </w:r>
            <w:r w:rsidRPr="006A7952">
              <w:rPr>
                <w:iCs w:val="0"/>
              </w:rPr>
              <w:t>Resource Category Startup Offer Generic Cap (</w:t>
            </w:r>
            <w:r>
              <w:t>RCGSC) unless ERCOT has approved verifiable unit-specific Startup Costs for that Resource, in which case the startup cap is the scaled verifiable unit-specific Startup Cost</w:t>
            </w:r>
            <w:r w:rsidRPr="006A7952">
              <w:t xml:space="preserve"> for the AGR or the verifiable unit-specific Startup Cost for non-AGRs</w:t>
            </w:r>
            <w:r>
              <w:t xml:space="preserve">.  </w:t>
            </w:r>
            <w:r w:rsidR="0061210F">
              <w:rPr>
                <w:iCs w:val="0"/>
              </w:rPr>
              <w:t xml:space="preserve">The verifiable unit-specific Startup Cost will be determined as described in Section 5.6.1, Verifiable Costs, </w:t>
            </w:r>
            <w:r w:rsidR="0061210F" w:rsidRPr="00A07247">
              <w:t xml:space="preserve">minus the average energy produced during the </w:t>
            </w:r>
            <w:proofErr w:type="gramStart"/>
            <w:r w:rsidR="0061210F" w:rsidRPr="00A07247">
              <w:t>time period</w:t>
            </w:r>
            <w:proofErr w:type="gramEnd"/>
            <w:r w:rsidR="0061210F" w:rsidRPr="00A07247">
              <w:t xml:space="preserve"> between breaker close and LSL multiplied by the heat rate proxy “H” multiplied by the appropriate Fuel Index Price (FIP)</w:t>
            </w:r>
            <w:r w:rsidR="0061210F">
              <w:t xml:space="preserve">, </w:t>
            </w:r>
            <w:r w:rsidR="0061210F" w:rsidRPr="00A07247">
              <w:t>Fuel Oil Price (FOP)</w:t>
            </w:r>
            <w:r w:rsidR="0061210F">
              <w:t xml:space="preserve"> or solid fuel price</w:t>
            </w:r>
            <w:r w:rsidR="0061210F" w:rsidRPr="00A07247">
              <w:t xml:space="preserve">, </w:t>
            </w:r>
            <w:r w:rsidR="0061210F" w:rsidRPr="00C87FD6">
              <w:t>for AGR and non-AGR Resources</w:t>
            </w:r>
            <w:r>
              <w:t xml:space="preserve">.  Where for a Combined Cycle Train, the Resource </w:t>
            </w:r>
            <w:r w:rsidRPr="00B34C5D">
              <w:rPr>
                <w:i/>
              </w:rPr>
              <w:t>r</w:t>
            </w:r>
            <w:r>
              <w:rPr>
                <w:i/>
              </w:rPr>
              <w:t xml:space="preserve"> </w:t>
            </w:r>
            <w:r w:rsidRPr="001C65E0">
              <w:t xml:space="preserve">is a </w:t>
            </w:r>
            <w:r>
              <w:t>Combined Cycle Generation Resource within the Combined Cycle Train.</w:t>
            </w:r>
          </w:p>
        </w:tc>
      </w:tr>
      <w:tr w:rsidR="0005504D" w:rsidRPr="009E5389" w14:paraId="588350D3" w14:textId="77777777" w:rsidTr="000B3D07">
        <w:trPr>
          <w:cantSplit/>
        </w:trPr>
        <w:tc>
          <w:tcPr>
            <w:tcW w:w="949" w:type="pct"/>
          </w:tcPr>
          <w:p w14:paraId="1D100182" w14:textId="77777777" w:rsidR="0005504D" w:rsidRPr="009E5389" w:rsidRDefault="0005504D" w:rsidP="0005504D">
            <w:pPr>
              <w:spacing w:after="60"/>
              <w:rPr>
                <w:iCs/>
                <w:sz w:val="20"/>
              </w:rPr>
            </w:pPr>
            <w:r w:rsidRPr="009E5389">
              <w:rPr>
                <w:iCs/>
                <w:sz w:val="20"/>
              </w:rPr>
              <w:t>AGRRATIO</w:t>
            </w:r>
            <w:r w:rsidRPr="009E5389">
              <w:rPr>
                <w:i/>
                <w:iCs/>
                <w:sz w:val="20"/>
                <w:vertAlign w:val="subscript"/>
              </w:rPr>
              <w:t xml:space="preserve"> q, p, r</w:t>
            </w:r>
          </w:p>
        </w:tc>
        <w:tc>
          <w:tcPr>
            <w:tcW w:w="448" w:type="pct"/>
          </w:tcPr>
          <w:p w14:paraId="0A16A601" w14:textId="77777777" w:rsidR="0005504D" w:rsidRPr="009E5389" w:rsidRDefault="0005504D" w:rsidP="0005504D">
            <w:pPr>
              <w:spacing w:after="60"/>
              <w:jc w:val="center"/>
              <w:rPr>
                <w:iCs/>
                <w:sz w:val="20"/>
              </w:rPr>
            </w:pPr>
            <w:r w:rsidRPr="009E5389">
              <w:rPr>
                <w:iCs/>
                <w:sz w:val="20"/>
              </w:rPr>
              <w:t>none</w:t>
            </w:r>
          </w:p>
        </w:tc>
        <w:tc>
          <w:tcPr>
            <w:tcW w:w="3603" w:type="pct"/>
          </w:tcPr>
          <w:p w14:paraId="21EB3CAC" w14:textId="77777777" w:rsidR="0005504D" w:rsidRPr="009E5389" w:rsidRDefault="0005504D" w:rsidP="0005504D">
            <w:pPr>
              <w:spacing w:after="60"/>
              <w:rPr>
                <w:i/>
                <w:iCs/>
                <w:sz w:val="20"/>
              </w:rPr>
            </w:pPr>
            <w:r w:rsidRPr="009E5389">
              <w:rPr>
                <w:i/>
                <w:iCs/>
                <w:sz w:val="20"/>
              </w:rPr>
              <w:t>Aggregate Generation Resource Ratio per QSE per Settlement Point per Aggregate Generation Resource</w:t>
            </w:r>
            <w:r>
              <w:t>—</w:t>
            </w:r>
            <w:r w:rsidRPr="009E5389">
              <w:rPr>
                <w:iCs/>
                <w:sz w:val="20"/>
              </w:rPr>
              <w:t xml:space="preserve">A value which represents the ratio of the maximum number of generators online during an hour, as indicated by telemetry, compared to the total number of generators registered to the AGR </w:t>
            </w:r>
            <w:r w:rsidR="007C1960" w:rsidRPr="006A7952">
              <w:rPr>
                <w:i/>
                <w:iCs/>
                <w:sz w:val="20"/>
              </w:rPr>
              <w:t>r</w:t>
            </w:r>
            <w:r w:rsidR="007C1960" w:rsidRPr="00853E7A">
              <w:rPr>
                <w:i/>
                <w:iCs/>
                <w:sz w:val="20"/>
              </w:rPr>
              <w:t xml:space="preserve"> </w:t>
            </w:r>
            <w:r w:rsidR="007C1960" w:rsidRPr="00853E7A">
              <w:rPr>
                <w:sz w:val="20"/>
              </w:rPr>
              <w:t xml:space="preserve">represented by QSE </w:t>
            </w:r>
            <w:r w:rsidR="007C1960" w:rsidRPr="00853E7A">
              <w:rPr>
                <w:i/>
                <w:sz w:val="20"/>
              </w:rPr>
              <w:t>q</w:t>
            </w:r>
            <w:r w:rsidR="007C1960" w:rsidRPr="009E5389">
              <w:rPr>
                <w:iCs/>
                <w:sz w:val="20"/>
              </w:rPr>
              <w:t xml:space="preserve"> </w:t>
            </w:r>
            <w:r w:rsidR="007C1960">
              <w:rPr>
                <w:iCs/>
                <w:sz w:val="20"/>
              </w:rPr>
              <w:t xml:space="preserve">at the Settlement Point </w:t>
            </w:r>
            <w:r w:rsidR="007C1960">
              <w:rPr>
                <w:i/>
                <w:iCs/>
                <w:sz w:val="20"/>
              </w:rPr>
              <w:t>p</w:t>
            </w:r>
            <w:r w:rsidR="007C1960" w:rsidRPr="009E5389">
              <w:rPr>
                <w:iCs/>
                <w:sz w:val="20"/>
              </w:rPr>
              <w:t xml:space="preserve"> </w:t>
            </w:r>
            <w:r w:rsidRPr="009E5389">
              <w:rPr>
                <w:iCs/>
                <w:sz w:val="20"/>
              </w:rPr>
              <w:t xml:space="preserve">and used in the approved verifiable cost for the AGR. </w:t>
            </w:r>
            <w:r>
              <w:rPr>
                <w:iCs/>
                <w:sz w:val="20"/>
              </w:rPr>
              <w:t xml:space="preserve"> </w:t>
            </w:r>
            <w:r w:rsidRPr="009E5389">
              <w:rPr>
                <w:iCs/>
                <w:sz w:val="20"/>
              </w:rPr>
              <w:t>The value is only applicable if the Resource is an AGR.</w:t>
            </w:r>
          </w:p>
        </w:tc>
      </w:tr>
      <w:tr w:rsidR="0005504D" w:rsidRPr="009E5389" w14:paraId="3F80630A" w14:textId="77777777" w:rsidTr="000B3D07">
        <w:trPr>
          <w:cantSplit/>
        </w:trPr>
        <w:tc>
          <w:tcPr>
            <w:tcW w:w="949" w:type="pct"/>
          </w:tcPr>
          <w:p w14:paraId="40C08D49" w14:textId="77777777" w:rsidR="0005504D" w:rsidRPr="009E5389" w:rsidRDefault="0005504D" w:rsidP="0005504D">
            <w:pPr>
              <w:spacing w:after="60"/>
              <w:rPr>
                <w:iCs/>
                <w:sz w:val="20"/>
              </w:rPr>
            </w:pPr>
            <w:r w:rsidRPr="009E5389">
              <w:rPr>
                <w:iCs/>
                <w:sz w:val="20"/>
              </w:rPr>
              <w:t xml:space="preserve">AGRMAXON </w:t>
            </w:r>
            <w:r w:rsidRPr="009E5389">
              <w:rPr>
                <w:i/>
                <w:iCs/>
                <w:sz w:val="20"/>
                <w:vertAlign w:val="subscript"/>
              </w:rPr>
              <w:t>q, p, r</w:t>
            </w:r>
          </w:p>
        </w:tc>
        <w:tc>
          <w:tcPr>
            <w:tcW w:w="448" w:type="pct"/>
          </w:tcPr>
          <w:p w14:paraId="35F9132B" w14:textId="77777777" w:rsidR="0005504D" w:rsidRPr="009E5389" w:rsidRDefault="0005504D" w:rsidP="0005504D">
            <w:pPr>
              <w:spacing w:after="60"/>
              <w:jc w:val="center"/>
              <w:rPr>
                <w:iCs/>
                <w:sz w:val="20"/>
              </w:rPr>
            </w:pPr>
            <w:r w:rsidRPr="009E5389">
              <w:rPr>
                <w:iCs/>
                <w:sz w:val="20"/>
              </w:rPr>
              <w:t>none</w:t>
            </w:r>
          </w:p>
        </w:tc>
        <w:tc>
          <w:tcPr>
            <w:tcW w:w="3603" w:type="pct"/>
          </w:tcPr>
          <w:p w14:paraId="2F6136CF" w14:textId="77777777" w:rsidR="0005504D" w:rsidRPr="009E5389" w:rsidRDefault="0005504D" w:rsidP="0005504D">
            <w:pPr>
              <w:spacing w:after="60"/>
              <w:rPr>
                <w:i/>
                <w:iCs/>
                <w:sz w:val="20"/>
              </w:rPr>
            </w:pPr>
            <w:r w:rsidRPr="009E5389">
              <w:rPr>
                <w:i/>
                <w:iCs/>
                <w:sz w:val="20"/>
              </w:rPr>
              <w:t>Aggregate Generation Resource Maximum Online per QSE per Settlement Point per Aggregate Generation Resource</w:t>
            </w:r>
            <w:r>
              <w:t>—</w:t>
            </w:r>
            <w:r w:rsidRPr="009E5389">
              <w:rPr>
                <w:iCs/>
                <w:sz w:val="20"/>
              </w:rPr>
              <w:t xml:space="preserve">The maximum number of generators </w:t>
            </w:r>
            <w:r w:rsidR="007C1960" w:rsidRPr="009E5389">
              <w:rPr>
                <w:iCs/>
                <w:sz w:val="20"/>
              </w:rPr>
              <w:t xml:space="preserve">registered to the AGR </w:t>
            </w:r>
            <w:r w:rsidR="007C1960" w:rsidRPr="006A7952">
              <w:rPr>
                <w:i/>
                <w:iCs/>
                <w:sz w:val="20"/>
              </w:rPr>
              <w:t>r</w:t>
            </w:r>
            <w:r w:rsidR="007C1960" w:rsidRPr="00853E7A">
              <w:rPr>
                <w:i/>
                <w:iCs/>
                <w:sz w:val="20"/>
              </w:rPr>
              <w:t xml:space="preserve"> </w:t>
            </w:r>
            <w:r w:rsidR="007C1960" w:rsidRPr="00853E7A">
              <w:rPr>
                <w:sz w:val="20"/>
              </w:rPr>
              <w:t xml:space="preserve">represented by QSE </w:t>
            </w:r>
            <w:r w:rsidR="007C1960" w:rsidRPr="00853E7A">
              <w:rPr>
                <w:i/>
                <w:sz w:val="20"/>
              </w:rPr>
              <w:t>q</w:t>
            </w:r>
            <w:r w:rsidR="007C1960" w:rsidRPr="009E5389">
              <w:rPr>
                <w:iCs/>
                <w:sz w:val="20"/>
              </w:rPr>
              <w:t xml:space="preserve"> </w:t>
            </w:r>
            <w:r w:rsidR="007C1960" w:rsidRPr="00926CD1">
              <w:rPr>
                <w:iCs/>
                <w:sz w:val="20"/>
              </w:rPr>
              <w:t xml:space="preserve">at the Settlement Point </w:t>
            </w:r>
            <w:r w:rsidR="007C1960" w:rsidRPr="00926CD1">
              <w:rPr>
                <w:i/>
                <w:iCs/>
                <w:sz w:val="20"/>
              </w:rPr>
              <w:t>p</w:t>
            </w:r>
            <w:r w:rsidR="007C1960" w:rsidRPr="009E5389">
              <w:rPr>
                <w:iCs/>
                <w:sz w:val="20"/>
              </w:rPr>
              <w:t xml:space="preserve"> </w:t>
            </w:r>
            <w:r w:rsidRPr="009E5389">
              <w:rPr>
                <w:iCs/>
                <w:sz w:val="20"/>
              </w:rPr>
              <w:t xml:space="preserve">online during an hour, as indicated by telemetry. </w:t>
            </w:r>
            <w:r>
              <w:rPr>
                <w:iCs/>
                <w:sz w:val="20"/>
              </w:rPr>
              <w:t xml:space="preserve"> </w:t>
            </w:r>
            <w:r w:rsidRPr="009E5389">
              <w:rPr>
                <w:iCs/>
                <w:sz w:val="20"/>
              </w:rPr>
              <w:t>The value is only applicable if the Resource is an AGR.</w:t>
            </w:r>
          </w:p>
        </w:tc>
      </w:tr>
      <w:tr w:rsidR="0005504D" w:rsidRPr="009E5389" w14:paraId="44C57CD2" w14:textId="77777777" w:rsidTr="000B3D07">
        <w:trPr>
          <w:cantSplit/>
        </w:trPr>
        <w:tc>
          <w:tcPr>
            <w:tcW w:w="949" w:type="pct"/>
          </w:tcPr>
          <w:p w14:paraId="3B64472E" w14:textId="77777777" w:rsidR="0005504D" w:rsidRPr="009E5389" w:rsidRDefault="0005504D" w:rsidP="0005504D">
            <w:pPr>
              <w:spacing w:after="60"/>
              <w:rPr>
                <w:iCs/>
                <w:sz w:val="20"/>
              </w:rPr>
            </w:pPr>
            <w:r w:rsidRPr="009E5389">
              <w:rPr>
                <w:iCs/>
                <w:sz w:val="20"/>
              </w:rPr>
              <w:t>AGRTOT</w:t>
            </w:r>
            <w:r w:rsidRPr="009E5389">
              <w:rPr>
                <w:i/>
                <w:iCs/>
                <w:sz w:val="20"/>
                <w:vertAlign w:val="subscript"/>
              </w:rPr>
              <w:t xml:space="preserve"> q, p, r</w:t>
            </w:r>
          </w:p>
        </w:tc>
        <w:tc>
          <w:tcPr>
            <w:tcW w:w="448" w:type="pct"/>
          </w:tcPr>
          <w:p w14:paraId="110B93AB" w14:textId="77777777" w:rsidR="0005504D" w:rsidRPr="009E5389" w:rsidRDefault="0005504D" w:rsidP="0005504D">
            <w:pPr>
              <w:spacing w:after="60"/>
              <w:jc w:val="center"/>
              <w:rPr>
                <w:iCs/>
                <w:sz w:val="20"/>
              </w:rPr>
            </w:pPr>
            <w:r w:rsidRPr="009E5389">
              <w:rPr>
                <w:iCs/>
                <w:sz w:val="20"/>
              </w:rPr>
              <w:t>none</w:t>
            </w:r>
          </w:p>
        </w:tc>
        <w:tc>
          <w:tcPr>
            <w:tcW w:w="3603" w:type="pct"/>
          </w:tcPr>
          <w:p w14:paraId="042CC671" w14:textId="77777777" w:rsidR="0005504D" w:rsidRPr="009E5389" w:rsidRDefault="0005504D" w:rsidP="0005504D">
            <w:pPr>
              <w:spacing w:after="60"/>
              <w:rPr>
                <w:i/>
                <w:iCs/>
                <w:sz w:val="20"/>
              </w:rPr>
            </w:pPr>
            <w:r w:rsidRPr="009E5389">
              <w:rPr>
                <w:i/>
                <w:iCs/>
                <w:sz w:val="20"/>
              </w:rPr>
              <w:t>Aggregate Generation Resource Total per QSE per Settlement Point per Aggregate Generation Resource</w:t>
            </w:r>
            <w:r>
              <w:t>—</w:t>
            </w:r>
            <w:r w:rsidRPr="009E5389">
              <w:rPr>
                <w:iCs/>
                <w:sz w:val="20"/>
              </w:rPr>
              <w:t>The total number of generators registered to the AGR</w:t>
            </w:r>
            <w:r w:rsidR="007C1960" w:rsidRPr="006A7952">
              <w:rPr>
                <w:i/>
                <w:iCs/>
                <w:sz w:val="20"/>
              </w:rPr>
              <w:t xml:space="preserve"> r</w:t>
            </w:r>
            <w:r w:rsidR="007C1960" w:rsidRPr="00853E7A">
              <w:rPr>
                <w:i/>
                <w:iCs/>
                <w:sz w:val="20"/>
              </w:rPr>
              <w:t xml:space="preserve"> </w:t>
            </w:r>
            <w:r w:rsidR="007C1960" w:rsidRPr="00853E7A">
              <w:rPr>
                <w:sz w:val="20"/>
              </w:rPr>
              <w:t xml:space="preserve">represented by QSE </w:t>
            </w:r>
            <w:r w:rsidR="007C1960" w:rsidRPr="00853E7A">
              <w:rPr>
                <w:i/>
                <w:sz w:val="20"/>
              </w:rPr>
              <w:t>q</w:t>
            </w:r>
            <w:r w:rsidR="007C1960" w:rsidRPr="009E5389">
              <w:rPr>
                <w:iCs/>
                <w:sz w:val="20"/>
              </w:rPr>
              <w:t xml:space="preserve"> </w:t>
            </w:r>
            <w:r w:rsidR="007C1960" w:rsidRPr="00926CD1">
              <w:rPr>
                <w:iCs/>
                <w:sz w:val="20"/>
              </w:rPr>
              <w:t xml:space="preserve">at the Settlement Point </w:t>
            </w:r>
            <w:r w:rsidR="007C1960" w:rsidRPr="00926CD1">
              <w:rPr>
                <w:i/>
                <w:iCs/>
                <w:sz w:val="20"/>
              </w:rPr>
              <w:t>p</w:t>
            </w:r>
            <w:r w:rsidRPr="009E5389">
              <w:rPr>
                <w:iCs/>
                <w:sz w:val="20"/>
              </w:rPr>
              <w:t xml:space="preserve"> and used in the approved verifiable cost for the AGR. </w:t>
            </w:r>
            <w:r>
              <w:rPr>
                <w:iCs/>
                <w:sz w:val="20"/>
              </w:rPr>
              <w:t xml:space="preserve"> </w:t>
            </w:r>
            <w:r w:rsidRPr="009E5389">
              <w:rPr>
                <w:iCs/>
                <w:sz w:val="20"/>
              </w:rPr>
              <w:t>The value is only applicable if the Resource is an AGR.</w:t>
            </w:r>
          </w:p>
        </w:tc>
      </w:tr>
      <w:tr w:rsidR="0005504D" w14:paraId="6FE85BDD" w14:textId="77777777" w:rsidTr="000B3D07">
        <w:trPr>
          <w:cantSplit/>
        </w:trPr>
        <w:tc>
          <w:tcPr>
            <w:tcW w:w="949" w:type="pct"/>
          </w:tcPr>
          <w:p w14:paraId="67525EBA" w14:textId="77777777" w:rsidR="0005504D" w:rsidRPr="003A4C46" w:rsidRDefault="0005504D" w:rsidP="0005504D">
            <w:pPr>
              <w:pStyle w:val="TableBody"/>
            </w:pPr>
            <w:r w:rsidRPr="003A4C46">
              <w:lastRenderedPageBreak/>
              <w:t>RCGSC</w:t>
            </w:r>
            <w:r w:rsidR="00AF69E5">
              <w:t xml:space="preserve"> </w:t>
            </w:r>
            <w:r w:rsidRPr="003667DB">
              <w:rPr>
                <w:i/>
                <w:vertAlign w:val="subscript"/>
              </w:rPr>
              <w:t>s</w:t>
            </w:r>
          </w:p>
        </w:tc>
        <w:tc>
          <w:tcPr>
            <w:tcW w:w="448" w:type="pct"/>
          </w:tcPr>
          <w:p w14:paraId="5E08E8A0" w14:textId="77777777" w:rsidR="0005504D" w:rsidRDefault="0005504D" w:rsidP="0005504D">
            <w:pPr>
              <w:pStyle w:val="TableBody"/>
              <w:jc w:val="center"/>
            </w:pPr>
            <w:r>
              <w:t>$/Start</w:t>
            </w:r>
          </w:p>
        </w:tc>
        <w:tc>
          <w:tcPr>
            <w:tcW w:w="3603" w:type="pct"/>
          </w:tcPr>
          <w:p w14:paraId="16D120EA" w14:textId="77777777" w:rsidR="0005504D" w:rsidRDefault="0005504D" w:rsidP="0005504D">
            <w:pPr>
              <w:pStyle w:val="TableBody"/>
            </w:pPr>
            <w:r w:rsidRPr="00B34C5D">
              <w:rPr>
                <w:i/>
              </w:rPr>
              <w:t>Resource Category Generic Startup Cost</w:t>
            </w:r>
            <w:r>
              <w:t>—The Resource Category Generic Startup Cost cap for the category of the Resource, according to Section 4.4.9.2.3, Startup Offer and Minimum-Energy Offer Generic Caps, for the Operating Day.</w:t>
            </w:r>
          </w:p>
        </w:tc>
      </w:tr>
      <w:tr w:rsidR="0005504D" w14:paraId="5F01E663" w14:textId="77777777" w:rsidTr="000B3D07">
        <w:trPr>
          <w:cantSplit/>
        </w:trPr>
        <w:tc>
          <w:tcPr>
            <w:tcW w:w="949" w:type="pct"/>
          </w:tcPr>
          <w:p w14:paraId="40192997" w14:textId="77777777" w:rsidR="0005504D" w:rsidRPr="003A4C46" w:rsidRDefault="0005504D" w:rsidP="0005504D">
            <w:pPr>
              <w:pStyle w:val="TableBody"/>
            </w:pPr>
            <w:r w:rsidRPr="003A4C46">
              <w:t>RUCSUFLAG</w:t>
            </w:r>
            <w:r w:rsidR="007C1960">
              <w:t xml:space="preserve"> </w:t>
            </w:r>
            <w:r w:rsidRPr="003667DB">
              <w:rPr>
                <w:i/>
                <w:vertAlign w:val="subscript"/>
              </w:rPr>
              <w:t>q,</w:t>
            </w:r>
            <w:r w:rsidR="007C1960">
              <w:rPr>
                <w:i/>
                <w:vertAlign w:val="subscript"/>
              </w:rPr>
              <w:t xml:space="preserve"> </w:t>
            </w:r>
            <w:r w:rsidRPr="003667DB">
              <w:rPr>
                <w:i/>
                <w:vertAlign w:val="subscript"/>
              </w:rPr>
              <w:t>r,</w:t>
            </w:r>
            <w:r w:rsidR="007C1960">
              <w:rPr>
                <w:i/>
                <w:vertAlign w:val="subscript"/>
              </w:rPr>
              <w:t xml:space="preserve"> </w:t>
            </w:r>
            <w:r w:rsidRPr="003667DB">
              <w:rPr>
                <w:i/>
                <w:vertAlign w:val="subscript"/>
              </w:rPr>
              <w:t>s</w:t>
            </w:r>
          </w:p>
        </w:tc>
        <w:tc>
          <w:tcPr>
            <w:tcW w:w="448" w:type="pct"/>
          </w:tcPr>
          <w:p w14:paraId="205D6CE2" w14:textId="77777777" w:rsidR="0005504D" w:rsidRDefault="0005504D" w:rsidP="0005504D">
            <w:pPr>
              <w:pStyle w:val="TableBody"/>
              <w:jc w:val="center"/>
            </w:pPr>
            <w:r>
              <w:t>none</w:t>
            </w:r>
          </w:p>
        </w:tc>
        <w:tc>
          <w:tcPr>
            <w:tcW w:w="3603" w:type="pct"/>
          </w:tcPr>
          <w:p w14:paraId="3B26EA93" w14:textId="77777777" w:rsidR="0005504D" w:rsidRDefault="0005504D" w:rsidP="0005504D">
            <w:pPr>
              <w:pStyle w:val="TableBody"/>
            </w:pPr>
            <w:r w:rsidRPr="00B34C5D">
              <w:rPr>
                <w:i/>
              </w:rPr>
              <w:t>RUC Startup Flag</w:t>
            </w:r>
            <w:r>
              <w:t xml:space="preserve">—The flag that indicates </w:t>
            </w:r>
            <w:proofErr w:type="gramStart"/>
            <w:r>
              <w:t>whether or not</w:t>
            </w:r>
            <w:proofErr w:type="gramEnd"/>
            <w:r>
              <w:t xml:space="preserve"> the start </w:t>
            </w:r>
            <w:r w:rsidRPr="00B34C5D">
              <w:rPr>
                <w:i/>
              </w:rPr>
              <w:t>s</w:t>
            </w:r>
            <w:r>
              <w:t xml:space="preserve"> for Resource </w:t>
            </w:r>
            <w:r>
              <w:rPr>
                <w:i/>
              </w:rPr>
              <w:t xml:space="preserve">r </w:t>
            </w:r>
            <w:r w:rsidR="007C1960" w:rsidRPr="00853E7A">
              <w:t xml:space="preserve">represented by QSE </w:t>
            </w:r>
            <w:r w:rsidR="007C1960" w:rsidRPr="00853E7A">
              <w:rPr>
                <w:i/>
              </w:rPr>
              <w:t>q</w:t>
            </w:r>
            <w:r w:rsidR="007C1960">
              <w:t xml:space="preserve"> </w:t>
            </w:r>
            <w:r>
              <w:t xml:space="preserve">is eligible for RUC Make-Whole Payment.  Its value is one if eligible; otherwise, zero.  See Section 5.6.2, RUC Startup Cost Eligibility, and Section 5.6.3, Forced Outage of RUC-Committed Resource, for more information on startup eligibility.  For a Combined Cycle Train, the Resource </w:t>
            </w:r>
            <w:r w:rsidRPr="005A03E7">
              <w:rPr>
                <w:i/>
              </w:rPr>
              <w:t>r</w:t>
            </w:r>
            <w:r>
              <w:t xml:space="preserve"> must be one of the registered Combined Cycle Generation Resources within the Combined Cycle Train.  When one or more Combined Cycle Generation Resources are committed by RUC, the RUC Startup Flag is calculated for the Combined Cycle Train for all RUC-committed Combined Cycle Generation Resources.</w:t>
            </w:r>
          </w:p>
        </w:tc>
      </w:tr>
      <w:tr w:rsidR="0005504D" w14:paraId="60701BD0" w14:textId="77777777" w:rsidTr="000B3D07">
        <w:trPr>
          <w:cantSplit/>
        </w:trPr>
        <w:tc>
          <w:tcPr>
            <w:tcW w:w="949" w:type="pct"/>
          </w:tcPr>
          <w:p w14:paraId="66F04DC3" w14:textId="77777777" w:rsidR="0005504D" w:rsidRPr="003A4C46" w:rsidRDefault="0005504D" w:rsidP="0005504D">
            <w:pPr>
              <w:pStyle w:val="TableBody"/>
            </w:pPr>
            <w:r w:rsidRPr="003A4C46">
              <w:t>MEPR</w:t>
            </w:r>
            <w:r w:rsidR="007C1960">
              <w:t xml:space="preserve"> </w:t>
            </w:r>
            <w:r w:rsidRPr="003667DB">
              <w:rPr>
                <w:i/>
                <w:vertAlign w:val="subscript"/>
              </w:rPr>
              <w:t>q,</w:t>
            </w:r>
            <w:r w:rsidR="007C1960">
              <w:rPr>
                <w:i/>
                <w:vertAlign w:val="subscript"/>
              </w:rPr>
              <w:t xml:space="preserve"> </w:t>
            </w:r>
            <w:r w:rsidRPr="003667DB">
              <w:rPr>
                <w:i/>
                <w:vertAlign w:val="subscript"/>
              </w:rPr>
              <w:t>r,</w:t>
            </w:r>
            <w:r w:rsidR="007C1960">
              <w:rPr>
                <w:i/>
                <w:vertAlign w:val="subscript"/>
              </w:rPr>
              <w:t xml:space="preserve"> </w:t>
            </w:r>
            <w:r w:rsidRPr="003667DB">
              <w:rPr>
                <w:i/>
                <w:vertAlign w:val="subscript"/>
              </w:rPr>
              <w:t>i</w:t>
            </w:r>
          </w:p>
        </w:tc>
        <w:tc>
          <w:tcPr>
            <w:tcW w:w="448" w:type="pct"/>
          </w:tcPr>
          <w:p w14:paraId="2BE41DF7" w14:textId="77777777" w:rsidR="0005504D" w:rsidRDefault="0005504D" w:rsidP="0005504D">
            <w:pPr>
              <w:pStyle w:val="TableBody"/>
              <w:jc w:val="center"/>
            </w:pPr>
            <w:r>
              <w:t>$/MWh</w:t>
            </w:r>
          </w:p>
        </w:tc>
        <w:tc>
          <w:tcPr>
            <w:tcW w:w="3603" w:type="pct"/>
          </w:tcPr>
          <w:p w14:paraId="695E4453" w14:textId="77777777" w:rsidR="0005504D" w:rsidRDefault="0005504D" w:rsidP="0005504D">
            <w:pPr>
              <w:pStyle w:val="TableBody"/>
            </w:pPr>
            <w:r w:rsidRPr="00B34C5D">
              <w:rPr>
                <w:i/>
              </w:rPr>
              <w:t>Minimum-Energy Price</w:t>
            </w:r>
            <w:r>
              <w:t xml:space="preserve">—The Settlement price for Resource </w:t>
            </w:r>
            <w:r>
              <w:rPr>
                <w:i/>
              </w:rPr>
              <w:t xml:space="preserve">r </w:t>
            </w:r>
            <w:r w:rsidR="007C1960" w:rsidRPr="00853E7A">
              <w:t xml:space="preserve">represented by QSE </w:t>
            </w:r>
            <w:r w:rsidR="007C1960" w:rsidRPr="00853E7A">
              <w:rPr>
                <w:i/>
              </w:rPr>
              <w:t>q</w:t>
            </w:r>
            <w:r w:rsidR="007C1960" w:rsidRPr="00F126DF">
              <w:t xml:space="preserve"> </w:t>
            </w:r>
            <w:r w:rsidRPr="00F126DF">
              <w:t>for</w:t>
            </w:r>
            <w:r>
              <w:t xml:space="preserve"> minimum energy for the Settlement Interval </w:t>
            </w:r>
            <w:r w:rsidRPr="00B34C5D">
              <w:rPr>
                <w:i/>
              </w:rPr>
              <w:t>i</w:t>
            </w:r>
            <w:r>
              <w:t xml:space="preserve">.  Where for a Combined Cycle Train, the Resource </w:t>
            </w:r>
            <w:r w:rsidRPr="00B34C5D">
              <w:rPr>
                <w:i/>
              </w:rPr>
              <w:t>r</w:t>
            </w:r>
            <w:r>
              <w:rPr>
                <w:i/>
              </w:rPr>
              <w:t xml:space="preserve"> </w:t>
            </w:r>
            <w:r w:rsidRPr="001C65E0">
              <w:t xml:space="preserve">is a </w:t>
            </w:r>
            <w:r>
              <w:t>Combined Cycle Generation Resource within the Combined Cycle Train.</w:t>
            </w:r>
          </w:p>
        </w:tc>
      </w:tr>
      <w:tr w:rsidR="0005504D" w14:paraId="47C2B1ED" w14:textId="77777777" w:rsidTr="000B3D07">
        <w:trPr>
          <w:cantSplit/>
        </w:trPr>
        <w:tc>
          <w:tcPr>
            <w:tcW w:w="949" w:type="pct"/>
          </w:tcPr>
          <w:p w14:paraId="47E7D779" w14:textId="77777777" w:rsidR="0005504D" w:rsidRPr="003A4C46" w:rsidRDefault="0005504D" w:rsidP="0005504D">
            <w:pPr>
              <w:pStyle w:val="TableBody"/>
            </w:pPr>
            <w:r w:rsidRPr="003A4C46">
              <w:t>MEO</w:t>
            </w:r>
            <w:r w:rsidR="007C1960">
              <w:t xml:space="preserve"> </w:t>
            </w:r>
            <w:r w:rsidRPr="003667DB">
              <w:rPr>
                <w:i/>
                <w:vertAlign w:val="subscript"/>
              </w:rPr>
              <w:t>q,</w:t>
            </w:r>
            <w:r w:rsidR="007C1960">
              <w:rPr>
                <w:i/>
                <w:vertAlign w:val="subscript"/>
              </w:rPr>
              <w:t xml:space="preserve"> </w:t>
            </w:r>
            <w:r w:rsidRPr="003667DB">
              <w:rPr>
                <w:i/>
                <w:vertAlign w:val="subscript"/>
              </w:rPr>
              <w:t>r,</w:t>
            </w:r>
            <w:r w:rsidR="007C1960">
              <w:rPr>
                <w:i/>
                <w:vertAlign w:val="subscript"/>
              </w:rPr>
              <w:t xml:space="preserve"> </w:t>
            </w:r>
            <w:r w:rsidRPr="003667DB">
              <w:rPr>
                <w:i/>
                <w:vertAlign w:val="subscript"/>
              </w:rPr>
              <w:t>i</w:t>
            </w:r>
          </w:p>
        </w:tc>
        <w:tc>
          <w:tcPr>
            <w:tcW w:w="448" w:type="pct"/>
          </w:tcPr>
          <w:p w14:paraId="24421FCA" w14:textId="77777777" w:rsidR="0005504D" w:rsidRDefault="0005504D" w:rsidP="0005504D">
            <w:pPr>
              <w:pStyle w:val="TableBody"/>
              <w:jc w:val="center"/>
            </w:pPr>
            <w:r>
              <w:t>$/MWh</w:t>
            </w:r>
          </w:p>
        </w:tc>
        <w:tc>
          <w:tcPr>
            <w:tcW w:w="3603" w:type="pct"/>
          </w:tcPr>
          <w:p w14:paraId="17CA5244" w14:textId="77777777" w:rsidR="0005504D" w:rsidRDefault="0005504D" w:rsidP="0005504D">
            <w:pPr>
              <w:pStyle w:val="TableBody"/>
            </w:pPr>
            <w:r w:rsidRPr="00B34C5D">
              <w:rPr>
                <w:i/>
              </w:rPr>
              <w:t>Minimum-Energy Offer</w:t>
            </w:r>
            <w:r>
              <w:t xml:space="preserve">—Represents an offer for the costs incurred by Resource </w:t>
            </w:r>
            <w:r>
              <w:rPr>
                <w:i/>
              </w:rPr>
              <w:t>r</w:t>
            </w:r>
            <w:r>
              <w:t xml:space="preserve"> </w:t>
            </w:r>
            <w:r w:rsidR="007C1960" w:rsidRPr="00853E7A">
              <w:t xml:space="preserve">represented by QSE </w:t>
            </w:r>
            <w:r w:rsidR="007C1960" w:rsidRPr="00853E7A">
              <w:rPr>
                <w:i/>
              </w:rPr>
              <w:t>q</w:t>
            </w:r>
            <w:r w:rsidR="007C1960">
              <w:t xml:space="preserve"> </w:t>
            </w:r>
            <w:r>
              <w:t xml:space="preserve">in producing energy at the Resource’s LSL for the Settlement Interval </w:t>
            </w:r>
            <w:r w:rsidRPr="00B34C5D">
              <w:rPr>
                <w:i/>
              </w:rPr>
              <w:t>i</w:t>
            </w:r>
            <w:r>
              <w:t xml:space="preserve">.  Where for a Combined Cycle Train, the Resource </w:t>
            </w:r>
            <w:r w:rsidRPr="00B34C5D">
              <w:rPr>
                <w:i/>
              </w:rPr>
              <w:t>r</w:t>
            </w:r>
            <w:r>
              <w:rPr>
                <w:i/>
              </w:rPr>
              <w:t xml:space="preserve"> </w:t>
            </w:r>
            <w:r w:rsidRPr="001C65E0">
              <w:t xml:space="preserve">is a </w:t>
            </w:r>
            <w:r>
              <w:t>Combined Cycle Generation Resource within the Combined Cycle Train.</w:t>
            </w:r>
          </w:p>
        </w:tc>
      </w:tr>
      <w:tr w:rsidR="0005504D" w14:paraId="028314B5" w14:textId="77777777" w:rsidTr="000B3D07">
        <w:trPr>
          <w:cantSplit/>
        </w:trPr>
        <w:tc>
          <w:tcPr>
            <w:tcW w:w="949" w:type="pct"/>
          </w:tcPr>
          <w:p w14:paraId="1330A5EB" w14:textId="77777777" w:rsidR="0005504D" w:rsidRPr="003A4C46" w:rsidRDefault="0005504D" w:rsidP="0005504D">
            <w:pPr>
              <w:pStyle w:val="TableBody"/>
            </w:pPr>
            <w:r w:rsidRPr="003A4C46">
              <w:t>MECAP</w:t>
            </w:r>
            <w:r w:rsidR="007C1960">
              <w:t xml:space="preserve"> </w:t>
            </w:r>
            <w:r w:rsidRPr="003667DB">
              <w:rPr>
                <w:i/>
                <w:vertAlign w:val="subscript"/>
              </w:rPr>
              <w:t>q,</w:t>
            </w:r>
            <w:r w:rsidR="007C1960">
              <w:rPr>
                <w:i/>
                <w:vertAlign w:val="subscript"/>
              </w:rPr>
              <w:t xml:space="preserve"> </w:t>
            </w:r>
            <w:r w:rsidRPr="003667DB">
              <w:rPr>
                <w:i/>
                <w:vertAlign w:val="subscript"/>
              </w:rPr>
              <w:t>r,</w:t>
            </w:r>
            <w:r w:rsidR="007C1960">
              <w:rPr>
                <w:i/>
                <w:vertAlign w:val="subscript"/>
              </w:rPr>
              <w:t xml:space="preserve"> </w:t>
            </w:r>
            <w:r w:rsidRPr="003667DB">
              <w:rPr>
                <w:i/>
                <w:vertAlign w:val="subscript"/>
              </w:rPr>
              <w:t>i</w:t>
            </w:r>
          </w:p>
        </w:tc>
        <w:tc>
          <w:tcPr>
            <w:tcW w:w="448" w:type="pct"/>
          </w:tcPr>
          <w:p w14:paraId="4C59F386" w14:textId="77777777" w:rsidR="0005504D" w:rsidRDefault="0005504D" w:rsidP="0005504D">
            <w:pPr>
              <w:pStyle w:val="TableBody"/>
              <w:jc w:val="center"/>
            </w:pPr>
            <w:r>
              <w:t>$/MWh</w:t>
            </w:r>
          </w:p>
        </w:tc>
        <w:tc>
          <w:tcPr>
            <w:tcW w:w="3603" w:type="pct"/>
          </w:tcPr>
          <w:p w14:paraId="31E03CA3" w14:textId="77777777" w:rsidR="0005504D" w:rsidRPr="00B34C5D" w:rsidRDefault="0005504D" w:rsidP="0005504D">
            <w:pPr>
              <w:pStyle w:val="TableBody"/>
              <w:rPr>
                <w:i/>
              </w:rPr>
            </w:pPr>
            <w:r w:rsidRPr="00B34C5D">
              <w:rPr>
                <w:i/>
              </w:rPr>
              <w:t>Minimum</w:t>
            </w:r>
            <w:r>
              <w:rPr>
                <w:i/>
              </w:rPr>
              <w:t>-</w:t>
            </w:r>
            <w:r w:rsidRPr="00B34C5D">
              <w:rPr>
                <w:i/>
              </w:rPr>
              <w:t>Energy Cap</w:t>
            </w:r>
            <w:r>
              <w:t xml:space="preserve">—The amount used for Resource </w:t>
            </w:r>
            <w:r>
              <w:rPr>
                <w:i/>
              </w:rPr>
              <w:t xml:space="preserve">r </w:t>
            </w:r>
            <w:r w:rsidR="007C1960" w:rsidRPr="00853E7A">
              <w:t xml:space="preserve">represented by QSE </w:t>
            </w:r>
            <w:r w:rsidR="007C1960" w:rsidRPr="00853E7A">
              <w:rPr>
                <w:i/>
              </w:rPr>
              <w:t>q</w:t>
            </w:r>
            <w:r w:rsidR="007C1960">
              <w:rPr>
                <w:i/>
              </w:rPr>
              <w:t xml:space="preserve"> </w:t>
            </w:r>
            <w:r w:rsidR="007C1960">
              <w:t xml:space="preserve">for the Settlement Interval </w:t>
            </w:r>
            <w:r w:rsidR="007C1960">
              <w:rPr>
                <w:i/>
              </w:rPr>
              <w:t>i</w:t>
            </w:r>
            <w:r w:rsidR="007C1960">
              <w:t xml:space="preserve"> </w:t>
            </w:r>
            <w:r>
              <w:t xml:space="preserve">for minimum-energy costs.  The </w:t>
            </w:r>
            <w:r w:rsidRPr="006A7952">
              <w:rPr>
                <w:iCs w:val="0"/>
              </w:rPr>
              <w:t>minimum cost is the Resource Category Minimum-Energy Generic Cap (RCGMEC)</w:t>
            </w:r>
            <w:r>
              <w:t xml:space="preserve"> unless ERCOT has approved verifiable unit-specific minimum energy costs for that Resource, in which case the Minimum-Energy Cap is the verifiable unit-specific minimum energy cost.  See Section 5.6.1 for more information on verifiable costs.  Where for a Combined Cycle Train, the Resource </w:t>
            </w:r>
            <w:r w:rsidRPr="00B34C5D">
              <w:rPr>
                <w:i/>
              </w:rPr>
              <w:t>r</w:t>
            </w:r>
            <w:r>
              <w:rPr>
                <w:i/>
              </w:rPr>
              <w:t xml:space="preserve"> </w:t>
            </w:r>
            <w:r w:rsidRPr="001C65E0">
              <w:t xml:space="preserve">is a </w:t>
            </w:r>
            <w:r>
              <w:t>Combined Cycle Generation Resource within the Combined Cycle Train.</w:t>
            </w:r>
          </w:p>
        </w:tc>
      </w:tr>
      <w:tr w:rsidR="0005504D" w14:paraId="3806798B" w14:textId="77777777" w:rsidTr="000B3D07">
        <w:trPr>
          <w:cantSplit/>
        </w:trPr>
        <w:tc>
          <w:tcPr>
            <w:tcW w:w="949" w:type="pct"/>
          </w:tcPr>
          <w:p w14:paraId="79BE0EE9" w14:textId="77777777" w:rsidR="0005504D" w:rsidRPr="003A4C46" w:rsidRDefault="0005504D" w:rsidP="0005504D">
            <w:pPr>
              <w:pStyle w:val="TableBody"/>
            </w:pPr>
            <w:r w:rsidRPr="003A4C46">
              <w:t>RCGMEC</w:t>
            </w:r>
            <w:r w:rsidR="007C1960">
              <w:t xml:space="preserve"> </w:t>
            </w:r>
            <w:r w:rsidRPr="003667DB">
              <w:rPr>
                <w:i/>
                <w:vertAlign w:val="subscript"/>
              </w:rPr>
              <w:t>i</w:t>
            </w:r>
          </w:p>
        </w:tc>
        <w:tc>
          <w:tcPr>
            <w:tcW w:w="448" w:type="pct"/>
          </w:tcPr>
          <w:p w14:paraId="0B4EF277" w14:textId="77777777" w:rsidR="0005504D" w:rsidRDefault="0005504D" w:rsidP="0005504D">
            <w:pPr>
              <w:pStyle w:val="TableBody"/>
              <w:jc w:val="center"/>
            </w:pPr>
            <w:r>
              <w:t>$/MWh</w:t>
            </w:r>
          </w:p>
        </w:tc>
        <w:tc>
          <w:tcPr>
            <w:tcW w:w="3603" w:type="pct"/>
          </w:tcPr>
          <w:p w14:paraId="6EB88656" w14:textId="77777777" w:rsidR="0005504D" w:rsidRDefault="0005504D" w:rsidP="0005504D">
            <w:pPr>
              <w:pStyle w:val="TableBody"/>
            </w:pPr>
            <w:r w:rsidRPr="00B34C5D">
              <w:rPr>
                <w:i/>
              </w:rPr>
              <w:t>Resource Category Generic Minimum-Energy Cost</w:t>
            </w:r>
            <w:r>
              <w:t>—The Resource Category Generic Minimum Energy Cost cap for the category of the Resource, according to Section 4.4.9.2.3, for the Operating Day.</w:t>
            </w:r>
          </w:p>
        </w:tc>
      </w:tr>
      <w:tr w:rsidR="0005504D" w14:paraId="570F4BCD" w14:textId="77777777" w:rsidTr="000B3D07">
        <w:trPr>
          <w:cantSplit/>
        </w:trPr>
        <w:tc>
          <w:tcPr>
            <w:tcW w:w="949" w:type="pct"/>
          </w:tcPr>
          <w:p w14:paraId="6B719D57" w14:textId="77777777" w:rsidR="0005504D" w:rsidRPr="003A4C46" w:rsidRDefault="0005504D" w:rsidP="0005504D">
            <w:pPr>
              <w:pStyle w:val="TableBody"/>
            </w:pPr>
            <w:r w:rsidRPr="003A4C46">
              <w:t>RTMG</w:t>
            </w:r>
            <w:r w:rsidR="007C1960">
              <w:t xml:space="preserve"> </w:t>
            </w:r>
            <w:r w:rsidRPr="003667DB">
              <w:rPr>
                <w:i/>
                <w:vertAlign w:val="subscript"/>
              </w:rPr>
              <w:t>q,</w:t>
            </w:r>
            <w:r w:rsidR="007C1960">
              <w:rPr>
                <w:i/>
                <w:vertAlign w:val="subscript"/>
              </w:rPr>
              <w:t xml:space="preserve"> </w:t>
            </w:r>
            <w:r w:rsidRPr="003667DB">
              <w:rPr>
                <w:i/>
                <w:vertAlign w:val="subscript"/>
              </w:rPr>
              <w:t>r,</w:t>
            </w:r>
            <w:r w:rsidR="007C1960">
              <w:rPr>
                <w:i/>
                <w:vertAlign w:val="subscript"/>
              </w:rPr>
              <w:t xml:space="preserve"> </w:t>
            </w:r>
            <w:r w:rsidRPr="003667DB">
              <w:rPr>
                <w:i/>
                <w:vertAlign w:val="subscript"/>
              </w:rPr>
              <w:t>i</w:t>
            </w:r>
          </w:p>
        </w:tc>
        <w:tc>
          <w:tcPr>
            <w:tcW w:w="448" w:type="pct"/>
          </w:tcPr>
          <w:p w14:paraId="00ADF644" w14:textId="77777777" w:rsidR="0005504D" w:rsidRDefault="0005504D" w:rsidP="0005504D">
            <w:pPr>
              <w:pStyle w:val="TableBody"/>
              <w:jc w:val="center"/>
            </w:pPr>
            <w:r>
              <w:t>MWh</w:t>
            </w:r>
          </w:p>
        </w:tc>
        <w:tc>
          <w:tcPr>
            <w:tcW w:w="3603" w:type="pct"/>
          </w:tcPr>
          <w:p w14:paraId="2CCD324C" w14:textId="77777777" w:rsidR="0005504D" w:rsidRDefault="0005504D" w:rsidP="007C1960">
            <w:pPr>
              <w:pStyle w:val="TableBody"/>
            </w:pPr>
            <w:r w:rsidRPr="00B34C5D">
              <w:rPr>
                <w:i/>
              </w:rPr>
              <w:t>Real-Time Metered Generation</w:t>
            </w:r>
            <w:r>
              <w:t xml:space="preserve">—The metered generation </w:t>
            </w:r>
            <w:r w:rsidR="007C1960">
              <w:t xml:space="preserve">of Resource </w:t>
            </w:r>
            <w:r w:rsidR="007C1960" w:rsidRPr="00926CD1">
              <w:rPr>
                <w:i/>
              </w:rPr>
              <w:t>r</w:t>
            </w:r>
            <w:r w:rsidR="007C1960" w:rsidRPr="00853E7A">
              <w:t xml:space="preserve"> represented by QSE </w:t>
            </w:r>
            <w:r w:rsidR="007C1960" w:rsidRPr="00853E7A">
              <w:rPr>
                <w:i/>
              </w:rPr>
              <w:t>q</w:t>
            </w:r>
            <w:r w:rsidR="007C1960">
              <w:t xml:space="preserve"> </w:t>
            </w:r>
            <w:r>
              <w:t xml:space="preserve">for the Settlement Interval </w:t>
            </w:r>
            <w:r w:rsidRPr="00B34C5D">
              <w:rPr>
                <w:i/>
              </w:rPr>
              <w:t>i</w:t>
            </w:r>
            <w:r>
              <w:t xml:space="preserve">.  Where for a Combined Cycle Train, the Resource </w:t>
            </w:r>
            <w:r w:rsidRPr="00B34C5D">
              <w:rPr>
                <w:i/>
              </w:rPr>
              <w:t>r</w:t>
            </w:r>
            <w:r>
              <w:rPr>
                <w:i/>
              </w:rPr>
              <w:t xml:space="preserve"> </w:t>
            </w:r>
            <w:r>
              <w:t>is the Combined Cycle Train.</w:t>
            </w:r>
          </w:p>
        </w:tc>
      </w:tr>
      <w:tr w:rsidR="0005504D" w14:paraId="39F5F0FF" w14:textId="77777777" w:rsidTr="000B3D07">
        <w:trPr>
          <w:cantSplit/>
        </w:trPr>
        <w:tc>
          <w:tcPr>
            <w:tcW w:w="949" w:type="pct"/>
          </w:tcPr>
          <w:p w14:paraId="00DBD3AD" w14:textId="77777777" w:rsidR="0005504D" w:rsidRPr="003A4C46" w:rsidRDefault="0005504D" w:rsidP="0005504D">
            <w:pPr>
              <w:pStyle w:val="TableBody"/>
            </w:pPr>
            <w:r w:rsidRPr="003A4C46">
              <w:t>LSL</w:t>
            </w:r>
            <w:r w:rsidR="00AF69E5">
              <w:t xml:space="preserve"> </w:t>
            </w:r>
            <w:r w:rsidRPr="003667DB">
              <w:rPr>
                <w:i/>
                <w:vertAlign w:val="subscript"/>
              </w:rPr>
              <w:t>q,</w:t>
            </w:r>
            <w:r w:rsidR="00AF69E5">
              <w:rPr>
                <w:i/>
                <w:vertAlign w:val="subscript"/>
              </w:rPr>
              <w:t xml:space="preserve"> </w:t>
            </w:r>
            <w:r w:rsidRPr="003667DB">
              <w:rPr>
                <w:i/>
                <w:vertAlign w:val="subscript"/>
              </w:rPr>
              <w:t>r,</w:t>
            </w:r>
            <w:r w:rsidR="00AF69E5">
              <w:rPr>
                <w:i/>
                <w:vertAlign w:val="subscript"/>
              </w:rPr>
              <w:t xml:space="preserve"> </w:t>
            </w:r>
            <w:r w:rsidRPr="003667DB">
              <w:rPr>
                <w:i/>
                <w:vertAlign w:val="subscript"/>
              </w:rPr>
              <w:t>i</w:t>
            </w:r>
          </w:p>
        </w:tc>
        <w:tc>
          <w:tcPr>
            <w:tcW w:w="448" w:type="pct"/>
          </w:tcPr>
          <w:p w14:paraId="0C5447B4" w14:textId="77777777" w:rsidR="0005504D" w:rsidRDefault="0005504D" w:rsidP="0005504D">
            <w:pPr>
              <w:pStyle w:val="TableBody"/>
              <w:jc w:val="center"/>
            </w:pPr>
            <w:r>
              <w:t>MW</w:t>
            </w:r>
          </w:p>
        </w:tc>
        <w:tc>
          <w:tcPr>
            <w:tcW w:w="3603" w:type="pct"/>
          </w:tcPr>
          <w:p w14:paraId="184F6C2E" w14:textId="77777777" w:rsidR="0005504D" w:rsidRDefault="0005504D" w:rsidP="0005504D">
            <w:pPr>
              <w:pStyle w:val="TableBody"/>
            </w:pPr>
            <w:r w:rsidRPr="00B34C5D">
              <w:rPr>
                <w:i/>
              </w:rPr>
              <w:t>Low Sustained Limit</w:t>
            </w:r>
            <w:r>
              <w:t xml:space="preserve">—The LSL of Generation Resource </w:t>
            </w:r>
            <w:r w:rsidRPr="00B34C5D">
              <w:rPr>
                <w:i/>
              </w:rPr>
              <w:t>r</w:t>
            </w:r>
            <w:r>
              <w:t xml:space="preserve"> represented by QSE </w:t>
            </w:r>
            <w:r w:rsidRPr="00B34C5D">
              <w:rPr>
                <w:i/>
              </w:rPr>
              <w:t>q</w:t>
            </w:r>
            <w:r>
              <w:t xml:space="preserve"> for the hour that includes the Settlement Interval </w:t>
            </w:r>
            <w:r w:rsidRPr="00B34C5D">
              <w:rPr>
                <w:i/>
              </w:rPr>
              <w:t>i</w:t>
            </w:r>
            <w:r>
              <w:t xml:space="preserve">, as submitted in the Current Operating Plan (COP).  Where for a Combined Cycle Train, the Resource </w:t>
            </w:r>
            <w:r w:rsidRPr="00B34C5D">
              <w:rPr>
                <w:i/>
              </w:rPr>
              <w:t>r</w:t>
            </w:r>
            <w:r>
              <w:rPr>
                <w:i/>
              </w:rPr>
              <w:t xml:space="preserve"> </w:t>
            </w:r>
            <w:r w:rsidRPr="001C65E0">
              <w:t xml:space="preserve">is a </w:t>
            </w:r>
            <w:r>
              <w:t xml:space="preserve">Combined Cycle Generation Resource within the Combined Cycle Train.  </w:t>
            </w:r>
          </w:p>
        </w:tc>
      </w:tr>
      <w:tr w:rsidR="0005504D" w14:paraId="241C8836" w14:textId="77777777" w:rsidTr="000B3D07">
        <w:trPr>
          <w:cantSplit/>
        </w:trPr>
        <w:tc>
          <w:tcPr>
            <w:tcW w:w="949" w:type="pct"/>
          </w:tcPr>
          <w:p w14:paraId="2B2B4563" w14:textId="77777777" w:rsidR="0005504D" w:rsidRPr="003A4C46" w:rsidRDefault="0005504D" w:rsidP="0005504D">
            <w:pPr>
              <w:pStyle w:val="TableBody"/>
              <w:rPr>
                <w:i/>
              </w:rPr>
            </w:pPr>
            <w:r w:rsidRPr="003A4C46">
              <w:rPr>
                <w:i/>
              </w:rPr>
              <w:t>q</w:t>
            </w:r>
          </w:p>
        </w:tc>
        <w:tc>
          <w:tcPr>
            <w:tcW w:w="448" w:type="pct"/>
          </w:tcPr>
          <w:p w14:paraId="3611A18F" w14:textId="77777777" w:rsidR="0005504D" w:rsidRDefault="0005504D" w:rsidP="0005504D">
            <w:pPr>
              <w:pStyle w:val="TableBody"/>
              <w:jc w:val="center"/>
            </w:pPr>
            <w:r>
              <w:t>none</w:t>
            </w:r>
          </w:p>
        </w:tc>
        <w:tc>
          <w:tcPr>
            <w:tcW w:w="3603" w:type="pct"/>
          </w:tcPr>
          <w:p w14:paraId="5D6FC66F" w14:textId="77777777" w:rsidR="0005504D" w:rsidRDefault="0005504D" w:rsidP="0005504D">
            <w:pPr>
              <w:pStyle w:val="TableBody"/>
            </w:pPr>
            <w:r>
              <w:t>A QSE.</w:t>
            </w:r>
          </w:p>
        </w:tc>
      </w:tr>
      <w:tr w:rsidR="007C1960" w14:paraId="3674FBC5" w14:textId="77777777" w:rsidTr="000B3D07">
        <w:trPr>
          <w:cantSplit/>
        </w:trPr>
        <w:tc>
          <w:tcPr>
            <w:tcW w:w="949" w:type="pct"/>
          </w:tcPr>
          <w:p w14:paraId="75A24B11" w14:textId="77777777" w:rsidR="007C1960" w:rsidRPr="003A4C46" w:rsidRDefault="007C1960" w:rsidP="0005504D">
            <w:pPr>
              <w:pStyle w:val="TableBody"/>
              <w:rPr>
                <w:i/>
              </w:rPr>
            </w:pPr>
            <w:r>
              <w:rPr>
                <w:i/>
              </w:rPr>
              <w:t>p</w:t>
            </w:r>
          </w:p>
        </w:tc>
        <w:tc>
          <w:tcPr>
            <w:tcW w:w="448" w:type="pct"/>
          </w:tcPr>
          <w:p w14:paraId="6E26C801" w14:textId="77777777" w:rsidR="007C1960" w:rsidRDefault="007C1960" w:rsidP="0005504D">
            <w:pPr>
              <w:pStyle w:val="TableBody"/>
              <w:jc w:val="center"/>
            </w:pPr>
            <w:r>
              <w:t>none</w:t>
            </w:r>
          </w:p>
        </w:tc>
        <w:tc>
          <w:tcPr>
            <w:tcW w:w="3603" w:type="pct"/>
          </w:tcPr>
          <w:p w14:paraId="60D3BFE1" w14:textId="77777777" w:rsidR="007C1960" w:rsidRDefault="007C1960" w:rsidP="0005504D">
            <w:pPr>
              <w:pStyle w:val="TableBody"/>
            </w:pPr>
            <w:r>
              <w:t>A Settlement Point.</w:t>
            </w:r>
          </w:p>
        </w:tc>
      </w:tr>
      <w:tr w:rsidR="0005504D" w14:paraId="5D084AF3" w14:textId="77777777" w:rsidTr="000B3D07">
        <w:trPr>
          <w:cantSplit/>
        </w:trPr>
        <w:tc>
          <w:tcPr>
            <w:tcW w:w="949" w:type="pct"/>
          </w:tcPr>
          <w:p w14:paraId="40EB9706" w14:textId="77777777" w:rsidR="0005504D" w:rsidRPr="003A4C46" w:rsidRDefault="0005504D" w:rsidP="0005504D">
            <w:pPr>
              <w:pStyle w:val="TableBody"/>
              <w:rPr>
                <w:i/>
              </w:rPr>
            </w:pPr>
            <w:r w:rsidRPr="003A4C46">
              <w:rPr>
                <w:i/>
              </w:rPr>
              <w:t>r</w:t>
            </w:r>
          </w:p>
        </w:tc>
        <w:tc>
          <w:tcPr>
            <w:tcW w:w="448" w:type="pct"/>
          </w:tcPr>
          <w:p w14:paraId="290D8E95" w14:textId="77777777" w:rsidR="0005504D" w:rsidRDefault="0005504D" w:rsidP="0005504D">
            <w:pPr>
              <w:pStyle w:val="TableBody"/>
              <w:jc w:val="center"/>
            </w:pPr>
            <w:r>
              <w:t>none</w:t>
            </w:r>
          </w:p>
        </w:tc>
        <w:tc>
          <w:tcPr>
            <w:tcW w:w="3603" w:type="pct"/>
          </w:tcPr>
          <w:p w14:paraId="0823B5F6" w14:textId="77777777" w:rsidR="0005504D" w:rsidRDefault="0005504D" w:rsidP="0005504D">
            <w:pPr>
              <w:pStyle w:val="TableBody"/>
            </w:pPr>
            <w:r>
              <w:t>A RUC-committed Generation Resource.</w:t>
            </w:r>
          </w:p>
        </w:tc>
      </w:tr>
      <w:tr w:rsidR="0005504D" w14:paraId="723FA217" w14:textId="77777777" w:rsidTr="000B3D07">
        <w:trPr>
          <w:cantSplit/>
        </w:trPr>
        <w:tc>
          <w:tcPr>
            <w:tcW w:w="949" w:type="pct"/>
          </w:tcPr>
          <w:p w14:paraId="2230290A" w14:textId="77777777" w:rsidR="0005504D" w:rsidRPr="003A4C46" w:rsidRDefault="0005504D" w:rsidP="0005504D">
            <w:pPr>
              <w:pStyle w:val="TableBody"/>
              <w:rPr>
                <w:i/>
              </w:rPr>
            </w:pPr>
            <w:r w:rsidRPr="003A4C46">
              <w:rPr>
                <w:i/>
              </w:rPr>
              <w:t>d</w:t>
            </w:r>
          </w:p>
        </w:tc>
        <w:tc>
          <w:tcPr>
            <w:tcW w:w="448" w:type="pct"/>
          </w:tcPr>
          <w:p w14:paraId="2CA33987" w14:textId="77777777" w:rsidR="0005504D" w:rsidRDefault="0005504D" w:rsidP="0005504D">
            <w:pPr>
              <w:pStyle w:val="TableBody"/>
              <w:jc w:val="center"/>
            </w:pPr>
            <w:r>
              <w:t>none</w:t>
            </w:r>
          </w:p>
        </w:tc>
        <w:tc>
          <w:tcPr>
            <w:tcW w:w="3603" w:type="pct"/>
          </w:tcPr>
          <w:p w14:paraId="0CE2C22B" w14:textId="77777777" w:rsidR="0005504D" w:rsidRDefault="0005504D" w:rsidP="0005504D">
            <w:pPr>
              <w:pStyle w:val="TableBody"/>
            </w:pPr>
            <w:r>
              <w:t>An Operating Day containing the RUC-commitment.</w:t>
            </w:r>
          </w:p>
        </w:tc>
      </w:tr>
      <w:tr w:rsidR="0005504D" w14:paraId="2C96BBCD" w14:textId="77777777" w:rsidTr="000B3D07">
        <w:trPr>
          <w:cantSplit/>
        </w:trPr>
        <w:tc>
          <w:tcPr>
            <w:tcW w:w="949" w:type="pct"/>
          </w:tcPr>
          <w:p w14:paraId="0E3A4E96" w14:textId="77777777" w:rsidR="0005504D" w:rsidRPr="003A4C46" w:rsidRDefault="0005504D" w:rsidP="0005504D">
            <w:pPr>
              <w:pStyle w:val="TableBody"/>
              <w:rPr>
                <w:i/>
              </w:rPr>
            </w:pPr>
            <w:r w:rsidRPr="003A4C46">
              <w:rPr>
                <w:i/>
              </w:rPr>
              <w:t>i</w:t>
            </w:r>
          </w:p>
        </w:tc>
        <w:tc>
          <w:tcPr>
            <w:tcW w:w="448" w:type="pct"/>
          </w:tcPr>
          <w:p w14:paraId="6DE57847" w14:textId="77777777" w:rsidR="0005504D" w:rsidRDefault="0005504D" w:rsidP="0005504D">
            <w:pPr>
              <w:pStyle w:val="TableBody"/>
              <w:jc w:val="center"/>
            </w:pPr>
            <w:r>
              <w:t>none</w:t>
            </w:r>
          </w:p>
        </w:tc>
        <w:tc>
          <w:tcPr>
            <w:tcW w:w="3603" w:type="pct"/>
          </w:tcPr>
          <w:p w14:paraId="174426F1" w14:textId="77777777" w:rsidR="0005504D" w:rsidRPr="00B34C5D" w:rsidRDefault="0005504D" w:rsidP="0005504D">
            <w:pPr>
              <w:pStyle w:val="TableBody"/>
              <w:rPr>
                <w:i/>
              </w:rPr>
            </w:pPr>
            <w:r>
              <w:t>A 15-minute Settlement Interval within the hour that includes a RUC-commitment.</w:t>
            </w:r>
          </w:p>
        </w:tc>
      </w:tr>
      <w:tr w:rsidR="0005504D" w14:paraId="1EEB021C" w14:textId="77777777" w:rsidTr="000B3D07">
        <w:trPr>
          <w:cantSplit/>
        </w:trPr>
        <w:tc>
          <w:tcPr>
            <w:tcW w:w="949" w:type="pct"/>
          </w:tcPr>
          <w:p w14:paraId="2DAF6F8E" w14:textId="77777777" w:rsidR="0005504D" w:rsidRPr="003A4C46" w:rsidRDefault="0005504D" w:rsidP="0005504D">
            <w:pPr>
              <w:pStyle w:val="TableBody"/>
              <w:rPr>
                <w:i/>
              </w:rPr>
            </w:pPr>
            <w:r w:rsidRPr="003A4C46">
              <w:rPr>
                <w:i/>
              </w:rPr>
              <w:t>s</w:t>
            </w:r>
          </w:p>
        </w:tc>
        <w:tc>
          <w:tcPr>
            <w:tcW w:w="448" w:type="pct"/>
          </w:tcPr>
          <w:p w14:paraId="3E576A63" w14:textId="77777777" w:rsidR="0005504D" w:rsidRDefault="0005504D" w:rsidP="0005504D">
            <w:pPr>
              <w:pStyle w:val="TableBody"/>
              <w:jc w:val="center"/>
            </w:pPr>
            <w:r>
              <w:t>none</w:t>
            </w:r>
          </w:p>
        </w:tc>
        <w:tc>
          <w:tcPr>
            <w:tcW w:w="3603" w:type="pct"/>
          </w:tcPr>
          <w:p w14:paraId="3A991C9A" w14:textId="77777777" w:rsidR="0005504D" w:rsidRDefault="0005504D" w:rsidP="0005504D">
            <w:pPr>
              <w:pStyle w:val="TableBody"/>
            </w:pPr>
            <w:r>
              <w:t>A start that is eligible to have its costs included in the RUC Guarantee.</w:t>
            </w:r>
          </w:p>
        </w:tc>
      </w:tr>
      <w:tr w:rsidR="0005504D" w14:paraId="3CBA6232" w14:textId="77777777" w:rsidTr="000B3D07">
        <w:trPr>
          <w:cantSplit/>
        </w:trPr>
        <w:tc>
          <w:tcPr>
            <w:tcW w:w="949" w:type="pct"/>
          </w:tcPr>
          <w:p w14:paraId="38BCAE8F" w14:textId="77777777" w:rsidR="0005504D" w:rsidRPr="003A4C46" w:rsidRDefault="0005504D" w:rsidP="0005504D">
            <w:pPr>
              <w:pStyle w:val="TableBody"/>
              <w:rPr>
                <w:i/>
              </w:rPr>
            </w:pPr>
            <w:r w:rsidRPr="003A4C46">
              <w:rPr>
                <w:i/>
              </w:rPr>
              <w:t>t</w:t>
            </w:r>
          </w:p>
        </w:tc>
        <w:tc>
          <w:tcPr>
            <w:tcW w:w="448" w:type="pct"/>
          </w:tcPr>
          <w:p w14:paraId="39817B3E" w14:textId="77777777" w:rsidR="0005504D" w:rsidRDefault="0005504D" w:rsidP="0005504D">
            <w:pPr>
              <w:pStyle w:val="TableBody"/>
              <w:jc w:val="center"/>
            </w:pPr>
            <w:r>
              <w:t>none</w:t>
            </w:r>
          </w:p>
        </w:tc>
        <w:tc>
          <w:tcPr>
            <w:tcW w:w="3603" w:type="pct"/>
          </w:tcPr>
          <w:p w14:paraId="3761C474" w14:textId="77777777" w:rsidR="0005504D" w:rsidRDefault="0005504D" w:rsidP="0005504D">
            <w:pPr>
              <w:pStyle w:val="TableBody"/>
            </w:pPr>
            <w:r>
              <w:t>A transition that is eligible to have its costs included in the RUC Guarantee.</w:t>
            </w:r>
          </w:p>
        </w:tc>
      </w:tr>
      <w:tr w:rsidR="0005504D" w:rsidRPr="009E5389" w14:paraId="78DCEBB8" w14:textId="77777777" w:rsidTr="000B3D07">
        <w:trPr>
          <w:cantSplit/>
        </w:trPr>
        <w:tc>
          <w:tcPr>
            <w:tcW w:w="949" w:type="pct"/>
          </w:tcPr>
          <w:p w14:paraId="5555D9A7" w14:textId="77777777" w:rsidR="0005504D" w:rsidRPr="001A6D3F" w:rsidRDefault="0005504D" w:rsidP="0005504D">
            <w:pPr>
              <w:tabs>
                <w:tab w:val="right" w:pos="9360"/>
              </w:tabs>
              <w:spacing w:after="60"/>
              <w:rPr>
                <w:i/>
                <w:iCs/>
                <w:sz w:val="20"/>
              </w:rPr>
            </w:pPr>
            <w:r w:rsidRPr="00E234CB">
              <w:rPr>
                <w:i/>
                <w:iCs/>
                <w:sz w:val="20"/>
              </w:rPr>
              <w:t>c</w:t>
            </w:r>
          </w:p>
        </w:tc>
        <w:tc>
          <w:tcPr>
            <w:tcW w:w="448" w:type="pct"/>
          </w:tcPr>
          <w:p w14:paraId="598BAC11" w14:textId="77777777" w:rsidR="0005504D" w:rsidRPr="009E5389" w:rsidRDefault="0005504D" w:rsidP="0005504D">
            <w:pPr>
              <w:spacing w:after="60"/>
              <w:jc w:val="center"/>
              <w:rPr>
                <w:iCs/>
                <w:sz w:val="20"/>
              </w:rPr>
            </w:pPr>
            <w:r w:rsidRPr="009E5389">
              <w:rPr>
                <w:iCs/>
                <w:sz w:val="20"/>
              </w:rPr>
              <w:t>none</w:t>
            </w:r>
          </w:p>
        </w:tc>
        <w:tc>
          <w:tcPr>
            <w:tcW w:w="3603" w:type="pct"/>
          </w:tcPr>
          <w:p w14:paraId="5E54DE31" w14:textId="77777777" w:rsidR="0005504D" w:rsidRPr="009E5389" w:rsidRDefault="0005504D" w:rsidP="0005504D">
            <w:pPr>
              <w:spacing w:after="60"/>
              <w:rPr>
                <w:iCs/>
                <w:sz w:val="20"/>
              </w:rPr>
            </w:pPr>
            <w:r w:rsidRPr="009E5389">
              <w:rPr>
                <w:iCs/>
                <w:sz w:val="20"/>
              </w:rPr>
              <w:t>A contiguous block of RUC–Committed Hours.</w:t>
            </w:r>
          </w:p>
        </w:tc>
      </w:tr>
      <w:tr w:rsidR="0005504D" w14:paraId="1AD1A243" w14:textId="77777777" w:rsidTr="000B3D07">
        <w:trPr>
          <w:cantSplit/>
        </w:trPr>
        <w:tc>
          <w:tcPr>
            <w:tcW w:w="949" w:type="pct"/>
          </w:tcPr>
          <w:p w14:paraId="4E4BDD97" w14:textId="77777777" w:rsidR="0005504D" w:rsidRPr="003667DB" w:rsidRDefault="0005504D" w:rsidP="0005504D">
            <w:pPr>
              <w:pStyle w:val="TableBody"/>
              <w:rPr>
                <w:i/>
              </w:rPr>
            </w:pPr>
            <w:proofErr w:type="spellStart"/>
            <w:r w:rsidRPr="003667DB">
              <w:rPr>
                <w:i/>
              </w:rPr>
              <w:lastRenderedPageBreak/>
              <w:t>afterCCGR</w:t>
            </w:r>
            <w:proofErr w:type="spellEnd"/>
          </w:p>
        </w:tc>
        <w:tc>
          <w:tcPr>
            <w:tcW w:w="448" w:type="pct"/>
          </w:tcPr>
          <w:p w14:paraId="4F80CB7D" w14:textId="77777777" w:rsidR="0005504D" w:rsidRDefault="0005504D" w:rsidP="0005504D">
            <w:pPr>
              <w:pStyle w:val="TableBody"/>
              <w:jc w:val="center"/>
            </w:pPr>
            <w:r>
              <w:t>none</w:t>
            </w:r>
          </w:p>
        </w:tc>
        <w:tc>
          <w:tcPr>
            <w:tcW w:w="3603" w:type="pct"/>
          </w:tcPr>
          <w:p w14:paraId="1B0B47E3" w14:textId="77777777" w:rsidR="0005504D" w:rsidRDefault="0005504D" w:rsidP="0005504D">
            <w:pPr>
              <w:pStyle w:val="TableBody"/>
            </w:pPr>
            <w:r>
              <w:t>The Combined Cycle Generation Resource to which a Combined Cycle Train transitions.</w:t>
            </w:r>
          </w:p>
        </w:tc>
      </w:tr>
      <w:tr w:rsidR="0005504D" w14:paraId="1251B491" w14:textId="77777777" w:rsidTr="000B3D07">
        <w:trPr>
          <w:cantSplit/>
        </w:trPr>
        <w:tc>
          <w:tcPr>
            <w:tcW w:w="949" w:type="pct"/>
          </w:tcPr>
          <w:p w14:paraId="774AB329" w14:textId="77777777" w:rsidR="0005504D" w:rsidRPr="003667DB" w:rsidRDefault="0005504D" w:rsidP="0005504D">
            <w:pPr>
              <w:pStyle w:val="TableBody"/>
              <w:rPr>
                <w:i/>
              </w:rPr>
            </w:pPr>
            <w:proofErr w:type="spellStart"/>
            <w:r w:rsidRPr="005A03E7">
              <w:rPr>
                <w:i/>
              </w:rPr>
              <w:t>beforeCCGR</w:t>
            </w:r>
            <w:proofErr w:type="spellEnd"/>
          </w:p>
        </w:tc>
        <w:tc>
          <w:tcPr>
            <w:tcW w:w="448" w:type="pct"/>
          </w:tcPr>
          <w:p w14:paraId="07C82F66" w14:textId="77777777" w:rsidR="0005504D" w:rsidRDefault="0005504D" w:rsidP="0005504D">
            <w:pPr>
              <w:pStyle w:val="TableBody"/>
              <w:jc w:val="center"/>
            </w:pPr>
            <w:r>
              <w:t>none</w:t>
            </w:r>
          </w:p>
        </w:tc>
        <w:tc>
          <w:tcPr>
            <w:tcW w:w="3603" w:type="pct"/>
          </w:tcPr>
          <w:p w14:paraId="25CF0724" w14:textId="77777777" w:rsidR="0005504D" w:rsidRDefault="0005504D" w:rsidP="0005504D">
            <w:pPr>
              <w:pStyle w:val="TableBody"/>
            </w:pPr>
            <w:r>
              <w:t>The Combined Cycle Generation Resource from which a Combined Cycle Train transitions.</w:t>
            </w:r>
          </w:p>
        </w:tc>
      </w:tr>
    </w:tbl>
    <w:p w14:paraId="6388D2E6" w14:textId="77777777" w:rsidR="00F80C33" w:rsidRDefault="00723BFB" w:rsidP="00300C4D">
      <w:pPr>
        <w:pStyle w:val="H4"/>
        <w:spacing w:before="480"/>
      </w:pPr>
      <w:bookmarkStart w:id="223" w:name="_Toc400547188"/>
      <w:bookmarkStart w:id="224" w:name="_Toc405384293"/>
      <w:bookmarkStart w:id="225" w:name="_Toc405543560"/>
      <w:bookmarkStart w:id="226" w:name="_Toc428178069"/>
      <w:bookmarkStart w:id="227" w:name="_Toc440872700"/>
      <w:bookmarkStart w:id="228" w:name="_Toc458766245"/>
      <w:bookmarkStart w:id="229" w:name="_Toc459292650"/>
      <w:bookmarkStart w:id="230" w:name="_Toc60038357"/>
      <w:r>
        <w:t>5.7.1.2</w:t>
      </w:r>
      <w:r>
        <w:tab/>
        <w:t>RUC Minimum-Energy Revenue</w:t>
      </w:r>
      <w:bookmarkEnd w:id="223"/>
      <w:bookmarkEnd w:id="224"/>
      <w:bookmarkEnd w:id="225"/>
      <w:bookmarkEnd w:id="226"/>
      <w:bookmarkEnd w:id="227"/>
      <w:bookmarkEnd w:id="228"/>
      <w:bookmarkEnd w:id="229"/>
      <w:bookmarkEnd w:id="230"/>
    </w:p>
    <w:p w14:paraId="130FB28D" w14:textId="77777777" w:rsidR="00E2667F" w:rsidRDefault="00163326">
      <w:pPr>
        <w:pStyle w:val="BodyTextNumberedChar"/>
        <w:rPr>
          <w:rStyle w:val="BodyTextChar"/>
        </w:rPr>
      </w:pPr>
      <w:r>
        <w:rPr>
          <w:rStyle w:val="BodyTextChar"/>
        </w:rPr>
        <w:t>(1)</w:t>
      </w:r>
      <w:r>
        <w:rPr>
          <w:rStyle w:val="BodyTextChar"/>
        </w:rPr>
        <w:tab/>
      </w:r>
      <w:r w:rsidR="00723BFB">
        <w:rPr>
          <w:rStyle w:val="BodyTextChar"/>
        </w:rPr>
        <w:t xml:space="preserve">The energy revenue for </w:t>
      </w:r>
      <w:r>
        <w:rPr>
          <w:rStyle w:val="BodyTextChar"/>
        </w:rPr>
        <w:t>a</w:t>
      </w:r>
      <w:r w:rsidR="00723BFB">
        <w:rPr>
          <w:rStyle w:val="BodyTextChar"/>
        </w:rPr>
        <w:t xml:space="preserve"> Resource’s generation up to LSL during all RUC-Committed Hours of the Operating Day is </w:t>
      </w:r>
      <w:r>
        <w:rPr>
          <w:rStyle w:val="BodyTextChar"/>
        </w:rPr>
        <w:t>RUC Minimum-Energy Revenue.</w:t>
      </w:r>
    </w:p>
    <w:p w14:paraId="5C417B66" w14:textId="26ADCFEA" w:rsidR="00163326" w:rsidRDefault="00163326" w:rsidP="00163326">
      <w:pPr>
        <w:pStyle w:val="BodyTextNumbered"/>
      </w:pPr>
      <w:r>
        <w:t>(2)</w:t>
      </w:r>
      <w:r>
        <w:tab/>
      </w:r>
      <w:r w:rsidR="00EF0FB5">
        <w:t>The LSL used to calculate RUC Minimum-Energy Revenue for a Combined Cycle Train is the L</w:t>
      </w:r>
      <w:r w:rsidR="00EF0FB5" w:rsidRPr="00606BF3">
        <w:t xml:space="preserve">SL that corresponds to the Combined Cycle Generation Resource, within the Combined Cycle Train, that is RUC-committed for the hour. </w:t>
      </w:r>
      <w:r w:rsidR="00EF0FB5">
        <w:t xml:space="preserve"> </w:t>
      </w:r>
      <w:r w:rsidR="00EF0FB5" w:rsidRPr="00606BF3">
        <w:t>If the interval is a</w:t>
      </w:r>
      <w:r w:rsidR="00EF0FB5">
        <w:t xml:space="preserve"> </w:t>
      </w:r>
      <w:r w:rsidR="00EF0FB5" w:rsidRPr="00606BF3">
        <w:t>RUCAC</w:t>
      </w:r>
      <w:r w:rsidR="00EF0FB5">
        <w:t>-</w:t>
      </w:r>
      <w:r w:rsidR="00EF0FB5" w:rsidRPr="00606BF3">
        <w:t>Interval, then the LSL that corresponds to the QSE-committed Combined Cycle Generation Resource is also used to calculate RUC Minimum-Energy Revenue for a Combined Cycle Train.</w:t>
      </w:r>
    </w:p>
    <w:p w14:paraId="1736206A" w14:textId="77777777" w:rsidR="00EF0FB5" w:rsidRPr="00606BF3" w:rsidRDefault="00163326" w:rsidP="00EF0FB5">
      <w:pPr>
        <w:pStyle w:val="BodyTextNumbered"/>
        <w:rPr>
          <w:rStyle w:val="BodyTextChar"/>
          <w:iCs w:val="0"/>
        </w:rPr>
      </w:pPr>
      <w:r>
        <w:t>(3)</w:t>
      </w:r>
      <w:r>
        <w:tab/>
      </w:r>
      <w:r w:rsidR="00EF0FB5" w:rsidRPr="00606BF3">
        <w:t>For each RUC-committed Resource, RUC Minimum-Energy Revenue is calculated as follows</w:t>
      </w:r>
      <w:r w:rsidR="00EF0FB5" w:rsidRPr="00606BF3">
        <w:rPr>
          <w:rStyle w:val="BodyTextChar"/>
        </w:rPr>
        <w:t>:</w:t>
      </w:r>
    </w:p>
    <w:p w14:paraId="1286486B" w14:textId="77777777" w:rsidR="00EF0FB5" w:rsidRDefault="00EF0FB5" w:rsidP="00C078A2">
      <w:pPr>
        <w:pStyle w:val="FormulaBold"/>
        <w:rPr>
          <w:rStyle w:val="BodyTextChar"/>
        </w:rPr>
      </w:pPr>
      <w:proofErr w:type="spellStart"/>
      <w:r w:rsidRPr="00606BF3">
        <w:t>RUCMEREV</w:t>
      </w:r>
      <w:r w:rsidRPr="00606BF3">
        <w:rPr>
          <w:i/>
          <w:vertAlign w:val="subscript"/>
        </w:rPr>
        <w:t>q,r,d</w:t>
      </w:r>
      <w:proofErr w:type="spellEnd"/>
      <w:r w:rsidRPr="00606BF3">
        <w:tab/>
        <w:t>=</w:t>
      </w:r>
      <w:r w:rsidRPr="00606BF3">
        <w:tab/>
      </w:r>
      <w:r w:rsidRPr="00606BF3">
        <w:rPr>
          <w:position w:val="-20"/>
        </w:rPr>
        <w:object w:dxaOrig="220" w:dyaOrig="440" w14:anchorId="14E7AF20">
          <v:shape id="_x0000_i1028" type="#_x0000_t75" style="width:9.6pt;height:22.8pt" o:ole="">
            <v:imagedata r:id="rId25" o:title=""/>
          </v:shape>
          <o:OLEObject Type="Embed" ProgID="Equation.3" ShapeID="_x0000_i1028" DrawAspect="Content" ObjectID="_1775281558" r:id="rId26"/>
        </w:object>
      </w:r>
      <w:r w:rsidRPr="00606BF3">
        <w:t>(</w:t>
      </w:r>
      <w:r w:rsidRPr="0087167E">
        <w:rPr>
          <w:rStyle w:val="BodyTextChar"/>
        </w:rPr>
        <w:t xml:space="preserve">RUCMEREV96 </w:t>
      </w:r>
      <w:r w:rsidRPr="00606BF3">
        <w:rPr>
          <w:i/>
          <w:vertAlign w:val="subscript"/>
        </w:rPr>
        <w:t>q,</w:t>
      </w:r>
      <w:r>
        <w:rPr>
          <w:i/>
          <w:vertAlign w:val="subscript"/>
        </w:rPr>
        <w:t xml:space="preserve"> </w:t>
      </w:r>
      <w:r w:rsidRPr="00606BF3">
        <w:rPr>
          <w:i/>
          <w:vertAlign w:val="subscript"/>
        </w:rPr>
        <w:t>r</w:t>
      </w:r>
      <w:r>
        <w:rPr>
          <w:i/>
          <w:vertAlign w:val="subscript"/>
        </w:rPr>
        <w:t xml:space="preserve">, </w:t>
      </w:r>
      <w:r w:rsidRPr="00606BF3">
        <w:rPr>
          <w:i/>
          <w:vertAlign w:val="subscript"/>
        </w:rPr>
        <w:t>i</w:t>
      </w:r>
      <w:r w:rsidRPr="00606BF3">
        <w:t>)</w:t>
      </w:r>
    </w:p>
    <w:p w14:paraId="4494F668" w14:textId="77777777" w:rsidR="00EF0FB5" w:rsidRPr="00606BF3" w:rsidRDefault="00EF0FB5" w:rsidP="00EF0FB5">
      <w:pPr>
        <w:pStyle w:val="BodyText"/>
        <w:ind w:left="1440" w:hanging="720"/>
        <w:rPr>
          <w:rStyle w:val="BodyTextChar"/>
        </w:rPr>
      </w:pPr>
      <w:proofErr w:type="gramStart"/>
      <w:r w:rsidRPr="00606BF3">
        <w:rPr>
          <w:rStyle w:val="BodyTextChar"/>
        </w:rPr>
        <w:t>Where</w:t>
      </w:r>
      <w:proofErr w:type="gramEnd"/>
      <w:r w:rsidRPr="00606BF3">
        <w:rPr>
          <w:rStyle w:val="BodyTextChar"/>
        </w:rPr>
        <w:t>,</w:t>
      </w:r>
    </w:p>
    <w:p w14:paraId="21BDBCD7" w14:textId="77777777" w:rsidR="00EF0FB5" w:rsidRPr="00606BF3" w:rsidRDefault="00EF0FB5" w:rsidP="00EF0FB5">
      <w:pPr>
        <w:pStyle w:val="BodyText"/>
        <w:ind w:left="720"/>
        <w:rPr>
          <w:rStyle w:val="BodyTextChar"/>
        </w:rPr>
      </w:pPr>
      <w:r w:rsidRPr="00606BF3">
        <w:rPr>
          <w:rStyle w:val="BodyTextChar"/>
        </w:rPr>
        <w:t xml:space="preserve">If the interval </w:t>
      </w:r>
      <w:r w:rsidRPr="00606BF3">
        <w:rPr>
          <w:rStyle w:val="BodyTextChar"/>
          <w:i/>
        </w:rPr>
        <w:t>i</w:t>
      </w:r>
      <w:r w:rsidRPr="00606BF3">
        <w:rPr>
          <w:rStyle w:val="BodyTextChar"/>
        </w:rPr>
        <w:t xml:space="preserve"> is a RUC-</w:t>
      </w:r>
      <w:r>
        <w:rPr>
          <w:rStyle w:val="BodyTextChar"/>
        </w:rPr>
        <w:t>C</w:t>
      </w:r>
      <w:r w:rsidRPr="00606BF3">
        <w:rPr>
          <w:rStyle w:val="BodyTextChar"/>
        </w:rPr>
        <w:t xml:space="preserve">ommitted </w:t>
      </w:r>
      <w:r>
        <w:rPr>
          <w:rStyle w:val="BodyTextChar"/>
        </w:rPr>
        <w:t>I</w:t>
      </w:r>
      <w:r w:rsidRPr="00606BF3">
        <w:rPr>
          <w:rStyle w:val="BodyTextChar"/>
        </w:rPr>
        <w:t>nterval that is not a RUCAC-Interval, then:</w:t>
      </w:r>
    </w:p>
    <w:p w14:paraId="07023B68" w14:textId="77777777" w:rsidR="00EF0FB5" w:rsidRPr="00606BF3" w:rsidRDefault="00EF0FB5" w:rsidP="00EF0FB5">
      <w:pPr>
        <w:pStyle w:val="BodyText"/>
        <w:tabs>
          <w:tab w:val="left" w:pos="1440"/>
        </w:tabs>
        <w:ind w:left="3060" w:hanging="2340"/>
        <w:rPr>
          <w:rStyle w:val="BodyTextChar"/>
        </w:rPr>
      </w:pPr>
      <w:r w:rsidRPr="00606BF3">
        <w:rPr>
          <w:rStyle w:val="BodyTextChar"/>
        </w:rPr>
        <w:t xml:space="preserve">RUCMEREV96 </w:t>
      </w:r>
      <w:r w:rsidRPr="00606BF3">
        <w:rPr>
          <w:i/>
          <w:vertAlign w:val="subscript"/>
          <w:lang w:val="it-IT"/>
        </w:rPr>
        <w:t>q,</w:t>
      </w:r>
      <w:r>
        <w:rPr>
          <w:i/>
          <w:vertAlign w:val="subscript"/>
          <w:lang w:val="it-IT"/>
        </w:rPr>
        <w:t xml:space="preserve"> </w:t>
      </w:r>
      <w:r w:rsidRPr="00606BF3">
        <w:rPr>
          <w:i/>
          <w:vertAlign w:val="subscript"/>
          <w:lang w:val="it-IT"/>
        </w:rPr>
        <w:t>r,</w:t>
      </w:r>
      <w:r>
        <w:rPr>
          <w:i/>
          <w:vertAlign w:val="subscript"/>
          <w:lang w:val="it-IT"/>
        </w:rPr>
        <w:t xml:space="preserve"> </w:t>
      </w:r>
      <w:r w:rsidRPr="00606BF3">
        <w:rPr>
          <w:i/>
          <w:vertAlign w:val="subscript"/>
          <w:lang w:val="it-IT"/>
        </w:rPr>
        <w:t xml:space="preserve">i  </w:t>
      </w:r>
      <w:r w:rsidRPr="00606BF3">
        <w:rPr>
          <w:lang w:val="it-IT"/>
        </w:rPr>
        <w:t>= RTSPP</w:t>
      </w:r>
      <w:r>
        <w:rPr>
          <w:lang w:val="it-IT"/>
        </w:rPr>
        <w:t xml:space="preserve"> </w:t>
      </w:r>
      <w:r w:rsidRPr="00606BF3">
        <w:rPr>
          <w:i/>
          <w:vertAlign w:val="subscript"/>
          <w:lang w:val="it-IT"/>
        </w:rPr>
        <w:t>p,</w:t>
      </w:r>
      <w:r>
        <w:rPr>
          <w:i/>
          <w:vertAlign w:val="subscript"/>
          <w:lang w:val="it-IT"/>
        </w:rPr>
        <w:t xml:space="preserve"> </w:t>
      </w:r>
      <w:r w:rsidRPr="00606BF3">
        <w:rPr>
          <w:i/>
          <w:vertAlign w:val="subscript"/>
          <w:lang w:val="it-IT"/>
        </w:rPr>
        <w:t>i</w:t>
      </w:r>
      <w:r w:rsidRPr="00606BF3">
        <w:rPr>
          <w:lang w:val="it-IT"/>
        </w:rPr>
        <w:t xml:space="preserve"> * Min (RTMG</w:t>
      </w:r>
      <w:r>
        <w:rPr>
          <w:lang w:val="it-IT"/>
        </w:rPr>
        <w:t xml:space="preserve"> </w:t>
      </w:r>
      <w:r w:rsidRPr="00606BF3">
        <w:rPr>
          <w:i/>
          <w:vertAlign w:val="subscript"/>
          <w:lang w:val="it-IT"/>
        </w:rPr>
        <w:t>q,</w:t>
      </w:r>
      <w:r>
        <w:rPr>
          <w:i/>
          <w:vertAlign w:val="subscript"/>
          <w:lang w:val="it-IT"/>
        </w:rPr>
        <w:t xml:space="preserve"> </w:t>
      </w:r>
      <w:r w:rsidRPr="00606BF3">
        <w:rPr>
          <w:i/>
          <w:vertAlign w:val="subscript"/>
          <w:lang w:val="it-IT"/>
        </w:rPr>
        <w:t>r,</w:t>
      </w:r>
      <w:r>
        <w:rPr>
          <w:i/>
          <w:vertAlign w:val="subscript"/>
          <w:lang w:val="it-IT"/>
        </w:rPr>
        <w:t xml:space="preserve"> </w:t>
      </w:r>
      <w:r w:rsidRPr="00606BF3">
        <w:rPr>
          <w:i/>
          <w:vertAlign w:val="subscript"/>
          <w:lang w:val="it-IT"/>
        </w:rPr>
        <w:t>i</w:t>
      </w:r>
      <w:r w:rsidRPr="00606BF3">
        <w:rPr>
          <w:lang w:val="it-IT"/>
        </w:rPr>
        <w:t>, (LSL</w:t>
      </w:r>
      <w:r>
        <w:rPr>
          <w:lang w:val="it-IT"/>
        </w:rPr>
        <w:t xml:space="preserve"> </w:t>
      </w:r>
      <w:r w:rsidRPr="00606BF3">
        <w:rPr>
          <w:i/>
          <w:vertAlign w:val="subscript"/>
          <w:lang w:val="it-IT"/>
        </w:rPr>
        <w:t>q,</w:t>
      </w:r>
      <w:r>
        <w:rPr>
          <w:i/>
          <w:vertAlign w:val="subscript"/>
          <w:lang w:val="it-IT"/>
        </w:rPr>
        <w:t xml:space="preserve"> </w:t>
      </w:r>
      <w:r w:rsidRPr="00606BF3">
        <w:rPr>
          <w:i/>
          <w:vertAlign w:val="subscript"/>
          <w:lang w:val="it-IT"/>
        </w:rPr>
        <w:t>r,</w:t>
      </w:r>
      <w:r>
        <w:rPr>
          <w:i/>
          <w:vertAlign w:val="subscript"/>
          <w:lang w:val="it-IT"/>
        </w:rPr>
        <w:t xml:space="preserve"> </w:t>
      </w:r>
      <w:r w:rsidRPr="00606BF3">
        <w:rPr>
          <w:i/>
          <w:vertAlign w:val="subscript"/>
          <w:lang w:val="it-IT"/>
        </w:rPr>
        <w:t>i</w:t>
      </w:r>
      <w:r w:rsidRPr="00606BF3">
        <w:rPr>
          <w:lang w:val="it-IT"/>
        </w:rPr>
        <w:t xml:space="preserve"> * (¼)))</w:t>
      </w:r>
    </w:p>
    <w:p w14:paraId="7BADBA34" w14:textId="77777777" w:rsidR="00EF0FB5" w:rsidRPr="00606BF3" w:rsidRDefault="00EF0FB5" w:rsidP="00EF0FB5">
      <w:pPr>
        <w:pStyle w:val="BodyText"/>
        <w:ind w:left="720"/>
        <w:rPr>
          <w:rStyle w:val="BodyTextChar"/>
        </w:rPr>
      </w:pPr>
      <w:r w:rsidRPr="00606BF3">
        <w:rPr>
          <w:rStyle w:val="BodyTextChar"/>
        </w:rPr>
        <w:t xml:space="preserve">If the interval </w:t>
      </w:r>
      <w:r w:rsidRPr="00606BF3">
        <w:rPr>
          <w:rStyle w:val="BodyTextChar"/>
          <w:i/>
        </w:rPr>
        <w:t>i</w:t>
      </w:r>
      <w:r w:rsidRPr="00606BF3">
        <w:rPr>
          <w:rStyle w:val="BodyTextChar"/>
        </w:rPr>
        <w:t xml:space="preserve"> is a RUCAC of a previously QSE-</w:t>
      </w:r>
      <w:r>
        <w:rPr>
          <w:rStyle w:val="BodyTextChar"/>
        </w:rPr>
        <w:t>C</w:t>
      </w:r>
      <w:r w:rsidRPr="00606BF3">
        <w:rPr>
          <w:rStyle w:val="BodyTextChar"/>
        </w:rPr>
        <w:t>ommitted</w:t>
      </w:r>
      <w:r>
        <w:rPr>
          <w:rStyle w:val="BodyTextChar"/>
        </w:rPr>
        <w:t xml:space="preserve"> I</w:t>
      </w:r>
      <w:r w:rsidRPr="00606BF3">
        <w:rPr>
          <w:rStyle w:val="BodyTextChar"/>
        </w:rPr>
        <w:t>nterval, then:</w:t>
      </w:r>
    </w:p>
    <w:p w14:paraId="52CD4A49" w14:textId="77777777" w:rsidR="00EF0FB5" w:rsidRDefault="00EF0FB5" w:rsidP="00EF0FB5">
      <w:pPr>
        <w:pStyle w:val="BodyText"/>
        <w:tabs>
          <w:tab w:val="left" w:pos="1530"/>
        </w:tabs>
        <w:ind w:left="3060" w:hanging="2340"/>
        <w:rPr>
          <w:rStyle w:val="BodyTextChar"/>
        </w:rPr>
      </w:pPr>
      <w:r w:rsidRPr="00606BF3">
        <w:rPr>
          <w:rStyle w:val="BodyTextChar"/>
        </w:rPr>
        <w:t xml:space="preserve">RUCMEREV96 </w:t>
      </w:r>
      <w:r w:rsidRPr="00606BF3">
        <w:rPr>
          <w:i/>
          <w:vertAlign w:val="subscript"/>
          <w:lang w:val="it-IT"/>
        </w:rPr>
        <w:t>q,</w:t>
      </w:r>
      <w:r>
        <w:rPr>
          <w:i/>
          <w:vertAlign w:val="subscript"/>
          <w:lang w:val="it-IT"/>
        </w:rPr>
        <w:t xml:space="preserve"> </w:t>
      </w:r>
      <w:r w:rsidRPr="00606BF3">
        <w:rPr>
          <w:i/>
          <w:vertAlign w:val="subscript"/>
          <w:lang w:val="it-IT"/>
        </w:rPr>
        <w:t>r,</w:t>
      </w:r>
      <w:r>
        <w:rPr>
          <w:i/>
          <w:vertAlign w:val="subscript"/>
          <w:lang w:val="it-IT"/>
        </w:rPr>
        <w:t xml:space="preserve"> </w:t>
      </w:r>
      <w:r w:rsidRPr="00606BF3">
        <w:rPr>
          <w:i/>
          <w:vertAlign w:val="subscript"/>
          <w:lang w:val="it-IT"/>
        </w:rPr>
        <w:t xml:space="preserve">i  </w:t>
      </w:r>
      <w:r w:rsidRPr="00606BF3">
        <w:rPr>
          <w:lang w:val="it-IT"/>
        </w:rPr>
        <w:t>=  RTSPP</w:t>
      </w:r>
      <w:r>
        <w:rPr>
          <w:lang w:val="it-IT"/>
        </w:rPr>
        <w:t xml:space="preserve"> </w:t>
      </w:r>
      <w:r w:rsidRPr="00606BF3">
        <w:rPr>
          <w:i/>
          <w:vertAlign w:val="subscript"/>
          <w:lang w:val="it-IT"/>
        </w:rPr>
        <w:t>p,</w:t>
      </w:r>
      <w:r>
        <w:rPr>
          <w:i/>
          <w:vertAlign w:val="subscript"/>
          <w:lang w:val="it-IT"/>
        </w:rPr>
        <w:t xml:space="preserve"> </w:t>
      </w:r>
      <w:r w:rsidRPr="00606BF3">
        <w:rPr>
          <w:i/>
          <w:vertAlign w:val="subscript"/>
          <w:lang w:val="it-IT"/>
        </w:rPr>
        <w:t>i</w:t>
      </w:r>
      <w:r w:rsidRPr="00606BF3">
        <w:rPr>
          <w:lang w:val="it-IT"/>
        </w:rPr>
        <w:t xml:space="preserve"> * </w:t>
      </w:r>
      <w:r>
        <w:rPr>
          <w:lang w:val="it-IT"/>
        </w:rPr>
        <w:t>Max [</w:t>
      </w:r>
      <w:r w:rsidRPr="00606BF3">
        <w:rPr>
          <w:lang w:val="it-IT"/>
        </w:rPr>
        <w:t xml:space="preserve">0, Min </w:t>
      </w:r>
      <w:r>
        <w:rPr>
          <w:lang w:val="it-IT"/>
        </w:rPr>
        <w:t>(</w:t>
      </w:r>
      <w:r w:rsidRPr="00606BF3">
        <w:rPr>
          <w:lang w:val="it-IT"/>
        </w:rPr>
        <w:t>RTMG</w:t>
      </w:r>
      <w:r>
        <w:rPr>
          <w:lang w:val="it-IT"/>
        </w:rPr>
        <w:t xml:space="preserve"> </w:t>
      </w:r>
      <w:r w:rsidRPr="00606BF3">
        <w:rPr>
          <w:i/>
          <w:vertAlign w:val="subscript"/>
          <w:lang w:val="it-IT"/>
        </w:rPr>
        <w:t>q,</w:t>
      </w:r>
      <w:r>
        <w:rPr>
          <w:i/>
          <w:vertAlign w:val="subscript"/>
          <w:lang w:val="it-IT"/>
        </w:rPr>
        <w:t xml:space="preserve"> </w:t>
      </w:r>
      <w:r w:rsidRPr="00606BF3">
        <w:rPr>
          <w:i/>
          <w:vertAlign w:val="subscript"/>
          <w:lang w:val="it-IT"/>
        </w:rPr>
        <w:t>r,</w:t>
      </w:r>
      <w:r>
        <w:rPr>
          <w:i/>
          <w:vertAlign w:val="subscript"/>
          <w:lang w:val="it-IT"/>
        </w:rPr>
        <w:t xml:space="preserve"> </w:t>
      </w:r>
      <w:r w:rsidRPr="00606BF3">
        <w:rPr>
          <w:i/>
          <w:vertAlign w:val="subscript"/>
          <w:lang w:val="it-IT"/>
        </w:rPr>
        <w:t>i</w:t>
      </w:r>
      <w:r w:rsidRPr="00606BF3">
        <w:rPr>
          <w:lang w:val="it-IT"/>
        </w:rPr>
        <w:t>, (LSL</w:t>
      </w:r>
      <w:r>
        <w:rPr>
          <w:lang w:val="it-IT"/>
        </w:rPr>
        <w:t xml:space="preserve"> </w:t>
      </w:r>
      <w:r w:rsidRPr="00606BF3">
        <w:rPr>
          <w:i/>
          <w:vertAlign w:val="subscript"/>
          <w:lang w:val="it-IT"/>
        </w:rPr>
        <w:t>q,</w:t>
      </w:r>
      <w:r>
        <w:rPr>
          <w:i/>
          <w:vertAlign w:val="subscript"/>
          <w:lang w:val="it-IT"/>
        </w:rPr>
        <w:t xml:space="preserve"> </w:t>
      </w:r>
      <w:proofErr w:type="spellStart"/>
      <w:r w:rsidRPr="00606BF3">
        <w:rPr>
          <w:i/>
          <w:vertAlign w:val="subscript"/>
        </w:rPr>
        <w:t>afterCCGR</w:t>
      </w:r>
      <w:proofErr w:type="spellEnd"/>
      <w:r w:rsidRPr="00606BF3">
        <w:rPr>
          <w:i/>
          <w:vertAlign w:val="subscript"/>
          <w:lang w:val="it-IT"/>
        </w:rPr>
        <w:t>,</w:t>
      </w:r>
      <w:r>
        <w:rPr>
          <w:i/>
          <w:vertAlign w:val="subscript"/>
          <w:lang w:val="it-IT"/>
        </w:rPr>
        <w:t xml:space="preserve"> </w:t>
      </w:r>
      <w:r w:rsidRPr="00606BF3">
        <w:rPr>
          <w:i/>
          <w:vertAlign w:val="subscript"/>
          <w:lang w:val="it-IT"/>
        </w:rPr>
        <w:t>i</w:t>
      </w:r>
      <w:r w:rsidRPr="00606BF3">
        <w:rPr>
          <w:lang w:val="it-IT"/>
        </w:rPr>
        <w:t xml:space="preserve"> * (¼)</w:t>
      </w:r>
      <w:r>
        <w:rPr>
          <w:lang w:val="it-IT"/>
        </w:rPr>
        <w:t>))</w:t>
      </w:r>
      <w:r w:rsidRPr="00606BF3">
        <w:rPr>
          <w:lang w:val="it-IT"/>
        </w:rPr>
        <w:t xml:space="preserve"> -  LSL</w:t>
      </w:r>
      <w:r>
        <w:rPr>
          <w:lang w:val="it-IT"/>
        </w:rPr>
        <w:t xml:space="preserve"> </w:t>
      </w:r>
      <w:r w:rsidRPr="00606BF3">
        <w:rPr>
          <w:i/>
          <w:vertAlign w:val="subscript"/>
          <w:lang w:val="it-IT"/>
        </w:rPr>
        <w:t>q,</w:t>
      </w:r>
      <w:r>
        <w:rPr>
          <w:i/>
          <w:vertAlign w:val="subscript"/>
          <w:lang w:val="it-IT"/>
        </w:rPr>
        <w:t xml:space="preserve"> </w:t>
      </w:r>
      <w:proofErr w:type="spellStart"/>
      <w:r w:rsidRPr="00606BF3">
        <w:rPr>
          <w:i/>
          <w:vertAlign w:val="subscript"/>
        </w:rPr>
        <w:t>beforeCCGR</w:t>
      </w:r>
      <w:proofErr w:type="spellEnd"/>
      <w:r w:rsidRPr="00606BF3">
        <w:rPr>
          <w:i/>
          <w:vertAlign w:val="subscript"/>
          <w:lang w:val="it-IT"/>
        </w:rPr>
        <w:t>,</w:t>
      </w:r>
      <w:r>
        <w:rPr>
          <w:i/>
          <w:vertAlign w:val="subscript"/>
          <w:lang w:val="it-IT"/>
        </w:rPr>
        <w:t xml:space="preserve"> </w:t>
      </w:r>
      <w:r w:rsidRPr="00606BF3">
        <w:rPr>
          <w:i/>
          <w:vertAlign w:val="subscript"/>
          <w:lang w:val="it-IT"/>
        </w:rPr>
        <w:t>i</w:t>
      </w:r>
      <w:r w:rsidRPr="00606BF3">
        <w:rPr>
          <w:lang w:val="it-IT"/>
        </w:rPr>
        <w:t xml:space="preserve"> * (¼)</w:t>
      </w:r>
      <w:r>
        <w:rPr>
          <w:lang w:val="it-IT"/>
        </w:rPr>
        <w:t>]</w:t>
      </w:r>
    </w:p>
    <w:p w14:paraId="28A7B3DA" w14:textId="77777777" w:rsidR="00EF0FB5" w:rsidRDefault="00EF0FB5" w:rsidP="00EF0FB5">
      <w:pPr>
        <w:pStyle w:val="BodyText"/>
        <w:spacing w:after="0"/>
        <w:rPr>
          <w:rStyle w:val="BodyTextChar"/>
          <w:bCs/>
          <w:iCs/>
        </w:rPr>
      </w:pPr>
      <w:r>
        <w:rPr>
          <w:rStyle w:val="BodyTextChar"/>
        </w:rPr>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03"/>
        <w:gridCol w:w="866"/>
        <w:gridCol w:w="6781"/>
      </w:tblGrid>
      <w:tr w:rsidR="00EF0FB5" w14:paraId="37E52AB5" w14:textId="77777777" w:rsidTr="00FA3373">
        <w:trPr>
          <w:cantSplit/>
          <w:tblHeader/>
        </w:trPr>
        <w:tc>
          <w:tcPr>
            <w:tcW w:w="911" w:type="pct"/>
          </w:tcPr>
          <w:p w14:paraId="44AB8A29" w14:textId="77777777" w:rsidR="00EF0FB5" w:rsidRDefault="00EF0FB5" w:rsidP="00FA3373">
            <w:pPr>
              <w:pStyle w:val="TableHead"/>
            </w:pPr>
            <w:r>
              <w:t>Variable</w:t>
            </w:r>
          </w:p>
        </w:tc>
        <w:tc>
          <w:tcPr>
            <w:tcW w:w="463" w:type="pct"/>
          </w:tcPr>
          <w:p w14:paraId="03E02A2E" w14:textId="77777777" w:rsidR="00EF0FB5" w:rsidRDefault="00EF0FB5" w:rsidP="00FA3373">
            <w:pPr>
              <w:pStyle w:val="TableHead"/>
              <w:jc w:val="center"/>
            </w:pPr>
            <w:r>
              <w:t>Unit</w:t>
            </w:r>
          </w:p>
        </w:tc>
        <w:tc>
          <w:tcPr>
            <w:tcW w:w="3626" w:type="pct"/>
          </w:tcPr>
          <w:p w14:paraId="49BECDAC" w14:textId="77777777" w:rsidR="00EF0FB5" w:rsidRDefault="00EF0FB5" w:rsidP="00FA3373">
            <w:pPr>
              <w:pStyle w:val="TableHead"/>
            </w:pPr>
            <w:r>
              <w:t>Definition</w:t>
            </w:r>
          </w:p>
        </w:tc>
      </w:tr>
      <w:tr w:rsidR="00EF0FB5" w14:paraId="0D346DF1" w14:textId="77777777" w:rsidTr="00FA3373">
        <w:trPr>
          <w:cantSplit/>
        </w:trPr>
        <w:tc>
          <w:tcPr>
            <w:tcW w:w="911" w:type="pct"/>
          </w:tcPr>
          <w:p w14:paraId="6DA438D1" w14:textId="77777777" w:rsidR="00EF0FB5" w:rsidRDefault="00EF0FB5" w:rsidP="00FA3373">
            <w:pPr>
              <w:pStyle w:val="TableBody"/>
            </w:pPr>
            <w:r>
              <w:t xml:space="preserve">RUCMEREV </w:t>
            </w:r>
            <w:r w:rsidRPr="00B34C5D">
              <w:rPr>
                <w:i/>
                <w:vertAlign w:val="subscript"/>
              </w:rPr>
              <w:t>q,</w:t>
            </w:r>
            <w:r>
              <w:rPr>
                <w:i/>
                <w:vertAlign w:val="subscript"/>
              </w:rPr>
              <w:t xml:space="preserve"> </w:t>
            </w:r>
            <w:r w:rsidRPr="00B34C5D">
              <w:rPr>
                <w:i/>
                <w:vertAlign w:val="subscript"/>
              </w:rPr>
              <w:t>r,</w:t>
            </w:r>
            <w:r>
              <w:rPr>
                <w:i/>
                <w:vertAlign w:val="subscript"/>
              </w:rPr>
              <w:t xml:space="preserve"> </w:t>
            </w:r>
            <w:r w:rsidRPr="00B34C5D">
              <w:rPr>
                <w:i/>
                <w:vertAlign w:val="subscript"/>
              </w:rPr>
              <w:t>d</w:t>
            </w:r>
          </w:p>
        </w:tc>
        <w:tc>
          <w:tcPr>
            <w:tcW w:w="463" w:type="pct"/>
          </w:tcPr>
          <w:p w14:paraId="5024ACAD" w14:textId="77777777" w:rsidR="00EF0FB5" w:rsidRDefault="00EF0FB5" w:rsidP="00FA3373">
            <w:pPr>
              <w:pStyle w:val="TableBody"/>
              <w:jc w:val="center"/>
            </w:pPr>
            <w:r>
              <w:t>$</w:t>
            </w:r>
          </w:p>
        </w:tc>
        <w:tc>
          <w:tcPr>
            <w:tcW w:w="3626" w:type="pct"/>
          </w:tcPr>
          <w:p w14:paraId="2A014157" w14:textId="77777777" w:rsidR="00EF0FB5" w:rsidRDefault="00EF0FB5" w:rsidP="00FA3373">
            <w:pPr>
              <w:pStyle w:val="TableBody"/>
            </w:pPr>
            <w:r w:rsidRPr="00B34C5D">
              <w:rPr>
                <w:i/>
              </w:rPr>
              <w:t>RUC Minimum-Energy Revenue</w:t>
            </w:r>
            <w:r>
              <w:t xml:space="preserve">—The sum of the energy revenues for generation of Resource </w:t>
            </w:r>
            <w:r w:rsidRPr="00926CD1">
              <w:rPr>
                <w:i/>
              </w:rPr>
              <w:t>r</w:t>
            </w:r>
            <w:r w:rsidRPr="00853E7A">
              <w:t xml:space="preserve"> represented by QSE </w:t>
            </w:r>
            <w:r w:rsidRPr="00853E7A">
              <w:rPr>
                <w:i/>
              </w:rPr>
              <w:t>q</w:t>
            </w:r>
            <w:r>
              <w:t xml:space="preserve"> up to LSL during all RUC-Committed Hours, for the Operating Day </w:t>
            </w:r>
            <w:r w:rsidRPr="00B40AD3">
              <w:rPr>
                <w:i/>
              </w:rPr>
              <w:t>d</w:t>
            </w:r>
            <w:r>
              <w:t>.  When one or more Combined Cycle Generation Resources are committed by RUC, RUC Minimum-Energy Revenue is calculated for the Combined Cycle Train for all RUC-committed Combined Cycle Generation Resources.</w:t>
            </w:r>
          </w:p>
        </w:tc>
      </w:tr>
      <w:tr w:rsidR="00EF0FB5" w14:paraId="19EF3DA1" w14:textId="77777777" w:rsidTr="00FA3373">
        <w:trPr>
          <w:cantSplit/>
        </w:trPr>
        <w:tc>
          <w:tcPr>
            <w:tcW w:w="911" w:type="pct"/>
          </w:tcPr>
          <w:p w14:paraId="2F6A6708" w14:textId="77777777" w:rsidR="00EF0FB5" w:rsidRDefault="00EF0FB5" w:rsidP="00FA3373">
            <w:pPr>
              <w:pStyle w:val="TableBody"/>
            </w:pPr>
            <w:r>
              <w:lastRenderedPageBreak/>
              <w:t xml:space="preserve">RUCMEREV96 </w:t>
            </w:r>
            <w:r w:rsidRPr="00FA1CD9">
              <w:rPr>
                <w:i/>
                <w:vertAlign w:val="subscript"/>
              </w:rPr>
              <w:t>q,</w:t>
            </w:r>
            <w:r>
              <w:rPr>
                <w:i/>
                <w:vertAlign w:val="subscript"/>
              </w:rPr>
              <w:t xml:space="preserve"> </w:t>
            </w:r>
            <w:r w:rsidRPr="00FA1CD9">
              <w:rPr>
                <w:i/>
                <w:vertAlign w:val="subscript"/>
              </w:rPr>
              <w:t>r,</w:t>
            </w:r>
            <w:r>
              <w:rPr>
                <w:i/>
                <w:vertAlign w:val="subscript"/>
              </w:rPr>
              <w:t xml:space="preserve"> </w:t>
            </w:r>
            <w:r w:rsidRPr="00FA1CD9">
              <w:rPr>
                <w:i/>
                <w:vertAlign w:val="subscript"/>
              </w:rPr>
              <w:t>i</w:t>
            </w:r>
          </w:p>
        </w:tc>
        <w:tc>
          <w:tcPr>
            <w:tcW w:w="463" w:type="pct"/>
          </w:tcPr>
          <w:p w14:paraId="1FFF6564" w14:textId="77777777" w:rsidR="00EF0FB5" w:rsidRDefault="00EF0FB5" w:rsidP="00FA3373">
            <w:pPr>
              <w:pStyle w:val="TableBody"/>
              <w:jc w:val="center"/>
            </w:pPr>
            <w:r>
              <w:t>$</w:t>
            </w:r>
          </w:p>
        </w:tc>
        <w:tc>
          <w:tcPr>
            <w:tcW w:w="3626" w:type="pct"/>
          </w:tcPr>
          <w:p w14:paraId="23E16BBF" w14:textId="77777777" w:rsidR="00EF0FB5" w:rsidRPr="00B34C5D" w:rsidRDefault="00EF0FB5" w:rsidP="00FA3373">
            <w:pPr>
              <w:pStyle w:val="TableBody"/>
              <w:rPr>
                <w:i/>
              </w:rPr>
            </w:pPr>
            <w:r w:rsidRPr="00B34C5D">
              <w:rPr>
                <w:i/>
              </w:rPr>
              <w:t>RUC Minimum-Energy Revenue</w:t>
            </w:r>
            <w:r>
              <w:rPr>
                <w:i/>
              </w:rPr>
              <w:t xml:space="preserve"> by interval</w:t>
            </w:r>
            <w:r>
              <w:t xml:space="preserve">—The energy revenues for generation of Resource </w:t>
            </w:r>
            <w:r w:rsidRPr="00926CD1">
              <w:rPr>
                <w:i/>
              </w:rPr>
              <w:t>r</w:t>
            </w:r>
            <w:r w:rsidRPr="00853E7A">
              <w:t xml:space="preserve"> represented by QSE </w:t>
            </w:r>
            <w:r w:rsidRPr="00853E7A">
              <w:rPr>
                <w:i/>
              </w:rPr>
              <w:t>q</w:t>
            </w:r>
            <w:r>
              <w:t xml:space="preserve"> up to LSL during all RUC-Committed Hours, for the Settlement Interval </w:t>
            </w:r>
            <w:r w:rsidRPr="00606BF3">
              <w:rPr>
                <w:i/>
              </w:rPr>
              <w:t>i</w:t>
            </w:r>
            <w:r>
              <w:t xml:space="preserve">.  When one or more Combined Cycle Generation Resources are committed by RUC, RUC Minimum-Energy Revenue is calculated for the Combined Cycle Train for all RUC-committed Combined Cycle Generation Resources.  During </w:t>
            </w:r>
            <w:r w:rsidRPr="00606BF3">
              <w:t>RUCAC</w:t>
            </w:r>
            <w:r>
              <w:t xml:space="preserve">-Intervals for a Combined Cycle Train, the </w:t>
            </w:r>
            <w:r w:rsidRPr="001C37F6">
              <w:t xml:space="preserve">minimum energy </w:t>
            </w:r>
            <w:r>
              <w:t xml:space="preserve">revenue </w:t>
            </w:r>
            <w:r w:rsidRPr="001C37F6">
              <w:t xml:space="preserve">is calculated as the difference between the minimum energy </w:t>
            </w:r>
            <w:r>
              <w:t>revenue</w:t>
            </w:r>
            <w:r w:rsidRPr="001C37F6">
              <w:t xml:space="preserve"> </w:t>
            </w:r>
            <w:r>
              <w:t xml:space="preserve">of </w:t>
            </w:r>
            <w:r w:rsidRPr="001C37F6">
              <w:t>the RUC-committed configuration and the QSE-committed configuration.</w:t>
            </w:r>
          </w:p>
        </w:tc>
      </w:tr>
      <w:tr w:rsidR="00EF0FB5" w14:paraId="7C700421" w14:textId="77777777" w:rsidTr="00FA3373">
        <w:trPr>
          <w:cantSplit/>
        </w:trPr>
        <w:tc>
          <w:tcPr>
            <w:tcW w:w="911" w:type="pct"/>
          </w:tcPr>
          <w:p w14:paraId="0A1C08A8" w14:textId="77777777" w:rsidR="00EF0FB5" w:rsidRDefault="00EF0FB5" w:rsidP="00FA3373">
            <w:pPr>
              <w:pStyle w:val="TableBody"/>
            </w:pPr>
            <w:r>
              <w:t xml:space="preserve">RTSPP </w:t>
            </w:r>
            <w:r w:rsidRPr="00B34C5D">
              <w:rPr>
                <w:i/>
                <w:vertAlign w:val="subscript"/>
              </w:rPr>
              <w:t>p,</w:t>
            </w:r>
            <w:r>
              <w:rPr>
                <w:i/>
                <w:vertAlign w:val="subscript"/>
              </w:rPr>
              <w:t xml:space="preserve"> </w:t>
            </w:r>
            <w:r w:rsidRPr="00B34C5D">
              <w:rPr>
                <w:i/>
                <w:vertAlign w:val="subscript"/>
              </w:rPr>
              <w:t>i</w:t>
            </w:r>
          </w:p>
        </w:tc>
        <w:tc>
          <w:tcPr>
            <w:tcW w:w="463" w:type="pct"/>
          </w:tcPr>
          <w:p w14:paraId="7084CD3A" w14:textId="77777777" w:rsidR="00EF0FB5" w:rsidRDefault="00EF0FB5" w:rsidP="00FA3373">
            <w:pPr>
              <w:pStyle w:val="TableBody"/>
              <w:jc w:val="center"/>
            </w:pPr>
            <w:r>
              <w:t>$/MWh</w:t>
            </w:r>
          </w:p>
        </w:tc>
        <w:tc>
          <w:tcPr>
            <w:tcW w:w="3626" w:type="pct"/>
          </w:tcPr>
          <w:p w14:paraId="31C20CC1" w14:textId="77777777" w:rsidR="00EF0FB5" w:rsidRDefault="00EF0FB5" w:rsidP="00FA3373">
            <w:pPr>
              <w:pStyle w:val="TableBody"/>
            </w:pPr>
            <w:r w:rsidRPr="00B34C5D">
              <w:rPr>
                <w:i/>
              </w:rPr>
              <w:t>Real-Time Settlement Point Price</w:t>
            </w:r>
            <w:r>
              <w:t xml:space="preserve">—The Real-Time Settlement Point Price at the Resource Node Settlement Point </w:t>
            </w:r>
            <w:r w:rsidRPr="00926CD1">
              <w:rPr>
                <w:i/>
              </w:rPr>
              <w:t>p</w:t>
            </w:r>
            <w:r>
              <w:t xml:space="preserve"> for the Settlement Interval </w:t>
            </w:r>
            <w:r w:rsidRPr="00B34C5D">
              <w:rPr>
                <w:i/>
              </w:rPr>
              <w:t>i</w:t>
            </w:r>
            <w:r>
              <w:t>.</w:t>
            </w:r>
          </w:p>
        </w:tc>
      </w:tr>
      <w:tr w:rsidR="00EF0FB5" w14:paraId="1FFD3DFD" w14:textId="77777777" w:rsidTr="00FA3373">
        <w:trPr>
          <w:cantSplit/>
        </w:trPr>
        <w:tc>
          <w:tcPr>
            <w:tcW w:w="911" w:type="pct"/>
          </w:tcPr>
          <w:p w14:paraId="705B52C8" w14:textId="77777777" w:rsidR="00EF0FB5" w:rsidRDefault="00EF0FB5" w:rsidP="00FA3373">
            <w:pPr>
              <w:pStyle w:val="TableBody"/>
            </w:pPr>
            <w:r>
              <w:t xml:space="preserve">RTMG </w:t>
            </w:r>
            <w:r w:rsidRPr="00B34C5D">
              <w:rPr>
                <w:i/>
                <w:vertAlign w:val="subscript"/>
              </w:rPr>
              <w:t>q,</w:t>
            </w:r>
            <w:r>
              <w:rPr>
                <w:i/>
                <w:vertAlign w:val="subscript"/>
              </w:rPr>
              <w:t xml:space="preserve"> </w:t>
            </w:r>
            <w:r w:rsidRPr="00B34C5D">
              <w:rPr>
                <w:i/>
                <w:vertAlign w:val="subscript"/>
              </w:rPr>
              <w:t>r,</w:t>
            </w:r>
            <w:r>
              <w:rPr>
                <w:i/>
                <w:vertAlign w:val="subscript"/>
              </w:rPr>
              <w:t xml:space="preserve"> </w:t>
            </w:r>
            <w:r w:rsidRPr="00B34C5D">
              <w:rPr>
                <w:i/>
                <w:vertAlign w:val="subscript"/>
              </w:rPr>
              <w:t>i</w:t>
            </w:r>
          </w:p>
        </w:tc>
        <w:tc>
          <w:tcPr>
            <w:tcW w:w="463" w:type="pct"/>
          </w:tcPr>
          <w:p w14:paraId="7A83B8F7" w14:textId="77777777" w:rsidR="00EF0FB5" w:rsidRDefault="00EF0FB5" w:rsidP="00FA3373">
            <w:pPr>
              <w:pStyle w:val="TableBody"/>
              <w:jc w:val="center"/>
            </w:pPr>
            <w:r>
              <w:t>MWh</w:t>
            </w:r>
          </w:p>
        </w:tc>
        <w:tc>
          <w:tcPr>
            <w:tcW w:w="3626" w:type="pct"/>
          </w:tcPr>
          <w:p w14:paraId="2A5BD4BE" w14:textId="77777777" w:rsidR="00EF0FB5" w:rsidRDefault="00EF0FB5" w:rsidP="00FA3373">
            <w:pPr>
              <w:pStyle w:val="TableBody"/>
            </w:pPr>
            <w:r w:rsidRPr="00B34C5D">
              <w:rPr>
                <w:i/>
              </w:rPr>
              <w:t>Real-Time Metered Generation</w:t>
            </w:r>
            <w:r>
              <w:t xml:space="preserve">—The metered generation of Resource </w:t>
            </w:r>
            <w:r w:rsidRPr="00926CD1">
              <w:rPr>
                <w:i/>
              </w:rPr>
              <w:t>r</w:t>
            </w:r>
            <w:r w:rsidRPr="00853E7A">
              <w:t xml:space="preserve"> represented by QSE </w:t>
            </w:r>
            <w:r w:rsidRPr="00853E7A">
              <w:rPr>
                <w:i/>
              </w:rPr>
              <w:t>q</w:t>
            </w:r>
            <w:r>
              <w:t xml:space="preserve"> for the Settlement Interval </w:t>
            </w:r>
            <w:r w:rsidRPr="00B34C5D">
              <w:rPr>
                <w:i/>
              </w:rPr>
              <w:t>i</w:t>
            </w:r>
            <w:r>
              <w:t xml:space="preserve">.  Where for a Combined Cycle Train, the Resource </w:t>
            </w:r>
            <w:r w:rsidRPr="00B34C5D">
              <w:rPr>
                <w:i/>
              </w:rPr>
              <w:t>r</w:t>
            </w:r>
            <w:r>
              <w:rPr>
                <w:i/>
              </w:rPr>
              <w:t xml:space="preserve"> </w:t>
            </w:r>
            <w:r>
              <w:t>is the Combined Cycle Train.</w:t>
            </w:r>
          </w:p>
        </w:tc>
      </w:tr>
      <w:tr w:rsidR="00EF0FB5" w14:paraId="15A3D59F" w14:textId="77777777" w:rsidTr="00FA3373">
        <w:trPr>
          <w:cantSplit/>
        </w:trPr>
        <w:tc>
          <w:tcPr>
            <w:tcW w:w="911" w:type="pct"/>
          </w:tcPr>
          <w:p w14:paraId="513FD8E4" w14:textId="77777777" w:rsidR="00EF0FB5" w:rsidRDefault="00EF0FB5" w:rsidP="00FA3373">
            <w:pPr>
              <w:pStyle w:val="TableBody"/>
            </w:pPr>
            <w:r>
              <w:t xml:space="preserve">LSL </w:t>
            </w:r>
            <w:r w:rsidRPr="00B34C5D">
              <w:rPr>
                <w:i/>
                <w:vertAlign w:val="subscript"/>
              </w:rPr>
              <w:t>q,</w:t>
            </w:r>
            <w:r>
              <w:rPr>
                <w:i/>
                <w:vertAlign w:val="subscript"/>
              </w:rPr>
              <w:t xml:space="preserve"> </w:t>
            </w:r>
            <w:r w:rsidRPr="00B34C5D">
              <w:rPr>
                <w:i/>
                <w:vertAlign w:val="subscript"/>
              </w:rPr>
              <w:t>r,</w:t>
            </w:r>
            <w:r>
              <w:rPr>
                <w:i/>
                <w:vertAlign w:val="subscript"/>
              </w:rPr>
              <w:t xml:space="preserve"> </w:t>
            </w:r>
            <w:r w:rsidRPr="00B34C5D">
              <w:rPr>
                <w:i/>
                <w:vertAlign w:val="subscript"/>
              </w:rPr>
              <w:t>i</w:t>
            </w:r>
          </w:p>
        </w:tc>
        <w:tc>
          <w:tcPr>
            <w:tcW w:w="463" w:type="pct"/>
          </w:tcPr>
          <w:p w14:paraId="197095B2" w14:textId="77777777" w:rsidR="00EF0FB5" w:rsidRDefault="00EF0FB5" w:rsidP="00FA3373">
            <w:pPr>
              <w:pStyle w:val="TableBody"/>
              <w:jc w:val="center"/>
            </w:pPr>
            <w:r>
              <w:t>MW</w:t>
            </w:r>
          </w:p>
        </w:tc>
        <w:tc>
          <w:tcPr>
            <w:tcW w:w="3626" w:type="pct"/>
          </w:tcPr>
          <w:p w14:paraId="0F2B929A" w14:textId="77777777" w:rsidR="00EF0FB5" w:rsidRDefault="00EF0FB5" w:rsidP="00FA3373">
            <w:pPr>
              <w:pStyle w:val="TableBody"/>
            </w:pPr>
            <w:r w:rsidRPr="00B34C5D">
              <w:rPr>
                <w:i/>
              </w:rPr>
              <w:t>Low Sustained Limit</w:t>
            </w:r>
            <w:r>
              <w:t xml:space="preserve">—The LSL of Generation Resource </w:t>
            </w:r>
            <w:r w:rsidRPr="00B34C5D">
              <w:rPr>
                <w:i/>
              </w:rPr>
              <w:t>r</w:t>
            </w:r>
            <w:r>
              <w:t xml:space="preserve"> represented by QSE </w:t>
            </w:r>
            <w:r w:rsidRPr="00B34C5D">
              <w:rPr>
                <w:i/>
              </w:rPr>
              <w:t>q</w:t>
            </w:r>
            <w:r>
              <w:t xml:space="preserve"> for the hour that includes the Settlement Interval </w:t>
            </w:r>
            <w:r w:rsidRPr="00B34C5D">
              <w:rPr>
                <w:i/>
              </w:rPr>
              <w:t>i</w:t>
            </w:r>
            <w:r>
              <w:t xml:space="preserve">, as submitted in the COP.  Where for a Combined Cycle Train, the Resource </w:t>
            </w:r>
            <w:r w:rsidRPr="00B34C5D">
              <w:rPr>
                <w:i/>
              </w:rPr>
              <w:t>r</w:t>
            </w:r>
            <w:r>
              <w:rPr>
                <w:i/>
              </w:rPr>
              <w:t xml:space="preserve"> </w:t>
            </w:r>
            <w:r w:rsidRPr="001C65E0">
              <w:t xml:space="preserve">is a </w:t>
            </w:r>
            <w:r>
              <w:t xml:space="preserve">Combined Cycle Generation Resource within the Combined Cycle Train.  </w:t>
            </w:r>
          </w:p>
        </w:tc>
      </w:tr>
      <w:tr w:rsidR="00EF0FB5" w14:paraId="2B03D889" w14:textId="77777777" w:rsidTr="00FA3373">
        <w:trPr>
          <w:cantSplit/>
        </w:trPr>
        <w:tc>
          <w:tcPr>
            <w:tcW w:w="911" w:type="pct"/>
          </w:tcPr>
          <w:p w14:paraId="4946E6AA" w14:textId="77777777" w:rsidR="00EF0FB5" w:rsidRDefault="00EF0FB5" w:rsidP="00FA3373">
            <w:pPr>
              <w:pStyle w:val="TableBody"/>
            </w:pPr>
            <w:r>
              <w:rPr>
                <w:i/>
              </w:rPr>
              <w:t>q</w:t>
            </w:r>
          </w:p>
        </w:tc>
        <w:tc>
          <w:tcPr>
            <w:tcW w:w="463" w:type="pct"/>
          </w:tcPr>
          <w:p w14:paraId="400BE08C" w14:textId="77777777" w:rsidR="00EF0FB5" w:rsidRDefault="00EF0FB5" w:rsidP="00FA3373">
            <w:pPr>
              <w:pStyle w:val="TableBody"/>
              <w:jc w:val="center"/>
            </w:pPr>
            <w:r>
              <w:t>none</w:t>
            </w:r>
          </w:p>
        </w:tc>
        <w:tc>
          <w:tcPr>
            <w:tcW w:w="3626" w:type="pct"/>
          </w:tcPr>
          <w:p w14:paraId="22B23E11" w14:textId="77777777" w:rsidR="00EF0FB5" w:rsidRDefault="00EF0FB5" w:rsidP="00FA3373">
            <w:pPr>
              <w:pStyle w:val="TableBody"/>
            </w:pPr>
            <w:r>
              <w:t>A QSE.</w:t>
            </w:r>
          </w:p>
        </w:tc>
      </w:tr>
      <w:tr w:rsidR="00EF0FB5" w14:paraId="79A2DE05" w14:textId="77777777" w:rsidTr="00FA3373">
        <w:trPr>
          <w:cantSplit/>
        </w:trPr>
        <w:tc>
          <w:tcPr>
            <w:tcW w:w="911" w:type="pct"/>
          </w:tcPr>
          <w:p w14:paraId="4D96C8C0" w14:textId="77777777" w:rsidR="00EF0FB5" w:rsidRDefault="00EF0FB5" w:rsidP="00FA3373">
            <w:pPr>
              <w:pStyle w:val="TableBody"/>
            </w:pPr>
            <w:r w:rsidRPr="00B34C5D">
              <w:rPr>
                <w:i/>
              </w:rPr>
              <w:t>r</w:t>
            </w:r>
          </w:p>
        </w:tc>
        <w:tc>
          <w:tcPr>
            <w:tcW w:w="463" w:type="pct"/>
          </w:tcPr>
          <w:p w14:paraId="2CA04472" w14:textId="77777777" w:rsidR="00EF0FB5" w:rsidRDefault="00EF0FB5" w:rsidP="00FA3373">
            <w:pPr>
              <w:pStyle w:val="TableBody"/>
              <w:jc w:val="center"/>
            </w:pPr>
            <w:r>
              <w:t>none</w:t>
            </w:r>
          </w:p>
        </w:tc>
        <w:tc>
          <w:tcPr>
            <w:tcW w:w="3626" w:type="pct"/>
          </w:tcPr>
          <w:p w14:paraId="1B6E82F6" w14:textId="77777777" w:rsidR="00EF0FB5" w:rsidRDefault="00EF0FB5" w:rsidP="00FA3373">
            <w:pPr>
              <w:pStyle w:val="TableBody"/>
            </w:pPr>
            <w:r>
              <w:t>A RUC-committed Generation Resource.</w:t>
            </w:r>
          </w:p>
        </w:tc>
      </w:tr>
      <w:tr w:rsidR="00EF0FB5" w14:paraId="723FE327" w14:textId="77777777" w:rsidTr="00FA3373">
        <w:trPr>
          <w:cantSplit/>
        </w:trPr>
        <w:tc>
          <w:tcPr>
            <w:tcW w:w="911" w:type="pct"/>
          </w:tcPr>
          <w:p w14:paraId="782C7108" w14:textId="77777777" w:rsidR="00EF0FB5" w:rsidRDefault="00EF0FB5" w:rsidP="00FA3373">
            <w:pPr>
              <w:pStyle w:val="TableBody"/>
            </w:pPr>
            <w:r w:rsidRPr="00B34C5D">
              <w:rPr>
                <w:i/>
              </w:rPr>
              <w:t>d</w:t>
            </w:r>
          </w:p>
        </w:tc>
        <w:tc>
          <w:tcPr>
            <w:tcW w:w="463" w:type="pct"/>
          </w:tcPr>
          <w:p w14:paraId="5BF92CA0" w14:textId="77777777" w:rsidR="00EF0FB5" w:rsidRDefault="00EF0FB5" w:rsidP="00FA3373">
            <w:pPr>
              <w:pStyle w:val="TableBody"/>
              <w:jc w:val="center"/>
            </w:pPr>
            <w:r>
              <w:t>none</w:t>
            </w:r>
          </w:p>
        </w:tc>
        <w:tc>
          <w:tcPr>
            <w:tcW w:w="3626" w:type="pct"/>
          </w:tcPr>
          <w:p w14:paraId="0131E58C" w14:textId="77777777" w:rsidR="00EF0FB5" w:rsidRDefault="00EF0FB5" w:rsidP="00FA3373">
            <w:pPr>
              <w:pStyle w:val="TableBody"/>
            </w:pPr>
            <w:r>
              <w:t>An Operating Day containing the RUC-commitment.</w:t>
            </w:r>
          </w:p>
        </w:tc>
      </w:tr>
      <w:tr w:rsidR="00EF0FB5" w14:paraId="55C242EE" w14:textId="77777777" w:rsidTr="00FA3373">
        <w:trPr>
          <w:cantSplit/>
        </w:trPr>
        <w:tc>
          <w:tcPr>
            <w:tcW w:w="911" w:type="pct"/>
          </w:tcPr>
          <w:p w14:paraId="17FA5153" w14:textId="77777777" w:rsidR="00EF0FB5" w:rsidRPr="00B34C5D" w:rsidRDefault="00EF0FB5" w:rsidP="00FA3373">
            <w:pPr>
              <w:pStyle w:val="TableBody"/>
              <w:rPr>
                <w:i/>
              </w:rPr>
            </w:pPr>
            <w:r w:rsidRPr="00B34C5D">
              <w:rPr>
                <w:i/>
              </w:rPr>
              <w:t>p</w:t>
            </w:r>
          </w:p>
        </w:tc>
        <w:tc>
          <w:tcPr>
            <w:tcW w:w="463" w:type="pct"/>
          </w:tcPr>
          <w:p w14:paraId="790E896F" w14:textId="77777777" w:rsidR="00EF0FB5" w:rsidRDefault="00EF0FB5" w:rsidP="00FA3373">
            <w:pPr>
              <w:pStyle w:val="TableBody"/>
              <w:jc w:val="center"/>
            </w:pPr>
            <w:r>
              <w:t>none</w:t>
            </w:r>
          </w:p>
        </w:tc>
        <w:tc>
          <w:tcPr>
            <w:tcW w:w="3626" w:type="pct"/>
          </w:tcPr>
          <w:p w14:paraId="3DBB4E93" w14:textId="77777777" w:rsidR="00EF0FB5" w:rsidRPr="00B34C5D" w:rsidRDefault="00EF0FB5" w:rsidP="00FA3373">
            <w:pPr>
              <w:pStyle w:val="TableBody"/>
              <w:rPr>
                <w:i/>
              </w:rPr>
            </w:pPr>
            <w:r>
              <w:t>A Resource Node Settlement Point.</w:t>
            </w:r>
          </w:p>
        </w:tc>
      </w:tr>
      <w:tr w:rsidR="00EF0FB5" w14:paraId="28E097E1" w14:textId="77777777" w:rsidTr="00FA3373">
        <w:trPr>
          <w:cantSplit/>
        </w:trPr>
        <w:tc>
          <w:tcPr>
            <w:tcW w:w="911" w:type="pct"/>
          </w:tcPr>
          <w:p w14:paraId="188E8306" w14:textId="77777777" w:rsidR="00EF0FB5" w:rsidRPr="00B34C5D" w:rsidRDefault="00EF0FB5" w:rsidP="00FA3373">
            <w:pPr>
              <w:pStyle w:val="TableBody"/>
              <w:rPr>
                <w:i/>
              </w:rPr>
            </w:pPr>
            <w:r w:rsidRPr="00B34C5D">
              <w:rPr>
                <w:i/>
              </w:rPr>
              <w:t>i</w:t>
            </w:r>
          </w:p>
        </w:tc>
        <w:tc>
          <w:tcPr>
            <w:tcW w:w="463" w:type="pct"/>
          </w:tcPr>
          <w:p w14:paraId="2E453980" w14:textId="77777777" w:rsidR="00EF0FB5" w:rsidRDefault="00EF0FB5" w:rsidP="00FA3373">
            <w:pPr>
              <w:pStyle w:val="TableBody"/>
              <w:jc w:val="center"/>
            </w:pPr>
            <w:r>
              <w:t>none</w:t>
            </w:r>
          </w:p>
        </w:tc>
        <w:tc>
          <w:tcPr>
            <w:tcW w:w="3626" w:type="pct"/>
          </w:tcPr>
          <w:p w14:paraId="30BB9F72" w14:textId="77777777" w:rsidR="00EF0FB5" w:rsidRPr="00B34C5D" w:rsidRDefault="00EF0FB5" w:rsidP="00FA3373">
            <w:pPr>
              <w:pStyle w:val="TableBody"/>
              <w:rPr>
                <w:i/>
              </w:rPr>
            </w:pPr>
            <w:r>
              <w:t>A 15-minute Settlement Interval within the hour that includes a RUC-commitment.</w:t>
            </w:r>
          </w:p>
        </w:tc>
      </w:tr>
      <w:tr w:rsidR="00EF0FB5" w14:paraId="4AF5DAE1" w14:textId="77777777" w:rsidTr="00FA3373">
        <w:trPr>
          <w:cantSplit/>
        </w:trPr>
        <w:tc>
          <w:tcPr>
            <w:tcW w:w="911" w:type="pct"/>
          </w:tcPr>
          <w:p w14:paraId="4B2F66CF" w14:textId="77777777" w:rsidR="00EF0FB5" w:rsidRPr="00B34C5D" w:rsidRDefault="00EF0FB5" w:rsidP="00FA3373">
            <w:pPr>
              <w:pStyle w:val="TableBody"/>
              <w:rPr>
                <w:i/>
              </w:rPr>
            </w:pPr>
            <w:proofErr w:type="spellStart"/>
            <w:r w:rsidRPr="003667DB">
              <w:rPr>
                <w:i/>
              </w:rPr>
              <w:t>afterCCGR</w:t>
            </w:r>
            <w:proofErr w:type="spellEnd"/>
          </w:p>
        </w:tc>
        <w:tc>
          <w:tcPr>
            <w:tcW w:w="463" w:type="pct"/>
          </w:tcPr>
          <w:p w14:paraId="7487E565" w14:textId="77777777" w:rsidR="00EF0FB5" w:rsidRDefault="00EF0FB5" w:rsidP="00FA3373">
            <w:pPr>
              <w:pStyle w:val="TableBody"/>
              <w:jc w:val="center"/>
            </w:pPr>
            <w:r>
              <w:t>none</w:t>
            </w:r>
          </w:p>
        </w:tc>
        <w:tc>
          <w:tcPr>
            <w:tcW w:w="3626" w:type="pct"/>
          </w:tcPr>
          <w:p w14:paraId="1C783780" w14:textId="77777777" w:rsidR="00EF0FB5" w:rsidRDefault="00EF0FB5" w:rsidP="00FA3373">
            <w:pPr>
              <w:pStyle w:val="TableBody"/>
            </w:pPr>
            <w:r>
              <w:t>The Combined Cycle Generation Resource that is RUC-committed.</w:t>
            </w:r>
          </w:p>
        </w:tc>
      </w:tr>
      <w:tr w:rsidR="00EF0FB5" w14:paraId="119EBE78" w14:textId="77777777" w:rsidTr="00FA3373">
        <w:trPr>
          <w:cantSplit/>
        </w:trPr>
        <w:tc>
          <w:tcPr>
            <w:tcW w:w="911" w:type="pct"/>
          </w:tcPr>
          <w:p w14:paraId="54DAB81D" w14:textId="77777777" w:rsidR="00EF0FB5" w:rsidRPr="00B34C5D" w:rsidRDefault="00EF0FB5" w:rsidP="00FA3373">
            <w:pPr>
              <w:pStyle w:val="TableBody"/>
              <w:rPr>
                <w:i/>
              </w:rPr>
            </w:pPr>
            <w:proofErr w:type="spellStart"/>
            <w:r w:rsidRPr="005A03E7">
              <w:rPr>
                <w:i/>
              </w:rPr>
              <w:t>beforeCCGR</w:t>
            </w:r>
            <w:proofErr w:type="spellEnd"/>
          </w:p>
        </w:tc>
        <w:tc>
          <w:tcPr>
            <w:tcW w:w="463" w:type="pct"/>
          </w:tcPr>
          <w:p w14:paraId="65D60A39" w14:textId="77777777" w:rsidR="00EF0FB5" w:rsidRDefault="00EF0FB5" w:rsidP="00FA3373">
            <w:pPr>
              <w:pStyle w:val="TableBody"/>
              <w:jc w:val="center"/>
            </w:pPr>
            <w:r>
              <w:t>none</w:t>
            </w:r>
          </w:p>
        </w:tc>
        <w:tc>
          <w:tcPr>
            <w:tcW w:w="3626" w:type="pct"/>
          </w:tcPr>
          <w:p w14:paraId="5F5316CE" w14:textId="77777777" w:rsidR="00EF0FB5" w:rsidRDefault="00EF0FB5" w:rsidP="00FA3373">
            <w:pPr>
              <w:pStyle w:val="TableBody"/>
            </w:pPr>
            <w:r>
              <w:t>The Combined Cycle Generation Resource that was QSE-committed.</w:t>
            </w:r>
          </w:p>
        </w:tc>
      </w:tr>
    </w:tbl>
    <w:p w14:paraId="3497D0EE" w14:textId="6D90A095" w:rsidR="00E2667F" w:rsidRDefault="00E2667F">
      <w:pPr>
        <w:pStyle w:val="BodyText"/>
        <w:spacing w:after="0"/>
        <w:rPr>
          <w:rStyle w:val="BodyTextChar"/>
          <w:bCs/>
          <w:iCs/>
          <w:szCs w:val="24"/>
        </w:rPr>
      </w:pPr>
    </w:p>
    <w:p w14:paraId="788F90F0" w14:textId="0BC068A0" w:rsidR="00F80C33" w:rsidRDefault="00723BFB" w:rsidP="00646994">
      <w:pPr>
        <w:pStyle w:val="H4"/>
      </w:pPr>
      <w:bookmarkStart w:id="231" w:name="_Toc400547189"/>
      <w:bookmarkStart w:id="232" w:name="_Toc405384294"/>
      <w:bookmarkStart w:id="233" w:name="_Toc405543561"/>
      <w:bookmarkStart w:id="234" w:name="_Toc428178070"/>
      <w:bookmarkStart w:id="235" w:name="_Toc440872701"/>
      <w:bookmarkStart w:id="236" w:name="_Toc458766246"/>
      <w:bookmarkStart w:id="237" w:name="_Toc459292651"/>
      <w:bookmarkStart w:id="238" w:name="_Toc60038358"/>
      <w:r>
        <w:t>5.7.1.3</w:t>
      </w:r>
      <w:r>
        <w:tab/>
        <w:t>Revenue Less Cost Above LSL During RUC-Committed Hours</w:t>
      </w:r>
      <w:bookmarkEnd w:id="231"/>
      <w:bookmarkEnd w:id="232"/>
      <w:bookmarkEnd w:id="233"/>
      <w:bookmarkEnd w:id="234"/>
      <w:bookmarkEnd w:id="235"/>
      <w:bookmarkEnd w:id="236"/>
      <w:bookmarkEnd w:id="237"/>
      <w:bookmarkEnd w:id="238"/>
    </w:p>
    <w:p w14:paraId="36B839FB" w14:textId="05E4E5B9" w:rsidR="00E2667F" w:rsidRDefault="005306CA">
      <w:pPr>
        <w:pStyle w:val="BodyTextNumberedChar"/>
        <w:rPr>
          <w:rStyle w:val="BodyTextChar"/>
        </w:rPr>
      </w:pPr>
      <w:r>
        <w:rPr>
          <w:rStyle w:val="BodyTextChar"/>
        </w:rPr>
        <w:t>(1)</w:t>
      </w:r>
      <w:r>
        <w:rPr>
          <w:rStyle w:val="BodyTextChar"/>
        </w:rPr>
        <w:tab/>
      </w:r>
      <w:r w:rsidR="00D35704" w:rsidRPr="009716C5">
        <w:rPr>
          <w:rStyle w:val="BodyTextChar"/>
        </w:rPr>
        <w:t xml:space="preserve">The total revenue for a Resource operating above its LSL less the cost based on the Energy Offer Curve Cost Cap (as described in Section 4.4.9.3.3, Energy Offer Curve Cost Caps) during all RUC-Committed Hours of the Operating Day is Revenue Less Cost Above </w:t>
      </w:r>
      <w:r w:rsidR="00D35704">
        <w:rPr>
          <w:rStyle w:val="BodyTextChar"/>
        </w:rPr>
        <w:t>LSL During RUC-Committed Hours.</w:t>
      </w:r>
      <w:r>
        <w:rPr>
          <w:rStyle w:val="BodyTextChar"/>
        </w:rPr>
        <w:t xml:space="preserve">  </w:t>
      </w:r>
    </w:p>
    <w:p w14:paraId="54951026" w14:textId="37596FC3" w:rsidR="005306CA" w:rsidRDefault="005306CA" w:rsidP="00D47EED">
      <w:pPr>
        <w:pStyle w:val="BodyTextNumbered"/>
      </w:pPr>
      <w:r>
        <w:t>(2)</w:t>
      </w:r>
      <w:r>
        <w:tab/>
      </w:r>
      <w:r w:rsidR="004738F9" w:rsidRPr="009716C5">
        <w:t xml:space="preserve">The LSL used to calculate </w:t>
      </w:r>
      <w:r w:rsidR="004738F9" w:rsidRPr="009716C5">
        <w:rPr>
          <w:rStyle w:val="BodyTextChar"/>
        </w:rPr>
        <w:t>Revenue Less Cost Above LSL During RUC-Committed Hours</w:t>
      </w:r>
      <w:r w:rsidR="004738F9" w:rsidRPr="009716C5">
        <w:t xml:space="preserve"> for a Combined Cycle Train is the LSL that correspond</w:t>
      </w:r>
      <w:r w:rsidR="004738F9">
        <w:t>s</w:t>
      </w:r>
      <w:r w:rsidR="004738F9" w:rsidRPr="009716C5">
        <w:t xml:space="preserve"> to the Combined Cycle Generation Resource, within the Combined Cycle Train, that is RUC-committed for the hour.</w:t>
      </w:r>
      <w:r w:rsidR="004738F9" w:rsidDel="004738F9">
        <w:t xml:space="preserve"> </w:t>
      </w:r>
    </w:p>
    <w:p w14:paraId="759963F5" w14:textId="10E25638" w:rsidR="00E2667F" w:rsidRDefault="005306CA" w:rsidP="00D47EED">
      <w:pPr>
        <w:pStyle w:val="BodyTextNumberedChar"/>
        <w:rPr>
          <w:rStyle w:val="BodyTextChar"/>
        </w:rPr>
      </w:pPr>
      <w:r>
        <w:t>(3)</w:t>
      </w:r>
      <w:r>
        <w:tab/>
        <w:t xml:space="preserve">For each RUC-committed Resource, </w:t>
      </w:r>
      <w:r>
        <w:rPr>
          <w:rStyle w:val="BodyTextChar"/>
        </w:rPr>
        <w:t>Revenue Less Cost Above LSL During RUC-Committed Hours</w:t>
      </w:r>
      <w:r>
        <w:t xml:space="preserve"> is calculated as follows:</w:t>
      </w:r>
    </w:p>
    <w:p w14:paraId="47425DE6" w14:textId="52F3BAF7" w:rsidR="00096AF9" w:rsidRPr="00127C46" w:rsidRDefault="00723BFB" w:rsidP="00C078A2">
      <w:pPr>
        <w:pStyle w:val="FormulaBold"/>
        <w:rPr>
          <w:i/>
          <w:vertAlign w:val="subscript"/>
          <w:lang w:val="it-IT"/>
        </w:rPr>
      </w:pPr>
      <w:r w:rsidRPr="00127C46">
        <w:t>RUCEXRR</w:t>
      </w:r>
      <w:r w:rsidR="006370A1" w:rsidRPr="00127C46">
        <w:rPr>
          <w:lang w:val="en-US"/>
        </w:rPr>
        <w:t xml:space="preserve"> </w:t>
      </w:r>
      <w:r w:rsidRPr="00127C46">
        <w:rPr>
          <w:i/>
          <w:vertAlign w:val="subscript"/>
        </w:rPr>
        <w:t>q,</w:t>
      </w:r>
      <w:r w:rsidR="006370A1" w:rsidRPr="00127C46">
        <w:rPr>
          <w:i/>
          <w:vertAlign w:val="subscript"/>
          <w:lang w:val="en-US"/>
        </w:rPr>
        <w:t xml:space="preserve"> </w:t>
      </w:r>
      <w:r w:rsidRPr="00127C46">
        <w:rPr>
          <w:i/>
          <w:vertAlign w:val="subscript"/>
        </w:rPr>
        <w:t>r,</w:t>
      </w:r>
      <w:r w:rsidR="006370A1" w:rsidRPr="00127C46">
        <w:rPr>
          <w:i/>
          <w:vertAlign w:val="subscript"/>
          <w:lang w:val="en-US"/>
        </w:rPr>
        <w:t xml:space="preserve"> </w:t>
      </w:r>
      <w:r w:rsidRPr="00127C46">
        <w:rPr>
          <w:i/>
          <w:vertAlign w:val="subscript"/>
        </w:rPr>
        <w:t>d</w:t>
      </w:r>
      <w:r w:rsidRPr="00127C46">
        <w:t xml:space="preserve">   =   Max {0, </w:t>
      </w:r>
      <w:r w:rsidR="00F80C33" w:rsidRPr="00127C46">
        <w:rPr>
          <w:position w:val="-20"/>
        </w:rPr>
        <w:object w:dxaOrig="220" w:dyaOrig="440" w14:anchorId="72A7DC1E">
          <v:shape id="_x0000_i1029" type="#_x0000_t75" style="width:9.6pt;height:22.8pt" o:ole="">
            <v:imagedata r:id="rId25" o:title=""/>
          </v:shape>
          <o:OLEObject Type="Embed" ProgID="Equation.3" ShapeID="_x0000_i1029" DrawAspect="Content" ObjectID="_1775281559" r:id="rId27"/>
        </w:object>
      </w:r>
      <w:r w:rsidRPr="00127C46">
        <w:t>[</w:t>
      </w:r>
      <w:r w:rsidR="00096AF9" w:rsidRPr="00127C46">
        <w:rPr>
          <w:rStyle w:val="BodyTextChar"/>
        </w:rPr>
        <w:t xml:space="preserve">RUCEXRR96 </w:t>
      </w:r>
      <w:r w:rsidR="00096AF9" w:rsidRPr="00127C46">
        <w:rPr>
          <w:i/>
          <w:vertAlign w:val="subscript"/>
          <w:lang w:val="it-IT"/>
        </w:rPr>
        <w:t>q, r, i</w:t>
      </w:r>
      <w:r w:rsidR="00096AF9" w:rsidRPr="00127C46">
        <w:t>]}</w:t>
      </w:r>
    </w:p>
    <w:p w14:paraId="581909E9" w14:textId="77777777" w:rsidR="00096AF9" w:rsidRPr="004C0D3E" w:rsidRDefault="00096AF9" w:rsidP="00096AF9">
      <w:pPr>
        <w:pStyle w:val="BodyText"/>
        <w:ind w:left="1440" w:hanging="720"/>
        <w:rPr>
          <w:rStyle w:val="BodyTextChar"/>
        </w:rPr>
      </w:pPr>
      <w:proofErr w:type="gramStart"/>
      <w:r w:rsidRPr="004C0D3E">
        <w:rPr>
          <w:rStyle w:val="BodyTextChar"/>
        </w:rPr>
        <w:t>Where</w:t>
      </w:r>
      <w:proofErr w:type="gramEnd"/>
      <w:r w:rsidRPr="004C0D3E">
        <w:rPr>
          <w:rStyle w:val="BodyTextChar"/>
        </w:rPr>
        <w:t>,</w:t>
      </w:r>
    </w:p>
    <w:p w14:paraId="189CAC43" w14:textId="539E02D0" w:rsidR="00F80C33" w:rsidRDefault="00096AF9" w:rsidP="00C078A2">
      <w:pPr>
        <w:pStyle w:val="FormulaBold"/>
      </w:pPr>
      <w:r w:rsidRPr="00C979D1">
        <w:lastRenderedPageBreak/>
        <w:t>RUCEXRR96</w:t>
      </w:r>
      <w:r w:rsidRPr="004C0D3E">
        <w:rPr>
          <w:rStyle w:val="BodyTextChar"/>
        </w:rPr>
        <w:t xml:space="preserve"> </w:t>
      </w:r>
      <w:r w:rsidRPr="004C0D3E">
        <w:rPr>
          <w:i/>
          <w:vertAlign w:val="subscript"/>
          <w:lang w:val="it-IT"/>
        </w:rPr>
        <w:t xml:space="preserve">q, r, i  </w:t>
      </w:r>
      <w:r w:rsidRPr="004C0D3E">
        <w:rPr>
          <w:lang w:val="it-IT"/>
        </w:rPr>
        <w:t>=</w:t>
      </w:r>
      <w:r w:rsidRPr="004C0D3E">
        <w:rPr>
          <w:lang w:val="it-IT"/>
        </w:rPr>
        <w:tab/>
      </w:r>
      <w:r w:rsidR="00723BFB">
        <w:t>RTSPP</w:t>
      </w:r>
      <w:r w:rsidR="006370A1">
        <w:rPr>
          <w:lang w:val="en-US"/>
        </w:rPr>
        <w:t xml:space="preserve"> </w:t>
      </w:r>
      <w:r w:rsidR="00723BFB">
        <w:rPr>
          <w:i/>
          <w:vertAlign w:val="subscript"/>
        </w:rPr>
        <w:t>p,</w:t>
      </w:r>
      <w:r w:rsidR="006370A1">
        <w:rPr>
          <w:i/>
          <w:vertAlign w:val="subscript"/>
          <w:lang w:val="en-US"/>
        </w:rPr>
        <w:t xml:space="preserve"> </w:t>
      </w:r>
      <w:r w:rsidR="00723BFB">
        <w:rPr>
          <w:i/>
          <w:vertAlign w:val="subscript"/>
        </w:rPr>
        <w:t>i</w:t>
      </w:r>
      <w:r w:rsidR="00723BFB">
        <w:t xml:space="preserve"> * Max (0, RTMG</w:t>
      </w:r>
      <w:r w:rsidR="006370A1">
        <w:rPr>
          <w:lang w:val="en-US"/>
        </w:rPr>
        <w:t xml:space="preserve"> </w:t>
      </w:r>
      <w:r w:rsidR="00723BFB">
        <w:rPr>
          <w:i/>
          <w:vertAlign w:val="subscript"/>
        </w:rPr>
        <w:t>q,</w:t>
      </w:r>
      <w:r w:rsidR="006370A1">
        <w:rPr>
          <w:i/>
          <w:vertAlign w:val="subscript"/>
          <w:lang w:val="en-US"/>
        </w:rPr>
        <w:t xml:space="preserve"> </w:t>
      </w:r>
      <w:r w:rsidR="00723BFB">
        <w:rPr>
          <w:i/>
          <w:vertAlign w:val="subscript"/>
        </w:rPr>
        <w:t>r,</w:t>
      </w:r>
      <w:r w:rsidR="006370A1">
        <w:rPr>
          <w:i/>
          <w:vertAlign w:val="subscript"/>
          <w:lang w:val="en-US"/>
        </w:rPr>
        <w:t xml:space="preserve"> </w:t>
      </w:r>
      <w:r w:rsidR="00723BFB">
        <w:rPr>
          <w:i/>
          <w:vertAlign w:val="subscript"/>
        </w:rPr>
        <w:t>i</w:t>
      </w:r>
      <w:r w:rsidR="00723BFB">
        <w:t xml:space="preserve"> – (LSL</w:t>
      </w:r>
      <w:r w:rsidR="006370A1">
        <w:rPr>
          <w:lang w:val="en-US"/>
        </w:rPr>
        <w:t xml:space="preserve"> </w:t>
      </w:r>
      <w:r w:rsidR="00723BFB">
        <w:rPr>
          <w:i/>
          <w:vertAlign w:val="subscript"/>
        </w:rPr>
        <w:t>q,</w:t>
      </w:r>
      <w:r w:rsidR="006370A1">
        <w:rPr>
          <w:i/>
          <w:vertAlign w:val="subscript"/>
          <w:lang w:val="en-US"/>
        </w:rPr>
        <w:t xml:space="preserve"> </w:t>
      </w:r>
      <w:r w:rsidR="00723BFB">
        <w:rPr>
          <w:i/>
          <w:vertAlign w:val="subscript"/>
        </w:rPr>
        <w:t>r,</w:t>
      </w:r>
      <w:r w:rsidR="006370A1">
        <w:rPr>
          <w:i/>
          <w:vertAlign w:val="subscript"/>
          <w:lang w:val="en-US"/>
        </w:rPr>
        <w:t xml:space="preserve"> </w:t>
      </w:r>
      <w:r w:rsidR="00723BFB">
        <w:rPr>
          <w:i/>
          <w:vertAlign w:val="subscript"/>
        </w:rPr>
        <w:t>i</w:t>
      </w:r>
      <w:r w:rsidR="00723BFB">
        <w:t xml:space="preserve"> * (¼))) </w:t>
      </w:r>
    </w:p>
    <w:p w14:paraId="4D893C5D" w14:textId="77777777" w:rsidR="00F80C33" w:rsidRDefault="00723BFB" w:rsidP="00C078A2">
      <w:pPr>
        <w:pStyle w:val="FormulaBold"/>
        <w:rPr>
          <w:lang w:val="pt-BR"/>
        </w:rPr>
      </w:pPr>
      <w:r>
        <w:tab/>
      </w:r>
      <w:r>
        <w:tab/>
      </w:r>
      <w:r>
        <w:tab/>
      </w:r>
      <w:r w:rsidRPr="00E260F3">
        <w:t>+ (-1) * (VSSVARAMT</w:t>
      </w:r>
      <w:r w:rsidR="006370A1">
        <w:rPr>
          <w:lang w:val="en-US"/>
        </w:rPr>
        <w:t xml:space="preserve"> </w:t>
      </w:r>
      <w:r w:rsidRPr="00E260F3">
        <w:rPr>
          <w:i/>
          <w:vertAlign w:val="subscript"/>
        </w:rPr>
        <w:t>q,</w:t>
      </w:r>
      <w:r w:rsidR="006370A1">
        <w:rPr>
          <w:i/>
          <w:vertAlign w:val="subscript"/>
          <w:lang w:val="en-US"/>
        </w:rPr>
        <w:t xml:space="preserve"> </w:t>
      </w:r>
      <w:r w:rsidRPr="00E260F3">
        <w:rPr>
          <w:i/>
          <w:vertAlign w:val="subscript"/>
        </w:rPr>
        <w:t>r,</w:t>
      </w:r>
      <w:r w:rsidR="006370A1">
        <w:rPr>
          <w:i/>
          <w:vertAlign w:val="subscript"/>
          <w:lang w:val="en-US"/>
        </w:rPr>
        <w:t xml:space="preserve"> </w:t>
      </w:r>
      <w:r w:rsidRPr="00E260F3">
        <w:rPr>
          <w:i/>
          <w:vertAlign w:val="subscript"/>
        </w:rPr>
        <w:t>i</w:t>
      </w:r>
      <w:r w:rsidRPr="00E260F3">
        <w:t xml:space="preserve"> + </w:t>
      </w:r>
      <w:r>
        <w:rPr>
          <w:lang w:val="pt-BR"/>
        </w:rPr>
        <w:t>VSSEAMT</w:t>
      </w:r>
      <w:r w:rsidR="006370A1">
        <w:rPr>
          <w:lang w:val="pt-BR"/>
        </w:rPr>
        <w:t xml:space="preserve"> </w:t>
      </w:r>
      <w:r w:rsidRPr="00E260F3">
        <w:rPr>
          <w:i/>
          <w:vertAlign w:val="subscript"/>
        </w:rPr>
        <w:t>q,</w:t>
      </w:r>
      <w:r w:rsidR="006370A1">
        <w:rPr>
          <w:i/>
          <w:vertAlign w:val="subscript"/>
          <w:lang w:val="en-US"/>
        </w:rPr>
        <w:t xml:space="preserve"> </w:t>
      </w:r>
      <w:r w:rsidRPr="00E260F3">
        <w:rPr>
          <w:i/>
          <w:vertAlign w:val="subscript"/>
        </w:rPr>
        <w:t>r,</w:t>
      </w:r>
      <w:r w:rsidR="006370A1">
        <w:rPr>
          <w:i/>
          <w:vertAlign w:val="subscript"/>
          <w:lang w:val="en-US"/>
        </w:rPr>
        <w:t xml:space="preserve"> </w:t>
      </w:r>
      <w:r w:rsidRPr="00E260F3">
        <w:rPr>
          <w:i/>
          <w:vertAlign w:val="subscript"/>
        </w:rPr>
        <w:t>i</w:t>
      </w:r>
      <w:r>
        <w:rPr>
          <w:lang w:val="pt-BR"/>
        </w:rPr>
        <w:t>)</w:t>
      </w:r>
    </w:p>
    <w:p w14:paraId="24DD9434" w14:textId="77777777" w:rsidR="00677548" w:rsidRDefault="00723BFB" w:rsidP="00C078A2">
      <w:pPr>
        <w:pStyle w:val="FormulaBold"/>
      </w:pPr>
      <w:r>
        <w:tab/>
      </w:r>
      <w:r>
        <w:tab/>
      </w:r>
      <w:r>
        <w:tab/>
        <w:t>+ (-1) * EMREAMT</w:t>
      </w:r>
      <w:r w:rsidR="006370A1">
        <w:t xml:space="preserve"> </w:t>
      </w:r>
      <w:r>
        <w:rPr>
          <w:i/>
          <w:vertAlign w:val="subscript"/>
        </w:rPr>
        <w:t>q,</w:t>
      </w:r>
      <w:r w:rsidR="006370A1">
        <w:rPr>
          <w:i/>
          <w:vertAlign w:val="subscript"/>
          <w:lang w:val="en-US"/>
        </w:rPr>
        <w:t xml:space="preserve"> </w:t>
      </w:r>
      <w:r>
        <w:rPr>
          <w:i/>
          <w:vertAlign w:val="subscript"/>
        </w:rPr>
        <w:t>r,</w:t>
      </w:r>
      <w:r w:rsidR="006370A1">
        <w:rPr>
          <w:i/>
          <w:vertAlign w:val="subscript"/>
          <w:lang w:val="en-US"/>
        </w:rPr>
        <w:t xml:space="preserve"> </w:t>
      </w:r>
      <w:r w:rsidR="00677548">
        <w:rPr>
          <w:i/>
          <w:vertAlign w:val="subscript"/>
        </w:rPr>
        <w:t>i</w:t>
      </w:r>
      <w:r w:rsidR="00677548">
        <w:t xml:space="preserve"> </w:t>
      </w:r>
    </w:p>
    <w:p w14:paraId="638B4F41" w14:textId="7D215F28" w:rsidR="00F80C33" w:rsidRDefault="00677548" w:rsidP="00C078A2">
      <w:pPr>
        <w:pStyle w:val="FormulaBold"/>
      </w:pPr>
      <w:r>
        <w:tab/>
      </w:r>
      <w:r>
        <w:tab/>
      </w:r>
      <w:r>
        <w:tab/>
      </w:r>
      <w:r w:rsidR="00723BFB">
        <w:t>– RT</w:t>
      </w:r>
      <w:r w:rsidR="004738F9" w:rsidRPr="009716C5">
        <w:t>EOCOST</w:t>
      </w:r>
      <w:r w:rsidR="006370A1">
        <w:rPr>
          <w:lang w:val="en-US"/>
        </w:rPr>
        <w:t xml:space="preserve"> </w:t>
      </w:r>
      <w:r w:rsidR="00723BFB">
        <w:rPr>
          <w:i/>
          <w:vertAlign w:val="subscript"/>
        </w:rPr>
        <w:t>q,</w:t>
      </w:r>
      <w:r w:rsidR="006370A1">
        <w:rPr>
          <w:i/>
          <w:vertAlign w:val="subscript"/>
          <w:lang w:val="en-US"/>
        </w:rPr>
        <w:t xml:space="preserve"> </w:t>
      </w:r>
      <w:r w:rsidR="00723BFB">
        <w:rPr>
          <w:i/>
          <w:vertAlign w:val="subscript"/>
        </w:rPr>
        <w:t>r,</w:t>
      </w:r>
      <w:r w:rsidR="006370A1">
        <w:rPr>
          <w:i/>
          <w:vertAlign w:val="subscript"/>
          <w:lang w:val="en-US"/>
        </w:rPr>
        <w:t xml:space="preserve"> </w:t>
      </w:r>
      <w:r w:rsidR="00723BFB">
        <w:rPr>
          <w:i/>
          <w:vertAlign w:val="subscript"/>
        </w:rPr>
        <w:t>i</w:t>
      </w:r>
      <w:r w:rsidR="00723BFB">
        <w:t xml:space="preserve"> * Max (0, RTMG</w:t>
      </w:r>
      <w:r w:rsidR="006370A1">
        <w:rPr>
          <w:lang w:val="en-US"/>
        </w:rPr>
        <w:t xml:space="preserve"> </w:t>
      </w:r>
      <w:r w:rsidR="00723BFB">
        <w:rPr>
          <w:i/>
          <w:vertAlign w:val="subscript"/>
        </w:rPr>
        <w:t>q,</w:t>
      </w:r>
      <w:r w:rsidR="006370A1">
        <w:rPr>
          <w:i/>
          <w:vertAlign w:val="subscript"/>
          <w:lang w:val="en-US"/>
        </w:rPr>
        <w:t xml:space="preserve"> </w:t>
      </w:r>
      <w:r w:rsidR="00723BFB">
        <w:rPr>
          <w:i/>
          <w:vertAlign w:val="subscript"/>
        </w:rPr>
        <w:t>r,</w:t>
      </w:r>
      <w:r w:rsidR="006370A1">
        <w:rPr>
          <w:i/>
          <w:vertAlign w:val="subscript"/>
          <w:lang w:val="en-US"/>
        </w:rPr>
        <w:t xml:space="preserve"> </w:t>
      </w:r>
      <w:r w:rsidR="00723BFB">
        <w:rPr>
          <w:i/>
          <w:vertAlign w:val="subscript"/>
        </w:rPr>
        <w:t>i</w:t>
      </w:r>
      <w:r w:rsidR="00723BFB">
        <w:t xml:space="preserve"> – (LSL</w:t>
      </w:r>
      <w:r w:rsidR="006370A1">
        <w:rPr>
          <w:lang w:val="en-US"/>
        </w:rPr>
        <w:t xml:space="preserve"> </w:t>
      </w:r>
      <w:r w:rsidR="00723BFB">
        <w:rPr>
          <w:i/>
          <w:vertAlign w:val="subscript"/>
        </w:rPr>
        <w:t>q,</w:t>
      </w:r>
      <w:r w:rsidR="006370A1">
        <w:rPr>
          <w:i/>
          <w:vertAlign w:val="subscript"/>
          <w:lang w:val="en-US"/>
        </w:rPr>
        <w:t xml:space="preserve"> </w:t>
      </w:r>
      <w:r w:rsidR="00723BFB">
        <w:rPr>
          <w:i/>
          <w:vertAlign w:val="subscript"/>
        </w:rPr>
        <w:t>r,</w:t>
      </w:r>
      <w:r w:rsidR="006370A1">
        <w:rPr>
          <w:i/>
          <w:vertAlign w:val="subscript"/>
          <w:lang w:val="en-US"/>
        </w:rPr>
        <w:t xml:space="preserve"> </w:t>
      </w:r>
      <w:r w:rsidR="00723BFB">
        <w:rPr>
          <w:i/>
          <w:vertAlign w:val="subscript"/>
        </w:rPr>
        <w:t>i</w:t>
      </w:r>
      <w:r w:rsidR="00723BFB">
        <w:t xml:space="preserve"> * (¼)))]}</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096AF9" w:rsidRPr="004B32CF" w14:paraId="1FB703E6" w14:textId="77777777" w:rsidTr="00FA3373">
        <w:trPr>
          <w:trHeight w:val="1205"/>
        </w:trPr>
        <w:tc>
          <w:tcPr>
            <w:tcW w:w="9350" w:type="dxa"/>
            <w:shd w:val="pct12" w:color="auto" w:fill="auto"/>
          </w:tcPr>
          <w:p w14:paraId="4751B634" w14:textId="0B202AB6" w:rsidR="00096AF9" w:rsidRPr="004B32CF" w:rsidRDefault="00096AF9" w:rsidP="00FA3373">
            <w:pPr>
              <w:spacing w:after="240"/>
              <w:rPr>
                <w:b/>
                <w:i/>
                <w:iCs/>
              </w:rPr>
            </w:pPr>
            <w:r w:rsidRPr="004B32CF">
              <w:rPr>
                <w:b/>
                <w:i/>
                <w:iCs/>
              </w:rPr>
              <w:t>[</w:t>
            </w:r>
            <w:r w:rsidR="00F8316F">
              <w:rPr>
                <w:b/>
                <w:i/>
                <w:iCs/>
              </w:rPr>
              <w:t>NPRR1009</w:t>
            </w:r>
            <w:r w:rsidR="004D7EAA">
              <w:rPr>
                <w:b/>
                <w:i/>
                <w:iCs/>
              </w:rPr>
              <w:t>,</w:t>
            </w:r>
            <w:r w:rsidR="00FD6A54">
              <w:rPr>
                <w:b/>
                <w:i/>
                <w:iCs/>
              </w:rPr>
              <w:t xml:space="preserve"> NPRR1014</w:t>
            </w:r>
            <w:r w:rsidR="004D7EAA">
              <w:rPr>
                <w:b/>
                <w:i/>
                <w:iCs/>
              </w:rPr>
              <w:t>, and NPRR1140</w:t>
            </w:r>
            <w:r w:rsidRPr="004B32CF">
              <w:rPr>
                <w:b/>
                <w:i/>
                <w:iCs/>
              </w:rPr>
              <w:t xml:space="preserve">:  Replace </w:t>
            </w:r>
            <w:r w:rsidR="00F8316F">
              <w:rPr>
                <w:b/>
                <w:i/>
                <w:iCs/>
              </w:rPr>
              <w:t xml:space="preserve">applicable portions of </w:t>
            </w:r>
            <w:r w:rsidR="004D7EAA">
              <w:rPr>
                <w:b/>
                <w:i/>
                <w:iCs/>
              </w:rPr>
              <w:t>paragraph (3)</w:t>
            </w:r>
            <w:r>
              <w:rPr>
                <w:b/>
                <w:i/>
                <w:iCs/>
              </w:rPr>
              <w:t xml:space="preserve"> </w:t>
            </w:r>
            <w:r w:rsidRPr="004B32CF">
              <w:rPr>
                <w:b/>
                <w:i/>
                <w:iCs/>
              </w:rPr>
              <w:t>above with the following upon system implementation</w:t>
            </w:r>
            <w:r w:rsidR="002769E3">
              <w:rPr>
                <w:b/>
                <w:i/>
                <w:iCs/>
              </w:rPr>
              <w:t xml:space="preserve"> of the Real-Time Co-Optimization (RTC) project for NPRR1009;</w:t>
            </w:r>
            <w:r w:rsidR="00F8316F">
              <w:rPr>
                <w:b/>
                <w:i/>
                <w:iCs/>
              </w:rPr>
              <w:t xml:space="preserve"> or upon system implementation</w:t>
            </w:r>
            <w:r w:rsidR="002769E3">
              <w:rPr>
                <w:b/>
                <w:i/>
                <w:iCs/>
              </w:rPr>
              <w:t xml:space="preserve"> for NPRR1014</w:t>
            </w:r>
            <w:r w:rsidR="004D7EAA">
              <w:rPr>
                <w:b/>
                <w:i/>
                <w:iCs/>
              </w:rPr>
              <w:t xml:space="preserve"> or NPRR1140</w:t>
            </w:r>
            <w:r w:rsidRPr="004B32CF">
              <w:rPr>
                <w:b/>
                <w:i/>
                <w:iCs/>
              </w:rPr>
              <w:t>:]</w:t>
            </w:r>
          </w:p>
          <w:p w14:paraId="0B98E389" w14:textId="77777777" w:rsidR="004D7EAA" w:rsidRDefault="004D7EAA" w:rsidP="004D7EAA">
            <w:pPr>
              <w:ind w:left="720" w:hanging="720"/>
            </w:pPr>
            <w:r>
              <w:t>(3)</w:t>
            </w:r>
            <w:r>
              <w:tab/>
              <w:t xml:space="preserve">For each RUC-committed Resource, </w:t>
            </w:r>
            <w:r>
              <w:rPr>
                <w:rStyle w:val="BodyTextChar"/>
              </w:rPr>
              <w:t>Revenue Less Cost Above LSL During RUC-Committed Hours</w:t>
            </w:r>
            <w:r>
              <w:t xml:space="preserve"> is calculated as follows:</w:t>
            </w:r>
          </w:p>
          <w:p w14:paraId="035DBBB1" w14:textId="77777777" w:rsidR="004D7EAA" w:rsidRDefault="004D7EAA" w:rsidP="004D7EAA">
            <w:pPr>
              <w:ind w:left="720" w:hanging="720"/>
            </w:pPr>
          </w:p>
          <w:p w14:paraId="3DF61C44" w14:textId="77777777" w:rsidR="004D7EAA" w:rsidRPr="008776E6" w:rsidRDefault="004D7EAA" w:rsidP="004D7EAA">
            <w:pPr>
              <w:ind w:left="720"/>
            </w:pPr>
            <w:r w:rsidRPr="008776E6">
              <w:t>If RUCFCA exists:</w:t>
            </w:r>
          </w:p>
          <w:p w14:paraId="25A72190" w14:textId="77777777" w:rsidR="004D7EAA" w:rsidRPr="008776E6" w:rsidRDefault="004D7EAA" w:rsidP="004D7EAA">
            <w:pPr>
              <w:ind w:left="720"/>
            </w:pPr>
          </w:p>
          <w:p w14:paraId="17BF6862" w14:textId="77777777" w:rsidR="004D7EAA" w:rsidRPr="004D7EAA" w:rsidRDefault="004D7EAA" w:rsidP="00C078A2">
            <w:pPr>
              <w:pStyle w:val="FormulaBold"/>
            </w:pPr>
            <w:r w:rsidRPr="004D7EAA">
              <w:t xml:space="preserve">RUCEXRR </w:t>
            </w:r>
            <w:r w:rsidRPr="004D7EAA">
              <w:rPr>
                <w:i/>
                <w:vertAlign w:val="subscript"/>
              </w:rPr>
              <w:t>q, r, d</w:t>
            </w:r>
            <w:r w:rsidRPr="004D7EAA">
              <w:t xml:space="preserve">   =   </w:t>
            </w:r>
            <w:r w:rsidRPr="004D7EAA">
              <w:rPr>
                <w:position w:val="-20"/>
              </w:rPr>
              <w:object w:dxaOrig="220" w:dyaOrig="440" w14:anchorId="14061C31">
                <v:shape id="_x0000_i1030" type="#_x0000_t75" style="width:9.6pt;height:22.8pt" o:ole="">
                  <v:imagedata r:id="rId25" o:title=""/>
                </v:shape>
                <o:OLEObject Type="Embed" ProgID="Equation.3" ShapeID="_x0000_i1030" DrawAspect="Content" ObjectID="_1775281560" r:id="rId28"/>
              </w:object>
            </w:r>
            <w:r w:rsidRPr="004D7EAA">
              <w:t>[</w:t>
            </w:r>
            <w:r w:rsidRPr="004D7EAA">
              <w:rPr>
                <w:rStyle w:val="BodyTextChar"/>
              </w:rPr>
              <w:t xml:space="preserve">RUCEXRR96 </w:t>
            </w:r>
            <w:r w:rsidRPr="004D7EAA">
              <w:rPr>
                <w:i/>
                <w:vertAlign w:val="subscript"/>
                <w:lang w:val="it-IT"/>
              </w:rPr>
              <w:t>q, r, i</w:t>
            </w:r>
            <w:r w:rsidRPr="004D7EAA">
              <w:t>]</w:t>
            </w:r>
          </w:p>
          <w:p w14:paraId="25142DA0" w14:textId="77777777" w:rsidR="004D7EAA" w:rsidRPr="004D7EAA" w:rsidRDefault="004D7EAA" w:rsidP="00C078A2">
            <w:pPr>
              <w:pStyle w:val="FormulaBold"/>
            </w:pPr>
            <w:r w:rsidRPr="004D7EAA">
              <w:t>Otherwise:</w:t>
            </w:r>
          </w:p>
          <w:p w14:paraId="12272B8B" w14:textId="77777777" w:rsidR="004D7EAA" w:rsidRPr="00E367F5" w:rsidRDefault="004D7EAA" w:rsidP="00C078A2">
            <w:pPr>
              <w:pStyle w:val="FormulaBold"/>
              <w:rPr>
                <w:i/>
                <w:vertAlign w:val="subscript"/>
                <w:lang w:val="it-IT"/>
              </w:rPr>
            </w:pPr>
            <w:r w:rsidRPr="00E367F5">
              <w:t xml:space="preserve">RUCEXRR </w:t>
            </w:r>
            <w:r w:rsidRPr="00E367F5">
              <w:rPr>
                <w:i/>
                <w:vertAlign w:val="subscript"/>
              </w:rPr>
              <w:t>q, r, d</w:t>
            </w:r>
            <w:r w:rsidRPr="00E367F5">
              <w:t xml:space="preserve">   =   Max {0, </w:t>
            </w:r>
            <w:r w:rsidRPr="00E367F5">
              <w:rPr>
                <w:position w:val="-20"/>
              </w:rPr>
              <w:object w:dxaOrig="220" w:dyaOrig="440" w14:anchorId="49743EC5">
                <v:shape id="_x0000_i1031" type="#_x0000_t75" style="width:9.6pt;height:22.8pt" o:ole="">
                  <v:imagedata r:id="rId25" o:title=""/>
                </v:shape>
                <o:OLEObject Type="Embed" ProgID="Equation.3" ShapeID="_x0000_i1031" DrawAspect="Content" ObjectID="_1775281561" r:id="rId29"/>
              </w:object>
            </w:r>
            <w:r w:rsidRPr="00E367F5">
              <w:t>[</w:t>
            </w:r>
            <w:r w:rsidRPr="00E367F5">
              <w:rPr>
                <w:rStyle w:val="BodyTextChar"/>
              </w:rPr>
              <w:t xml:space="preserve">RUCEXRR96 </w:t>
            </w:r>
            <w:r w:rsidRPr="00E367F5">
              <w:rPr>
                <w:i/>
                <w:vertAlign w:val="subscript"/>
                <w:lang w:val="it-IT"/>
              </w:rPr>
              <w:t>q, r, i</w:t>
            </w:r>
            <w:r w:rsidRPr="00E367F5">
              <w:t>]}</w:t>
            </w:r>
          </w:p>
          <w:p w14:paraId="03BE33DD" w14:textId="77777777" w:rsidR="004D7EAA" w:rsidRPr="00E367F5" w:rsidRDefault="004D7EAA" w:rsidP="004D7EAA">
            <w:pPr>
              <w:pStyle w:val="BodyText"/>
              <w:ind w:left="1440" w:hanging="720"/>
              <w:rPr>
                <w:rStyle w:val="BodyTextChar"/>
              </w:rPr>
            </w:pPr>
            <w:proofErr w:type="gramStart"/>
            <w:r w:rsidRPr="00E367F5">
              <w:rPr>
                <w:rStyle w:val="BodyTextChar"/>
              </w:rPr>
              <w:t>Where</w:t>
            </w:r>
            <w:proofErr w:type="gramEnd"/>
            <w:r w:rsidRPr="00E367F5">
              <w:rPr>
                <w:rStyle w:val="BodyTextChar"/>
              </w:rPr>
              <w:t>,</w:t>
            </w:r>
          </w:p>
          <w:p w14:paraId="1F93CE98" w14:textId="1E86EBFE" w:rsidR="00096AF9" w:rsidRPr="004C0D3E" w:rsidRDefault="00096AF9" w:rsidP="00C078A2">
            <w:pPr>
              <w:pStyle w:val="FormulaBold"/>
            </w:pPr>
            <w:r w:rsidRPr="00C979D1">
              <w:t>RUCEXRR96</w:t>
            </w:r>
            <w:r w:rsidRPr="004C0D3E">
              <w:rPr>
                <w:rStyle w:val="BodyTextChar"/>
              </w:rPr>
              <w:t xml:space="preserve"> </w:t>
            </w:r>
            <w:r w:rsidRPr="004C0D3E">
              <w:rPr>
                <w:i/>
                <w:vertAlign w:val="subscript"/>
                <w:lang w:val="it-IT"/>
              </w:rPr>
              <w:t xml:space="preserve">q, r, i  </w:t>
            </w:r>
            <w:r w:rsidRPr="004C0D3E">
              <w:rPr>
                <w:lang w:val="it-IT"/>
              </w:rPr>
              <w:t>=</w:t>
            </w:r>
            <w:r w:rsidRPr="004C0D3E">
              <w:rPr>
                <w:lang w:val="it-IT"/>
              </w:rPr>
              <w:tab/>
            </w:r>
            <w:r w:rsidRPr="004C0D3E">
              <w:t>RTSPP</w:t>
            </w:r>
            <w:r>
              <w:rPr>
                <w:lang w:val="en-US"/>
              </w:rPr>
              <w:t xml:space="preserve"> </w:t>
            </w:r>
            <w:r w:rsidRPr="004C0D3E">
              <w:rPr>
                <w:i/>
                <w:vertAlign w:val="subscript"/>
              </w:rPr>
              <w:t>p,</w:t>
            </w:r>
            <w:r>
              <w:rPr>
                <w:i/>
                <w:vertAlign w:val="subscript"/>
                <w:lang w:val="en-US"/>
              </w:rPr>
              <w:t xml:space="preserve"> </w:t>
            </w:r>
            <w:r w:rsidRPr="004C0D3E">
              <w:rPr>
                <w:i/>
                <w:vertAlign w:val="subscript"/>
              </w:rPr>
              <w:t>i</w:t>
            </w:r>
            <w:r w:rsidRPr="004C0D3E">
              <w:t xml:space="preserve"> * Max (0, RTMG</w:t>
            </w:r>
            <w:r>
              <w:rPr>
                <w:lang w:val="en-US"/>
              </w:rPr>
              <w:t xml:space="preserve"> </w:t>
            </w:r>
            <w:r w:rsidRPr="004C0D3E">
              <w:rPr>
                <w:i/>
                <w:vertAlign w:val="subscript"/>
              </w:rPr>
              <w:t>q,</w:t>
            </w:r>
            <w:r>
              <w:rPr>
                <w:i/>
                <w:vertAlign w:val="subscript"/>
                <w:lang w:val="en-US"/>
              </w:rPr>
              <w:t xml:space="preserve"> </w:t>
            </w:r>
            <w:r w:rsidRPr="004C0D3E">
              <w:rPr>
                <w:i/>
                <w:vertAlign w:val="subscript"/>
              </w:rPr>
              <w:t>r,</w:t>
            </w:r>
            <w:r>
              <w:rPr>
                <w:i/>
                <w:vertAlign w:val="subscript"/>
                <w:lang w:val="en-US"/>
              </w:rPr>
              <w:t xml:space="preserve"> </w:t>
            </w:r>
            <w:r w:rsidRPr="004C0D3E">
              <w:rPr>
                <w:i/>
                <w:vertAlign w:val="subscript"/>
              </w:rPr>
              <w:t>i</w:t>
            </w:r>
            <w:r w:rsidRPr="004C0D3E">
              <w:t xml:space="preserve"> – (LSL</w:t>
            </w:r>
            <w:r>
              <w:rPr>
                <w:lang w:val="en-US"/>
              </w:rPr>
              <w:t xml:space="preserve"> </w:t>
            </w:r>
            <w:r w:rsidRPr="004C0D3E">
              <w:rPr>
                <w:i/>
                <w:vertAlign w:val="subscript"/>
              </w:rPr>
              <w:t>q,</w:t>
            </w:r>
            <w:r>
              <w:rPr>
                <w:i/>
                <w:vertAlign w:val="subscript"/>
                <w:lang w:val="en-US"/>
              </w:rPr>
              <w:t xml:space="preserve"> </w:t>
            </w:r>
            <w:r w:rsidRPr="004C0D3E">
              <w:rPr>
                <w:i/>
                <w:vertAlign w:val="subscript"/>
              </w:rPr>
              <w:t>r,</w:t>
            </w:r>
            <w:r>
              <w:rPr>
                <w:i/>
                <w:vertAlign w:val="subscript"/>
                <w:lang w:val="en-US"/>
              </w:rPr>
              <w:t xml:space="preserve"> </w:t>
            </w:r>
            <w:r w:rsidRPr="004C0D3E">
              <w:rPr>
                <w:i/>
                <w:vertAlign w:val="subscript"/>
              </w:rPr>
              <w:t>i</w:t>
            </w:r>
            <w:r w:rsidRPr="004C0D3E">
              <w:t xml:space="preserve"> * (¼)))</w:t>
            </w:r>
            <w:r w:rsidR="00F8316F">
              <w:rPr>
                <w:lang w:val="en-US"/>
              </w:rPr>
              <w:t xml:space="preserve">                   </w:t>
            </w:r>
            <w:r w:rsidR="00F8316F" w:rsidRPr="00CF3C0C">
              <w:t xml:space="preserve">+ </w:t>
            </w:r>
            <w:r w:rsidR="00F8316F" w:rsidRPr="00CF3C0C">
              <w:rPr>
                <w:rStyle w:val="BodyTextChar"/>
              </w:rPr>
              <w:t xml:space="preserve">RTASREV </w:t>
            </w:r>
            <w:r w:rsidR="00F8316F" w:rsidRPr="00CF3C0C">
              <w:rPr>
                <w:i/>
                <w:vertAlign w:val="subscript"/>
              </w:rPr>
              <w:t>q, r, i</w:t>
            </w:r>
          </w:p>
          <w:p w14:paraId="04695040" w14:textId="77777777" w:rsidR="00096AF9" w:rsidRPr="004C0D3E" w:rsidRDefault="00096AF9" w:rsidP="00C078A2">
            <w:pPr>
              <w:pStyle w:val="FormulaBold"/>
              <w:rPr>
                <w:lang w:val="pt-BR"/>
              </w:rPr>
            </w:pPr>
            <w:r w:rsidRPr="004C0D3E">
              <w:tab/>
            </w:r>
            <w:r w:rsidRPr="004C0D3E">
              <w:tab/>
              <w:t>+ (-1) * (VSSVARAMT</w:t>
            </w:r>
            <w:r>
              <w:rPr>
                <w:lang w:val="en-US"/>
              </w:rPr>
              <w:t xml:space="preserve"> </w:t>
            </w:r>
            <w:r w:rsidRPr="004C0D3E">
              <w:rPr>
                <w:i/>
                <w:vertAlign w:val="subscript"/>
              </w:rPr>
              <w:t>q,</w:t>
            </w:r>
            <w:r>
              <w:rPr>
                <w:i/>
                <w:vertAlign w:val="subscript"/>
                <w:lang w:val="en-US"/>
              </w:rPr>
              <w:t xml:space="preserve"> </w:t>
            </w:r>
            <w:r w:rsidRPr="004C0D3E">
              <w:rPr>
                <w:i/>
                <w:vertAlign w:val="subscript"/>
              </w:rPr>
              <w:t>r,</w:t>
            </w:r>
            <w:r>
              <w:rPr>
                <w:i/>
                <w:vertAlign w:val="subscript"/>
                <w:lang w:val="en-US"/>
              </w:rPr>
              <w:t xml:space="preserve"> </w:t>
            </w:r>
            <w:r w:rsidRPr="004C0D3E">
              <w:rPr>
                <w:i/>
                <w:vertAlign w:val="subscript"/>
              </w:rPr>
              <w:t>i</w:t>
            </w:r>
            <w:r w:rsidRPr="004C0D3E">
              <w:t xml:space="preserve"> + </w:t>
            </w:r>
            <w:r w:rsidRPr="004C0D3E">
              <w:rPr>
                <w:lang w:val="pt-BR"/>
              </w:rPr>
              <w:t>VSSEAMT</w:t>
            </w:r>
            <w:r>
              <w:rPr>
                <w:lang w:val="pt-BR"/>
              </w:rPr>
              <w:t xml:space="preserve"> </w:t>
            </w:r>
            <w:r w:rsidRPr="004C0D3E">
              <w:rPr>
                <w:i/>
                <w:vertAlign w:val="subscript"/>
              </w:rPr>
              <w:t>q,</w:t>
            </w:r>
            <w:r>
              <w:rPr>
                <w:i/>
                <w:vertAlign w:val="subscript"/>
                <w:lang w:val="en-US"/>
              </w:rPr>
              <w:t xml:space="preserve"> </w:t>
            </w:r>
            <w:r w:rsidRPr="004C0D3E">
              <w:rPr>
                <w:i/>
                <w:vertAlign w:val="subscript"/>
              </w:rPr>
              <w:t>r,</w:t>
            </w:r>
            <w:r>
              <w:rPr>
                <w:i/>
                <w:vertAlign w:val="subscript"/>
                <w:lang w:val="en-US"/>
              </w:rPr>
              <w:t xml:space="preserve"> </w:t>
            </w:r>
            <w:r w:rsidRPr="004C0D3E">
              <w:rPr>
                <w:i/>
                <w:vertAlign w:val="subscript"/>
              </w:rPr>
              <w:t>i</w:t>
            </w:r>
            <w:r w:rsidRPr="004C0D3E">
              <w:rPr>
                <w:lang w:val="pt-BR"/>
              </w:rPr>
              <w:t>)</w:t>
            </w:r>
          </w:p>
          <w:p w14:paraId="57384F1C" w14:textId="77777777" w:rsidR="00096AF9" w:rsidRPr="004C0D3E" w:rsidRDefault="00096AF9" w:rsidP="00C078A2">
            <w:pPr>
              <w:pStyle w:val="FormulaBold"/>
            </w:pPr>
            <w:r w:rsidRPr="004C0D3E">
              <w:tab/>
            </w:r>
            <w:r w:rsidRPr="004C0D3E">
              <w:tab/>
              <w:t>+ (-1) * EMREAMT</w:t>
            </w:r>
            <w:r>
              <w:rPr>
                <w:lang w:val="en-US"/>
              </w:rPr>
              <w:t xml:space="preserve"> </w:t>
            </w:r>
            <w:r w:rsidRPr="004C0D3E">
              <w:rPr>
                <w:i/>
                <w:vertAlign w:val="subscript"/>
              </w:rPr>
              <w:t>q,</w:t>
            </w:r>
            <w:r>
              <w:rPr>
                <w:i/>
                <w:vertAlign w:val="subscript"/>
                <w:lang w:val="en-US"/>
              </w:rPr>
              <w:t xml:space="preserve"> </w:t>
            </w:r>
            <w:r w:rsidRPr="004C0D3E">
              <w:rPr>
                <w:i/>
                <w:vertAlign w:val="subscript"/>
              </w:rPr>
              <w:t>r,</w:t>
            </w:r>
            <w:r>
              <w:rPr>
                <w:i/>
                <w:vertAlign w:val="subscript"/>
                <w:lang w:val="en-US"/>
              </w:rPr>
              <w:t xml:space="preserve"> </w:t>
            </w:r>
            <w:r w:rsidRPr="004C0D3E">
              <w:rPr>
                <w:i/>
                <w:vertAlign w:val="subscript"/>
              </w:rPr>
              <w:t>i</w:t>
            </w:r>
            <w:r w:rsidRPr="004C0D3E">
              <w:t xml:space="preserve"> </w:t>
            </w:r>
          </w:p>
          <w:p w14:paraId="5D45AA33" w14:textId="6FDD24B6" w:rsidR="00096AF9" w:rsidRDefault="00096AF9" w:rsidP="00C078A2">
            <w:pPr>
              <w:pStyle w:val="FormulaBold"/>
            </w:pPr>
            <w:r w:rsidRPr="004C0D3E">
              <w:tab/>
            </w:r>
            <w:r w:rsidRPr="004C0D3E">
              <w:tab/>
              <w:t xml:space="preserve">– </w:t>
            </w:r>
            <w:r w:rsidR="004D7EAA">
              <w:rPr>
                <w:lang w:val="en-US"/>
              </w:rPr>
              <w:t>(</w:t>
            </w:r>
            <w:r w:rsidRPr="004C0D3E">
              <w:t>RT</w:t>
            </w:r>
            <w:r w:rsidRPr="009716C5">
              <w:t>EOCOST</w:t>
            </w:r>
            <w:r>
              <w:rPr>
                <w:lang w:val="en-US"/>
              </w:rPr>
              <w:t xml:space="preserve"> </w:t>
            </w:r>
            <w:r w:rsidRPr="004C0D3E">
              <w:rPr>
                <w:i/>
                <w:vertAlign w:val="subscript"/>
              </w:rPr>
              <w:t>q,</w:t>
            </w:r>
            <w:r>
              <w:rPr>
                <w:i/>
                <w:vertAlign w:val="subscript"/>
                <w:lang w:val="en-US"/>
              </w:rPr>
              <w:t xml:space="preserve"> </w:t>
            </w:r>
            <w:r w:rsidRPr="004C0D3E">
              <w:rPr>
                <w:i/>
                <w:vertAlign w:val="subscript"/>
              </w:rPr>
              <w:t>r,</w:t>
            </w:r>
            <w:r>
              <w:rPr>
                <w:i/>
                <w:vertAlign w:val="subscript"/>
                <w:lang w:val="en-US"/>
              </w:rPr>
              <w:t xml:space="preserve"> </w:t>
            </w:r>
            <w:r w:rsidRPr="004C0D3E">
              <w:rPr>
                <w:i/>
                <w:vertAlign w:val="subscript"/>
              </w:rPr>
              <w:t>i</w:t>
            </w:r>
            <w:r w:rsidR="004D7EAA" w:rsidRPr="00E367F5">
              <w:t xml:space="preserve"> + RUCFCA </w:t>
            </w:r>
            <w:r w:rsidR="004D7EAA" w:rsidRPr="00E367F5">
              <w:rPr>
                <w:i/>
                <w:vertAlign w:val="subscript"/>
              </w:rPr>
              <w:t>q, r, i</w:t>
            </w:r>
            <w:r w:rsidR="004D7EAA" w:rsidRPr="00E367F5">
              <w:t>)</w:t>
            </w:r>
            <w:r w:rsidRPr="004C0D3E">
              <w:t xml:space="preserve"> * Max (0, RTMG</w:t>
            </w:r>
            <w:r>
              <w:rPr>
                <w:lang w:val="en-US"/>
              </w:rPr>
              <w:t xml:space="preserve"> </w:t>
            </w:r>
            <w:r w:rsidRPr="004C0D3E">
              <w:rPr>
                <w:i/>
                <w:vertAlign w:val="subscript"/>
              </w:rPr>
              <w:t>q,</w:t>
            </w:r>
            <w:r>
              <w:rPr>
                <w:i/>
                <w:vertAlign w:val="subscript"/>
                <w:lang w:val="en-US"/>
              </w:rPr>
              <w:t xml:space="preserve"> </w:t>
            </w:r>
            <w:r w:rsidRPr="004C0D3E">
              <w:rPr>
                <w:i/>
                <w:vertAlign w:val="subscript"/>
              </w:rPr>
              <w:t>r,</w:t>
            </w:r>
            <w:r>
              <w:rPr>
                <w:i/>
                <w:vertAlign w:val="subscript"/>
                <w:lang w:val="en-US"/>
              </w:rPr>
              <w:t xml:space="preserve"> </w:t>
            </w:r>
            <w:r w:rsidRPr="004C0D3E">
              <w:rPr>
                <w:i/>
                <w:vertAlign w:val="subscript"/>
              </w:rPr>
              <w:t>i</w:t>
            </w:r>
            <w:r w:rsidRPr="004C0D3E">
              <w:t xml:space="preserve"> – (LSL</w:t>
            </w:r>
            <w:r>
              <w:rPr>
                <w:lang w:val="en-US"/>
              </w:rPr>
              <w:t xml:space="preserve"> </w:t>
            </w:r>
            <w:r w:rsidRPr="004C0D3E">
              <w:rPr>
                <w:i/>
                <w:vertAlign w:val="subscript"/>
              </w:rPr>
              <w:t>q,</w:t>
            </w:r>
            <w:r>
              <w:rPr>
                <w:i/>
                <w:vertAlign w:val="subscript"/>
                <w:lang w:val="en-US"/>
              </w:rPr>
              <w:t xml:space="preserve"> </w:t>
            </w:r>
            <w:r w:rsidRPr="004C0D3E">
              <w:rPr>
                <w:i/>
                <w:vertAlign w:val="subscript"/>
              </w:rPr>
              <w:t>r,</w:t>
            </w:r>
            <w:r>
              <w:rPr>
                <w:i/>
                <w:vertAlign w:val="subscript"/>
                <w:lang w:val="en-US"/>
              </w:rPr>
              <w:t xml:space="preserve"> </w:t>
            </w:r>
            <w:r w:rsidRPr="004C0D3E">
              <w:rPr>
                <w:i/>
                <w:vertAlign w:val="subscript"/>
              </w:rPr>
              <w:t>i</w:t>
            </w:r>
            <w:r>
              <w:t xml:space="preserve"> * (¼)))</w:t>
            </w:r>
          </w:p>
          <w:p w14:paraId="549F557F" w14:textId="77777777" w:rsidR="00F8316F" w:rsidRDefault="00F8316F" w:rsidP="00F8316F">
            <w:pPr>
              <w:pStyle w:val="BodyText"/>
              <w:tabs>
                <w:tab w:val="left" w:pos="1170"/>
              </w:tabs>
              <w:spacing w:after="0" w:line="360" w:lineRule="auto"/>
              <w:ind w:left="2700" w:hanging="1980"/>
              <w:rPr>
                <w:lang w:val="pt-BR"/>
              </w:rPr>
            </w:pPr>
            <w:r>
              <w:rPr>
                <w:lang w:val="pt-BR"/>
              </w:rPr>
              <w:t xml:space="preserve">Where, </w:t>
            </w:r>
          </w:p>
          <w:p w14:paraId="411E780E" w14:textId="5603F07A" w:rsidR="00F8316F" w:rsidRDefault="00F8316F" w:rsidP="00F8316F">
            <w:pPr>
              <w:spacing w:after="240"/>
              <w:ind w:left="2497" w:hanging="1777"/>
              <w:rPr>
                <w:i/>
                <w:iCs/>
                <w:vertAlign w:val="subscript"/>
                <w:lang w:val="it-IT"/>
              </w:rPr>
            </w:pPr>
            <w:r w:rsidRPr="00C24DE0">
              <w:rPr>
                <w:rStyle w:val="BodyTextChar"/>
              </w:rPr>
              <w:t xml:space="preserve">RTASREV </w:t>
            </w:r>
            <w:r w:rsidRPr="0066302C">
              <w:rPr>
                <w:i/>
                <w:vertAlign w:val="subscript"/>
                <w:lang w:val="it-IT"/>
              </w:rPr>
              <w:t xml:space="preserve">q, r, i </w:t>
            </w:r>
            <w:r w:rsidRPr="0066302C">
              <w:rPr>
                <w:i/>
                <w:lang w:val="it-IT"/>
              </w:rPr>
              <w:t xml:space="preserve">= </w:t>
            </w:r>
            <w:r w:rsidRPr="00C24DE0">
              <w:rPr>
                <w:rStyle w:val="BodyTextChar"/>
              </w:rPr>
              <w:t xml:space="preserve">RTRUREV </w:t>
            </w:r>
            <w:r w:rsidRPr="0066302C">
              <w:rPr>
                <w:i/>
                <w:vertAlign w:val="subscript"/>
                <w:lang w:val="it-IT"/>
              </w:rPr>
              <w:t xml:space="preserve">q, r, i </w:t>
            </w:r>
            <w:r w:rsidRPr="0066302C">
              <w:rPr>
                <w:i/>
                <w:lang w:val="it-IT"/>
              </w:rPr>
              <w:t>+</w:t>
            </w:r>
            <w:r w:rsidRPr="00C24DE0">
              <w:rPr>
                <w:rStyle w:val="BodyTextChar"/>
              </w:rPr>
              <w:t xml:space="preserve"> RTRDREV </w:t>
            </w:r>
            <w:r w:rsidRPr="0066302C">
              <w:rPr>
                <w:i/>
                <w:vertAlign w:val="subscript"/>
                <w:lang w:val="it-IT"/>
              </w:rPr>
              <w:t xml:space="preserve">q, r, i </w:t>
            </w:r>
            <w:r w:rsidRPr="0066302C">
              <w:rPr>
                <w:i/>
                <w:lang w:val="it-IT"/>
              </w:rPr>
              <w:t>+</w:t>
            </w:r>
            <w:r w:rsidRPr="00C24DE0">
              <w:rPr>
                <w:rStyle w:val="BodyTextChar"/>
              </w:rPr>
              <w:t xml:space="preserve"> RTRRREV </w:t>
            </w:r>
            <w:r w:rsidRPr="0066302C">
              <w:rPr>
                <w:i/>
                <w:vertAlign w:val="subscript"/>
                <w:lang w:val="it-IT"/>
              </w:rPr>
              <w:t xml:space="preserve">q, r, i </w:t>
            </w:r>
            <w:r w:rsidRPr="0066302C">
              <w:rPr>
                <w:i/>
                <w:lang w:val="it-IT"/>
              </w:rPr>
              <w:t>+</w:t>
            </w:r>
            <w:r w:rsidRPr="00C24DE0">
              <w:rPr>
                <w:rStyle w:val="BodyTextChar"/>
              </w:rPr>
              <w:t xml:space="preserve"> RTECRREV </w:t>
            </w:r>
            <w:r w:rsidRPr="0066302C">
              <w:rPr>
                <w:i/>
                <w:vertAlign w:val="subscript"/>
                <w:lang w:val="it-IT"/>
              </w:rPr>
              <w:t xml:space="preserve">q, r, i </w:t>
            </w:r>
            <w:r w:rsidRPr="0066302C">
              <w:rPr>
                <w:i/>
                <w:lang w:val="it-IT"/>
              </w:rPr>
              <w:t xml:space="preserve">+ </w:t>
            </w:r>
            <w:r w:rsidRPr="00C24DE0">
              <w:rPr>
                <w:rStyle w:val="BodyTextChar"/>
                <w:lang w:val="it-IT"/>
              </w:rPr>
              <w:t>RTNSREV</w:t>
            </w:r>
            <w:r w:rsidRPr="00C24DE0">
              <w:rPr>
                <w:i/>
                <w:iCs/>
                <w:lang w:val="it-IT"/>
              </w:rPr>
              <w:t xml:space="preserve"> </w:t>
            </w:r>
            <w:r w:rsidRPr="00C24DE0">
              <w:rPr>
                <w:i/>
                <w:iCs/>
                <w:vertAlign w:val="subscript"/>
                <w:lang w:val="it-IT"/>
              </w:rPr>
              <w:t>q, r, i</w:t>
            </w:r>
          </w:p>
          <w:p w14:paraId="2C8064A5" w14:textId="77777777" w:rsidR="004D7EAA" w:rsidRPr="004D7EAA" w:rsidRDefault="004D7EAA" w:rsidP="00C078A2">
            <w:pPr>
              <w:pStyle w:val="FormulaBold"/>
            </w:pPr>
            <w:r w:rsidRPr="004D7EAA">
              <w:t xml:space="preserve">And, </w:t>
            </w:r>
          </w:p>
          <w:p w14:paraId="24C7CAAD" w14:textId="779E8F2B" w:rsidR="004D7EAA" w:rsidRPr="00F8316F" w:rsidRDefault="004D7EAA" w:rsidP="004D7EAA">
            <w:pPr>
              <w:spacing w:after="240"/>
              <w:ind w:left="2497" w:hanging="1777"/>
              <w:rPr>
                <w:iCs/>
                <w:lang w:val="it-IT"/>
              </w:rPr>
            </w:pPr>
            <w:r w:rsidRPr="004D7EAA">
              <w:rPr>
                <w:bCs/>
              </w:rPr>
              <w:t xml:space="preserve">RUCFCA </w:t>
            </w:r>
            <w:r w:rsidRPr="004D7EAA">
              <w:rPr>
                <w:bCs/>
                <w:i/>
                <w:vertAlign w:val="subscript"/>
              </w:rPr>
              <w:t>q, r, i</w:t>
            </w:r>
            <w:r w:rsidRPr="004D7EAA">
              <w:rPr>
                <w:bCs/>
              </w:rPr>
              <w:t xml:space="preserve"> = Max(0, Volume-weighted average actual fuel price </w:t>
            </w:r>
            <w:r w:rsidRPr="004D7EAA">
              <w:rPr>
                <w:bCs/>
                <w:i/>
                <w:vertAlign w:val="subscript"/>
              </w:rPr>
              <w:t>q, r, i</w:t>
            </w:r>
            <w:r w:rsidRPr="004D7EAA">
              <w:rPr>
                <w:bCs/>
              </w:rPr>
              <w:t xml:space="preserve"> * Average heat rate </w:t>
            </w:r>
            <w:r w:rsidRPr="004C0D3E">
              <w:t>–</w:t>
            </w:r>
            <w:r w:rsidRPr="004D7EAA">
              <w:rPr>
                <w:bCs/>
              </w:rPr>
              <w:t xml:space="preserve"> RTEOCOST </w:t>
            </w:r>
            <w:r w:rsidRPr="004D7EAA">
              <w:rPr>
                <w:bCs/>
                <w:i/>
                <w:vertAlign w:val="subscript"/>
              </w:rPr>
              <w:t>q, r, i</w:t>
            </w:r>
            <w:r w:rsidRPr="004D7EAA">
              <w:rPr>
                <w:bCs/>
                <w:iCs/>
              </w:rPr>
              <w:t>)</w:t>
            </w:r>
          </w:p>
        </w:tc>
      </w:tr>
    </w:tbl>
    <w:p w14:paraId="726C4B93" w14:textId="77777777" w:rsidR="00E2667F" w:rsidRDefault="00723BFB" w:rsidP="00646994">
      <w:pPr>
        <w:pStyle w:val="BodyText"/>
        <w:spacing w:before="240" w:after="0"/>
        <w:rPr>
          <w:rStyle w:val="BodyTextChar"/>
          <w:bCs/>
          <w:iCs/>
          <w:szCs w:val="24"/>
        </w:rPr>
      </w:pPr>
      <w:r>
        <w:rPr>
          <w:rStyle w:val="BodyTextChar"/>
        </w:rPr>
        <w:lastRenderedPageBreak/>
        <w:t>The above variables are defined as follows:</w:t>
      </w:r>
    </w:p>
    <w:tbl>
      <w:tblPr>
        <w:tblW w:w="4986"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43"/>
        <w:gridCol w:w="878"/>
        <w:gridCol w:w="6803"/>
      </w:tblGrid>
      <w:tr w:rsidR="00F80C33" w14:paraId="56E4CBD3" w14:textId="77777777" w:rsidTr="004738F9">
        <w:trPr>
          <w:cantSplit/>
          <w:tblHeader/>
        </w:trPr>
        <w:tc>
          <w:tcPr>
            <w:tcW w:w="881" w:type="pct"/>
          </w:tcPr>
          <w:p w14:paraId="3F9C33DF" w14:textId="77777777" w:rsidR="00F80C33" w:rsidRDefault="00723BFB">
            <w:pPr>
              <w:pStyle w:val="TableHead"/>
            </w:pPr>
            <w:r>
              <w:t>Variable</w:t>
            </w:r>
          </w:p>
        </w:tc>
        <w:tc>
          <w:tcPr>
            <w:tcW w:w="471" w:type="pct"/>
          </w:tcPr>
          <w:p w14:paraId="667EDA63" w14:textId="77777777" w:rsidR="00F80C33" w:rsidRDefault="00723BFB" w:rsidP="00B34C5D">
            <w:pPr>
              <w:pStyle w:val="TableHead"/>
              <w:jc w:val="center"/>
            </w:pPr>
            <w:r>
              <w:t>Unit</w:t>
            </w:r>
          </w:p>
        </w:tc>
        <w:tc>
          <w:tcPr>
            <w:tcW w:w="3648" w:type="pct"/>
          </w:tcPr>
          <w:p w14:paraId="2B8CE2C8" w14:textId="77777777" w:rsidR="00F80C33" w:rsidRDefault="00723BFB">
            <w:pPr>
              <w:pStyle w:val="TableHead"/>
            </w:pPr>
            <w:r>
              <w:t>Definition</w:t>
            </w:r>
          </w:p>
        </w:tc>
      </w:tr>
      <w:tr w:rsidR="00F80C33" w14:paraId="19D1AE81" w14:textId="77777777" w:rsidTr="004738F9">
        <w:trPr>
          <w:cantSplit/>
        </w:trPr>
        <w:tc>
          <w:tcPr>
            <w:tcW w:w="881" w:type="pct"/>
          </w:tcPr>
          <w:p w14:paraId="226C4E32" w14:textId="77777777" w:rsidR="00F80C33" w:rsidRDefault="00723BFB">
            <w:pPr>
              <w:pStyle w:val="TableBody"/>
            </w:pPr>
            <w:r>
              <w:t>RUCEXRR</w:t>
            </w:r>
            <w:r w:rsidR="006370A1">
              <w:t xml:space="preserve"> </w:t>
            </w:r>
            <w:r w:rsidRPr="00B34C5D">
              <w:rPr>
                <w:i/>
                <w:vertAlign w:val="subscript"/>
              </w:rPr>
              <w:t>q,</w:t>
            </w:r>
            <w:r w:rsidR="006370A1">
              <w:rPr>
                <w:i/>
                <w:vertAlign w:val="subscript"/>
              </w:rPr>
              <w:t xml:space="preserve"> </w:t>
            </w:r>
            <w:r w:rsidRPr="00B34C5D">
              <w:rPr>
                <w:i/>
                <w:vertAlign w:val="subscript"/>
              </w:rPr>
              <w:t>r,</w:t>
            </w:r>
            <w:r w:rsidR="006370A1">
              <w:rPr>
                <w:i/>
                <w:vertAlign w:val="subscript"/>
              </w:rPr>
              <w:t xml:space="preserve"> </w:t>
            </w:r>
            <w:r w:rsidRPr="00B34C5D">
              <w:rPr>
                <w:i/>
                <w:vertAlign w:val="subscript"/>
              </w:rPr>
              <w:t>d</w:t>
            </w:r>
          </w:p>
        </w:tc>
        <w:tc>
          <w:tcPr>
            <w:tcW w:w="471" w:type="pct"/>
          </w:tcPr>
          <w:p w14:paraId="3000A743" w14:textId="77777777" w:rsidR="00F80C33" w:rsidRDefault="00723BFB" w:rsidP="00B34C5D">
            <w:pPr>
              <w:pStyle w:val="TableBody"/>
              <w:jc w:val="center"/>
            </w:pPr>
            <w:r>
              <w:t>$</w:t>
            </w:r>
          </w:p>
        </w:tc>
        <w:tc>
          <w:tcPr>
            <w:tcW w:w="3648" w:type="pct"/>
          </w:tcPr>
          <w:p w14:paraId="241D79AD" w14:textId="77777777" w:rsidR="00F80C33" w:rsidRDefault="00723BFB">
            <w:pPr>
              <w:pStyle w:val="TableBody"/>
            </w:pPr>
            <w:r w:rsidRPr="00B34C5D">
              <w:rPr>
                <w:i/>
              </w:rPr>
              <w:t>Revenue Less Cost Above LSL During RUC-Committed Hours</w:t>
            </w:r>
            <w:r>
              <w:t xml:space="preserve">—The sum of the total revenue for Resource </w:t>
            </w:r>
            <w:r w:rsidR="00FD44DA">
              <w:rPr>
                <w:i/>
              </w:rPr>
              <w:t xml:space="preserve">r </w:t>
            </w:r>
            <w:r w:rsidR="006370A1" w:rsidRPr="00853E7A">
              <w:t xml:space="preserve">represented by QSE </w:t>
            </w:r>
            <w:r w:rsidR="006370A1" w:rsidRPr="00853E7A">
              <w:rPr>
                <w:i/>
              </w:rPr>
              <w:t>q</w:t>
            </w:r>
            <w:r w:rsidR="006370A1">
              <w:t xml:space="preserve"> </w:t>
            </w:r>
            <w:r>
              <w:t>operating above its LSL less the cost during all RUC-Committed Hours, for the Operating Day</w:t>
            </w:r>
            <w:r w:rsidR="006370A1">
              <w:t xml:space="preserve"> </w:t>
            </w:r>
            <w:r w:rsidR="006370A1" w:rsidRPr="008E34C0">
              <w:rPr>
                <w:i/>
              </w:rPr>
              <w:t>d</w:t>
            </w:r>
            <w:r>
              <w:t>.</w:t>
            </w:r>
            <w:r w:rsidR="00FD44DA">
              <w:t xml:space="preserve">  When one or more Combined Cycle Generation Resources are committed by RUC, revenue less cost above LSL is calculated for the Combined Cycle Train for all RUC-committed Combined Cycle Generation Resources.</w:t>
            </w:r>
          </w:p>
        </w:tc>
      </w:tr>
      <w:tr w:rsidR="00096AF9" w14:paraId="0F162EA7" w14:textId="77777777" w:rsidTr="004738F9">
        <w:trPr>
          <w:cantSplit/>
        </w:trPr>
        <w:tc>
          <w:tcPr>
            <w:tcW w:w="881" w:type="pct"/>
          </w:tcPr>
          <w:p w14:paraId="3131A75A" w14:textId="5272E77F" w:rsidR="00096AF9" w:rsidRDefault="00096AF9" w:rsidP="00096AF9">
            <w:pPr>
              <w:pStyle w:val="TableBody"/>
            </w:pPr>
            <w:r w:rsidRPr="00C864CE">
              <w:t>RUCEXRR96</w:t>
            </w:r>
            <w:r>
              <w:t xml:space="preserve"> </w:t>
            </w:r>
            <w:r w:rsidRPr="00C864CE">
              <w:rPr>
                <w:i/>
                <w:vertAlign w:val="subscript"/>
              </w:rPr>
              <w:t>q,</w:t>
            </w:r>
            <w:r>
              <w:rPr>
                <w:i/>
                <w:vertAlign w:val="subscript"/>
              </w:rPr>
              <w:t xml:space="preserve"> </w:t>
            </w:r>
            <w:r w:rsidRPr="00C864CE">
              <w:rPr>
                <w:i/>
                <w:vertAlign w:val="subscript"/>
              </w:rPr>
              <w:t>r,</w:t>
            </w:r>
            <w:r>
              <w:rPr>
                <w:i/>
                <w:vertAlign w:val="subscript"/>
              </w:rPr>
              <w:t xml:space="preserve"> </w:t>
            </w:r>
            <w:r w:rsidRPr="00C864CE">
              <w:rPr>
                <w:i/>
                <w:vertAlign w:val="subscript"/>
              </w:rPr>
              <w:t>i</w:t>
            </w:r>
          </w:p>
        </w:tc>
        <w:tc>
          <w:tcPr>
            <w:tcW w:w="471" w:type="pct"/>
          </w:tcPr>
          <w:p w14:paraId="58EDEE34" w14:textId="1D27D838" w:rsidR="00096AF9" w:rsidRDefault="00096AF9" w:rsidP="00096AF9">
            <w:pPr>
              <w:pStyle w:val="TableBody"/>
              <w:jc w:val="center"/>
            </w:pPr>
            <w:r w:rsidRPr="00A41318">
              <w:t>$</w:t>
            </w:r>
          </w:p>
        </w:tc>
        <w:tc>
          <w:tcPr>
            <w:tcW w:w="3648" w:type="pct"/>
          </w:tcPr>
          <w:p w14:paraId="3AD817CF" w14:textId="1C9E9119" w:rsidR="00096AF9" w:rsidRPr="00B34C5D" w:rsidRDefault="00096AF9" w:rsidP="00096AF9">
            <w:pPr>
              <w:pStyle w:val="TableBody"/>
              <w:rPr>
                <w:i/>
              </w:rPr>
            </w:pPr>
            <w:r w:rsidRPr="00A41318">
              <w:rPr>
                <w:i/>
              </w:rPr>
              <w:t>Revenue Less Cost Above LSL During RUC-Committed Hours by interval</w:t>
            </w:r>
            <w:r w:rsidRPr="00A41318">
              <w:t xml:space="preserve">—The total revenue for Resource </w:t>
            </w:r>
            <w:r w:rsidRPr="00A41318">
              <w:rPr>
                <w:i/>
              </w:rPr>
              <w:t xml:space="preserve">r </w:t>
            </w:r>
            <w:r w:rsidRPr="00A41318">
              <w:t xml:space="preserve">represented by QSE </w:t>
            </w:r>
            <w:r w:rsidRPr="00A41318">
              <w:rPr>
                <w:i/>
              </w:rPr>
              <w:t>q</w:t>
            </w:r>
            <w:r w:rsidRPr="00A41318">
              <w:t xml:space="preserve"> operating above its LSL less the cost during all RUC-Committed hours, for the Settlement Interval </w:t>
            </w:r>
            <w:r w:rsidRPr="00A41318">
              <w:rPr>
                <w:i/>
              </w:rPr>
              <w:t>i</w:t>
            </w:r>
            <w:r w:rsidRPr="00A41318">
              <w:t>.  When one or more Combined Cycle Generation Resources are committed by RUC, revenue less cost above LSL is calculated for the Combined Cycle Train for all RUC-committed Combined Cycle Generation Resources.</w:t>
            </w:r>
          </w:p>
        </w:tc>
      </w:tr>
      <w:tr w:rsidR="00F80C33" w14:paraId="567E4871" w14:textId="77777777" w:rsidTr="004738F9">
        <w:trPr>
          <w:cantSplit/>
        </w:trPr>
        <w:tc>
          <w:tcPr>
            <w:tcW w:w="881" w:type="pct"/>
          </w:tcPr>
          <w:p w14:paraId="1C203760" w14:textId="77777777" w:rsidR="00F80C33" w:rsidRDefault="00723BFB">
            <w:pPr>
              <w:pStyle w:val="TableBody"/>
            </w:pPr>
            <w:r>
              <w:t>RTSPP</w:t>
            </w:r>
            <w:r w:rsidR="006370A1">
              <w:t xml:space="preserve"> </w:t>
            </w:r>
            <w:r w:rsidRPr="00B34C5D">
              <w:rPr>
                <w:i/>
                <w:vertAlign w:val="subscript"/>
              </w:rPr>
              <w:t>p,</w:t>
            </w:r>
            <w:r w:rsidR="006370A1">
              <w:rPr>
                <w:i/>
                <w:vertAlign w:val="subscript"/>
              </w:rPr>
              <w:t xml:space="preserve"> </w:t>
            </w:r>
            <w:r w:rsidRPr="00B34C5D">
              <w:rPr>
                <w:i/>
                <w:vertAlign w:val="subscript"/>
              </w:rPr>
              <w:t>i</w:t>
            </w:r>
          </w:p>
        </w:tc>
        <w:tc>
          <w:tcPr>
            <w:tcW w:w="471" w:type="pct"/>
          </w:tcPr>
          <w:p w14:paraId="1AF90D4F" w14:textId="77777777" w:rsidR="00F80C33" w:rsidRDefault="00723BFB" w:rsidP="00B34C5D">
            <w:pPr>
              <w:pStyle w:val="TableBody"/>
              <w:jc w:val="center"/>
            </w:pPr>
            <w:r>
              <w:t>$/MWh</w:t>
            </w:r>
          </w:p>
        </w:tc>
        <w:tc>
          <w:tcPr>
            <w:tcW w:w="3648" w:type="pct"/>
          </w:tcPr>
          <w:p w14:paraId="5F804259" w14:textId="77777777" w:rsidR="00F80C33" w:rsidRDefault="00723BFB">
            <w:pPr>
              <w:pStyle w:val="TableBody"/>
            </w:pPr>
            <w:r w:rsidRPr="00B34C5D">
              <w:rPr>
                <w:i/>
              </w:rPr>
              <w:t>Real-Time Settlement Point Price</w:t>
            </w:r>
            <w:r>
              <w:t xml:space="preserve">—The Real-Time Settlement Point Price at the Resource’s </w:t>
            </w:r>
            <w:r w:rsidR="006370A1">
              <w:t xml:space="preserve">Resource Node </w:t>
            </w:r>
            <w:r>
              <w:t xml:space="preserve">Settlement Point </w:t>
            </w:r>
            <w:r w:rsidR="006370A1" w:rsidRPr="008E34C0">
              <w:rPr>
                <w:i/>
              </w:rPr>
              <w:t>p</w:t>
            </w:r>
            <w:r w:rsidR="006370A1">
              <w:t xml:space="preserve"> </w:t>
            </w:r>
            <w:r>
              <w:t xml:space="preserve">for the Settlement Interval </w:t>
            </w:r>
            <w:r w:rsidRPr="00B34C5D">
              <w:rPr>
                <w:i/>
              </w:rPr>
              <w:t>i</w:t>
            </w:r>
            <w:r>
              <w:t>.</w:t>
            </w:r>
          </w:p>
        </w:tc>
      </w:tr>
      <w:tr w:rsidR="004738F9" w14:paraId="3C5663A2" w14:textId="77777777" w:rsidTr="004738F9">
        <w:trPr>
          <w:cantSplit/>
        </w:trPr>
        <w:tc>
          <w:tcPr>
            <w:tcW w:w="881" w:type="pct"/>
          </w:tcPr>
          <w:p w14:paraId="372338C4" w14:textId="3000AA91" w:rsidR="004738F9" w:rsidRDefault="004738F9" w:rsidP="004738F9">
            <w:pPr>
              <w:pStyle w:val="TableBody"/>
            </w:pPr>
            <w:r w:rsidRPr="009716C5">
              <w:t>RTEOCOST</w:t>
            </w:r>
            <w:r>
              <w:t xml:space="preserve"> </w:t>
            </w:r>
            <w:r w:rsidRPr="009716C5">
              <w:rPr>
                <w:i/>
                <w:vertAlign w:val="subscript"/>
              </w:rPr>
              <w:t>q,</w:t>
            </w:r>
            <w:r>
              <w:rPr>
                <w:i/>
                <w:vertAlign w:val="subscript"/>
              </w:rPr>
              <w:t xml:space="preserve"> </w:t>
            </w:r>
            <w:r w:rsidRPr="009716C5">
              <w:rPr>
                <w:i/>
                <w:vertAlign w:val="subscript"/>
              </w:rPr>
              <w:t>r,</w:t>
            </w:r>
            <w:r>
              <w:rPr>
                <w:i/>
                <w:vertAlign w:val="subscript"/>
              </w:rPr>
              <w:t xml:space="preserve"> </w:t>
            </w:r>
            <w:r w:rsidRPr="009716C5">
              <w:rPr>
                <w:i/>
                <w:vertAlign w:val="subscript"/>
              </w:rPr>
              <w:t>i</w:t>
            </w:r>
          </w:p>
        </w:tc>
        <w:tc>
          <w:tcPr>
            <w:tcW w:w="471" w:type="pct"/>
          </w:tcPr>
          <w:p w14:paraId="5D458CD8" w14:textId="249C5445" w:rsidR="004738F9" w:rsidRDefault="004738F9" w:rsidP="004738F9">
            <w:pPr>
              <w:pStyle w:val="TableBody"/>
              <w:jc w:val="center"/>
            </w:pPr>
            <w:r w:rsidRPr="009716C5">
              <w:t>$/MWh</w:t>
            </w:r>
          </w:p>
        </w:tc>
        <w:tc>
          <w:tcPr>
            <w:tcW w:w="3648" w:type="pct"/>
          </w:tcPr>
          <w:p w14:paraId="50392BE9" w14:textId="598C647B" w:rsidR="004738F9" w:rsidRPr="00B34C5D" w:rsidRDefault="004738F9" w:rsidP="00561B1F">
            <w:pPr>
              <w:pStyle w:val="TableBody"/>
              <w:rPr>
                <w:i/>
              </w:rPr>
            </w:pPr>
            <w:r w:rsidRPr="00B34C5D">
              <w:rPr>
                <w:i/>
              </w:rPr>
              <w:t xml:space="preserve">Real-Time </w:t>
            </w:r>
            <w:r>
              <w:rPr>
                <w:i/>
              </w:rPr>
              <w:t>Energy Offer Curve Cost Cap</w:t>
            </w:r>
            <w:r w:rsidRPr="00B34C5D">
              <w:sym w:font="Symbol" w:char="F0BE"/>
            </w:r>
            <w:r>
              <w:t xml:space="preserve">The </w:t>
            </w:r>
            <w:r w:rsidRPr="009716C5">
              <w:t>Energy Offer Curve Cost Cap</w:t>
            </w:r>
            <w:r>
              <w:t xml:space="preserve"> for Resource </w:t>
            </w:r>
            <w:r>
              <w:rPr>
                <w:i/>
              </w:rPr>
              <w:t>r</w:t>
            </w:r>
            <w:r w:rsidRPr="00853E7A">
              <w:t xml:space="preserve"> represented by QSE </w:t>
            </w:r>
            <w:r w:rsidRPr="00853E7A">
              <w:rPr>
                <w:i/>
              </w:rPr>
              <w:t>q</w:t>
            </w:r>
            <w:r>
              <w:t xml:space="preserve">, for the Resource’s generation above the LSL for the Settlement Interval </w:t>
            </w:r>
            <w:r w:rsidRPr="00B34C5D">
              <w:rPr>
                <w:i/>
              </w:rPr>
              <w:t>i.</w:t>
            </w:r>
            <w:r>
              <w:rPr>
                <w:i/>
              </w:rPr>
              <w:t xml:space="preserve"> </w:t>
            </w:r>
            <w:r>
              <w:t xml:space="preserve"> See</w:t>
            </w:r>
            <w:r w:rsidRPr="00B34C5D">
              <w:rPr>
                <w:b/>
              </w:rPr>
              <w:t xml:space="preserve"> </w:t>
            </w:r>
            <w:r>
              <w:t xml:space="preserve">Section 4.4.9.3.3.  Where for a Combined Cycle Train, the Resource </w:t>
            </w:r>
            <w:r w:rsidRPr="00B34C5D">
              <w:rPr>
                <w:i/>
              </w:rPr>
              <w:t>r</w:t>
            </w:r>
            <w:r>
              <w:rPr>
                <w:i/>
              </w:rPr>
              <w:t xml:space="preserve"> </w:t>
            </w:r>
            <w:r w:rsidRPr="001C65E0">
              <w:t xml:space="preserve">is </w:t>
            </w:r>
            <w:r>
              <w:t>the Combined Cycle Train.</w:t>
            </w:r>
          </w:p>
        </w:tc>
      </w:tr>
      <w:tr w:rsidR="00F80C33" w14:paraId="136BE434" w14:textId="77777777" w:rsidTr="004738F9">
        <w:trPr>
          <w:cantSplit/>
        </w:trPr>
        <w:tc>
          <w:tcPr>
            <w:tcW w:w="881" w:type="pct"/>
          </w:tcPr>
          <w:p w14:paraId="2E6AE5F1" w14:textId="77777777" w:rsidR="00F80C33" w:rsidRDefault="00723BFB">
            <w:pPr>
              <w:pStyle w:val="TableBody"/>
            </w:pPr>
            <w:r>
              <w:t>RTMG</w:t>
            </w:r>
            <w:r w:rsidR="006370A1">
              <w:t xml:space="preserve"> </w:t>
            </w:r>
            <w:r w:rsidRPr="00B34C5D">
              <w:rPr>
                <w:i/>
                <w:vertAlign w:val="subscript"/>
              </w:rPr>
              <w:t>q,</w:t>
            </w:r>
            <w:r w:rsidR="006370A1">
              <w:rPr>
                <w:i/>
                <w:vertAlign w:val="subscript"/>
              </w:rPr>
              <w:t xml:space="preserve"> </w:t>
            </w:r>
            <w:r w:rsidRPr="00B34C5D">
              <w:rPr>
                <w:i/>
                <w:vertAlign w:val="subscript"/>
              </w:rPr>
              <w:t>r,</w:t>
            </w:r>
            <w:r w:rsidR="006370A1">
              <w:rPr>
                <w:i/>
                <w:vertAlign w:val="subscript"/>
              </w:rPr>
              <w:t xml:space="preserve"> </w:t>
            </w:r>
            <w:r w:rsidRPr="00B34C5D">
              <w:rPr>
                <w:i/>
                <w:vertAlign w:val="subscript"/>
              </w:rPr>
              <w:t>i</w:t>
            </w:r>
          </w:p>
        </w:tc>
        <w:tc>
          <w:tcPr>
            <w:tcW w:w="471" w:type="pct"/>
          </w:tcPr>
          <w:p w14:paraId="56042518" w14:textId="77777777" w:rsidR="00F80C33" w:rsidRDefault="00723BFB" w:rsidP="00B34C5D">
            <w:pPr>
              <w:pStyle w:val="TableBody"/>
              <w:jc w:val="center"/>
            </w:pPr>
            <w:r>
              <w:t>MWh</w:t>
            </w:r>
          </w:p>
        </w:tc>
        <w:tc>
          <w:tcPr>
            <w:tcW w:w="3648" w:type="pct"/>
          </w:tcPr>
          <w:p w14:paraId="780FDBB0" w14:textId="77777777" w:rsidR="00F80C33" w:rsidRDefault="00723BFB" w:rsidP="006370A1">
            <w:pPr>
              <w:pStyle w:val="TableBody"/>
            </w:pPr>
            <w:r w:rsidRPr="00B34C5D">
              <w:rPr>
                <w:i/>
              </w:rPr>
              <w:t>Real-Time Metered Generation</w:t>
            </w:r>
            <w:r>
              <w:t xml:space="preserve">—The metered generation </w:t>
            </w:r>
            <w:r w:rsidR="006370A1">
              <w:t xml:space="preserve">of Resource </w:t>
            </w:r>
            <w:r w:rsidR="006370A1" w:rsidRPr="00926CD1">
              <w:rPr>
                <w:i/>
              </w:rPr>
              <w:t>r</w:t>
            </w:r>
            <w:r w:rsidR="006370A1" w:rsidRPr="00853E7A">
              <w:t xml:space="preserve"> represented by QSE </w:t>
            </w:r>
            <w:r w:rsidR="006370A1" w:rsidRPr="00853E7A">
              <w:rPr>
                <w:i/>
              </w:rPr>
              <w:t>q</w:t>
            </w:r>
            <w:r w:rsidR="006370A1">
              <w:t xml:space="preserve"> </w:t>
            </w:r>
            <w:r>
              <w:t xml:space="preserve">for the Settlement Interval </w:t>
            </w:r>
            <w:r w:rsidRPr="00B34C5D">
              <w:rPr>
                <w:i/>
              </w:rPr>
              <w:t>i</w:t>
            </w:r>
            <w:r>
              <w:t>.</w:t>
            </w:r>
            <w:r w:rsidR="00FD44DA">
              <w:t xml:space="preserve">  Where for a Combined Cycle Train, the Resource </w:t>
            </w:r>
            <w:r w:rsidR="00FD44DA" w:rsidRPr="00B34C5D">
              <w:rPr>
                <w:i/>
              </w:rPr>
              <w:t>r</w:t>
            </w:r>
            <w:r w:rsidR="00FD44DA">
              <w:rPr>
                <w:i/>
              </w:rPr>
              <w:t xml:space="preserve"> </w:t>
            </w:r>
            <w:r w:rsidR="00FD44DA">
              <w:t>is the Combined Cycle Train.</w:t>
            </w:r>
          </w:p>
        </w:tc>
      </w:tr>
      <w:tr w:rsidR="00821A49" w14:paraId="3F6B3670" w14:textId="77777777" w:rsidTr="00821A49">
        <w:trPr>
          <w:cantSplit/>
        </w:trPr>
        <w:tc>
          <w:tcPr>
            <w:tcW w:w="5000" w:type="pct"/>
            <w:gridSpan w:val="3"/>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8"/>
            </w:tblGrid>
            <w:tr w:rsidR="00821A49" w14:paraId="56578910" w14:textId="77777777" w:rsidTr="001C5A31">
              <w:tc>
                <w:tcPr>
                  <w:tcW w:w="9445" w:type="dxa"/>
                  <w:tcBorders>
                    <w:top w:val="single" w:sz="4" w:space="0" w:color="auto"/>
                    <w:left w:val="single" w:sz="4" w:space="0" w:color="auto"/>
                    <w:bottom w:val="single" w:sz="4" w:space="0" w:color="auto"/>
                    <w:right w:val="single" w:sz="4" w:space="0" w:color="auto"/>
                  </w:tcBorders>
                  <w:shd w:val="clear" w:color="auto" w:fill="D9D9D9"/>
                </w:tcPr>
                <w:p w14:paraId="3C52B82F" w14:textId="0E01064A" w:rsidR="00821A49" w:rsidRDefault="00821A49" w:rsidP="00821A49">
                  <w:pPr>
                    <w:spacing w:before="120" w:after="240"/>
                    <w:rPr>
                      <w:b/>
                      <w:i/>
                    </w:rPr>
                  </w:pPr>
                  <w:r>
                    <w:rPr>
                      <w:b/>
                      <w:i/>
                    </w:rPr>
                    <w:t>[NPRR1140</w:t>
                  </w:r>
                  <w:r w:rsidRPr="004B0726">
                    <w:rPr>
                      <w:b/>
                      <w:i/>
                    </w:rPr>
                    <w:t xml:space="preserve">: </w:t>
                  </w:r>
                  <w:r>
                    <w:rPr>
                      <w:b/>
                      <w:i/>
                    </w:rPr>
                    <w:t xml:space="preserve"> Insert the variable “</w:t>
                  </w:r>
                  <w:r w:rsidRPr="00821A49">
                    <w:rPr>
                      <w:b/>
                      <w:bCs/>
                      <w:i/>
                      <w:iCs/>
                    </w:rPr>
                    <w:t xml:space="preserve">RUCFCA </w:t>
                  </w:r>
                  <w:r w:rsidRPr="00821A49">
                    <w:rPr>
                      <w:b/>
                      <w:bCs/>
                      <w:i/>
                      <w:iCs/>
                      <w:vertAlign w:val="subscript"/>
                    </w:rPr>
                    <w:t>q, r, i</w:t>
                  </w:r>
                  <w:r>
                    <w:rPr>
                      <w:b/>
                      <w:i/>
                    </w:rPr>
                    <w:t>” below upon system implementation:</w:t>
                  </w:r>
                  <w:r w:rsidRPr="004B0726">
                    <w:rPr>
                      <w:b/>
                      <w:i/>
                    </w:rPr>
                    <w:t>]</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839"/>
                    <w:gridCol w:w="6495"/>
                  </w:tblGrid>
                  <w:tr w:rsidR="00356451" w:rsidRPr="006A0091" w14:paraId="38F26618" w14:textId="77777777" w:rsidTr="001C5A31">
                    <w:trPr>
                      <w:cantSplit/>
                      <w:tblHeader/>
                    </w:trPr>
                    <w:tc>
                      <w:tcPr>
                        <w:tcW w:w="876" w:type="pct"/>
                      </w:tcPr>
                      <w:p w14:paraId="4C70B891" w14:textId="24B6E168" w:rsidR="00821A49" w:rsidRPr="00821A49" w:rsidRDefault="00821A49" w:rsidP="00821A49">
                        <w:pPr>
                          <w:spacing w:after="60"/>
                          <w:rPr>
                            <w:iCs/>
                            <w:sz w:val="20"/>
                            <w:szCs w:val="16"/>
                          </w:rPr>
                        </w:pPr>
                        <w:r w:rsidRPr="00821A49">
                          <w:rPr>
                            <w:sz w:val="20"/>
                            <w:szCs w:val="16"/>
                          </w:rPr>
                          <w:t xml:space="preserve">RUCFCA </w:t>
                        </w:r>
                        <w:r w:rsidRPr="00821A49">
                          <w:rPr>
                            <w:i/>
                            <w:sz w:val="20"/>
                            <w:szCs w:val="16"/>
                            <w:vertAlign w:val="subscript"/>
                          </w:rPr>
                          <w:t>q, r, i</w:t>
                        </w:r>
                      </w:p>
                    </w:tc>
                    <w:tc>
                      <w:tcPr>
                        <w:tcW w:w="455" w:type="pct"/>
                      </w:tcPr>
                      <w:p w14:paraId="1B65762F" w14:textId="5E541EBC" w:rsidR="00821A49" w:rsidRPr="00545FF6" w:rsidRDefault="00821A49" w:rsidP="00821A49">
                        <w:pPr>
                          <w:spacing w:after="60"/>
                          <w:rPr>
                            <w:iCs/>
                            <w:sz w:val="20"/>
                          </w:rPr>
                        </w:pPr>
                        <w:r w:rsidRPr="00821A49">
                          <w:rPr>
                            <w:sz w:val="20"/>
                            <w:szCs w:val="16"/>
                          </w:rPr>
                          <w:t>$/MWh</w:t>
                        </w:r>
                      </w:p>
                    </w:tc>
                    <w:tc>
                      <w:tcPr>
                        <w:tcW w:w="3669" w:type="pct"/>
                      </w:tcPr>
                      <w:p w14:paraId="155012F3" w14:textId="06F21E28" w:rsidR="00821A49" w:rsidRPr="00821A49" w:rsidRDefault="00821A49" w:rsidP="00821A49">
                        <w:pPr>
                          <w:pStyle w:val="TableBody"/>
                        </w:pPr>
                        <w:r w:rsidRPr="00821A49">
                          <w:rPr>
                            <w:i/>
                            <w:iCs w:val="0"/>
                          </w:rPr>
                          <w:t>Reliability Unit Commitment Fuel Cost Adder</w:t>
                        </w:r>
                        <w:r w:rsidRPr="00821A49">
                          <w:t xml:space="preserve">—For a QSE that has been granted a fuel dispute per Section 9.14.7, Disputes for RUC Make-Whole Payment for Fuel Costs, the fuel cost adder is calculated as the volume-weighted average actual fuel price times the output-level average heat rate for Resource </w:t>
                        </w:r>
                        <w:r w:rsidRPr="00821A49">
                          <w:rPr>
                            <w:i/>
                          </w:rPr>
                          <w:t xml:space="preserve">r </w:t>
                        </w:r>
                        <w:r w:rsidRPr="00821A49">
                          <w:t xml:space="preserve">represented by QSE </w:t>
                        </w:r>
                        <w:r w:rsidRPr="00821A49">
                          <w:rPr>
                            <w:i/>
                          </w:rPr>
                          <w:t>q</w:t>
                        </w:r>
                        <w:r w:rsidRPr="00821A49">
                          <w:t xml:space="preserve">, for the Resource’s generation above LSL, for the Settlement Interval </w:t>
                        </w:r>
                        <w:r w:rsidRPr="00821A49">
                          <w:rPr>
                            <w:i/>
                            <w:iCs w:val="0"/>
                          </w:rPr>
                          <w:t>i</w:t>
                        </w:r>
                        <w:r w:rsidRPr="00821A49">
                          <w:t>, minus the RTEOCOST.</w:t>
                        </w:r>
                        <w:r w:rsidRPr="00821A49">
                          <w:rPr>
                            <w:i/>
                          </w:rPr>
                          <w:t xml:space="preserve">  </w:t>
                        </w:r>
                        <w:r w:rsidRPr="00821A49">
                          <w:t xml:space="preserve">When one or more Combined Cycle Generation Resources are committed by RUC, RUCFCA is calculated for the Combined Cycle Train for all RUC-Committed Combined Cycle Generation Resources. </w:t>
                        </w:r>
                      </w:p>
                      <w:p w14:paraId="3BF3ADE6" w14:textId="117BAA84" w:rsidR="00821A49" w:rsidRPr="00821A49" w:rsidRDefault="00821A49" w:rsidP="00821A49">
                        <w:pPr>
                          <w:pStyle w:val="TableBody"/>
                        </w:pPr>
                        <w:r w:rsidRPr="00821A49">
                          <w:t xml:space="preserve">The average heat rate for the Resource is the Average Heat Rate at the output level at Settlement Interval </w:t>
                        </w:r>
                        <w:r w:rsidRPr="00821A49">
                          <w:rPr>
                            <w:i/>
                            <w:iCs w:val="0"/>
                          </w:rPr>
                          <w:t>i</w:t>
                        </w:r>
                        <w:r w:rsidRPr="00821A49">
                          <w:t xml:space="preserve">, resulting from the input-output coefficients submitted with verifiable costs, if available, otherwise the heat rate value defined in Section 4.4.9.3.3.  </w:t>
                        </w:r>
                      </w:p>
                      <w:p w14:paraId="1E73A4F2" w14:textId="0E631E2F" w:rsidR="00821A49" w:rsidRPr="006A0091" w:rsidRDefault="00821A49" w:rsidP="00821A49">
                        <w:pPr>
                          <w:spacing w:after="60"/>
                          <w:rPr>
                            <w:iCs/>
                            <w:sz w:val="20"/>
                          </w:rPr>
                        </w:pPr>
                        <w:r w:rsidRPr="00821A49">
                          <w:rPr>
                            <w:sz w:val="20"/>
                          </w:rPr>
                          <w:t>The volume-weighted average actual fuel price must be proven by the QSE by submitting a dispute per Section 9.14.7.</w:t>
                        </w:r>
                        <w:r w:rsidRPr="00983004">
                          <w:t xml:space="preserve">  </w:t>
                        </w:r>
                      </w:p>
                    </w:tc>
                  </w:tr>
                </w:tbl>
                <w:p w14:paraId="662FE455" w14:textId="77777777" w:rsidR="00821A49" w:rsidRPr="00230A81" w:rsidRDefault="00821A49" w:rsidP="00821A49">
                  <w:pPr>
                    <w:tabs>
                      <w:tab w:val="left" w:pos="2340"/>
                      <w:tab w:val="left" w:pos="3420"/>
                    </w:tabs>
                    <w:spacing w:after="240"/>
                    <w:rPr>
                      <w:b/>
                      <w:bCs/>
                    </w:rPr>
                  </w:pPr>
                </w:p>
              </w:tc>
            </w:tr>
          </w:tbl>
          <w:p w14:paraId="1214B4DD" w14:textId="77777777" w:rsidR="00821A49" w:rsidRPr="00B34C5D" w:rsidRDefault="00821A49" w:rsidP="006370A1">
            <w:pPr>
              <w:pStyle w:val="TableBody"/>
              <w:rPr>
                <w:i/>
              </w:rPr>
            </w:pPr>
          </w:p>
        </w:tc>
      </w:tr>
      <w:tr w:rsidR="00F80C33" w14:paraId="7ABB836A" w14:textId="77777777" w:rsidTr="004738F9">
        <w:trPr>
          <w:cantSplit/>
        </w:trPr>
        <w:tc>
          <w:tcPr>
            <w:tcW w:w="881" w:type="pct"/>
          </w:tcPr>
          <w:p w14:paraId="2D1E5CB5" w14:textId="77777777" w:rsidR="00F80C33" w:rsidRDefault="00723BFB">
            <w:pPr>
              <w:pStyle w:val="TableBody"/>
            </w:pPr>
            <w:r>
              <w:t>LSL</w:t>
            </w:r>
            <w:r w:rsidR="006370A1">
              <w:t xml:space="preserve"> </w:t>
            </w:r>
            <w:r w:rsidRPr="00B34C5D">
              <w:rPr>
                <w:i/>
                <w:vertAlign w:val="subscript"/>
              </w:rPr>
              <w:t>q,</w:t>
            </w:r>
            <w:r w:rsidR="006370A1">
              <w:rPr>
                <w:i/>
                <w:vertAlign w:val="subscript"/>
              </w:rPr>
              <w:t xml:space="preserve"> </w:t>
            </w:r>
            <w:r w:rsidRPr="00B34C5D">
              <w:rPr>
                <w:i/>
                <w:vertAlign w:val="subscript"/>
              </w:rPr>
              <w:t>r,</w:t>
            </w:r>
            <w:r w:rsidR="006370A1">
              <w:rPr>
                <w:i/>
                <w:vertAlign w:val="subscript"/>
              </w:rPr>
              <w:t xml:space="preserve"> </w:t>
            </w:r>
            <w:r w:rsidRPr="00B34C5D">
              <w:rPr>
                <w:i/>
                <w:vertAlign w:val="subscript"/>
              </w:rPr>
              <w:t>i</w:t>
            </w:r>
          </w:p>
        </w:tc>
        <w:tc>
          <w:tcPr>
            <w:tcW w:w="471" w:type="pct"/>
          </w:tcPr>
          <w:p w14:paraId="00D75FFA" w14:textId="77777777" w:rsidR="00F80C33" w:rsidRDefault="00723BFB" w:rsidP="00B34C5D">
            <w:pPr>
              <w:pStyle w:val="TableBody"/>
              <w:jc w:val="center"/>
            </w:pPr>
            <w:r>
              <w:t>MW</w:t>
            </w:r>
          </w:p>
        </w:tc>
        <w:tc>
          <w:tcPr>
            <w:tcW w:w="3648" w:type="pct"/>
          </w:tcPr>
          <w:p w14:paraId="6189B397" w14:textId="77777777" w:rsidR="00F80C33" w:rsidRDefault="00723BFB" w:rsidP="00FD44DA">
            <w:pPr>
              <w:pStyle w:val="TableBody"/>
            </w:pPr>
            <w:r w:rsidRPr="00B34C5D">
              <w:rPr>
                <w:i/>
              </w:rPr>
              <w:t>Low Sustained Limit</w:t>
            </w:r>
            <w:r>
              <w:t xml:space="preserve">—The </w:t>
            </w:r>
            <w:r w:rsidR="00FD44DA">
              <w:t>LSL</w:t>
            </w:r>
            <w:r>
              <w:t xml:space="preserve"> of Generation Resource </w:t>
            </w:r>
            <w:r w:rsidRPr="00B34C5D">
              <w:rPr>
                <w:i/>
              </w:rPr>
              <w:t>r</w:t>
            </w:r>
            <w:r>
              <w:t xml:space="preserve"> represented by QSE </w:t>
            </w:r>
            <w:r w:rsidRPr="00B34C5D">
              <w:rPr>
                <w:i/>
              </w:rPr>
              <w:t>q</w:t>
            </w:r>
            <w:r>
              <w:t xml:space="preserve"> for the hour that includes the Settlement Interval </w:t>
            </w:r>
            <w:r w:rsidRPr="00B34C5D">
              <w:rPr>
                <w:i/>
              </w:rPr>
              <w:t>i</w:t>
            </w:r>
            <w:r>
              <w:t>, as submitted in the COP.</w:t>
            </w:r>
            <w:r w:rsidR="00FD44DA">
              <w:t xml:space="preserve">  Where for a Combined Cycle Train, the Resource </w:t>
            </w:r>
            <w:r w:rsidR="00FD44DA" w:rsidRPr="00B34C5D">
              <w:rPr>
                <w:i/>
              </w:rPr>
              <w:t>r</w:t>
            </w:r>
            <w:r w:rsidR="00FD44DA">
              <w:rPr>
                <w:i/>
              </w:rPr>
              <w:t xml:space="preserve"> </w:t>
            </w:r>
            <w:r w:rsidR="00FD44DA" w:rsidRPr="001C65E0">
              <w:t xml:space="preserve">is a </w:t>
            </w:r>
            <w:r w:rsidR="00FD44DA">
              <w:t>Combined Cycle Generation Resource within the Combined Cycle Train.</w:t>
            </w:r>
            <w:r>
              <w:t xml:space="preserve">  </w:t>
            </w:r>
          </w:p>
        </w:tc>
      </w:tr>
      <w:tr w:rsidR="00F8316F" w14:paraId="51B90701" w14:textId="77777777" w:rsidTr="004738F9">
        <w:trPr>
          <w:cantSplit/>
        </w:trPr>
        <w:tc>
          <w:tcPr>
            <w:tcW w:w="5000" w:type="pct"/>
            <w:gridSpan w:val="3"/>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098"/>
            </w:tblGrid>
            <w:tr w:rsidR="00F8316F" w:rsidRPr="007A7A3D" w14:paraId="6240CC2C" w14:textId="77777777" w:rsidTr="00FD6A54">
              <w:trPr>
                <w:trHeight w:val="1205"/>
              </w:trPr>
              <w:tc>
                <w:tcPr>
                  <w:tcW w:w="9350" w:type="dxa"/>
                  <w:shd w:val="pct12" w:color="auto" w:fill="auto"/>
                </w:tcPr>
                <w:p w14:paraId="6F4232B4" w14:textId="0C2954FB" w:rsidR="00F8316F" w:rsidRPr="004B32CF" w:rsidRDefault="00F8316F" w:rsidP="00F8316F">
                  <w:pPr>
                    <w:spacing w:after="240"/>
                    <w:rPr>
                      <w:b/>
                      <w:i/>
                      <w:iCs/>
                    </w:rPr>
                  </w:pPr>
                  <w:r w:rsidRPr="004B32CF">
                    <w:rPr>
                      <w:b/>
                      <w:i/>
                      <w:iCs/>
                    </w:rPr>
                    <w:lastRenderedPageBreak/>
                    <w:t>[NPR</w:t>
                  </w:r>
                  <w:r>
                    <w:rPr>
                      <w:b/>
                      <w:i/>
                      <w:iCs/>
                    </w:rPr>
                    <w:t>R1009</w:t>
                  </w:r>
                  <w:r w:rsidR="00FD6A54">
                    <w:rPr>
                      <w:b/>
                      <w:i/>
                      <w:iCs/>
                    </w:rPr>
                    <w:t xml:space="preserve"> and NPRR1014</w:t>
                  </w:r>
                  <w:r w:rsidRPr="004B32CF">
                    <w:rPr>
                      <w:b/>
                      <w:i/>
                      <w:iCs/>
                    </w:rPr>
                    <w:t xml:space="preserve">:  </w:t>
                  </w:r>
                  <w:r>
                    <w:rPr>
                      <w:b/>
                      <w:i/>
                      <w:iCs/>
                    </w:rPr>
                    <w:t>Insert</w:t>
                  </w:r>
                  <w:r w:rsidR="00B970B6" w:rsidRPr="004B32CF">
                    <w:rPr>
                      <w:b/>
                      <w:i/>
                      <w:iCs/>
                    </w:rPr>
                    <w:t xml:space="preserve"> </w:t>
                  </w:r>
                  <w:r w:rsidR="00B970B6">
                    <w:rPr>
                      <w:b/>
                      <w:i/>
                      <w:iCs/>
                    </w:rPr>
                    <w:t xml:space="preserve">applicable </w:t>
                  </w:r>
                  <w:r>
                    <w:rPr>
                      <w:b/>
                      <w:i/>
                      <w:iCs/>
                    </w:rPr>
                    <w:t xml:space="preserve">variables below </w:t>
                  </w:r>
                  <w:r w:rsidRPr="004B32CF">
                    <w:rPr>
                      <w:b/>
                      <w:i/>
                      <w:iCs/>
                    </w:rPr>
                    <w:t>upon system implementation</w:t>
                  </w:r>
                  <w:r>
                    <w:rPr>
                      <w:b/>
                      <w:i/>
                      <w:iCs/>
                    </w:rPr>
                    <w:t xml:space="preserve"> of the Real-Time Co-Optimization (RTC) project</w:t>
                  </w:r>
                  <w:r w:rsidR="00FD6A54">
                    <w:rPr>
                      <w:b/>
                      <w:i/>
                      <w:iCs/>
                    </w:rPr>
                    <w:t xml:space="preserve"> for NPRR1009; or upon system implementation </w:t>
                  </w:r>
                  <w:r w:rsidR="003E2880">
                    <w:rPr>
                      <w:b/>
                      <w:i/>
                      <w:iCs/>
                    </w:rPr>
                    <w:t>for NPRR1014</w:t>
                  </w:r>
                  <w:r w:rsidRPr="004B32CF">
                    <w:rPr>
                      <w:b/>
                      <w:i/>
                      <w:iCs/>
                    </w:rPr>
                    <w:t>:]</w:t>
                  </w:r>
                </w:p>
                <w:tbl>
                  <w:tblPr>
                    <w:tblW w:w="885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3"/>
                    <w:gridCol w:w="840"/>
                    <w:gridCol w:w="6465"/>
                  </w:tblGrid>
                  <w:tr w:rsidR="00F8316F" w:rsidRPr="009716C5" w14:paraId="170188F0" w14:textId="77777777" w:rsidTr="00F8316F">
                    <w:trPr>
                      <w:cantSplit/>
                    </w:trPr>
                    <w:tc>
                      <w:tcPr>
                        <w:tcW w:w="877" w:type="pct"/>
                      </w:tcPr>
                      <w:p w14:paraId="59A00685" w14:textId="2B9B4B29" w:rsidR="00F8316F" w:rsidRPr="009716C5" w:rsidRDefault="00F8316F" w:rsidP="00F8316F">
                        <w:pPr>
                          <w:pStyle w:val="TableBody"/>
                        </w:pPr>
                        <w:r w:rsidRPr="00E65DD5">
                          <w:t>RT</w:t>
                        </w:r>
                        <w:r>
                          <w:t>AS</w:t>
                        </w:r>
                        <w:r w:rsidRPr="008414E2">
                          <w:t xml:space="preserve">REV </w:t>
                        </w:r>
                        <w:r w:rsidRPr="008414E2">
                          <w:rPr>
                            <w:i/>
                            <w:iCs w:val="0"/>
                            <w:vertAlign w:val="subscript"/>
                          </w:rPr>
                          <w:t>q, r, i</w:t>
                        </w:r>
                      </w:p>
                    </w:tc>
                    <w:tc>
                      <w:tcPr>
                        <w:tcW w:w="474" w:type="pct"/>
                      </w:tcPr>
                      <w:p w14:paraId="6B270224" w14:textId="16503DAD" w:rsidR="00F8316F" w:rsidRPr="009716C5" w:rsidRDefault="00F8316F" w:rsidP="00F8316F">
                        <w:pPr>
                          <w:pStyle w:val="TableBody"/>
                          <w:jc w:val="center"/>
                        </w:pPr>
                        <w:r>
                          <w:rPr>
                            <w:iCs w:val="0"/>
                          </w:rPr>
                          <w:t>$</w:t>
                        </w:r>
                      </w:p>
                    </w:tc>
                    <w:tc>
                      <w:tcPr>
                        <w:tcW w:w="3649" w:type="pct"/>
                      </w:tcPr>
                      <w:p w14:paraId="528A1983" w14:textId="2D8DE28C" w:rsidR="00F8316F" w:rsidRPr="009716C5" w:rsidRDefault="00F8316F" w:rsidP="00F8316F">
                        <w:pPr>
                          <w:pStyle w:val="TableBody"/>
                        </w:pPr>
                        <w:r w:rsidRPr="008414E2">
                          <w:rPr>
                            <w:i/>
                            <w:iCs w:val="0"/>
                          </w:rPr>
                          <w:t>Real-Time Ancillary Service Revenue</w:t>
                        </w:r>
                        <w:r>
                          <w:rPr>
                            <w:iCs w:val="0"/>
                          </w:rPr>
                          <w:t xml:space="preserve"> </w:t>
                        </w:r>
                        <w:r w:rsidRPr="008414E2">
                          <w:rPr>
                            <w:iCs w:val="0"/>
                          </w:rPr>
                          <w:t xml:space="preserve">— The </w:t>
                        </w:r>
                        <w:r>
                          <w:rPr>
                            <w:iCs w:val="0"/>
                          </w:rPr>
                          <w:t xml:space="preserve">total </w:t>
                        </w:r>
                        <w:r w:rsidRPr="008414E2">
                          <w:rPr>
                            <w:iCs w:val="0"/>
                          </w:rPr>
                          <w:t xml:space="preserve">Real-Time </w:t>
                        </w:r>
                        <w:r>
                          <w:rPr>
                            <w:iCs w:val="0"/>
                          </w:rPr>
                          <w:t xml:space="preserve">Ancillary Service </w:t>
                        </w:r>
                        <w:r w:rsidRPr="008414E2">
                          <w:rPr>
                            <w:iCs w:val="0"/>
                          </w:rPr>
                          <w:t xml:space="preserve">revenue for QSE </w:t>
                        </w:r>
                        <w:r w:rsidRPr="008414E2">
                          <w:rPr>
                            <w:i/>
                            <w:iCs w:val="0"/>
                          </w:rPr>
                          <w:t>q</w:t>
                        </w:r>
                        <w:r w:rsidRPr="008414E2">
                          <w:rPr>
                            <w:iCs w:val="0"/>
                          </w:rPr>
                          <w:t xml:space="preserve"> </w:t>
                        </w:r>
                        <w:r>
                          <w:rPr>
                            <w:iCs w:val="0"/>
                          </w:rPr>
                          <w:t>calculated for</w:t>
                        </w:r>
                        <w:r w:rsidRPr="00121157">
                          <w:rPr>
                            <w:iCs w:val="0"/>
                          </w:rPr>
                          <w:t xml:space="preserve"> Resource </w:t>
                        </w:r>
                        <w:r w:rsidRPr="008414E2">
                          <w:rPr>
                            <w:i/>
                            <w:iCs w:val="0"/>
                          </w:rPr>
                          <w:t>r</w:t>
                        </w:r>
                        <w:r w:rsidRPr="0010403A">
                          <w:rPr>
                            <w:iCs w:val="0"/>
                          </w:rPr>
                          <w:t xml:space="preserve"> </w:t>
                        </w:r>
                        <w:r w:rsidRPr="008414E2">
                          <w:rPr>
                            <w:iCs w:val="0"/>
                          </w:rPr>
                          <w:t xml:space="preserve">for the 15-minute Settlement </w:t>
                        </w:r>
                        <w:r>
                          <w:rPr>
                            <w:iCs w:val="0"/>
                          </w:rPr>
                          <w:t>I</w:t>
                        </w:r>
                        <w:r w:rsidRPr="008414E2">
                          <w:rPr>
                            <w:iCs w:val="0"/>
                          </w:rPr>
                          <w:t xml:space="preserve">nterval </w:t>
                        </w:r>
                        <w:r w:rsidRPr="008414E2">
                          <w:rPr>
                            <w:i/>
                            <w:iCs w:val="0"/>
                          </w:rPr>
                          <w:t>i</w:t>
                        </w:r>
                        <w:r w:rsidRPr="008414E2">
                          <w:rPr>
                            <w:iCs w:val="0"/>
                          </w:rPr>
                          <w:t xml:space="preserve">. </w:t>
                        </w:r>
                        <w:r w:rsidR="00B970B6">
                          <w:rPr>
                            <w:iCs w:val="0"/>
                          </w:rPr>
                          <w:t xml:space="preserve"> </w:t>
                        </w:r>
                        <w:r w:rsidRPr="00BE2778">
                          <w:rPr>
                            <w:iCs w:val="0"/>
                          </w:rPr>
                          <w:t xml:space="preserve">Where for a Combined Cycle Train, the Resource </w:t>
                        </w:r>
                        <w:r w:rsidRPr="008414E2">
                          <w:rPr>
                            <w:i/>
                            <w:iCs w:val="0"/>
                          </w:rPr>
                          <w:t>r</w:t>
                        </w:r>
                        <w:r w:rsidRPr="00BE2778">
                          <w:rPr>
                            <w:iCs w:val="0"/>
                          </w:rPr>
                          <w:t xml:space="preserve"> is the Combined Cycle Train.</w:t>
                        </w:r>
                      </w:p>
                    </w:tc>
                  </w:tr>
                  <w:tr w:rsidR="00F8316F" w:rsidRPr="009716C5" w14:paraId="62F0FB16" w14:textId="77777777" w:rsidTr="00F8316F">
                    <w:trPr>
                      <w:cantSplit/>
                    </w:trPr>
                    <w:tc>
                      <w:tcPr>
                        <w:tcW w:w="877" w:type="pct"/>
                      </w:tcPr>
                      <w:p w14:paraId="3B4389A7" w14:textId="643AF02F" w:rsidR="00F8316F" w:rsidRPr="009716C5" w:rsidRDefault="00F8316F" w:rsidP="00F8316F">
                        <w:pPr>
                          <w:pStyle w:val="TableBody"/>
                        </w:pPr>
                        <w:r w:rsidRPr="008414E2">
                          <w:rPr>
                            <w:iCs w:val="0"/>
                          </w:rPr>
                          <w:t xml:space="preserve">RTRUREV </w:t>
                        </w:r>
                        <w:r w:rsidRPr="008414E2">
                          <w:rPr>
                            <w:i/>
                            <w:iCs w:val="0"/>
                            <w:vertAlign w:val="subscript"/>
                          </w:rPr>
                          <w:t>q, r, i</w:t>
                        </w:r>
                      </w:p>
                    </w:tc>
                    <w:tc>
                      <w:tcPr>
                        <w:tcW w:w="474" w:type="pct"/>
                      </w:tcPr>
                      <w:p w14:paraId="2904AB94" w14:textId="441D1C7B" w:rsidR="00F8316F" w:rsidRPr="009716C5" w:rsidRDefault="00F8316F" w:rsidP="00F8316F">
                        <w:pPr>
                          <w:pStyle w:val="TableBody"/>
                          <w:jc w:val="center"/>
                        </w:pPr>
                        <w:r w:rsidRPr="008414E2">
                          <w:rPr>
                            <w:iCs w:val="0"/>
                          </w:rPr>
                          <w:t>$</w:t>
                        </w:r>
                      </w:p>
                    </w:tc>
                    <w:tc>
                      <w:tcPr>
                        <w:tcW w:w="3649" w:type="pct"/>
                      </w:tcPr>
                      <w:p w14:paraId="3337136D" w14:textId="7C08E08F" w:rsidR="00F8316F" w:rsidRPr="00B34C5D" w:rsidRDefault="00F8316F" w:rsidP="00127C46">
                        <w:pPr>
                          <w:pStyle w:val="TableBody"/>
                          <w:rPr>
                            <w:i/>
                          </w:rPr>
                        </w:pPr>
                        <w:r w:rsidRPr="008414E2">
                          <w:rPr>
                            <w:i/>
                            <w:iCs w:val="0"/>
                          </w:rPr>
                          <w:t>Real-Time Reg-Up Revenue</w:t>
                        </w:r>
                        <w:r>
                          <w:rPr>
                            <w:i/>
                            <w:iCs w:val="0"/>
                          </w:rPr>
                          <w:t xml:space="preserve"> </w:t>
                        </w:r>
                        <w:r w:rsidRPr="008414E2">
                          <w:rPr>
                            <w:iCs w:val="0"/>
                          </w:rPr>
                          <w:t xml:space="preserve">— The Real-Time Reg-Up revenue for QSE </w:t>
                        </w:r>
                        <w:r w:rsidRPr="008414E2">
                          <w:rPr>
                            <w:i/>
                            <w:iCs w:val="0"/>
                          </w:rPr>
                          <w:t>q</w:t>
                        </w:r>
                        <w:r w:rsidRPr="008414E2">
                          <w:rPr>
                            <w:iCs w:val="0"/>
                          </w:rPr>
                          <w:t xml:space="preserve"> </w:t>
                        </w:r>
                        <w:r>
                          <w:rPr>
                            <w:iCs w:val="0"/>
                          </w:rPr>
                          <w:t>calculated for</w:t>
                        </w:r>
                        <w:r w:rsidRPr="00121157">
                          <w:rPr>
                            <w:iCs w:val="0"/>
                          </w:rPr>
                          <w:t xml:space="preserve"> Resource </w:t>
                        </w:r>
                        <w:r w:rsidRPr="008414E2">
                          <w:rPr>
                            <w:i/>
                            <w:iCs w:val="0"/>
                          </w:rPr>
                          <w:t>r</w:t>
                        </w:r>
                        <w:r w:rsidRPr="0010403A">
                          <w:rPr>
                            <w:iCs w:val="0"/>
                          </w:rPr>
                          <w:t xml:space="preserve"> </w:t>
                        </w:r>
                        <w:r w:rsidRPr="008414E2">
                          <w:rPr>
                            <w:iCs w:val="0"/>
                          </w:rPr>
                          <w:t xml:space="preserve">for the 15-minute Settlement </w:t>
                        </w:r>
                        <w:r>
                          <w:rPr>
                            <w:iCs w:val="0"/>
                          </w:rPr>
                          <w:t>I</w:t>
                        </w:r>
                        <w:r w:rsidRPr="008414E2">
                          <w:rPr>
                            <w:iCs w:val="0"/>
                          </w:rPr>
                          <w:t xml:space="preserve">nterval </w:t>
                        </w:r>
                        <w:r w:rsidRPr="008414E2">
                          <w:rPr>
                            <w:i/>
                            <w:iCs w:val="0"/>
                          </w:rPr>
                          <w:t>i</w:t>
                        </w:r>
                        <w:r w:rsidRPr="008414E2">
                          <w:rPr>
                            <w:iCs w:val="0"/>
                          </w:rPr>
                          <w:t>.  See Section 6.7.5</w:t>
                        </w:r>
                        <w:r w:rsidR="00127C46">
                          <w:rPr>
                            <w:iCs w:val="0"/>
                          </w:rPr>
                          <w:t xml:space="preserve">, Real-Time Ancillary Service Imbalance </w:t>
                        </w:r>
                        <w:proofErr w:type="gramStart"/>
                        <w:r w:rsidR="00127C46">
                          <w:rPr>
                            <w:iCs w:val="0"/>
                          </w:rPr>
                          <w:t>Payment</w:t>
                        </w:r>
                        <w:proofErr w:type="gramEnd"/>
                        <w:r w:rsidR="00127C46">
                          <w:rPr>
                            <w:iCs w:val="0"/>
                          </w:rPr>
                          <w:t xml:space="preserve"> or Charge</w:t>
                        </w:r>
                        <w:r w:rsidRPr="008414E2">
                          <w:rPr>
                            <w:iCs w:val="0"/>
                          </w:rPr>
                          <w:t xml:space="preserve">.  Where for a Combined Cycle Train, the Resource </w:t>
                        </w:r>
                        <w:r w:rsidRPr="008414E2">
                          <w:rPr>
                            <w:i/>
                            <w:iCs w:val="0"/>
                          </w:rPr>
                          <w:t>r</w:t>
                        </w:r>
                        <w:r w:rsidRPr="008414E2">
                          <w:rPr>
                            <w:iCs w:val="0"/>
                          </w:rPr>
                          <w:t xml:space="preserve"> is the Combined Cycle Train.</w:t>
                        </w:r>
                      </w:p>
                    </w:tc>
                  </w:tr>
                  <w:tr w:rsidR="00F8316F" w:rsidRPr="009716C5" w14:paraId="004CE79C" w14:textId="77777777" w:rsidTr="00F8316F">
                    <w:trPr>
                      <w:cantSplit/>
                    </w:trPr>
                    <w:tc>
                      <w:tcPr>
                        <w:tcW w:w="877" w:type="pct"/>
                      </w:tcPr>
                      <w:p w14:paraId="79DB9E73" w14:textId="7778818E" w:rsidR="00F8316F" w:rsidRPr="009716C5" w:rsidRDefault="00F8316F" w:rsidP="00F8316F">
                        <w:pPr>
                          <w:pStyle w:val="TableBody"/>
                        </w:pPr>
                        <w:r w:rsidRPr="008414E2">
                          <w:rPr>
                            <w:iCs w:val="0"/>
                          </w:rPr>
                          <w:t>RTR</w:t>
                        </w:r>
                        <w:r w:rsidRPr="00E65DD5">
                          <w:rPr>
                            <w:iCs w:val="0"/>
                          </w:rPr>
                          <w:t>D</w:t>
                        </w:r>
                        <w:r w:rsidRPr="008414E2">
                          <w:rPr>
                            <w:iCs w:val="0"/>
                          </w:rPr>
                          <w:t xml:space="preserve">REV </w:t>
                        </w:r>
                        <w:r w:rsidRPr="008414E2">
                          <w:rPr>
                            <w:i/>
                            <w:iCs w:val="0"/>
                            <w:vertAlign w:val="subscript"/>
                          </w:rPr>
                          <w:t>q, r, i</w:t>
                        </w:r>
                      </w:p>
                    </w:tc>
                    <w:tc>
                      <w:tcPr>
                        <w:tcW w:w="474" w:type="pct"/>
                      </w:tcPr>
                      <w:p w14:paraId="795A95D7" w14:textId="650F18A6" w:rsidR="00F8316F" w:rsidRPr="009716C5" w:rsidRDefault="00F8316F" w:rsidP="00F8316F">
                        <w:pPr>
                          <w:pStyle w:val="TableBody"/>
                          <w:jc w:val="center"/>
                        </w:pPr>
                        <w:r w:rsidRPr="008414E2">
                          <w:rPr>
                            <w:iCs w:val="0"/>
                          </w:rPr>
                          <w:t>$</w:t>
                        </w:r>
                      </w:p>
                    </w:tc>
                    <w:tc>
                      <w:tcPr>
                        <w:tcW w:w="3649" w:type="pct"/>
                      </w:tcPr>
                      <w:p w14:paraId="233340E2" w14:textId="0F318015" w:rsidR="00F8316F" w:rsidRPr="00B34C5D" w:rsidRDefault="00F8316F" w:rsidP="00F8316F">
                        <w:pPr>
                          <w:pStyle w:val="TableBody"/>
                          <w:rPr>
                            <w:i/>
                          </w:rPr>
                        </w:pPr>
                        <w:r w:rsidRPr="008414E2">
                          <w:rPr>
                            <w:i/>
                            <w:iCs w:val="0"/>
                          </w:rPr>
                          <w:t>Real-Time Reg-Down Revenue</w:t>
                        </w:r>
                        <w:r>
                          <w:rPr>
                            <w:i/>
                            <w:iCs w:val="0"/>
                          </w:rPr>
                          <w:t xml:space="preserve"> </w:t>
                        </w:r>
                        <w:r w:rsidRPr="008414E2">
                          <w:rPr>
                            <w:iCs w:val="0"/>
                          </w:rPr>
                          <w:t>— The Real-Time R</w:t>
                        </w:r>
                        <w:r w:rsidRPr="00E65DD5">
                          <w:rPr>
                            <w:iCs w:val="0"/>
                          </w:rPr>
                          <w:t>eg-</w:t>
                        </w:r>
                        <w:r w:rsidRPr="008414E2">
                          <w:rPr>
                            <w:iCs w:val="0"/>
                          </w:rPr>
                          <w:t>D</w:t>
                        </w:r>
                        <w:r>
                          <w:rPr>
                            <w:iCs w:val="0"/>
                          </w:rPr>
                          <w:t>ow</w:t>
                        </w:r>
                        <w:r w:rsidRPr="00E65DD5">
                          <w:rPr>
                            <w:iCs w:val="0"/>
                          </w:rPr>
                          <w:t>n</w:t>
                        </w:r>
                        <w:r w:rsidRPr="008414E2">
                          <w:rPr>
                            <w:iCs w:val="0"/>
                          </w:rPr>
                          <w:t xml:space="preserve"> revenue for QSE </w:t>
                        </w:r>
                        <w:r w:rsidRPr="008414E2">
                          <w:rPr>
                            <w:i/>
                            <w:iCs w:val="0"/>
                          </w:rPr>
                          <w:t>q</w:t>
                        </w:r>
                        <w:r w:rsidRPr="008414E2">
                          <w:rPr>
                            <w:iCs w:val="0"/>
                          </w:rPr>
                          <w:t xml:space="preserve"> </w:t>
                        </w:r>
                        <w:r>
                          <w:rPr>
                            <w:iCs w:val="0"/>
                          </w:rPr>
                          <w:t>calculated for</w:t>
                        </w:r>
                        <w:r w:rsidRPr="00121157">
                          <w:rPr>
                            <w:iCs w:val="0"/>
                          </w:rPr>
                          <w:t xml:space="preserve"> Resource </w:t>
                        </w:r>
                        <w:r w:rsidRPr="008414E2">
                          <w:rPr>
                            <w:i/>
                            <w:iCs w:val="0"/>
                          </w:rPr>
                          <w:t>r</w:t>
                        </w:r>
                        <w:r w:rsidRPr="0010403A">
                          <w:rPr>
                            <w:iCs w:val="0"/>
                          </w:rPr>
                          <w:t xml:space="preserve"> </w:t>
                        </w:r>
                        <w:r w:rsidRPr="008414E2">
                          <w:rPr>
                            <w:iCs w:val="0"/>
                          </w:rPr>
                          <w:t xml:space="preserve">for the 15-minute Settlement </w:t>
                        </w:r>
                        <w:r>
                          <w:rPr>
                            <w:iCs w:val="0"/>
                          </w:rPr>
                          <w:t>I</w:t>
                        </w:r>
                        <w:r w:rsidRPr="008414E2">
                          <w:rPr>
                            <w:iCs w:val="0"/>
                          </w:rPr>
                          <w:t xml:space="preserve">nterval </w:t>
                        </w:r>
                        <w:r w:rsidRPr="008414E2">
                          <w:rPr>
                            <w:i/>
                            <w:iCs w:val="0"/>
                          </w:rPr>
                          <w:t>i</w:t>
                        </w:r>
                        <w:r w:rsidRPr="008414E2">
                          <w:rPr>
                            <w:iCs w:val="0"/>
                          </w:rPr>
                          <w:t xml:space="preserve">.  See Section 6.7.5.  Where for a Combined Cycle Train, the Resource </w:t>
                        </w:r>
                        <w:r w:rsidRPr="008414E2">
                          <w:rPr>
                            <w:i/>
                            <w:iCs w:val="0"/>
                          </w:rPr>
                          <w:t>r</w:t>
                        </w:r>
                        <w:r w:rsidRPr="008414E2">
                          <w:rPr>
                            <w:iCs w:val="0"/>
                          </w:rPr>
                          <w:t xml:space="preserve"> is the Combined Cycle Train.</w:t>
                        </w:r>
                      </w:p>
                    </w:tc>
                  </w:tr>
                  <w:tr w:rsidR="00F8316F" w:rsidRPr="009716C5" w14:paraId="14B6CD72" w14:textId="77777777" w:rsidTr="00F8316F">
                    <w:trPr>
                      <w:cantSplit/>
                    </w:trPr>
                    <w:tc>
                      <w:tcPr>
                        <w:tcW w:w="877" w:type="pct"/>
                      </w:tcPr>
                      <w:p w14:paraId="7F0868F8" w14:textId="790B6F0E" w:rsidR="00F8316F" w:rsidRPr="009716C5" w:rsidRDefault="00F8316F" w:rsidP="00F8316F">
                        <w:pPr>
                          <w:pStyle w:val="TableBody"/>
                        </w:pPr>
                        <w:r w:rsidRPr="008414E2">
                          <w:rPr>
                            <w:iCs w:val="0"/>
                          </w:rPr>
                          <w:t>RTR</w:t>
                        </w:r>
                        <w:r w:rsidRPr="00E65DD5">
                          <w:rPr>
                            <w:iCs w:val="0"/>
                          </w:rPr>
                          <w:t>R</w:t>
                        </w:r>
                        <w:r w:rsidRPr="008414E2">
                          <w:rPr>
                            <w:iCs w:val="0"/>
                          </w:rPr>
                          <w:t xml:space="preserve">REV </w:t>
                        </w:r>
                        <w:r w:rsidRPr="008414E2">
                          <w:rPr>
                            <w:i/>
                            <w:iCs w:val="0"/>
                            <w:vertAlign w:val="subscript"/>
                          </w:rPr>
                          <w:t>q, r, i</w:t>
                        </w:r>
                      </w:p>
                    </w:tc>
                    <w:tc>
                      <w:tcPr>
                        <w:tcW w:w="474" w:type="pct"/>
                      </w:tcPr>
                      <w:p w14:paraId="00AFE543" w14:textId="46B06C96" w:rsidR="00F8316F" w:rsidRPr="009716C5" w:rsidRDefault="00F8316F" w:rsidP="00F8316F">
                        <w:pPr>
                          <w:pStyle w:val="TableBody"/>
                          <w:jc w:val="center"/>
                        </w:pPr>
                        <w:r w:rsidRPr="008414E2">
                          <w:rPr>
                            <w:iCs w:val="0"/>
                          </w:rPr>
                          <w:t>$</w:t>
                        </w:r>
                      </w:p>
                    </w:tc>
                    <w:tc>
                      <w:tcPr>
                        <w:tcW w:w="3649" w:type="pct"/>
                      </w:tcPr>
                      <w:p w14:paraId="76FAF5DB" w14:textId="7942A41C" w:rsidR="00F8316F" w:rsidRPr="00B34C5D" w:rsidRDefault="00F8316F" w:rsidP="00F8316F">
                        <w:pPr>
                          <w:pStyle w:val="TableBody"/>
                          <w:rPr>
                            <w:i/>
                          </w:rPr>
                        </w:pPr>
                        <w:r w:rsidRPr="008414E2">
                          <w:rPr>
                            <w:i/>
                            <w:iCs w:val="0"/>
                          </w:rPr>
                          <w:t>Real-Time Responsive Reserve Revenue</w:t>
                        </w:r>
                        <w:r>
                          <w:rPr>
                            <w:i/>
                            <w:iCs w:val="0"/>
                          </w:rPr>
                          <w:t xml:space="preserve"> </w:t>
                        </w:r>
                        <w:r w:rsidRPr="008414E2">
                          <w:rPr>
                            <w:iCs w:val="0"/>
                          </w:rPr>
                          <w:t xml:space="preserve">— The Real-Time RRS revenue for QSE </w:t>
                        </w:r>
                        <w:r w:rsidRPr="008414E2">
                          <w:rPr>
                            <w:i/>
                            <w:iCs w:val="0"/>
                          </w:rPr>
                          <w:t>q</w:t>
                        </w:r>
                        <w:r w:rsidRPr="008414E2">
                          <w:rPr>
                            <w:iCs w:val="0"/>
                          </w:rPr>
                          <w:t xml:space="preserve"> </w:t>
                        </w:r>
                        <w:r>
                          <w:rPr>
                            <w:iCs w:val="0"/>
                          </w:rPr>
                          <w:t>calculated for</w:t>
                        </w:r>
                        <w:r w:rsidRPr="00121157">
                          <w:rPr>
                            <w:iCs w:val="0"/>
                          </w:rPr>
                          <w:t xml:space="preserve"> Resource </w:t>
                        </w:r>
                        <w:r w:rsidRPr="008414E2">
                          <w:rPr>
                            <w:i/>
                            <w:iCs w:val="0"/>
                          </w:rPr>
                          <w:t>r</w:t>
                        </w:r>
                        <w:r w:rsidRPr="0010403A">
                          <w:rPr>
                            <w:iCs w:val="0"/>
                          </w:rPr>
                          <w:t xml:space="preserve"> </w:t>
                        </w:r>
                        <w:r w:rsidRPr="008414E2">
                          <w:rPr>
                            <w:iCs w:val="0"/>
                          </w:rPr>
                          <w:t xml:space="preserve">for the 15-minute Settlement </w:t>
                        </w:r>
                        <w:r>
                          <w:rPr>
                            <w:iCs w:val="0"/>
                          </w:rPr>
                          <w:t>I</w:t>
                        </w:r>
                        <w:r w:rsidRPr="008414E2">
                          <w:rPr>
                            <w:iCs w:val="0"/>
                          </w:rPr>
                          <w:t xml:space="preserve">nterval </w:t>
                        </w:r>
                        <w:r w:rsidRPr="008414E2">
                          <w:rPr>
                            <w:i/>
                            <w:iCs w:val="0"/>
                          </w:rPr>
                          <w:t>i</w:t>
                        </w:r>
                        <w:r w:rsidRPr="008414E2">
                          <w:rPr>
                            <w:iCs w:val="0"/>
                          </w:rPr>
                          <w:t xml:space="preserve">.  See Section 6.7.5.  Where for a Combined Cycle Train, the Resource </w:t>
                        </w:r>
                        <w:r w:rsidRPr="008414E2">
                          <w:rPr>
                            <w:i/>
                            <w:iCs w:val="0"/>
                          </w:rPr>
                          <w:t>r</w:t>
                        </w:r>
                        <w:r w:rsidRPr="008414E2">
                          <w:rPr>
                            <w:iCs w:val="0"/>
                          </w:rPr>
                          <w:t xml:space="preserve"> is the Combined Cycle Train.</w:t>
                        </w:r>
                      </w:p>
                    </w:tc>
                  </w:tr>
                  <w:tr w:rsidR="00F8316F" w:rsidRPr="009716C5" w14:paraId="3F8F58ED" w14:textId="77777777" w:rsidTr="00F8316F">
                    <w:trPr>
                      <w:cantSplit/>
                    </w:trPr>
                    <w:tc>
                      <w:tcPr>
                        <w:tcW w:w="877" w:type="pct"/>
                      </w:tcPr>
                      <w:p w14:paraId="43F4493C" w14:textId="0C9EBC6A" w:rsidR="00F8316F" w:rsidRPr="009716C5" w:rsidRDefault="00F8316F" w:rsidP="00F8316F">
                        <w:pPr>
                          <w:pStyle w:val="TableBody"/>
                        </w:pPr>
                        <w:r w:rsidRPr="008414E2">
                          <w:rPr>
                            <w:iCs w:val="0"/>
                          </w:rPr>
                          <w:t xml:space="preserve">RTNSREV </w:t>
                        </w:r>
                        <w:r w:rsidRPr="008414E2">
                          <w:rPr>
                            <w:i/>
                            <w:iCs w:val="0"/>
                            <w:vertAlign w:val="subscript"/>
                          </w:rPr>
                          <w:t>q, r, i</w:t>
                        </w:r>
                      </w:p>
                    </w:tc>
                    <w:tc>
                      <w:tcPr>
                        <w:tcW w:w="474" w:type="pct"/>
                      </w:tcPr>
                      <w:p w14:paraId="0DAA4CD4" w14:textId="40AED3E6" w:rsidR="00F8316F" w:rsidRPr="009716C5" w:rsidRDefault="00F8316F" w:rsidP="00F8316F">
                        <w:pPr>
                          <w:pStyle w:val="TableBody"/>
                          <w:jc w:val="center"/>
                        </w:pPr>
                        <w:r w:rsidRPr="008414E2">
                          <w:rPr>
                            <w:iCs w:val="0"/>
                          </w:rPr>
                          <w:t>$</w:t>
                        </w:r>
                      </w:p>
                    </w:tc>
                    <w:tc>
                      <w:tcPr>
                        <w:tcW w:w="3649" w:type="pct"/>
                      </w:tcPr>
                      <w:p w14:paraId="5952262C" w14:textId="0E03EA89" w:rsidR="00F8316F" w:rsidRPr="00B34C5D" w:rsidRDefault="00F8316F" w:rsidP="00F8316F">
                        <w:pPr>
                          <w:pStyle w:val="TableBody"/>
                          <w:rPr>
                            <w:i/>
                          </w:rPr>
                        </w:pPr>
                        <w:r w:rsidRPr="008414E2">
                          <w:rPr>
                            <w:i/>
                            <w:iCs w:val="0"/>
                          </w:rPr>
                          <w:t>Real-Time Non-Spin Revenue</w:t>
                        </w:r>
                        <w:r>
                          <w:rPr>
                            <w:i/>
                            <w:iCs w:val="0"/>
                          </w:rPr>
                          <w:t xml:space="preserve"> </w:t>
                        </w:r>
                        <w:r w:rsidRPr="008414E2">
                          <w:rPr>
                            <w:iCs w:val="0"/>
                          </w:rPr>
                          <w:t>— The Real-Time N</w:t>
                        </w:r>
                        <w:r>
                          <w:rPr>
                            <w:iCs w:val="0"/>
                          </w:rPr>
                          <w:t>on-</w:t>
                        </w:r>
                        <w:r w:rsidRPr="008414E2">
                          <w:rPr>
                            <w:iCs w:val="0"/>
                          </w:rPr>
                          <w:t>S</w:t>
                        </w:r>
                        <w:r>
                          <w:rPr>
                            <w:iCs w:val="0"/>
                          </w:rPr>
                          <w:t>pin</w:t>
                        </w:r>
                        <w:r w:rsidRPr="008414E2">
                          <w:rPr>
                            <w:iCs w:val="0"/>
                          </w:rPr>
                          <w:t xml:space="preserve"> revenue for QSE </w:t>
                        </w:r>
                        <w:r w:rsidRPr="008414E2">
                          <w:rPr>
                            <w:i/>
                            <w:iCs w:val="0"/>
                          </w:rPr>
                          <w:t>q</w:t>
                        </w:r>
                        <w:r w:rsidRPr="008414E2">
                          <w:rPr>
                            <w:iCs w:val="0"/>
                          </w:rPr>
                          <w:t xml:space="preserve"> </w:t>
                        </w:r>
                        <w:r>
                          <w:rPr>
                            <w:iCs w:val="0"/>
                          </w:rPr>
                          <w:t>calculated for</w:t>
                        </w:r>
                        <w:r w:rsidRPr="00121157">
                          <w:rPr>
                            <w:iCs w:val="0"/>
                          </w:rPr>
                          <w:t xml:space="preserve"> Resource </w:t>
                        </w:r>
                        <w:r w:rsidRPr="008414E2">
                          <w:rPr>
                            <w:i/>
                            <w:iCs w:val="0"/>
                          </w:rPr>
                          <w:t>r</w:t>
                        </w:r>
                        <w:r w:rsidRPr="0010403A">
                          <w:rPr>
                            <w:iCs w:val="0"/>
                          </w:rPr>
                          <w:t xml:space="preserve"> </w:t>
                        </w:r>
                        <w:r w:rsidRPr="008414E2">
                          <w:rPr>
                            <w:iCs w:val="0"/>
                          </w:rPr>
                          <w:t xml:space="preserve">for the 15-minute Settlement </w:t>
                        </w:r>
                        <w:r>
                          <w:rPr>
                            <w:iCs w:val="0"/>
                          </w:rPr>
                          <w:t>I</w:t>
                        </w:r>
                        <w:r w:rsidRPr="008414E2">
                          <w:rPr>
                            <w:iCs w:val="0"/>
                          </w:rPr>
                          <w:t xml:space="preserve">nterval </w:t>
                        </w:r>
                        <w:r w:rsidRPr="008414E2">
                          <w:rPr>
                            <w:i/>
                            <w:iCs w:val="0"/>
                          </w:rPr>
                          <w:t>i</w:t>
                        </w:r>
                        <w:r w:rsidRPr="008414E2">
                          <w:rPr>
                            <w:iCs w:val="0"/>
                          </w:rPr>
                          <w:t xml:space="preserve">.  </w:t>
                        </w:r>
                        <w:r w:rsidRPr="00E65DD5">
                          <w:rPr>
                            <w:iCs w:val="0"/>
                          </w:rPr>
                          <w:t xml:space="preserve">See Section 6.7.5.  </w:t>
                        </w:r>
                        <w:r w:rsidRPr="008414E2">
                          <w:rPr>
                            <w:iCs w:val="0"/>
                          </w:rPr>
                          <w:t xml:space="preserve">Where for a Combined Cycle Train, the Resource </w:t>
                        </w:r>
                        <w:r w:rsidRPr="008414E2">
                          <w:rPr>
                            <w:i/>
                            <w:iCs w:val="0"/>
                          </w:rPr>
                          <w:t>r</w:t>
                        </w:r>
                        <w:r w:rsidRPr="008414E2">
                          <w:rPr>
                            <w:iCs w:val="0"/>
                          </w:rPr>
                          <w:t xml:space="preserve"> is the Combined Cycle Train.</w:t>
                        </w:r>
                      </w:p>
                    </w:tc>
                  </w:tr>
                  <w:tr w:rsidR="00F8316F" w:rsidRPr="009716C5" w14:paraId="42BD322E" w14:textId="77777777" w:rsidTr="00F8316F">
                    <w:trPr>
                      <w:cantSplit/>
                    </w:trPr>
                    <w:tc>
                      <w:tcPr>
                        <w:tcW w:w="877" w:type="pct"/>
                      </w:tcPr>
                      <w:p w14:paraId="215E066B" w14:textId="4749444A" w:rsidR="00F8316F" w:rsidRPr="009716C5" w:rsidRDefault="00F8316F" w:rsidP="00F8316F">
                        <w:pPr>
                          <w:pStyle w:val="TableBody"/>
                        </w:pPr>
                        <w:r w:rsidRPr="008414E2">
                          <w:rPr>
                            <w:iCs w:val="0"/>
                          </w:rPr>
                          <w:t>RT</w:t>
                        </w:r>
                        <w:r>
                          <w:rPr>
                            <w:iCs w:val="0"/>
                          </w:rPr>
                          <w:t>ECR</w:t>
                        </w:r>
                        <w:r w:rsidRPr="008414E2">
                          <w:rPr>
                            <w:iCs w:val="0"/>
                          </w:rPr>
                          <w:t xml:space="preserve">REV </w:t>
                        </w:r>
                        <w:r w:rsidRPr="008414E2">
                          <w:rPr>
                            <w:i/>
                            <w:iCs w:val="0"/>
                            <w:vertAlign w:val="subscript"/>
                          </w:rPr>
                          <w:t>q, r, i</w:t>
                        </w:r>
                      </w:p>
                    </w:tc>
                    <w:tc>
                      <w:tcPr>
                        <w:tcW w:w="474" w:type="pct"/>
                      </w:tcPr>
                      <w:p w14:paraId="2F28F9EF" w14:textId="60CD9F66" w:rsidR="00F8316F" w:rsidRPr="009716C5" w:rsidRDefault="00F8316F" w:rsidP="00F8316F">
                        <w:pPr>
                          <w:pStyle w:val="TableBody"/>
                          <w:jc w:val="center"/>
                        </w:pPr>
                        <w:r w:rsidRPr="008414E2">
                          <w:rPr>
                            <w:iCs w:val="0"/>
                          </w:rPr>
                          <w:t>$</w:t>
                        </w:r>
                      </w:p>
                    </w:tc>
                    <w:tc>
                      <w:tcPr>
                        <w:tcW w:w="3649" w:type="pct"/>
                      </w:tcPr>
                      <w:p w14:paraId="52091D7D" w14:textId="4B690810" w:rsidR="00F8316F" w:rsidRPr="00B34C5D" w:rsidRDefault="00F8316F" w:rsidP="00F8316F">
                        <w:pPr>
                          <w:pStyle w:val="TableBody"/>
                          <w:rPr>
                            <w:i/>
                          </w:rPr>
                        </w:pPr>
                        <w:r w:rsidRPr="008414E2">
                          <w:rPr>
                            <w:i/>
                            <w:iCs w:val="0"/>
                          </w:rPr>
                          <w:t>Real-Time ERCOT Contingency Reserve Service Revenue</w:t>
                        </w:r>
                        <w:r>
                          <w:rPr>
                            <w:i/>
                            <w:iCs w:val="0"/>
                          </w:rPr>
                          <w:t xml:space="preserve"> </w:t>
                        </w:r>
                        <w:r w:rsidRPr="008414E2">
                          <w:rPr>
                            <w:iCs w:val="0"/>
                          </w:rPr>
                          <w:t xml:space="preserve">— The Real-Time ECRS revenue for QSE </w:t>
                        </w:r>
                        <w:r w:rsidRPr="008414E2">
                          <w:rPr>
                            <w:i/>
                            <w:iCs w:val="0"/>
                          </w:rPr>
                          <w:t>q</w:t>
                        </w:r>
                        <w:r w:rsidRPr="008414E2">
                          <w:rPr>
                            <w:iCs w:val="0"/>
                          </w:rPr>
                          <w:t xml:space="preserve"> </w:t>
                        </w:r>
                        <w:r>
                          <w:rPr>
                            <w:iCs w:val="0"/>
                          </w:rPr>
                          <w:t>calculated for</w:t>
                        </w:r>
                        <w:r w:rsidRPr="00121157">
                          <w:rPr>
                            <w:iCs w:val="0"/>
                          </w:rPr>
                          <w:t xml:space="preserve"> Resource </w:t>
                        </w:r>
                        <w:r w:rsidRPr="008414E2">
                          <w:rPr>
                            <w:i/>
                            <w:iCs w:val="0"/>
                          </w:rPr>
                          <w:t>r</w:t>
                        </w:r>
                        <w:r w:rsidRPr="0010403A">
                          <w:rPr>
                            <w:iCs w:val="0"/>
                          </w:rPr>
                          <w:t xml:space="preserve"> </w:t>
                        </w:r>
                        <w:r w:rsidRPr="008414E2">
                          <w:rPr>
                            <w:iCs w:val="0"/>
                          </w:rPr>
                          <w:t xml:space="preserve">for the 15-minute Settlement </w:t>
                        </w:r>
                        <w:r>
                          <w:rPr>
                            <w:iCs w:val="0"/>
                          </w:rPr>
                          <w:t>I</w:t>
                        </w:r>
                        <w:r w:rsidRPr="008414E2">
                          <w:rPr>
                            <w:iCs w:val="0"/>
                          </w:rPr>
                          <w:t xml:space="preserve">nterval </w:t>
                        </w:r>
                        <w:r w:rsidRPr="008414E2">
                          <w:rPr>
                            <w:i/>
                            <w:iCs w:val="0"/>
                          </w:rPr>
                          <w:t>i</w:t>
                        </w:r>
                        <w:r w:rsidRPr="008414E2">
                          <w:rPr>
                            <w:iCs w:val="0"/>
                          </w:rPr>
                          <w:t xml:space="preserve">.  See Section 6.7.5.  Where for a Combined Cycle Train, the Resource </w:t>
                        </w:r>
                        <w:r w:rsidRPr="008414E2">
                          <w:rPr>
                            <w:i/>
                            <w:iCs w:val="0"/>
                          </w:rPr>
                          <w:t>r</w:t>
                        </w:r>
                        <w:r w:rsidRPr="008414E2">
                          <w:rPr>
                            <w:iCs w:val="0"/>
                          </w:rPr>
                          <w:t xml:space="preserve"> is the Combined Cycle Train.</w:t>
                        </w:r>
                      </w:p>
                    </w:tc>
                  </w:tr>
                </w:tbl>
                <w:p w14:paraId="30EF2A91" w14:textId="77777777" w:rsidR="00F8316F" w:rsidRPr="007A7A3D" w:rsidRDefault="00F8316F" w:rsidP="00F8316F">
                  <w:pPr>
                    <w:pStyle w:val="BodyTextNumbered"/>
                  </w:pPr>
                </w:p>
              </w:tc>
            </w:tr>
          </w:tbl>
          <w:p w14:paraId="1709100A" w14:textId="77777777" w:rsidR="00F8316F" w:rsidRPr="00B34C5D" w:rsidRDefault="00F8316F">
            <w:pPr>
              <w:pStyle w:val="TableBody"/>
              <w:rPr>
                <w:i/>
              </w:rPr>
            </w:pPr>
          </w:p>
        </w:tc>
      </w:tr>
      <w:tr w:rsidR="00F80C33" w14:paraId="7173EB4F" w14:textId="77777777" w:rsidTr="004738F9">
        <w:trPr>
          <w:cantSplit/>
        </w:trPr>
        <w:tc>
          <w:tcPr>
            <w:tcW w:w="881" w:type="pct"/>
          </w:tcPr>
          <w:p w14:paraId="06AD83D4" w14:textId="77777777" w:rsidR="00F80C33" w:rsidRDefault="00723BFB">
            <w:pPr>
              <w:pStyle w:val="TableBody"/>
            </w:pPr>
            <w:r>
              <w:t>VSSVARAMT</w:t>
            </w:r>
            <w:r w:rsidR="006370A1">
              <w:t xml:space="preserve"> </w:t>
            </w:r>
            <w:r w:rsidRPr="00B34C5D">
              <w:rPr>
                <w:i/>
                <w:vertAlign w:val="subscript"/>
              </w:rPr>
              <w:t>q,</w:t>
            </w:r>
            <w:r w:rsidR="006370A1">
              <w:rPr>
                <w:i/>
                <w:vertAlign w:val="subscript"/>
              </w:rPr>
              <w:t xml:space="preserve"> </w:t>
            </w:r>
            <w:r w:rsidRPr="00B34C5D">
              <w:rPr>
                <w:i/>
                <w:vertAlign w:val="subscript"/>
              </w:rPr>
              <w:t>r,</w:t>
            </w:r>
            <w:r w:rsidR="006370A1">
              <w:rPr>
                <w:i/>
                <w:vertAlign w:val="subscript"/>
              </w:rPr>
              <w:t xml:space="preserve"> </w:t>
            </w:r>
            <w:r w:rsidRPr="00B34C5D">
              <w:rPr>
                <w:i/>
                <w:vertAlign w:val="subscript"/>
              </w:rPr>
              <w:t>i</w:t>
            </w:r>
          </w:p>
        </w:tc>
        <w:tc>
          <w:tcPr>
            <w:tcW w:w="471" w:type="pct"/>
          </w:tcPr>
          <w:p w14:paraId="49A71B7B" w14:textId="77777777" w:rsidR="00F80C33" w:rsidRDefault="00723BFB" w:rsidP="00B34C5D">
            <w:pPr>
              <w:pStyle w:val="TableBody"/>
              <w:jc w:val="center"/>
            </w:pPr>
            <w:r>
              <w:t>$</w:t>
            </w:r>
          </w:p>
        </w:tc>
        <w:tc>
          <w:tcPr>
            <w:tcW w:w="3648" w:type="pct"/>
          </w:tcPr>
          <w:p w14:paraId="19FE942E" w14:textId="77777777" w:rsidR="00FD6A54" w:rsidRPr="00B34C5D" w:rsidRDefault="00723BFB">
            <w:pPr>
              <w:pStyle w:val="TableBody"/>
              <w:rPr>
                <w:i/>
              </w:rPr>
            </w:pPr>
            <w:r w:rsidRPr="00B34C5D">
              <w:rPr>
                <w:i/>
              </w:rPr>
              <w:t xml:space="preserve">Voltage Support Service </w:t>
            </w:r>
            <w:proofErr w:type="spellStart"/>
            <w:r w:rsidR="00FD44DA">
              <w:rPr>
                <w:i/>
              </w:rPr>
              <w:t>VA</w:t>
            </w:r>
            <w:r w:rsidRPr="00B34C5D">
              <w:rPr>
                <w:i/>
              </w:rPr>
              <w:t>r</w:t>
            </w:r>
            <w:proofErr w:type="spellEnd"/>
            <w:r w:rsidRPr="00B34C5D">
              <w:rPr>
                <w:i/>
              </w:rPr>
              <w:t xml:space="preserve"> Amount by interval</w:t>
            </w:r>
            <w:r>
              <w:t xml:space="preserve">—The payment to the QSE </w:t>
            </w:r>
            <w:r w:rsidR="006370A1" w:rsidRPr="008E34C0">
              <w:rPr>
                <w:i/>
              </w:rPr>
              <w:t>q</w:t>
            </w:r>
            <w:r w:rsidR="006370A1">
              <w:t xml:space="preserve"> </w:t>
            </w:r>
            <w:r>
              <w:t xml:space="preserve">for the </w:t>
            </w:r>
            <w:r w:rsidR="00FD44DA">
              <w:t>Voltage Support Service (</w:t>
            </w:r>
            <w:r>
              <w:t>VSS</w:t>
            </w:r>
            <w:r w:rsidR="00FD44DA">
              <w:t>)</w:t>
            </w:r>
            <w:r>
              <w:t xml:space="preserve"> provided by Generation Resource</w:t>
            </w:r>
            <w:r w:rsidR="00FD44DA">
              <w:t xml:space="preserve"> </w:t>
            </w:r>
            <w:r w:rsidR="00FD44DA">
              <w:rPr>
                <w:i/>
              </w:rPr>
              <w:t>r</w:t>
            </w:r>
            <w:r>
              <w:t xml:space="preserve"> for the 15-minute Settlement Interval </w:t>
            </w:r>
            <w:r w:rsidRPr="00B34C5D">
              <w:rPr>
                <w:i/>
              </w:rPr>
              <w:t>i</w:t>
            </w:r>
            <w:r>
              <w:t>.  See Section 6.6.7.1, Voltage Support Service Payments.</w:t>
            </w:r>
            <w:r w:rsidR="00FD44DA">
              <w:t xml:space="preserve">  Payment for VSS is made to the Combined Cycle Train.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6577"/>
            </w:tblGrid>
            <w:tr w:rsidR="00FD6A54" w:rsidRPr="004B32CF" w14:paraId="0C436B56" w14:textId="77777777" w:rsidTr="00FD6A54">
              <w:trPr>
                <w:trHeight w:val="1205"/>
              </w:trPr>
              <w:tc>
                <w:tcPr>
                  <w:tcW w:w="9350" w:type="dxa"/>
                  <w:shd w:val="pct12" w:color="auto" w:fill="auto"/>
                </w:tcPr>
                <w:p w14:paraId="56876540" w14:textId="6BA274E4" w:rsidR="00FD6A54" w:rsidRPr="004B32CF" w:rsidRDefault="00FD6A54" w:rsidP="00FD6A54">
                  <w:pPr>
                    <w:spacing w:after="240"/>
                    <w:rPr>
                      <w:b/>
                      <w:i/>
                      <w:iCs/>
                    </w:rPr>
                  </w:pPr>
                  <w:r>
                    <w:rPr>
                      <w:b/>
                      <w:i/>
                      <w:iCs/>
                    </w:rPr>
                    <w:t>[</w:t>
                  </w:r>
                  <w:r w:rsidR="00B970B6">
                    <w:rPr>
                      <w:b/>
                      <w:i/>
                      <w:iCs/>
                    </w:rPr>
                    <w:t>NPRR1009 and NPRR1014</w:t>
                  </w:r>
                  <w:r w:rsidR="00B970B6" w:rsidRPr="004B32CF">
                    <w:rPr>
                      <w:b/>
                      <w:i/>
                      <w:iCs/>
                    </w:rPr>
                    <w:t xml:space="preserve">:  Replace </w:t>
                  </w:r>
                  <w:r w:rsidR="00B970B6">
                    <w:rPr>
                      <w:b/>
                      <w:i/>
                      <w:iCs/>
                    </w:rPr>
                    <w:t>applicable portions of the definition</w:t>
                  </w:r>
                  <w:r w:rsidR="00B970B6" w:rsidRPr="004B32CF">
                    <w:rPr>
                      <w:b/>
                      <w:i/>
                      <w:iCs/>
                    </w:rPr>
                    <w:t xml:space="preserve"> above with the following </w:t>
                  </w:r>
                  <w:r w:rsidR="00B970B6">
                    <w:rPr>
                      <w:b/>
                      <w:i/>
                      <w:iCs/>
                    </w:rPr>
                    <w:t>upon system implementation of the Real-Time Co-Optimization (RTC) project for NPRR1009; or upon system implementation for NPRR1014</w:t>
                  </w:r>
                  <w:r w:rsidRPr="004B32CF">
                    <w:rPr>
                      <w:b/>
                      <w:i/>
                      <w:iCs/>
                    </w:rPr>
                    <w:t>:]</w:t>
                  </w:r>
                </w:p>
                <w:p w14:paraId="23443F77" w14:textId="430AD136" w:rsidR="00FD6A54" w:rsidRPr="007A7A3D" w:rsidRDefault="00FD6A54" w:rsidP="00FD6A54">
                  <w:pPr>
                    <w:pStyle w:val="TableBody"/>
                  </w:pPr>
                  <w:r w:rsidRPr="00A552C3">
                    <w:rPr>
                      <w:i/>
                    </w:rPr>
                    <w:t xml:space="preserve">Voltage Support Service </w:t>
                  </w:r>
                  <w:proofErr w:type="spellStart"/>
                  <w:r w:rsidRPr="00A552C3">
                    <w:rPr>
                      <w:i/>
                    </w:rPr>
                    <w:t>VAr</w:t>
                  </w:r>
                  <w:proofErr w:type="spellEnd"/>
                  <w:r w:rsidRPr="00A552C3">
                    <w:rPr>
                      <w:i/>
                    </w:rPr>
                    <w:t xml:space="preserve"> Amount</w:t>
                  </w:r>
                  <w:r w:rsidRPr="00A552C3">
                    <w:t xml:space="preserve">—The payment to the QSE </w:t>
                  </w:r>
                  <w:r w:rsidRPr="00A552C3">
                    <w:rPr>
                      <w:i/>
                    </w:rPr>
                    <w:t>q</w:t>
                  </w:r>
                  <w:r w:rsidRPr="00A552C3">
                    <w:t xml:space="preserve"> for the Voltage Support Service (VSS) provided by Generation Resource </w:t>
                  </w:r>
                  <w:r w:rsidRPr="00A552C3">
                    <w:rPr>
                      <w:i/>
                    </w:rPr>
                    <w:t>r</w:t>
                  </w:r>
                  <w:r w:rsidRPr="00A552C3">
                    <w:t xml:space="preserve"> for the 15-minute Settlement Interval </w:t>
                  </w:r>
                  <w:r w:rsidRPr="00A552C3">
                    <w:rPr>
                      <w:i/>
                    </w:rPr>
                    <w:t>i</w:t>
                  </w:r>
                  <w:r w:rsidRPr="00A552C3">
                    <w:t>.  See Section 6.6.7.1, Voltage Support Service Payments.  Payment for VSS is made to the Combined Cycle Train.</w:t>
                  </w:r>
                </w:p>
              </w:tc>
            </w:tr>
          </w:tbl>
          <w:p w14:paraId="2AD611C1" w14:textId="6A780902" w:rsidR="00F80C33" w:rsidRPr="00B34C5D" w:rsidRDefault="00F80C33">
            <w:pPr>
              <w:pStyle w:val="TableBody"/>
              <w:rPr>
                <w:i/>
              </w:rPr>
            </w:pPr>
          </w:p>
        </w:tc>
      </w:tr>
      <w:tr w:rsidR="00F80C33" w14:paraId="7B280443" w14:textId="77777777" w:rsidTr="004738F9">
        <w:trPr>
          <w:cantSplit/>
        </w:trPr>
        <w:tc>
          <w:tcPr>
            <w:tcW w:w="881" w:type="pct"/>
          </w:tcPr>
          <w:p w14:paraId="07171982" w14:textId="77777777" w:rsidR="00F80C33" w:rsidRDefault="00723BFB">
            <w:pPr>
              <w:pStyle w:val="TableBody"/>
            </w:pPr>
            <w:r>
              <w:lastRenderedPageBreak/>
              <w:t>VSSEAMT</w:t>
            </w:r>
            <w:r w:rsidR="006370A1">
              <w:t xml:space="preserve"> </w:t>
            </w:r>
            <w:r w:rsidRPr="00B34C5D">
              <w:rPr>
                <w:i/>
                <w:vertAlign w:val="subscript"/>
              </w:rPr>
              <w:t>q,</w:t>
            </w:r>
            <w:r w:rsidR="006370A1">
              <w:rPr>
                <w:i/>
                <w:vertAlign w:val="subscript"/>
              </w:rPr>
              <w:t xml:space="preserve"> </w:t>
            </w:r>
            <w:r w:rsidRPr="00B34C5D">
              <w:rPr>
                <w:i/>
                <w:vertAlign w:val="subscript"/>
              </w:rPr>
              <w:t>r,</w:t>
            </w:r>
            <w:r w:rsidR="006370A1">
              <w:rPr>
                <w:i/>
                <w:vertAlign w:val="subscript"/>
              </w:rPr>
              <w:t xml:space="preserve"> </w:t>
            </w:r>
            <w:r w:rsidRPr="00B34C5D">
              <w:rPr>
                <w:i/>
                <w:vertAlign w:val="subscript"/>
              </w:rPr>
              <w:t>i</w:t>
            </w:r>
          </w:p>
        </w:tc>
        <w:tc>
          <w:tcPr>
            <w:tcW w:w="471" w:type="pct"/>
          </w:tcPr>
          <w:p w14:paraId="1C3A419B" w14:textId="77777777" w:rsidR="00F80C33" w:rsidRDefault="00723BFB" w:rsidP="00B34C5D">
            <w:pPr>
              <w:pStyle w:val="TableBody"/>
              <w:jc w:val="center"/>
            </w:pPr>
            <w:r>
              <w:t>$</w:t>
            </w:r>
          </w:p>
        </w:tc>
        <w:tc>
          <w:tcPr>
            <w:tcW w:w="3648" w:type="pct"/>
          </w:tcPr>
          <w:p w14:paraId="1D964AFF" w14:textId="77777777" w:rsidR="00FD6A54" w:rsidRPr="00B34C5D" w:rsidRDefault="00723BFB" w:rsidP="00FD44DA">
            <w:pPr>
              <w:pStyle w:val="TableBody"/>
              <w:rPr>
                <w:i/>
              </w:rPr>
            </w:pPr>
            <w:r w:rsidRPr="00B34C5D">
              <w:rPr>
                <w:i/>
              </w:rPr>
              <w:t>Voltage Support Service Energy Amount by interval</w:t>
            </w:r>
            <w:r>
              <w:t>—The lost opportunity payment to the QSE</w:t>
            </w:r>
            <w:r w:rsidR="006370A1" w:rsidRPr="008E34C0">
              <w:rPr>
                <w:i/>
              </w:rPr>
              <w:t xml:space="preserve"> q</w:t>
            </w:r>
            <w:r>
              <w:t xml:space="preserve"> for ERCOT-directed VSS from the Generation Resource </w:t>
            </w:r>
            <w:r w:rsidR="00FD44DA">
              <w:rPr>
                <w:i/>
              </w:rPr>
              <w:t xml:space="preserve">r </w:t>
            </w:r>
            <w:r w:rsidRPr="00FD44DA">
              <w:t>for</w:t>
            </w:r>
            <w:r>
              <w:t xml:space="preserve"> the 15-minute Settlement Interval </w:t>
            </w:r>
            <w:r w:rsidRPr="00B34C5D">
              <w:rPr>
                <w:i/>
              </w:rPr>
              <w:t>i</w:t>
            </w:r>
            <w:r>
              <w:t>.  See Section 6.6.7.1.</w:t>
            </w:r>
            <w:r w:rsidR="00FD44DA">
              <w:t xml:space="preserve">  Payment for emergency energy is made to the Combined Cycle Train.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6577"/>
            </w:tblGrid>
            <w:tr w:rsidR="00FD6A54" w:rsidRPr="004B32CF" w14:paraId="543ECD87" w14:textId="77777777" w:rsidTr="00FD6A54">
              <w:trPr>
                <w:trHeight w:val="1205"/>
              </w:trPr>
              <w:tc>
                <w:tcPr>
                  <w:tcW w:w="9350" w:type="dxa"/>
                  <w:shd w:val="pct12" w:color="auto" w:fill="auto"/>
                </w:tcPr>
                <w:p w14:paraId="29C7DEB2" w14:textId="45F5613A" w:rsidR="00FD6A54" w:rsidRPr="004B32CF" w:rsidRDefault="00FD6A54" w:rsidP="00FD6A54">
                  <w:pPr>
                    <w:spacing w:after="240"/>
                    <w:rPr>
                      <w:b/>
                      <w:i/>
                      <w:iCs/>
                    </w:rPr>
                  </w:pPr>
                  <w:r>
                    <w:rPr>
                      <w:b/>
                      <w:i/>
                      <w:iCs/>
                    </w:rPr>
                    <w:t>[</w:t>
                  </w:r>
                  <w:r w:rsidR="00B970B6">
                    <w:rPr>
                      <w:b/>
                      <w:i/>
                      <w:iCs/>
                    </w:rPr>
                    <w:t>NPRR1009 and NPRR1014</w:t>
                  </w:r>
                  <w:r w:rsidR="00B970B6" w:rsidRPr="004B32CF">
                    <w:rPr>
                      <w:b/>
                      <w:i/>
                      <w:iCs/>
                    </w:rPr>
                    <w:t xml:space="preserve">:  Replace </w:t>
                  </w:r>
                  <w:r w:rsidR="00B970B6">
                    <w:rPr>
                      <w:b/>
                      <w:i/>
                      <w:iCs/>
                    </w:rPr>
                    <w:t>applicable portions of the definition</w:t>
                  </w:r>
                  <w:r w:rsidR="00B970B6" w:rsidRPr="004B32CF">
                    <w:rPr>
                      <w:b/>
                      <w:i/>
                      <w:iCs/>
                    </w:rPr>
                    <w:t xml:space="preserve"> above with the following </w:t>
                  </w:r>
                  <w:r w:rsidR="00B970B6">
                    <w:rPr>
                      <w:b/>
                      <w:i/>
                      <w:iCs/>
                    </w:rPr>
                    <w:t>upon system implementation of the Real-Time Co-Optimization (RTC) project for NPRR1009; or upon system implementation for NPRR1014</w:t>
                  </w:r>
                  <w:r w:rsidRPr="004B32CF">
                    <w:rPr>
                      <w:b/>
                      <w:i/>
                      <w:iCs/>
                    </w:rPr>
                    <w:t>:]</w:t>
                  </w:r>
                </w:p>
                <w:p w14:paraId="73B72622" w14:textId="6D1D46F6" w:rsidR="00FD6A54" w:rsidRPr="007A7A3D" w:rsidRDefault="00FD6A54" w:rsidP="00FD6A54">
                  <w:pPr>
                    <w:pStyle w:val="TableBody"/>
                  </w:pPr>
                  <w:r w:rsidRPr="00A552C3">
                    <w:rPr>
                      <w:i/>
                    </w:rPr>
                    <w:t>Voltage Support Service Energy Amount</w:t>
                  </w:r>
                  <w:r w:rsidRPr="00A552C3">
                    <w:t>—The lost opportunity payment to the QSE</w:t>
                  </w:r>
                  <w:r w:rsidRPr="00A552C3">
                    <w:rPr>
                      <w:i/>
                    </w:rPr>
                    <w:t xml:space="preserve"> q</w:t>
                  </w:r>
                  <w:r w:rsidRPr="00A552C3">
                    <w:t xml:space="preserve"> for ERCOT-directed VSS from the Generation Resource </w:t>
                  </w:r>
                  <w:r w:rsidRPr="00A552C3">
                    <w:rPr>
                      <w:i/>
                    </w:rPr>
                    <w:t xml:space="preserve">r </w:t>
                  </w:r>
                  <w:r w:rsidRPr="00A552C3">
                    <w:t xml:space="preserve">for the 15-minute Settlement Interval </w:t>
                  </w:r>
                  <w:r w:rsidRPr="00A552C3">
                    <w:rPr>
                      <w:i/>
                    </w:rPr>
                    <w:t>i</w:t>
                  </w:r>
                  <w:r w:rsidRPr="00A552C3">
                    <w:t>.  See Section 6.6.7.1.  Payment for emergency energy is made to the Combined Cycle Train.</w:t>
                  </w:r>
                </w:p>
              </w:tc>
            </w:tr>
          </w:tbl>
          <w:p w14:paraId="01F3A5B0" w14:textId="6FA810B8" w:rsidR="00F80C33" w:rsidRPr="00B34C5D" w:rsidRDefault="00F80C33" w:rsidP="00FD44DA">
            <w:pPr>
              <w:pStyle w:val="TableBody"/>
              <w:rPr>
                <w:i/>
              </w:rPr>
            </w:pPr>
          </w:p>
        </w:tc>
      </w:tr>
      <w:tr w:rsidR="00F80C33" w14:paraId="177C46D3" w14:textId="77777777" w:rsidTr="004738F9">
        <w:trPr>
          <w:cantSplit/>
        </w:trPr>
        <w:tc>
          <w:tcPr>
            <w:tcW w:w="881" w:type="pct"/>
          </w:tcPr>
          <w:p w14:paraId="49386871" w14:textId="77777777" w:rsidR="00F80C33" w:rsidRDefault="00723BFB">
            <w:pPr>
              <w:pStyle w:val="TableBody"/>
            </w:pPr>
            <w:r>
              <w:t>EMREAMT</w:t>
            </w:r>
            <w:r w:rsidR="006370A1">
              <w:t xml:space="preserve"> </w:t>
            </w:r>
            <w:r w:rsidRPr="00B34C5D">
              <w:rPr>
                <w:i/>
                <w:vertAlign w:val="subscript"/>
              </w:rPr>
              <w:t>q,</w:t>
            </w:r>
            <w:r w:rsidR="006370A1">
              <w:rPr>
                <w:i/>
                <w:vertAlign w:val="subscript"/>
              </w:rPr>
              <w:t xml:space="preserve"> </w:t>
            </w:r>
            <w:r w:rsidRPr="00B34C5D">
              <w:rPr>
                <w:i/>
                <w:vertAlign w:val="subscript"/>
              </w:rPr>
              <w:t>r,</w:t>
            </w:r>
            <w:r w:rsidR="006370A1">
              <w:rPr>
                <w:i/>
                <w:vertAlign w:val="subscript"/>
              </w:rPr>
              <w:t xml:space="preserve"> </w:t>
            </w:r>
            <w:r w:rsidRPr="00B34C5D">
              <w:rPr>
                <w:i/>
                <w:vertAlign w:val="subscript"/>
              </w:rPr>
              <w:t>i</w:t>
            </w:r>
          </w:p>
        </w:tc>
        <w:tc>
          <w:tcPr>
            <w:tcW w:w="471" w:type="pct"/>
          </w:tcPr>
          <w:p w14:paraId="140B8966" w14:textId="77777777" w:rsidR="00F80C33" w:rsidRDefault="00723BFB" w:rsidP="00B34C5D">
            <w:pPr>
              <w:pStyle w:val="TableBody"/>
              <w:jc w:val="center"/>
            </w:pPr>
            <w:r>
              <w:t>$</w:t>
            </w:r>
          </w:p>
        </w:tc>
        <w:tc>
          <w:tcPr>
            <w:tcW w:w="3648" w:type="pct"/>
          </w:tcPr>
          <w:p w14:paraId="4047C97A" w14:textId="77777777" w:rsidR="00F8316F" w:rsidRPr="00B34C5D" w:rsidRDefault="00723BFB">
            <w:pPr>
              <w:pStyle w:val="TableBody"/>
              <w:rPr>
                <w:i/>
              </w:rPr>
            </w:pPr>
            <w:r w:rsidRPr="00B34C5D">
              <w:rPr>
                <w:i/>
              </w:rPr>
              <w:t>Emergency Energy Amount by interval</w:t>
            </w:r>
            <w:r>
              <w:t>—The payment to the QSE</w:t>
            </w:r>
            <w:r w:rsidR="006370A1" w:rsidRPr="008E34C0">
              <w:rPr>
                <w:i/>
              </w:rPr>
              <w:t xml:space="preserve"> q</w:t>
            </w:r>
            <w:r>
              <w:t xml:space="preserve"> as additional compensation for the additional energy produced by the Generation Resource </w:t>
            </w:r>
            <w:r w:rsidR="0002027A">
              <w:rPr>
                <w:i/>
              </w:rPr>
              <w:t>r</w:t>
            </w:r>
            <w:r w:rsidR="005A03E7" w:rsidRPr="005A03E7">
              <w:t xml:space="preserve"> </w:t>
            </w:r>
            <w:r>
              <w:t xml:space="preserve">in Real-Time during the Emergency Condition, for the 15-minute Settlement Interval </w:t>
            </w:r>
            <w:r w:rsidRPr="00B34C5D">
              <w:rPr>
                <w:i/>
              </w:rPr>
              <w:t>i</w:t>
            </w:r>
            <w:r>
              <w:t>.  See Section 6.6.9.1, Payment for Emergency Power Increase Directed by ERCOT.</w:t>
            </w:r>
            <w:r w:rsidR="0050739D">
              <w:t xml:space="preserve">  Payment for emergency energy is made to the Combined Cycle Train.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6577"/>
            </w:tblGrid>
            <w:tr w:rsidR="00F8316F" w:rsidRPr="004B32CF" w14:paraId="2F6AE981" w14:textId="77777777" w:rsidTr="00FD6A54">
              <w:trPr>
                <w:trHeight w:val="1205"/>
              </w:trPr>
              <w:tc>
                <w:tcPr>
                  <w:tcW w:w="9350" w:type="dxa"/>
                  <w:shd w:val="pct12" w:color="auto" w:fill="auto"/>
                </w:tcPr>
                <w:p w14:paraId="1D0926DD" w14:textId="33E2F524" w:rsidR="00F8316F" w:rsidRPr="004B32CF" w:rsidRDefault="00F8316F" w:rsidP="00F8316F">
                  <w:pPr>
                    <w:spacing w:after="240"/>
                    <w:rPr>
                      <w:b/>
                      <w:i/>
                      <w:iCs/>
                    </w:rPr>
                  </w:pPr>
                  <w:r w:rsidRPr="004B32CF">
                    <w:rPr>
                      <w:b/>
                      <w:i/>
                      <w:iCs/>
                    </w:rPr>
                    <w:t>[NPR</w:t>
                  </w:r>
                  <w:r>
                    <w:rPr>
                      <w:b/>
                      <w:i/>
                      <w:iCs/>
                    </w:rPr>
                    <w:t>R1009</w:t>
                  </w:r>
                  <w:r w:rsidR="00FD6A54">
                    <w:rPr>
                      <w:b/>
                      <w:i/>
                      <w:iCs/>
                    </w:rPr>
                    <w:t xml:space="preserve"> and NPRR1014</w:t>
                  </w:r>
                  <w:r w:rsidRPr="004B32CF">
                    <w:rPr>
                      <w:b/>
                      <w:i/>
                      <w:iCs/>
                    </w:rPr>
                    <w:t>:  Replace</w:t>
                  </w:r>
                  <w:r w:rsidR="00B970B6" w:rsidRPr="004B32CF">
                    <w:rPr>
                      <w:b/>
                      <w:i/>
                      <w:iCs/>
                    </w:rPr>
                    <w:t xml:space="preserve"> </w:t>
                  </w:r>
                  <w:r w:rsidR="00B970B6">
                    <w:rPr>
                      <w:b/>
                      <w:i/>
                      <w:iCs/>
                    </w:rPr>
                    <w:t>applicable portions of the definition</w:t>
                  </w:r>
                  <w:r w:rsidR="00B970B6" w:rsidRPr="004B32CF">
                    <w:rPr>
                      <w:b/>
                      <w:i/>
                      <w:iCs/>
                    </w:rPr>
                    <w:t xml:space="preserve"> above with the</w:t>
                  </w:r>
                  <w:r w:rsidRPr="004B32CF">
                    <w:rPr>
                      <w:b/>
                      <w:i/>
                      <w:iCs/>
                    </w:rPr>
                    <w:t xml:space="preserve"> following upon system implementation</w:t>
                  </w:r>
                  <w:r>
                    <w:rPr>
                      <w:b/>
                      <w:i/>
                      <w:iCs/>
                    </w:rPr>
                    <w:t xml:space="preserve"> of the Real-Time Co-Optimization (RTC) project</w:t>
                  </w:r>
                  <w:r w:rsidR="00FD6A54">
                    <w:rPr>
                      <w:b/>
                      <w:i/>
                      <w:iCs/>
                    </w:rPr>
                    <w:t xml:space="preserve"> for NPRR1009; or upon system implementation </w:t>
                  </w:r>
                  <w:r w:rsidR="003E2880">
                    <w:rPr>
                      <w:b/>
                      <w:i/>
                      <w:iCs/>
                    </w:rPr>
                    <w:t>for NPRR1014</w:t>
                  </w:r>
                  <w:r w:rsidRPr="004B32CF">
                    <w:rPr>
                      <w:b/>
                      <w:i/>
                      <w:iCs/>
                    </w:rPr>
                    <w:t>:]</w:t>
                  </w:r>
                </w:p>
                <w:p w14:paraId="0324A216" w14:textId="4DE68ABA" w:rsidR="00F8316F" w:rsidRPr="007A7A3D" w:rsidRDefault="00F8316F" w:rsidP="00291B10">
                  <w:pPr>
                    <w:pStyle w:val="TableBody"/>
                  </w:pPr>
                  <w:r w:rsidRPr="000B4AC4">
                    <w:rPr>
                      <w:i/>
                      <w:iCs w:val="0"/>
                    </w:rPr>
                    <w:t>Emergency Energy Amount</w:t>
                  </w:r>
                  <w:r w:rsidRPr="000B4AC4">
                    <w:rPr>
                      <w:iCs w:val="0"/>
                    </w:rPr>
                    <w:t>—The payment to the QSE</w:t>
                  </w:r>
                  <w:r w:rsidRPr="000B4AC4">
                    <w:rPr>
                      <w:i/>
                      <w:iCs w:val="0"/>
                    </w:rPr>
                    <w:t xml:space="preserve"> q</w:t>
                  </w:r>
                  <w:r w:rsidRPr="000B4AC4">
                    <w:rPr>
                      <w:iCs w:val="0"/>
                    </w:rPr>
                    <w:t xml:space="preserve"> as additional compensation for the additional energy </w:t>
                  </w:r>
                  <w:r>
                    <w:rPr>
                      <w:iCs w:val="0"/>
                    </w:rPr>
                    <w:t xml:space="preserve">or Ancillary Services </w:t>
                  </w:r>
                  <w:r w:rsidRPr="000B4AC4">
                    <w:rPr>
                      <w:iCs w:val="0"/>
                    </w:rPr>
                    <w:t xml:space="preserve">produced </w:t>
                  </w:r>
                  <w:r w:rsidR="00291B10">
                    <w:rPr>
                      <w:iCs w:val="0"/>
                    </w:rPr>
                    <w:t xml:space="preserve">or consumed </w:t>
                  </w:r>
                  <w:r w:rsidRPr="000B4AC4">
                    <w:rPr>
                      <w:iCs w:val="0"/>
                    </w:rPr>
                    <w:t xml:space="preserve">by the Resource </w:t>
                  </w:r>
                  <w:r w:rsidRPr="000B4AC4">
                    <w:rPr>
                      <w:i/>
                      <w:iCs w:val="0"/>
                    </w:rPr>
                    <w:t>r</w:t>
                  </w:r>
                  <w:r w:rsidRPr="000B4AC4">
                    <w:rPr>
                      <w:iCs w:val="0"/>
                    </w:rPr>
                    <w:t xml:space="preserve"> in Real-Time during the Emergency Condition, for the 15-minute Settlement Interval </w:t>
                  </w:r>
                  <w:r w:rsidRPr="000B4AC4">
                    <w:rPr>
                      <w:i/>
                      <w:iCs w:val="0"/>
                    </w:rPr>
                    <w:t>i</w:t>
                  </w:r>
                  <w:r w:rsidRPr="000B4AC4">
                    <w:rPr>
                      <w:iCs w:val="0"/>
                    </w:rPr>
                    <w:t xml:space="preserve">.  See Section 6.6.9.1, Payment for Emergency </w:t>
                  </w:r>
                  <w:r w:rsidR="00291B10">
                    <w:rPr>
                      <w:iCs w:val="0"/>
                    </w:rPr>
                    <w:t>Operations Settlement</w:t>
                  </w:r>
                  <w:r w:rsidRPr="000B4AC4">
                    <w:rPr>
                      <w:iCs w:val="0"/>
                    </w:rPr>
                    <w:t>.  Payment for emergency energy is made to the Combined Cycle Train.</w:t>
                  </w:r>
                </w:p>
              </w:tc>
            </w:tr>
          </w:tbl>
          <w:p w14:paraId="19A2D96F" w14:textId="65BDE003" w:rsidR="00F80C33" w:rsidRPr="00B34C5D" w:rsidRDefault="00F80C33">
            <w:pPr>
              <w:pStyle w:val="TableBody"/>
              <w:rPr>
                <w:i/>
              </w:rPr>
            </w:pPr>
          </w:p>
        </w:tc>
      </w:tr>
      <w:tr w:rsidR="00F80C33" w14:paraId="69065F37" w14:textId="77777777" w:rsidTr="004738F9">
        <w:trPr>
          <w:cantSplit/>
        </w:trPr>
        <w:tc>
          <w:tcPr>
            <w:tcW w:w="881" w:type="pct"/>
          </w:tcPr>
          <w:p w14:paraId="15B5DBC8" w14:textId="77777777" w:rsidR="00F80C33" w:rsidRDefault="00723BFB">
            <w:pPr>
              <w:pStyle w:val="TableBody"/>
            </w:pPr>
            <w:r w:rsidRPr="00B34C5D">
              <w:rPr>
                <w:i/>
              </w:rPr>
              <w:t>q</w:t>
            </w:r>
          </w:p>
        </w:tc>
        <w:tc>
          <w:tcPr>
            <w:tcW w:w="471" w:type="pct"/>
          </w:tcPr>
          <w:p w14:paraId="7CBD33EF" w14:textId="77777777" w:rsidR="00F80C33" w:rsidRDefault="00723BFB" w:rsidP="00B34C5D">
            <w:pPr>
              <w:pStyle w:val="TableBody"/>
              <w:jc w:val="center"/>
            </w:pPr>
            <w:r>
              <w:t>none</w:t>
            </w:r>
          </w:p>
        </w:tc>
        <w:tc>
          <w:tcPr>
            <w:tcW w:w="3648" w:type="pct"/>
          </w:tcPr>
          <w:p w14:paraId="017E6571" w14:textId="77777777" w:rsidR="00F80C33" w:rsidRDefault="00723BFB">
            <w:pPr>
              <w:pStyle w:val="TableBody"/>
            </w:pPr>
            <w:r>
              <w:t>A QSE.</w:t>
            </w:r>
          </w:p>
        </w:tc>
      </w:tr>
      <w:tr w:rsidR="00F80C33" w14:paraId="389257C0" w14:textId="77777777" w:rsidTr="004738F9">
        <w:trPr>
          <w:cantSplit/>
        </w:trPr>
        <w:tc>
          <w:tcPr>
            <w:tcW w:w="881" w:type="pct"/>
          </w:tcPr>
          <w:p w14:paraId="347F9F8B" w14:textId="77777777" w:rsidR="00F80C33" w:rsidRDefault="00723BFB">
            <w:pPr>
              <w:pStyle w:val="TableBody"/>
            </w:pPr>
            <w:r w:rsidRPr="00B34C5D">
              <w:rPr>
                <w:i/>
              </w:rPr>
              <w:t>r</w:t>
            </w:r>
          </w:p>
        </w:tc>
        <w:tc>
          <w:tcPr>
            <w:tcW w:w="471" w:type="pct"/>
          </w:tcPr>
          <w:p w14:paraId="1F185F48" w14:textId="77777777" w:rsidR="00F80C33" w:rsidRDefault="00723BFB" w:rsidP="00B34C5D">
            <w:pPr>
              <w:pStyle w:val="TableBody"/>
              <w:jc w:val="center"/>
            </w:pPr>
            <w:r>
              <w:t>none</w:t>
            </w:r>
          </w:p>
        </w:tc>
        <w:tc>
          <w:tcPr>
            <w:tcW w:w="3648" w:type="pct"/>
          </w:tcPr>
          <w:p w14:paraId="050C0116" w14:textId="77777777" w:rsidR="00F80C33" w:rsidRDefault="00723BFB">
            <w:pPr>
              <w:pStyle w:val="TableBody"/>
            </w:pPr>
            <w:r>
              <w:t>A RUC-committed Generation Resource.</w:t>
            </w:r>
          </w:p>
        </w:tc>
      </w:tr>
      <w:tr w:rsidR="00F80C33" w14:paraId="1C71146C" w14:textId="77777777" w:rsidTr="004738F9">
        <w:trPr>
          <w:cantSplit/>
        </w:trPr>
        <w:tc>
          <w:tcPr>
            <w:tcW w:w="881" w:type="pct"/>
          </w:tcPr>
          <w:p w14:paraId="613D2169" w14:textId="77777777" w:rsidR="00F80C33" w:rsidRDefault="00723BFB">
            <w:pPr>
              <w:pStyle w:val="TableBody"/>
            </w:pPr>
            <w:r w:rsidRPr="00B34C5D">
              <w:rPr>
                <w:i/>
              </w:rPr>
              <w:t>d</w:t>
            </w:r>
          </w:p>
        </w:tc>
        <w:tc>
          <w:tcPr>
            <w:tcW w:w="471" w:type="pct"/>
          </w:tcPr>
          <w:p w14:paraId="0137AFFC" w14:textId="77777777" w:rsidR="00F80C33" w:rsidRDefault="00723BFB" w:rsidP="00B34C5D">
            <w:pPr>
              <w:pStyle w:val="TableBody"/>
              <w:jc w:val="center"/>
            </w:pPr>
            <w:r>
              <w:t>none</w:t>
            </w:r>
          </w:p>
        </w:tc>
        <w:tc>
          <w:tcPr>
            <w:tcW w:w="3648" w:type="pct"/>
          </w:tcPr>
          <w:p w14:paraId="50670D2B" w14:textId="77777777" w:rsidR="00F80C33" w:rsidRDefault="00723BFB">
            <w:pPr>
              <w:pStyle w:val="TableBody"/>
            </w:pPr>
            <w:r>
              <w:t>An Operating Day containing the RUC-commitment.</w:t>
            </w:r>
          </w:p>
        </w:tc>
      </w:tr>
      <w:tr w:rsidR="00F80C33" w14:paraId="27938DCE" w14:textId="77777777" w:rsidTr="004738F9">
        <w:trPr>
          <w:cantSplit/>
        </w:trPr>
        <w:tc>
          <w:tcPr>
            <w:tcW w:w="881" w:type="pct"/>
          </w:tcPr>
          <w:p w14:paraId="39294475" w14:textId="77777777" w:rsidR="00F80C33" w:rsidRPr="00B34C5D" w:rsidRDefault="00723BFB">
            <w:pPr>
              <w:pStyle w:val="TableBody"/>
              <w:rPr>
                <w:i/>
              </w:rPr>
            </w:pPr>
            <w:r w:rsidRPr="00B34C5D">
              <w:rPr>
                <w:i/>
              </w:rPr>
              <w:t>p</w:t>
            </w:r>
          </w:p>
        </w:tc>
        <w:tc>
          <w:tcPr>
            <w:tcW w:w="471" w:type="pct"/>
          </w:tcPr>
          <w:p w14:paraId="7F341271" w14:textId="77777777" w:rsidR="00F80C33" w:rsidRDefault="00723BFB" w:rsidP="00B34C5D">
            <w:pPr>
              <w:pStyle w:val="TableBody"/>
              <w:jc w:val="center"/>
            </w:pPr>
            <w:r>
              <w:t>none</w:t>
            </w:r>
          </w:p>
        </w:tc>
        <w:tc>
          <w:tcPr>
            <w:tcW w:w="3648" w:type="pct"/>
          </w:tcPr>
          <w:p w14:paraId="0BB4865E" w14:textId="77777777" w:rsidR="00F80C33" w:rsidRPr="00B34C5D" w:rsidRDefault="00723BFB">
            <w:pPr>
              <w:pStyle w:val="TableBody"/>
              <w:rPr>
                <w:i/>
              </w:rPr>
            </w:pPr>
            <w:r>
              <w:t>A Resource Node Settlement Point.</w:t>
            </w:r>
          </w:p>
        </w:tc>
      </w:tr>
      <w:tr w:rsidR="00F80C33" w14:paraId="32D35D8C" w14:textId="77777777" w:rsidTr="004738F9">
        <w:trPr>
          <w:cantSplit/>
        </w:trPr>
        <w:tc>
          <w:tcPr>
            <w:tcW w:w="881" w:type="pct"/>
          </w:tcPr>
          <w:p w14:paraId="62B3E084" w14:textId="77777777" w:rsidR="00F80C33" w:rsidRPr="00B34C5D" w:rsidRDefault="00723BFB">
            <w:pPr>
              <w:pStyle w:val="TableBody"/>
              <w:rPr>
                <w:i/>
              </w:rPr>
            </w:pPr>
            <w:r w:rsidRPr="00B34C5D">
              <w:rPr>
                <w:i/>
              </w:rPr>
              <w:t>i</w:t>
            </w:r>
          </w:p>
        </w:tc>
        <w:tc>
          <w:tcPr>
            <w:tcW w:w="471" w:type="pct"/>
          </w:tcPr>
          <w:p w14:paraId="29B90923" w14:textId="77777777" w:rsidR="00F80C33" w:rsidRDefault="00723BFB" w:rsidP="00B34C5D">
            <w:pPr>
              <w:pStyle w:val="TableBody"/>
              <w:jc w:val="center"/>
            </w:pPr>
            <w:r>
              <w:t>none</w:t>
            </w:r>
          </w:p>
        </w:tc>
        <w:tc>
          <w:tcPr>
            <w:tcW w:w="3648" w:type="pct"/>
          </w:tcPr>
          <w:p w14:paraId="3AA04DBF" w14:textId="77777777" w:rsidR="00F80C33" w:rsidRDefault="00723BFB">
            <w:pPr>
              <w:pStyle w:val="TableBody"/>
            </w:pPr>
            <w:r>
              <w:t>A 15-minute Settlement Interval within the hour that includes a RUC instruction.</w:t>
            </w:r>
          </w:p>
        </w:tc>
      </w:tr>
    </w:tbl>
    <w:p w14:paraId="3DED139B" w14:textId="77777777" w:rsidR="00F80C33" w:rsidRDefault="00723BFB" w:rsidP="00AE2253">
      <w:pPr>
        <w:pStyle w:val="H4"/>
        <w:spacing w:before="480"/>
      </w:pPr>
      <w:bookmarkStart w:id="239" w:name="_Toc400547190"/>
      <w:bookmarkStart w:id="240" w:name="_Toc405384295"/>
      <w:bookmarkStart w:id="241" w:name="_Toc405543562"/>
      <w:bookmarkStart w:id="242" w:name="_Toc428178071"/>
      <w:bookmarkStart w:id="243" w:name="_Toc440872702"/>
      <w:bookmarkStart w:id="244" w:name="_Toc458766247"/>
      <w:bookmarkStart w:id="245" w:name="_Toc459292652"/>
      <w:bookmarkStart w:id="246" w:name="_Toc60038359"/>
      <w:bookmarkStart w:id="247" w:name="_Toc74113618"/>
      <w:bookmarkStart w:id="248" w:name="_Toc101091056"/>
      <w:bookmarkStart w:id="249" w:name="_Toc88017249"/>
      <w:r>
        <w:t>5.7.1.4</w:t>
      </w:r>
      <w:r>
        <w:tab/>
        <w:t xml:space="preserve">Revenue Less Cost During QSE </w:t>
      </w:r>
      <w:proofErr w:type="spellStart"/>
      <w:r>
        <w:t>Clawback</w:t>
      </w:r>
      <w:proofErr w:type="spellEnd"/>
      <w:r>
        <w:t xml:space="preserve"> Intervals</w:t>
      </w:r>
      <w:bookmarkEnd w:id="239"/>
      <w:bookmarkEnd w:id="240"/>
      <w:bookmarkEnd w:id="241"/>
      <w:bookmarkEnd w:id="242"/>
      <w:bookmarkEnd w:id="243"/>
      <w:bookmarkEnd w:id="244"/>
      <w:bookmarkEnd w:id="245"/>
      <w:bookmarkEnd w:id="246"/>
    </w:p>
    <w:p w14:paraId="4B15F048" w14:textId="787FAD46" w:rsidR="00E2667F" w:rsidRDefault="00FD44DA">
      <w:pPr>
        <w:pStyle w:val="BodyTextNumberedChar"/>
        <w:rPr>
          <w:rStyle w:val="BodyTextChar"/>
        </w:rPr>
      </w:pPr>
      <w:r>
        <w:rPr>
          <w:rStyle w:val="BodyTextChar"/>
        </w:rPr>
        <w:t>(1)</w:t>
      </w:r>
      <w:r>
        <w:rPr>
          <w:rStyle w:val="BodyTextChar"/>
        </w:rPr>
        <w:tab/>
      </w:r>
      <w:r w:rsidR="004738F9" w:rsidRPr="009716C5">
        <w:rPr>
          <w:rStyle w:val="BodyTextChar"/>
        </w:rPr>
        <w:t xml:space="preserve">The total revenue for a Resource less the cost based on the Energy Offer Curve Cost Cap as described in Section 4.4.9.3.3, Energy Offer Curve Cost Caps, during all QSE </w:t>
      </w:r>
      <w:proofErr w:type="spellStart"/>
      <w:r w:rsidR="004738F9" w:rsidRPr="009716C5">
        <w:rPr>
          <w:rStyle w:val="BodyTextChar"/>
        </w:rPr>
        <w:t>Clawback</w:t>
      </w:r>
      <w:proofErr w:type="spellEnd"/>
      <w:r w:rsidR="004738F9" w:rsidRPr="009716C5">
        <w:rPr>
          <w:rStyle w:val="BodyTextChar"/>
        </w:rPr>
        <w:t xml:space="preserve"> Intervals of the Operating Day is Revenue Less Cost During QSE-</w:t>
      </w:r>
      <w:proofErr w:type="spellStart"/>
      <w:r w:rsidR="004738F9" w:rsidRPr="009716C5">
        <w:rPr>
          <w:rStyle w:val="BodyTextChar"/>
        </w:rPr>
        <w:t>Clawback</w:t>
      </w:r>
      <w:proofErr w:type="spellEnd"/>
      <w:r w:rsidR="004738F9" w:rsidRPr="009716C5">
        <w:rPr>
          <w:rStyle w:val="BodyTextChar"/>
        </w:rPr>
        <w:t xml:space="preserve"> Intervals.</w:t>
      </w:r>
      <w:r w:rsidR="004738F9" w:rsidDel="004738F9">
        <w:rPr>
          <w:rStyle w:val="BodyTextChar"/>
        </w:rPr>
        <w:t xml:space="preserve"> </w:t>
      </w:r>
    </w:p>
    <w:p w14:paraId="23AFE53B" w14:textId="0EC59CA9" w:rsidR="00FD44DA" w:rsidRDefault="00FD44DA" w:rsidP="00D47EED">
      <w:pPr>
        <w:pStyle w:val="BodyTextNumbered"/>
      </w:pPr>
      <w:r>
        <w:lastRenderedPageBreak/>
        <w:t>(2)</w:t>
      </w:r>
      <w:r>
        <w:tab/>
      </w:r>
      <w:r w:rsidR="004738F9" w:rsidRPr="009716C5">
        <w:t xml:space="preserve">The MEPR and LSL used to calculate </w:t>
      </w:r>
      <w:r w:rsidR="004738F9" w:rsidRPr="009716C5">
        <w:rPr>
          <w:rStyle w:val="BodyTextChar"/>
        </w:rPr>
        <w:t xml:space="preserve">Revenue Less Cost During QSE </w:t>
      </w:r>
      <w:proofErr w:type="spellStart"/>
      <w:r w:rsidR="004738F9" w:rsidRPr="009716C5">
        <w:rPr>
          <w:rStyle w:val="BodyTextChar"/>
        </w:rPr>
        <w:t>Clawback</w:t>
      </w:r>
      <w:proofErr w:type="spellEnd"/>
      <w:r w:rsidR="004738F9" w:rsidRPr="009716C5">
        <w:rPr>
          <w:rStyle w:val="BodyTextChar"/>
        </w:rPr>
        <w:t xml:space="preserve"> Intervals</w:t>
      </w:r>
      <w:r w:rsidR="004738F9" w:rsidRPr="009716C5">
        <w:t xml:space="preserve"> for a Combined Cycle Train is the MEPR and LSL that corresponds to the Combined Cycle Generation Resource, within a Combined Cycle Train, that operates in Real-Time for the QSE </w:t>
      </w:r>
      <w:proofErr w:type="spellStart"/>
      <w:r w:rsidR="004738F9" w:rsidRPr="009716C5">
        <w:t>Clawback</w:t>
      </w:r>
      <w:proofErr w:type="spellEnd"/>
      <w:r w:rsidR="004738F9" w:rsidRPr="009716C5">
        <w:t xml:space="preserve"> Interval.</w:t>
      </w:r>
    </w:p>
    <w:p w14:paraId="2DF9D191" w14:textId="3C855646" w:rsidR="00E2667F" w:rsidRDefault="00FD44DA" w:rsidP="00D47EED">
      <w:pPr>
        <w:pStyle w:val="BodyTextNumbered"/>
        <w:rPr>
          <w:rStyle w:val="BodyTextChar"/>
          <w:iCs w:val="0"/>
        </w:rPr>
      </w:pPr>
      <w:r>
        <w:t>(3)</w:t>
      </w:r>
      <w:r>
        <w:tab/>
        <w:t xml:space="preserve">For each QSE </w:t>
      </w:r>
      <w:proofErr w:type="spellStart"/>
      <w:r>
        <w:t>Clawback</w:t>
      </w:r>
      <w:proofErr w:type="spellEnd"/>
      <w:r>
        <w:t xml:space="preserve"> Interval, </w:t>
      </w:r>
      <w:r>
        <w:rPr>
          <w:rStyle w:val="BodyTextChar"/>
        </w:rPr>
        <w:t xml:space="preserve">Revenue Less Cost During QSE </w:t>
      </w:r>
      <w:proofErr w:type="spellStart"/>
      <w:r>
        <w:rPr>
          <w:rStyle w:val="BodyTextChar"/>
        </w:rPr>
        <w:t>Clawback</w:t>
      </w:r>
      <w:proofErr w:type="spellEnd"/>
      <w:r>
        <w:rPr>
          <w:rStyle w:val="BodyTextChar"/>
        </w:rPr>
        <w:t xml:space="preserve"> Intervals</w:t>
      </w:r>
      <w:r>
        <w:t xml:space="preserve"> is calculated as follows:</w:t>
      </w:r>
    </w:p>
    <w:p w14:paraId="63E965F0" w14:textId="30DE6A5B" w:rsidR="00677548" w:rsidRPr="00127C46" w:rsidRDefault="00723BFB" w:rsidP="00C078A2">
      <w:pPr>
        <w:pStyle w:val="FormulaBold"/>
        <w:rPr>
          <w:lang w:val="pt-BR"/>
        </w:rPr>
      </w:pPr>
      <w:r w:rsidRPr="00127C46">
        <w:t>RUCEXRQC</w:t>
      </w:r>
      <w:r w:rsidR="00BC1A34" w:rsidRPr="00127C46">
        <w:rPr>
          <w:lang w:val="en-US"/>
        </w:rPr>
        <w:t xml:space="preserve"> </w:t>
      </w:r>
      <w:r w:rsidRPr="00127C46">
        <w:rPr>
          <w:i/>
          <w:vertAlign w:val="subscript"/>
        </w:rPr>
        <w:t>q,</w:t>
      </w:r>
      <w:r w:rsidR="00BC1A34" w:rsidRPr="00127C46">
        <w:rPr>
          <w:i/>
          <w:vertAlign w:val="subscript"/>
          <w:lang w:val="en-US"/>
        </w:rPr>
        <w:t xml:space="preserve"> </w:t>
      </w:r>
      <w:r w:rsidRPr="00127C46">
        <w:rPr>
          <w:i/>
          <w:vertAlign w:val="subscript"/>
        </w:rPr>
        <w:t>r,</w:t>
      </w:r>
      <w:r w:rsidR="00BC1A34" w:rsidRPr="00127C46">
        <w:rPr>
          <w:i/>
          <w:vertAlign w:val="subscript"/>
          <w:lang w:val="en-US"/>
        </w:rPr>
        <w:t xml:space="preserve"> </w:t>
      </w:r>
      <w:r w:rsidRPr="00127C46">
        <w:rPr>
          <w:i/>
          <w:vertAlign w:val="subscript"/>
        </w:rPr>
        <w:t>d</w:t>
      </w:r>
      <w:r w:rsidRPr="00127C46">
        <w:tab/>
      </w:r>
      <w:r w:rsidR="00677548" w:rsidRPr="00127C46">
        <w:tab/>
      </w:r>
      <w:r w:rsidRPr="00127C46">
        <w:t>=</w:t>
      </w:r>
      <w:r w:rsidR="00BC1A34" w:rsidRPr="00127C46">
        <w:rPr>
          <w:lang w:val="en-US"/>
        </w:rPr>
        <w:t xml:space="preserve">  </w:t>
      </w:r>
      <w:r w:rsidRPr="00127C46">
        <w:t xml:space="preserve">Max </w:t>
      </w:r>
      <w:r w:rsidRPr="00127C46">
        <w:rPr>
          <w:sz w:val="28"/>
          <w:szCs w:val="28"/>
        </w:rPr>
        <w:t>{</w:t>
      </w:r>
      <w:r w:rsidRPr="00127C46">
        <w:t xml:space="preserve">0, </w:t>
      </w:r>
      <w:r w:rsidR="00F80C33" w:rsidRPr="00127C46">
        <w:rPr>
          <w:position w:val="-20"/>
        </w:rPr>
        <w:object w:dxaOrig="220" w:dyaOrig="440" w14:anchorId="1F52A3A5">
          <v:shape id="_x0000_i1032" type="#_x0000_t75" style="width:9.6pt;height:22.8pt" o:ole="">
            <v:imagedata r:id="rId30" o:title=""/>
          </v:shape>
          <o:OLEObject Type="Embed" ProgID="Equation.3" ShapeID="_x0000_i1032" DrawAspect="Content" ObjectID="_1775281562" r:id="rId31"/>
        </w:object>
      </w:r>
      <w:r w:rsidRPr="00127C46">
        <w:t>[(RTSPP</w:t>
      </w:r>
      <w:r w:rsidR="00BC1A34" w:rsidRPr="00127C46">
        <w:rPr>
          <w:lang w:val="en-US"/>
        </w:rPr>
        <w:t xml:space="preserve"> </w:t>
      </w:r>
      <w:r w:rsidRPr="00127C46">
        <w:rPr>
          <w:i/>
          <w:vertAlign w:val="subscript"/>
        </w:rPr>
        <w:t>p,</w:t>
      </w:r>
      <w:r w:rsidR="00BC1A34" w:rsidRPr="00127C46">
        <w:rPr>
          <w:i/>
          <w:vertAlign w:val="subscript"/>
          <w:lang w:val="en-US"/>
        </w:rPr>
        <w:t xml:space="preserve"> </w:t>
      </w:r>
      <w:r w:rsidRPr="00127C46">
        <w:rPr>
          <w:i/>
          <w:vertAlign w:val="subscript"/>
        </w:rPr>
        <w:t>i</w:t>
      </w:r>
      <w:r w:rsidRPr="00127C46">
        <w:t xml:space="preserve"> * RTMG</w:t>
      </w:r>
      <w:r w:rsidR="00BC1A34" w:rsidRPr="00127C46">
        <w:rPr>
          <w:lang w:val="en-US"/>
        </w:rPr>
        <w:t xml:space="preserve"> </w:t>
      </w:r>
      <w:r w:rsidRPr="00127C46">
        <w:rPr>
          <w:i/>
          <w:vertAlign w:val="subscript"/>
        </w:rPr>
        <w:t>q,</w:t>
      </w:r>
      <w:r w:rsidR="00BC1A34" w:rsidRPr="00127C46">
        <w:rPr>
          <w:i/>
          <w:vertAlign w:val="subscript"/>
          <w:lang w:val="en-US"/>
        </w:rPr>
        <w:t xml:space="preserve"> </w:t>
      </w:r>
      <w:r w:rsidRPr="00127C46">
        <w:rPr>
          <w:i/>
          <w:vertAlign w:val="subscript"/>
        </w:rPr>
        <w:t>r,</w:t>
      </w:r>
      <w:r w:rsidR="00BC1A34" w:rsidRPr="00127C46">
        <w:rPr>
          <w:i/>
          <w:vertAlign w:val="subscript"/>
          <w:lang w:val="en-US"/>
        </w:rPr>
        <w:t xml:space="preserve"> </w:t>
      </w:r>
      <w:r w:rsidRPr="00127C46">
        <w:rPr>
          <w:i/>
          <w:vertAlign w:val="subscript"/>
        </w:rPr>
        <w:t>i</w:t>
      </w:r>
      <w:r w:rsidRPr="00127C46">
        <w:t>)</w:t>
      </w:r>
      <w:r w:rsidRPr="00127C46">
        <w:br/>
        <w:t>+ (-1) * (VSSVARAMT</w:t>
      </w:r>
      <w:r w:rsidR="00BC1A34" w:rsidRPr="00127C46">
        <w:rPr>
          <w:lang w:val="en-US"/>
        </w:rPr>
        <w:t xml:space="preserve"> </w:t>
      </w:r>
      <w:r w:rsidRPr="00127C46">
        <w:rPr>
          <w:i/>
          <w:vertAlign w:val="subscript"/>
        </w:rPr>
        <w:t>q,</w:t>
      </w:r>
      <w:r w:rsidR="00BC1A34" w:rsidRPr="00127C46">
        <w:rPr>
          <w:i/>
          <w:vertAlign w:val="subscript"/>
          <w:lang w:val="en-US"/>
        </w:rPr>
        <w:t xml:space="preserve"> </w:t>
      </w:r>
      <w:r w:rsidRPr="00127C46">
        <w:rPr>
          <w:i/>
          <w:vertAlign w:val="subscript"/>
        </w:rPr>
        <w:t>r,</w:t>
      </w:r>
      <w:r w:rsidR="00BC1A34" w:rsidRPr="00127C46">
        <w:rPr>
          <w:i/>
          <w:vertAlign w:val="subscript"/>
          <w:lang w:val="en-US"/>
        </w:rPr>
        <w:t xml:space="preserve"> </w:t>
      </w:r>
      <w:r w:rsidRPr="00127C46">
        <w:rPr>
          <w:i/>
          <w:vertAlign w:val="subscript"/>
        </w:rPr>
        <w:t>i</w:t>
      </w:r>
      <w:r w:rsidRPr="00127C46">
        <w:t xml:space="preserve"> + </w:t>
      </w:r>
      <w:r w:rsidRPr="00127C46">
        <w:rPr>
          <w:lang w:val="pt-BR"/>
        </w:rPr>
        <w:t>VSSEAMT</w:t>
      </w:r>
      <w:r w:rsidR="00BC1A34" w:rsidRPr="00127C46">
        <w:rPr>
          <w:lang w:val="pt-BR"/>
        </w:rPr>
        <w:t xml:space="preserve"> </w:t>
      </w:r>
      <w:r w:rsidRPr="00127C46">
        <w:rPr>
          <w:i/>
          <w:vertAlign w:val="subscript"/>
        </w:rPr>
        <w:t>q,</w:t>
      </w:r>
      <w:r w:rsidR="00BC1A34" w:rsidRPr="00127C46">
        <w:rPr>
          <w:i/>
          <w:vertAlign w:val="subscript"/>
          <w:lang w:val="en-US"/>
        </w:rPr>
        <w:t xml:space="preserve"> </w:t>
      </w:r>
      <w:r w:rsidRPr="00127C46">
        <w:rPr>
          <w:i/>
          <w:vertAlign w:val="subscript"/>
        </w:rPr>
        <w:t>r,</w:t>
      </w:r>
      <w:r w:rsidR="00BC1A34" w:rsidRPr="00127C46">
        <w:rPr>
          <w:i/>
          <w:vertAlign w:val="subscript"/>
          <w:lang w:val="en-US"/>
        </w:rPr>
        <w:t xml:space="preserve"> </w:t>
      </w:r>
      <w:r w:rsidRPr="00127C46">
        <w:rPr>
          <w:i/>
          <w:vertAlign w:val="subscript"/>
        </w:rPr>
        <w:t>i</w:t>
      </w:r>
      <w:r w:rsidRPr="00127C46">
        <w:rPr>
          <w:lang w:val="pt-BR"/>
        </w:rPr>
        <w:t>)</w:t>
      </w:r>
    </w:p>
    <w:p w14:paraId="0BF8A638" w14:textId="64258D45" w:rsidR="00677548" w:rsidRPr="00127C46" w:rsidRDefault="00677548" w:rsidP="00C078A2">
      <w:pPr>
        <w:pStyle w:val="FormulaBold"/>
      </w:pPr>
      <w:r w:rsidRPr="00127C46">
        <w:tab/>
      </w:r>
      <w:r w:rsidRPr="00127C46">
        <w:tab/>
      </w:r>
      <w:r w:rsidRPr="00127C46">
        <w:tab/>
      </w:r>
      <w:r w:rsidR="00723BFB" w:rsidRPr="00127C46">
        <w:t>+ (-1) * EMREAMT</w:t>
      </w:r>
      <w:r w:rsidR="00BC1A34" w:rsidRPr="00127C46">
        <w:t xml:space="preserve"> </w:t>
      </w:r>
      <w:r w:rsidR="00723BFB" w:rsidRPr="00127C46">
        <w:rPr>
          <w:i/>
          <w:vertAlign w:val="subscript"/>
        </w:rPr>
        <w:t>q,</w:t>
      </w:r>
      <w:r w:rsidR="00BC1A34" w:rsidRPr="00127C46">
        <w:rPr>
          <w:i/>
          <w:vertAlign w:val="subscript"/>
          <w:lang w:val="en-US"/>
        </w:rPr>
        <w:t xml:space="preserve"> </w:t>
      </w:r>
      <w:r w:rsidR="00723BFB" w:rsidRPr="00127C46">
        <w:rPr>
          <w:i/>
          <w:vertAlign w:val="subscript"/>
        </w:rPr>
        <w:t>r,</w:t>
      </w:r>
      <w:r w:rsidR="00BC1A34" w:rsidRPr="00127C46">
        <w:rPr>
          <w:i/>
          <w:vertAlign w:val="subscript"/>
          <w:lang w:val="en-US"/>
        </w:rPr>
        <w:t xml:space="preserve"> </w:t>
      </w:r>
      <w:r w:rsidR="00723BFB" w:rsidRPr="00127C46">
        <w:rPr>
          <w:i/>
          <w:vertAlign w:val="subscript"/>
        </w:rPr>
        <w:t>i</w:t>
      </w:r>
    </w:p>
    <w:p w14:paraId="5D0D79C0" w14:textId="30B4B292" w:rsidR="00677548" w:rsidRPr="00127C46" w:rsidRDefault="00677548" w:rsidP="00C078A2">
      <w:pPr>
        <w:pStyle w:val="FormulaBold"/>
      </w:pPr>
      <w:r w:rsidRPr="00127C46">
        <w:tab/>
      </w:r>
      <w:r w:rsidRPr="00127C46">
        <w:tab/>
      </w:r>
      <w:r w:rsidRPr="00127C46">
        <w:tab/>
      </w:r>
      <w:r w:rsidR="00723BFB" w:rsidRPr="00127C46">
        <w:t>– [MEPR</w:t>
      </w:r>
      <w:r w:rsidR="00BC1A34" w:rsidRPr="00127C46">
        <w:rPr>
          <w:lang w:val="en-US"/>
        </w:rPr>
        <w:t xml:space="preserve"> </w:t>
      </w:r>
      <w:r w:rsidR="00723BFB" w:rsidRPr="00127C46">
        <w:rPr>
          <w:i/>
          <w:vertAlign w:val="subscript"/>
        </w:rPr>
        <w:t>q,</w:t>
      </w:r>
      <w:r w:rsidR="00BC1A34" w:rsidRPr="00127C46">
        <w:rPr>
          <w:i/>
          <w:vertAlign w:val="subscript"/>
          <w:lang w:val="en-US"/>
        </w:rPr>
        <w:t xml:space="preserve"> </w:t>
      </w:r>
      <w:r w:rsidR="00723BFB" w:rsidRPr="00127C46">
        <w:rPr>
          <w:i/>
          <w:vertAlign w:val="subscript"/>
        </w:rPr>
        <w:t>r,</w:t>
      </w:r>
      <w:r w:rsidR="00BC1A34" w:rsidRPr="00127C46">
        <w:rPr>
          <w:i/>
          <w:vertAlign w:val="subscript"/>
          <w:lang w:val="en-US"/>
        </w:rPr>
        <w:t xml:space="preserve"> </w:t>
      </w:r>
      <w:r w:rsidR="00723BFB" w:rsidRPr="00127C46">
        <w:rPr>
          <w:i/>
          <w:vertAlign w:val="subscript"/>
        </w:rPr>
        <w:t>i</w:t>
      </w:r>
      <w:r w:rsidR="00723BFB" w:rsidRPr="00127C46">
        <w:t xml:space="preserve"> * Min (RTMG</w:t>
      </w:r>
      <w:r w:rsidR="00BC1A34" w:rsidRPr="00127C46">
        <w:rPr>
          <w:lang w:val="en-US"/>
        </w:rPr>
        <w:t xml:space="preserve"> </w:t>
      </w:r>
      <w:r w:rsidR="00723BFB" w:rsidRPr="00127C46">
        <w:rPr>
          <w:i/>
          <w:vertAlign w:val="subscript"/>
        </w:rPr>
        <w:t>q,</w:t>
      </w:r>
      <w:r w:rsidR="00BC1A34" w:rsidRPr="00127C46">
        <w:rPr>
          <w:i/>
          <w:vertAlign w:val="subscript"/>
          <w:lang w:val="en-US"/>
        </w:rPr>
        <w:t xml:space="preserve"> </w:t>
      </w:r>
      <w:r w:rsidR="00723BFB" w:rsidRPr="00127C46">
        <w:rPr>
          <w:i/>
          <w:vertAlign w:val="subscript"/>
        </w:rPr>
        <w:t>r,</w:t>
      </w:r>
      <w:r w:rsidR="00BC1A34" w:rsidRPr="00127C46">
        <w:rPr>
          <w:i/>
          <w:vertAlign w:val="subscript"/>
          <w:lang w:val="en-US"/>
        </w:rPr>
        <w:t xml:space="preserve"> </w:t>
      </w:r>
      <w:r w:rsidR="00723BFB" w:rsidRPr="00127C46">
        <w:rPr>
          <w:i/>
          <w:vertAlign w:val="subscript"/>
        </w:rPr>
        <w:t>i</w:t>
      </w:r>
      <w:r w:rsidR="00723BFB" w:rsidRPr="00127C46">
        <w:t>, (LSL</w:t>
      </w:r>
      <w:r w:rsidR="00BC1A34" w:rsidRPr="00127C46">
        <w:rPr>
          <w:lang w:val="en-US"/>
        </w:rPr>
        <w:t xml:space="preserve"> </w:t>
      </w:r>
      <w:r w:rsidR="00723BFB" w:rsidRPr="00127C46">
        <w:rPr>
          <w:i/>
          <w:vertAlign w:val="subscript"/>
        </w:rPr>
        <w:t>q,</w:t>
      </w:r>
      <w:r w:rsidR="00BC1A34" w:rsidRPr="00127C46">
        <w:rPr>
          <w:i/>
          <w:vertAlign w:val="subscript"/>
          <w:lang w:val="en-US"/>
        </w:rPr>
        <w:t xml:space="preserve"> </w:t>
      </w:r>
      <w:r w:rsidR="00723BFB" w:rsidRPr="00127C46">
        <w:rPr>
          <w:i/>
          <w:vertAlign w:val="subscript"/>
        </w:rPr>
        <w:t>r,</w:t>
      </w:r>
      <w:r w:rsidR="00BC1A34" w:rsidRPr="00127C46">
        <w:rPr>
          <w:i/>
          <w:vertAlign w:val="subscript"/>
          <w:lang w:val="en-US"/>
        </w:rPr>
        <w:t xml:space="preserve"> </w:t>
      </w:r>
      <w:r w:rsidR="00723BFB" w:rsidRPr="00127C46">
        <w:rPr>
          <w:i/>
          <w:vertAlign w:val="subscript"/>
        </w:rPr>
        <w:t>i</w:t>
      </w:r>
      <w:r w:rsidR="00723BFB" w:rsidRPr="00127C46">
        <w:t xml:space="preserve"> * (¼)))] </w:t>
      </w:r>
    </w:p>
    <w:p w14:paraId="6904988F" w14:textId="4E17B544" w:rsidR="00F80C33" w:rsidRPr="00127C46" w:rsidRDefault="00677548" w:rsidP="00C078A2">
      <w:pPr>
        <w:pStyle w:val="FormulaBold"/>
      </w:pPr>
      <w:r w:rsidRPr="00127C46">
        <w:tab/>
      </w:r>
      <w:r w:rsidRPr="00127C46">
        <w:tab/>
      </w:r>
      <w:r w:rsidRPr="00127C46">
        <w:tab/>
      </w:r>
      <w:r w:rsidR="00723BFB" w:rsidRPr="00127C46">
        <w:t>– [RT</w:t>
      </w:r>
      <w:r w:rsidR="004738F9" w:rsidRPr="00127C46">
        <w:rPr>
          <w:lang w:val="en-US"/>
        </w:rPr>
        <w:t>EOCOST</w:t>
      </w:r>
      <w:r w:rsidR="00BC1A34" w:rsidRPr="00127C46">
        <w:rPr>
          <w:lang w:val="en-US"/>
        </w:rPr>
        <w:t xml:space="preserve"> </w:t>
      </w:r>
      <w:r w:rsidR="00723BFB" w:rsidRPr="00127C46">
        <w:rPr>
          <w:i/>
          <w:vertAlign w:val="subscript"/>
        </w:rPr>
        <w:t>q,</w:t>
      </w:r>
      <w:r w:rsidR="00BC1A34" w:rsidRPr="00127C46">
        <w:rPr>
          <w:i/>
          <w:vertAlign w:val="subscript"/>
          <w:lang w:val="en-US"/>
        </w:rPr>
        <w:t xml:space="preserve"> </w:t>
      </w:r>
      <w:r w:rsidR="00723BFB" w:rsidRPr="00127C46">
        <w:rPr>
          <w:i/>
          <w:vertAlign w:val="subscript"/>
        </w:rPr>
        <w:t>r,</w:t>
      </w:r>
      <w:r w:rsidR="00BC1A34" w:rsidRPr="00127C46">
        <w:rPr>
          <w:i/>
          <w:vertAlign w:val="subscript"/>
          <w:lang w:val="en-US"/>
        </w:rPr>
        <w:t xml:space="preserve"> </w:t>
      </w:r>
      <w:r w:rsidR="00723BFB" w:rsidRPr="00127C46">
        <w:rPr>
          <w:i/>
          <w:vertAlign w:val="subscript"/>
        </w:rPr>
        <w:t>i</w:t>
      </w:r>
      <w:r w:rsidR="00723BFB" w:rsidRPr="00127C46">
        <w:t xml:space="preserve"> * Max (0, RTMG</w:t>
      </w:r>
      <w:r w:rsidR="00BC1A34" w:rsidRPr="00127C46">
        <w:rPr>
          <w:lang w:val="en-US"/>
        </w:rPr>
        <w:t xml:space="preserve"> </w:t>
      </w:r>
      <w:r w:rsidR="00723BFB" w:rsidRPr="00127C46">
        <w:rPr>
          <w:i/>
          <w:vertAlign w:val="subscript"/>
        </w:rPr>
        <w:t>q,</w:t>
      </w:r>
      <w:r w:rsidR="00BC1A34" w:rsidRPr="00127C46">
        <w:rPr>
          <w:i/>
          <w:vertAlign w:val="subscript"/>
          <w:lang w:val="en-US"/>
        </w:rPr>
        <w:t xml:space="preserve"> </w:t>
      </w:r>
      <w:r w:rsidR="00723BFB" w:rsidRPr="00127C46">
        <w:rPr>
          <w:i/>
          <w:vertAlign w:val="subscript"/>
        </w:rPr>
        <w:t>r,</w:t>
      </w:r>
      <w:r w:rsidR="00BC1A34" w:rsidRPr="00127C46">
        <w:rPr>
          <w:i/>
          <w:vertAlign w:val="subscript"/>
          <w:lang w:val="en-US"/>
        </w:rPr>
        <w:t xml:space="preserve"> </w:t>
      </w:r>
      <w:r w:rsidR="00723BFB" w:rsidRPr="00127C46">
        <w:rPr>
          <w:i/>
          <w:vertAlign w:val="subscript"/>
        </w:rPr>
        <w:t>i</w:t>
      </w:r>
      <w:r w:rsidR="00723BFB" w:rsidRPr="00127C46">
        <w:t xml:space="preserve"> – (LSL</w:t>
      </w:r>
      <w:r w:rsidR="00BC1A34" w:rsidRPr="00127C46">
        <w:rPr>
          <w:lang w:val="en-US"/>
        </w:rPr>
        <w:t xml:space="preserve"> </w:t>
      </w:r>
      <w:r w:rsidR="00723BFB" w:rsidRPr="00127C46">
        <w:rPr>
          <w:i/>
          <w:vertAlign w:val="subscript"/>
        </w:rPr>
        <w:t>q,</w:t>
      </w:r>
      <w:r w:rsidR="00BC1A34" w:rsidRPr="00127C46">
        <w:rPr>
          <w:i/>
          <w:vertAlign w:val="subscript"/>
          <w:lang w:val="en-US"/>
        </w:rPr>
        <w:t xml:space="preserve"> </w:t>
      </w:r>
      <w:r w:rsidR="00723BFB" w:rsidRPr="00127C46">
        <w:rPr>
          <w:i/>
          <w:vertAlign w:val="subscript"/>
        </w:rPr>
        <w:t>r,</w:t>
      </w:r>
      <w:r w:rsidR="00BC1A34" w:rsidRPr="00127C46">
        <w:rPr>
          <w:i/>
          <w:vertAlign w:val="subscript"/>
          <w:lang w:val="en-US"/>
        </w:rPr>
        <w:t xml:space="preserve"> </w:t>
      </w:r>
      <w:r w:rsidR="00723BFB" w:rsidRPr="00127C46">
        <w:rPr>
          <w:i/>
          <w:vertAlign w:val="subscript"/>
        </w:rPr>
        <w:t>i</w:t>
      </w:r>
      <w:r w:rsidR="00723BFB" w:rsidRPr="00127C46">
        <w:t xml:space="preserve"> * (¼)))]]</w:t>
      </w:r>
      <w:r w:rsidR="00723BFB" w:rsidRPr="00127C46">
        <w:rPr>
          <w:sz w:val="28"/>
          <w:szCs w:val="28"/>
        </w:rPr>
        <w:t>}</w:t>
      </w:r>
      <w:r w:rsidR="00723BFB" w:rsidRPr="00127C46">
        <w:t xml:space="preserve">  </w:t>
      </w:r>
    </w:p>
    <w:p w14:paraId="705D8FAC" w14:textId="77777777" w:rsidR="00F80C33" w:rsidRDefault="00723BFB" w:rsidP="0063616C">
      <w:pPr>
        <w:pStyle w:val="Formula"/>
        <w:rPr>
          <w:rStyle w:val="BodyTextChar"/>
          <w:iCs w:val="0"/>
        </w:rPr>
      </w:pPr>
      <w:r>
        <w:rPr>
          <w:rStyle w:val="BodyTextChar"/>
        </w:rPr>
        <w:t>If the QSE submitted a validated Three-Part Supply Offer</w:t>
      </w:r>
      <w:r w:rsidR="00E3326A">
        <w:rPr>
          <w:rStyle w:val="BodyTextChar"/>
        </w:rPr>
        <w:t xml:space="preserve"> for the Resource</w:t>
      </w:r>
      <w:r>
        <w:rPr>
          <w:rStyle w:val="BodyTextChar"/>
        </w:rPr>
        <w:t xml:space="preserve">, </w:t>
      </w:r>
    </w:p>
    <w:p w14:paraId="505D9EA3" w14:textId="3E59EA94" w:rsidR="00F80C33" w:rsidRDefault="00723BFB">
      <w:pPr>
        <w:pStyle w:val="Formula"/>
        <w:rPr>
          <w:rStyle w:val="BodyTextChar"/>
          <w:iCs w:val="0"/>
        </w:rPr>
      </w:pPr>
      <w:r>
        <w:rPr>
          <w:rStyle w:val="BodyTextChar"/>
        </w:rPr>
        <w:tab/>
        <w:t xml:space="preserve">Then, </w:t>
      </w:r>
      <w:r>
        <w:rPr>
          <w:rStyle w:val="BodyTextChar"/>
        </w:rPr>
        <w:tab/>
      </w:r>
      <w:r>
        <w:rPr>
          <w:rStyle w:val="BodyTextChar"/>
        </w:rPr>
        <w:tab/>
        <w:t>MEPR</w:t>
      </w:r>
      <w:r w:rsidR="00BC1A34">
        <w:rPr>
          <w:rStyle w:val="BodyTextChar"/>
        </w:rPr>
        <w:t xml:space="preserve"> </w:t>
      </w:r>
      <w:r>
        <w:rPr>
          <w:i/>
          <w:vertAlign w:val="subscript"/>
        </w:rPr>
        <w:t>q,</w:t>
      </w:r>
      <w:r w:rsidR="00BC1A34">
        <w:rPr>
          <w:i/>
          <w:vertAlign w:val="subscript"/>
        </w:rPr>
        <w:t xml:space="preserve"> </w:t>
      </w:r>
      <w:r>
        <w:rPr>
          <w:i/>
          <w:vertAlign w:val="subscript"/>
        </w:rPr>
        <w:t>r,</w:t>
      </w:r>
      <w:r w:rsidR="00BC1A34">
        <w:rPr>
          <w:i/>
          <w:vertAlign w:val="subscript"/>
        </w:rPr>
        <w:t xml:space="preserve"> </w:t>
      </w:r>
      <w:r>
        <w:rPr>
          <w:i/>
          <w:vertAlign w:val="subscript"/>
        </w:rPr>
        <w:t>i</w:t>
      </w:r>
      <w:r>
        <w:rPr>
          <w:rStyle w:val="BodyTextChar"/>
        </w:rPr>
        <w:tab/>
        <w:t>=</w:t>
      </w:r>
      <w:r>
        <w:rPr>
          <w:rStyle w:val="BodyTextChar"/>
        </w:rPr>
        <w:tab/>
      </w:r>
      <w:r w:rsidR="00610129">
        <w:rPr>
          <w:rStyle w:val="BodyTextChar"/>
        </w:rPr>
        <w:t>Min</w:t>
      </w:r>
      <w:r w:rsidR="00216E76">
        <w:rPr>
          <w:rStyle w:val="BodyTextChar"/>
        </w:rPr>
        <w:t xml:space="preserve"> </w:t>
      </w:r>
      <w:r w:rsidR="00610129">
        <w:rPr>
          <w:rStyle w:val="BodyTextChar"/>
        </w:rPr>
        <w:t>(</w:t>
      </w:r>
      <w:r>
        <w:rPr>
          <w:rStyle w:val="BodyTextChar"/>
        </w:rPr>
        <w:t>MEO</w:t>
      </w:r>
      <w:r w:rsidR="00BC1A34">
        <w:rPr>
          <w:rStyle w:val="BodyTextChar"/>
        </w:rPr>
        <w:t xml:space="preserve"> </w:t>
      </w:r>
      <w:r>
        <w:rPr>
          <w:i/>
          <w:vertAlign w:val="subscript"/>
        </w:rPr>
        <w:t>q,</w:t>
      </w:r>
      <w:r w:rsidR="00BC1A34">
        <w:rPr>
          <w:i/>
          <w:vertAlign w:val="subscript"/>
        </w:rPr>
        <w:t xml:space="preserve"> </w:t>
      </w:r>
      <w:r>
        <w:rPr>
          <w:i/>
          <w:vertAlign w:val="subscript"/>
        </w:rPr>
        <w:t>r,</w:t>
      </w:r>
      <w:r w:rsidR="00BC1A34">
        <w:rPr>
          <w:i/>
          <w:vertAlign w:val="subscript"/>
        </w:rPr>
        <w:t xml:space="preserve"> </w:t>
      </w:r>
      <w:r>
        <w:rPr>
          <w:i/>
          <w:vertAlign w:val="subscript"/>
        </w:rPr>
        <w:t>i</w:t>
      </w:r>
      <w:r w:rsidR="00610129" w:rsidRPr="0021719E">
        <w:t xml:space="preserve">, </w:t>
      </w:r>
      <w:r w:rsidR="00610129" w:rsidRPr="00F60211">
        <w:rPr>
          <w:rStyle w:val="BodyTextChar"/>
        </w:rPr>
        <w:t>MECAP</w:t>
      </w:r>
      <w:r w:rsidR="00BC1A34">
        <w:rPr>
          <w:rStyle w:val="BodyTextChar"/>
        </w:rPr>
        <w:t xml:space="preserve"> </w:t>
      </w:r>
      <w:r w:rsidR="00610129">
        <w:rPr>
          <w:i/>
          <w:vertAlign w:val="subscript"/>
        </w:rPr>
        <w:t>q,</w:t>
      </w:r>
      <w:r w:rsidR="00BC1A34">
        <w:rPr>
          <w:i/>
          <w:vertAlign w:val="subscript"/>
        </w:rPr>
        <w:t xml:space="preserve"> </w:t>
      </w:r>
      <w:r w:rsidR="00610129">
        <w:rPr>
          <w:i/>
          <w:vertAlign w:val="subscript"/>
        </w:rPr>
        <w:t>r,</w:t>
      </w:r>
      <w:r w:rsidR="00BC1A34">
        <w:rPr>
          <w:i/>
          <w:vertAlign w:val="subscript"/>
        </w:rPr>
        <w:t xml:space="preserve"> </w:t>
      </w:r>
      <w:r w:rsidR="00610129">
        <w:rPr>
          <w:i/>
          <w:vertAlign w:val="subscript"/>
        </w:rPr>
        <w:t>i</w:t>
      </w:r>
      <w:r w:rsidR="00610129" w:rsidRPr="0021719E">
        <w:t>)</w:t>
      </w:r>
    </w:p>
    <w:p w14:paraId="329BB572" w14:textId="07BC3948" w:rsidR="00F80C33" w:rsidRDefault="00723BFB">
      <w:pPr>
        <w:pStyle w:val="Formula"/>
        <w:rPr>
          <w:rStyle w:val="BodyTextChar"/>
          <w:bCs w:val="0"/>
        </w:rPr>
      </w:pPr>
      <w:r>
        <w:rPr>
          <w:rStyle w:val="BodyTextChar"/>
        </w:rPr>
        <w:tab/>
        <w:t xml:space="preserve">Otherwise, </w:t>
      </w:r>
      <w:r>
        <w:rPr>
          <w:rStyle w:val="BodyTextChar"/>
        </w:rPr>
        <w:tab/>
        <w:t>MEPR</w:t>
      </w:r>
      <w:r w:rsidR="00BC1A34">
        <w:rPr>
          <w:rStyle w:val="BodyTextChar"/>
        </w:rPr>
        <w:t xml:space="preserve"> </w:t>
      </w:r>
      <w:r>
        <w:rPr>
          <w:i/>
          <w:vertAlign w:val="subscript"/>
        </w:rPr>
        <w:t>q,</w:t>
      </w:r>
      <w:r w:rsidR="00BC1A34">
        <w:rPr>
          <w:i/>
          <w:vertAlign w:val="subscript"/>
        </w:rPr>
        <w:t xml:space="preserve"> </w:t>
      </w:r>
      <w:r>
        <w:rPr>
          <w:i/>
          <w:vertAlign w:val="subscript"/>
        </w:rPr>
        <w:t>r,</w:t>
      </w:r>
      <w:r w:rsidR="00BC1A34">
        <w:rPr>
          <w:i/>
          <w:vertAlign w:val="subscript"/>
        </w:rPr>
        <w:t xml:space="preserve"> </w:t>
      </w:r>
      <w:r>
        <w:rPr>
          <w:i/>
          <w:vertAlign w:val="subscript"/>
        </w:rPr>
        <w:t>i</w:t>
      </w:r>
      <w:r>
        <w:rPr>
          <w:rStyle w:val="BodyTextChar"/>
        </w:rPr>
        <w:t xml:space="preserve"> </w:t>
      </w:r>
      <w:r>
        <w:rPr>
          <w:rStyle w:val="BodyTextChar"/>
        </w:rPr>
        <w:tab/>
        <w:t xml:space="preserve">= </w:t>
      </w:r>
      <w:r>
        <w:rPr>
          <w:rStyle w:val="BodyTextChar"/>
        </w:rPr>
        <w:tab/>
        <w:t>MECAP</w:t>
      </w:r>
      <w:r w:rsidR="00BC1A34">
        <w:rPr>
          <w:rStyle w:val="BodyTextChar"/>
        </w:rPr>
        <w:t xml:space="preserve"> </w:t>
      </w:r>
      <w:r>
        <w:rPr>
          <w:i/>
          <w:vertAlign w:val="subscript"/>
        </w:rPr>
        <w:t>q,</w:t>
      </w:r>
      <w:r w:rsidR="00BC1A34">
        <w:rPr>
          <w:i/>
          <w:vertAlign w:val="subscript"/>
        </w:rPr>
        <w:t xml:space="preserve"> </w:t>
      </w:r>
      <w:r>
        <w:rPr>
          <w:i/>
          <w:vertAlign w:val="subscript"/>
        </w:rPr>
        <w:t>r,</w:t>
      </w:r>
      <w:r w:rsidR="00BC1A34">
        <w:rPr>
          <w:i/>
          <w:vertAlign w:val="subscript"/>
        </w:rPr>
        <w:t xml:space="preserve"> </w:t>
      </w:r>
      <w:r>
        <w:rPr>
          <w:i/>
          <w:vertAlign w:val="subscript"/>
        </w:rPr>
        <w:t>i</w:t>
      </w:r>
    </w:p>
    <w:p w14:paraId="1A8CB547" w14:textId="77777777" w:rsidR="00F80C33" w:rsidRDefault="00E3326A">
      <w:pPr>
        <w:pStyle w:val="Formula"/>
        <w:rPr>
          <w:rStyle w:val="BodyTextChar"/>
          <w:bCs w:val="0"/>
          <w:iCs w:val="0"/>
          <w:szCs w:val="20"/>
        </w:rPr>
      </w:pPr>
      <w:r>
        <w:rPr>
          <w:rStyle w:val="BodyTextChar"/>
        </w:rPr>
        <w:t>If ERCOT has approved verifiable minimum-energy costs for the Resource,</w:t>
      </w:r>
    </w:p>
    <w:p w14:paraId="2313169F" w14:textId="7ABEA5E5" w:rsidR="00F80C33" w:rsidRDefault="00723BFB">
      <w:pPr>
        <w:pStyle w:val="Formula"/>
        <w:rPr>
          <w:rStyle w:val="BodyTextChar"/>
          <w:iCs w:val="0"/>
        </w:rPr>
      </w:pPr>
      <w:r>
        <w:rPr>
          <w:rStyle w:val="BodyTextChar"/>
        </w:rPr>
        <w:tab/>
        <w:t>Then,</w:t>
      </w:r>
      <w:r>
        <w:rPr>
          <w:rStyle w:val="BodyTextChar"/>
        </w:rPr>
        <w:tab/>
      </w:r>
      <w:r>
        <w:rPr>
          <w:rStyle w:val="BodyTextChar"/>
        </w:rPr>
        <w:tab/>
        <w:t>MECAP</w:t>
      </w:r>
      <w:r w:rsidR="00BC1A34">
        <w:rPr>
          <w:rStyle w:val="BodyTextChar"/>
        </w:rPr>
        <w:t xml:space="preserve"> </w:t>
      </w:r>
      <w:r>
        <w:rPr>
          <w:i/>
          <w:vertAlign w:val="subscript"/>
        </w:rPr>
        <w:t>q,</w:t>
      </w:r>
      <w:r w:rsidR="00BC1A34">
        <w:rPr>
          <w:i/>
          <w:vertAlign w:val="subscript"/>
        </w:rPr>
        <w:t xml:space="preserve"> </w:t>
      </w:r>
      <w:r>
        <w:rPr>
          <w:i/>
          <w:vertAlign w:val="subscript"/>
        </w:rPr>
        <w:t>r,</w:t>
      </w:r>
      <w:r w:rsidR="00BC1A34">
        <w:rPr>
          <w:i/>
          <w:vertAlign w:val="subscript"/>
        </w:rPr>
        <w:t xml:space="preserve"> </w:t>
      </w:r>
      <w:r>
        <w:rPr>
          <w:i/>
          <w:vertAlign w:val="subscript"/>
        </w:rPr>
        <w:t>i</w:t>
      </w:r>
      <w:r>
        <w:rPr>
          <w:rStyle w:val="BodyTextChar"/>
        </w:rPr>
        <w:tab/>
        <w:t>=</w:t>
      </w:r>
      <w:r>
        <w:rPr>
          <w:rStyle w:val="BodyTextChar"/>
        </w:rPr>
        <w:tab/>
        <w:t>verifiable minimum-energy costs</w:t>
      </w:r>
      <w:r w:rsidR="00BC1A34">
        <w:rPr>
          <w:rStyle w:val="BodyTextChar"/>
        </w:rPr>
        <w:t xml:space="preserve"> </w:t>
      </w:r>
      <w:r>
        <w:rPr>
          <w:i/>
          <w:vertAlign w:val="subscript"/>
        </w:rPr>
        <w:t>q,</w:t>
      </w:r>
      <w:r w:rsidR="00BC1A34">
        <w:rPr>
          <w:i/>
          <w:vertAlign w:val="subscript"/>
        </w:rPr>
        <w:t xml:space="preserve"> </w:t>
      </w:r>
      <w:r>
        <w:rPr>
          <w:i/>
          <w:vertAlign w:val="subscript"/>
        </w:rPr>
        <w:t>r,</w:t>
      </w:r>
      <w:r w:rsidR="00BC1A34">
        <w:rPr>
          <w:i/>
          <w:vertAlign w:val="subscript"/>
        </w:rPr>
        <w:t xml:space="preserve"> </w:t>
      </w:r>
      <w:r>
        <w:rPr>
          <w:i/>
          <w:vertAlign w:val="subscript"/>
        </w:rPr>
        <w:t>i</w:t>
      </w:r>
    </w:p>
    <w:p w14:paraId="2E57A396" w14:textId="37C77F47" w:rsidR="00F80C33" w:rsidRDefault="00723BFB">
      <w:pPr>
        <w:pStyle w:val="Formula"/>
        <w:rPr>
          <w:rStyle w:val="BodyTextChar"/>
          <w:iCs w:val="0"/>
        </w:rPr>
      </w:pPr>
      <w:r>
        <w:rPr>
          <w:rStyle w:val="BodyTextChar"/>
        </w:rPr>
        <w:tab/>
        <w:t xml:space="preserve">Otherwise, </w:t>
      </w:r>
      <w:r>
        <w:rPr>
          <w:rStyle w:val="BodyTextChar"/>
        </w:rPr>
        <w:tab/>
        <w:t>MECAP</w:t>
      </w:r>
      <w:r w:rsidR="00BC1A34">
        <w:rPr>
          <w:rStyle w:val="BodyTextChar"/>
        </w:rPr>
        <w:t xml:space="preserve"> </w:t>
      </w:r>
      <w:r>
        <w:rPr>
          <w:i/>
          <w:vertAlign w:val="subscript"/>
        </w:rPr>
        <w:t>q,</w:t>
      </w:r>
      <w:r w:rsidR="00BC1A34">
        <w:rPr>
          <w:i/>
          <w:vertAlign w:val="subscript"/>
        </w:rPr>
        <w:t xml:space="preserve"> </w:t>
      </w:r>
      <w:r>
        <w:rPr>
          <w:i/>
          <w:vertAlign w:val="subscript"/>
        </w:rPr>
        <w:t>r,</w:t>
      </w:r>
      <w:r w:rsidR="00BC1A34">
        <w:rPr>
          <w:i/>
          <w:vertAlign w:val="subscript"/>
        </w:rPr>
        <w:t xml:space="preserve"> </w:t>
      </w:r>
      <w:r>
        <w:rPr>
          <w:i/>
          <w:vertAlign w:val="subscript"/>
        </w:rPr>
        <w:t>i</w:t>
      </w:r>
      <w:r>
        <w:rPr>
          <w:rStyle w:val="BodyTextChar"/>
        </w:rPr>
        <w:tab/>
        <w:t xml:space="preserve">= </w:t>
      </w:r>
      <w:r>
        <w:rPr>
          <w:rStyle w:val="BodyTextChar"/>
        </w:rPr>
        <w:tab/>
        <w:t>RCGMEC</w:t>
      </w:r>
      <w:r w:rsidR="00BC1A34">
        <w:rPr>
          <w:rStyle w:val="BodyTextChar"/>
        </w:rPr>
        <w:t xml:space="preserve"> </w:t>
      </w:r>
      <w:r>
        <w:rPr>
          <w:i/>
          <w:vertAlign w:val="subscript"/>
        </w:rPr>
        <w:t>i</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63052D" w:rsidRPr="004B32CF" w14:paraId="391654EE" w14:textId="77777777" w:rsidTr="00FD6A54">
        <w:trPr>
          <w:trHeight w:val="1205"/>
        </w:trPr>
        <w:tc>
          <w:tcPr>
            <w:tcW w:w="9350" w:type="dxa"/>
            <w:shd w:val="pct12" w:color="auto" w:fill="auto"/>
          </w:tcPr>
          <w:p w14:paraId="4AE506EC" w14:textId="1538053F" w:rsidR="0063052D" w:rsidRPr="004B32CF" w:rsidRDefault="0063052D" w:rsidP="00FD6A54">
            <w:pPr>
              <w:spacing w:after="240"/>
              <w:rPr>
                <w:b/>
                <w:i/>
                <w:iCs/>
              </w:rPr>
            </w:pPr>
            <w:r w:rsidRPr="004B32CF">
              <w:rPr>
                <w:b/>
                <w:i/>
                <w:iCs/>
              </w:rPr>
              <w:t>[</w:t>
            </w:r>
            <w:r>
              <w:rPr>
                <w:b/>
                <w:i/>
                <w:iCs/>
              </w:rPr>
              <w:t>NPRR1009</w:t>
            </w:r>
            <w:r w:rsidR="00FD6A54">
              <w:rPr>
                <w:b/>
                <w:i/>
                <w:iCs/>
              </w:rPr>
              <w:t xml:space="preserve"> and NPRR1014</w:t>
            </w:r>
            <w:r w:rsidRPr="004B32CF">
              <w:rPr>
                <w:b/>
                <w:i/>
                <w:iCs/>
              </w:rPr>
              <w:t xml:space="preserve">:  Replace </w:t>
            </w:r>
            <w:r>
              <w:rPr>
                <w:b/>
                <w:i/>
                <w:iCs/>
              </w:rPr>
              <w:t>applicable portions of the formula “</w:t>
            </w:r>
            <w:r w:rsidRPr="007A7A3D">
              <w:rPr>
                <w:b/>
                <w:i/>
                <w:iCs/>
              </w:rPr>
              <w:t>RUCEXRQC</w:t>
            </w:r>
            <w:r>
              <w:rPr>
                <w:b/>
                <w:i/>
                <w:iCs/>
              </w:rPr>
              <w:t xml:space="preserve"> </w:t>
            </w:r>
            <w:r w:rsidRPr="007A7A3D">
              <w:rPr>
                <w:b/>
                <w:i/>
                <w:iCs/>
                <w:vertAlign w:val="subscript"/>
              </w:rPr>
              <w:t>q,</w:t>
            </w:r>
            <w:r>
              <w:rPr>
                <w:b/>
                <w:i/>
                <w:iCs/>
                <w:vertAlign w:val="subscript"/>
              </w:rPr>
              <w:t xml:space="preserve"> </w:t>
            </w:r>
            <w:r w:rsidRPr="007A7A3D">
              <w:rPr>
                <w:b/>
                <w:i/>
                <w:iCs/>
                <w:vertAlign w:val="subscript"/>
              </w:rPr>
              <w:t>r,</w:t>
            </w:r>
            <w:r>
              <w:rPr>
                <w:b/>
                <w:i/>
                <w:iCs/>
                <w:vertAlign w:val="subscript"/>
              </w:rPr>
              <w:t xml:space="preserve"> </w:t>
            </w:r>
            <w:r w:rsidRPr="007A7A3D">
              <w:rPr>
                <w:b/>
                <w:i/>
                <w:iCs/>
                <w:vertAlign w:val="subscript"/>
              </w:rPr>
              <w:t>d</w:t>
            </w:r>
            <w:r>
              <w:rPr>
                <w:b/>
                <w:i/>
                <w:iCs/>
              </w:rPr>
              <w:t>”</w:t>
            </w:r>
            <w:r w:rsidRPr="004B32CF">
              <w:rPr>
                <w:b/>
                <w:i/>
                <w:iCs/>
              </w:rPr>
              <w:t xml:space="preserve"> above with the following upon system implementation</w:t>
            </w:r>
            <w:r w:rsidR="003E2880">
              <w:rPr>
                <w:b/>
                <w:i/>
                <w:iCs/>
              </w:rPr>
              <w:t xml:space="preserve"> </w:t>
            </w:r>
            <w:r w:rsidR="00561B1F">
              <w:rPr>
                <w:b/>
                <w:i/>
                <w:iCs/>
              </w:rPr>
              <w:t xml:space="preserve">of the Real-Time Co-Optimization (RTC) project for NPRR1009; or upon system implementation </w:t>
            </w:r>
            <w:r w:rsidR="003E2880">
              <w:rPr>
                <w:b/>
                <w:i/>
                <w:iCs/>
              </w:rPr>
              <w:t>for</w:t>
            </w:r>
            <w:r>
              <w:rPr>
                <w:b/>
                <w:i/>
                <w:iCs/>
              </w:rPr>
              <w:t xml:space="preserve"> </w:t>
            </w:r>
            <w:r w:rsidR="00FD6A54">
              <w:rPr>
                <w:b/>
                <w:i/>
                <w:iCs/>
              </w:rPr>
              <w:t>NPRR1014</w:t>
            </w:r>
            <w:r w:rsidRPr="004B32CF">
              <w:rPr>
                <w:b/>
                <w:i/>
                <w:iCs/>
              </w:rPr>
              <w:t>:]</w:t>
            </w:r>
          </w:p>
          <w:p w14:paraId="4F47698B" w14:textId="77777777" w:rsidR="0063052D" w:rsidRPr="00127C46" w:rsidRDefault="0063052D" w:rsidP="00C078A2">
            <w:pPr>
              <w:pStyle w:val="FormulaBold"/>
            </w:pPr>
            <w:r w:rsidRPr="00127C46">
              <w:t>RUCEXRQC</w:t>
            </w:r>
            <w:r w:rsidRPr="00127C46">
              <w:rPr>
                <w:lang w:val="en-US"/>
              </w:rPr>
              <w:t xml:space="preserve"> </w:t>
            </w:r>
            <w:r w:rsidRPr="00127C46">
              <w:rPr>
                <w:i/>
                <w:vertAlign w:val="subscript"/>
              </w:rPr>
              <w:t>q,</w:t>
            </w:r>
            <w:r w:rsidRPr="00127C46">
              <w:rPr>
                <w:i/>
                <w:vertAlign w:val="subscript"/>
                <w:lang w:val="en-US"/>
              </w:rPr>
              <w:t xml:space="preserve"> </w:t>
            </w:r>
            <w:r w:rsidRPr="00127C46">
              <w:rPr>
                <w:i/>
                <w:vertAlign w:val="subscript"/>
              </w:rPr>
              <w:t>r,</w:t>
            </w:r>
            <w:r w:rsidRPr="00127C46">
              <w:rPr>
                <w:i/>
                <w:vertAlign w:val="subscript"/>
                <w:lang w:val="en-US"/>
              </w:rPr>
              <w:t xml:space="preserve"> </w:t>
            </w:r>
            <w:r w:rsidRPr="00127C46">
              <w:rPr>
                <w:i/>
                <w:vertAlign w:val="subscript"/>
              </w:rPr>
              <w:t>d</w:t>
            </w:r>
            <w:r w:rsidRPr="00127C46">
              <w:tab/>
            </w:r>
            <w:r w:rsidRPr="00127C46">
              <w:tab/>
              <w:t>=</w:t>
            </w:r>
            <w:r w:rsidRPr="00127C46">
              <w:rPr>
                <w:lang w:val="en-US"/>
              </w:rPr>
              <w:t xml:space="preserve">  </w:t>
            </w:r>
            <w:r w:rsidRPr="00127C46">
              <w:t xml:space="preserve">Max </w:t>
            </w:r>
            <w:r w:rsidRPr="00127C46">
              <w:rPr>
                <w:sz w:val="28"/>
                <w:szCs w:val="28"/>
              </w:rPr>
              <w:t>{</w:t>
            </w:r>
            <w:r w:rsidRPr="00127C46">
              <w:t xml:space="preserve">0, </w:t>
            </w:r>
            <w:r w:rsidRPr="00127C46">
              <w:rPr>
                <w:position w:val="-20"/>
              </w:rPr>
              <w:object w:dxaOrig="220" w:dyaOrig="440" w14:anchorId="17CDBD54">
                <v:shape id="_x0000_i1033" type="#_x0000_t75" style="width:9.6pt;height:22.8pt" o:ole="">
                  <v:imagedata r:id="rId30" o:title=""/>
                </v:shape>
                <o:OLEObject Type="Embed" ProgID="Equation.3" ShapeID="_x0000_i1033" DrawAspect="Content" ObjectID="_1775281563" r:id="rId32"/>
              </w:object>
            </w:r>
            <w:r w:rsidRPr="00127C46">
              <w:t>[(RTSPP</w:t>
            </w:r>
            <w:r w:rsidRPr="00127C46">
              <w:rPr>
                <w:lang w:val="en-US"/>
              </w:rPr>
              <w:t xml:space="preserve"> </w:t>
            </w:r>
            <w:r w:rsidRPr="00127C46">
              <w:rPr>
                <w:i/>
                <w:vertAlign w:val="subscript"/>
              </w:rPr>
              <w:t>p,</w:t>
            </w:r>
            <w:r w:rsidRPr="00127C46">
              <w:rPr>
                <w:i/>
                <w:vertAlign w:val="subscript"/>
                <w:lang w:val="en-US"/>
              </w:rPr>
              <w:t xml:space="preserve"> </w:t>
            </w:r>
            <w:r w:rsidRPr="00127C46">
              <w:rPr>
                <w:i/>
                <w:vertAlign w:val="subscript"/>
              </w:rPr>
              <w:t>i</w:t>
            </w:r>
            <w:r w:rsidRPr="00127C46">
              <w:t xml:space="preserve"> * RTMG</w:t>
            </w:r>
            <w:r w:rsidRPr="00127C46">
              <w:rPr>
                <w:lang w:val="en-US"/>
              </w:rPr>
              <w:t xml:space="preserve"> </w:t>
            </w:r>
            <w:r w:rsidRPr="00127C46">
              <w:rPr>
                <w:i/>
                <w:vertAlign w:val="subscript"/>
              </w:rPr>
              <w:t>q,</w:t>
            </w:r>
            <w:r w:rsidRPr="00127C46">
              <w:rPr>
                <w:i/>
                <w:vertAlign w:val="subscript"/>
                <w:lang w:val="en-US"/>
              </w:rPr>
              <w:t xml:space="preserve"> </w:t>
            </w:r>
            <w:r w:rsidRPr="00127C46">
              <w:rPr>
                <w:i/>
                <w:vertAlign w:val="subscript"/>
              </w:rPr>
              <w:t>r,</w:t>
            </w:r>
            <w:r w:rsidRPr="00127C46">
              <w:rPr>
                <w:i/>
                <w:vertAlign w:val="subscript"/>
                <w:lang w:val="en-US"/>
              </w:rPr>
              <w:t xml:space="preserve"> </w:t>
            </w:r>
            <w:r w:rsidRPr="00127C46">
              <w:rPr>
                <w:i/>
                <w:vertAlign w:val="subscript"/>
              </w:rPr>
              <w:t>i</w:t>
            </w:r>
            <w:r w:rsidRPr="00127C46">
              <w:t>)</w:t>
            </w:r>
          </w:p>
          <w:p w14:paraId="01A8E339" w14:textId="77777777" w:rsidR="0063052D" w:rsidRPr="00127C46" w:rsidRDefault="0063052D" w:rsidP="00C078A2">
            <w:pPr>
              <w:pStyle w:val="FormulaBold"/>
              <w:rPr>
                <w:bCs/>
                <w:i/>
                <w:vertAlign w:val="subscript"/>
              </w:rPr>
            </w:pPr>
            <w:r w:rsidRPr="00127C46">
              <w:tab/>
            </w:r>
            <w:r w:rsidRPr="00127C46">
              <w:tab/>
            </w:r>
            <w:r w:rsidRPr="00127C46">
              <w:tab/>
            </w:r>
            <w:r w:rsidRPr="00127C46">
              <w:rPr>
                <w:lang w:val="pt-BR"/>
              </w:rPr>
              <w:t>+ RTASREV</w:t>
            </w:r>
            <w:r w:rsidRPr="00127C46">
              <w:rPr>
                <w:i/>
                <w:vertAlign w:val="subscript"/>
              </w:rPr>
              <w:t>q, r, i</w:t>
            </w:r>
          </w:p>
          <w:p w14:paraId="4721C07F" w14:textId="77777777" w:rsidR="0063052D" w:rsidRPr="00127C46" w:rsidRDefault="0063052D" w:rsidP="00C078A2">
            <w:pPr>
              <w:pStyle w:val="FormulaBold"/>
              <w:rPr>
                <w:lang w:val="pt-BR"/>
              </w:rPr>
            </w:pPr>
            <w:r w:rsidRPr="00127C46">
              <w:tab/>
            </w:r>
            <w:r w:rsidRPr="00127C46">
              <w:tab/>
            </w:r>
            <w:r w:rsidRPr="00127C46">
              <w:tab/>
              <w:t>+ (-1) * (VSSVARAMT</w:t>
            </w:r>
            <w:r w:rsidRPr="00127C46">
              <w:rPr>
                <w:lang w:val="en-US"/>
              </w:rPr>
              <w:t xml:space="preserve"> </w:t>
            </w:r>
            <w:r w:rsidRPr="00127C46">
              <w:rPr>
                <w:i/>
                <w:vertAlign w:val="subscript"/>
              </w:rPr>
              <w:t>q,</w:t>
            </w:r>
            <w:r w:rsidRPr="00127C46">
              <w:rPr>
                <w:i/>
                <w:vertAlign w:val="subscript"/>
                <w:lang w:val="en-US"/>
              </w:rPr>
              <w:t xml:space="preserve"> </w:t>
            </w:r>
            <w:r w:rsidRPr="00127C46">
              <w:rPr>
                <w:i/>
                <w:vertAlign w:val="subscript"/>
              </w:rPr>
              <w:t>r,</w:t>
            </w:r>
            <w:r w:rsidRPr="00127C46">
              <w:rPr>
                <w:i/>
                <w:vertAlign w:val="subscript"/>
                <w:lang w:val="en-US"/>
              </w:rPr>
              <w:t xml:space="preserve"> </w:t>
            </w:r>
            <w:r w:rsidRPr="00127C46">
              <w:rPr>
                <w:i/>
                <w:vertAlign w:val="subscript"/>
              </w:rPr>
              <w:t>i</w:t>
            </w:r>
            <w:r w:rsidRPr="00127C46">
              <w:t xml:space="preserve"> + </w:t>
            </w:r>
            <w:r w:rsidRPr="00127C46">
              <w:rPr>
                <w:lang w:val="pt-BR"/>
              </w:rPr>
              <w:t xml:space="preserve">VSSEAMT </w:t>
            </w:r>
            <w:r w:rsidRPr="00127C46">
              <w:rPr>
                <w:i/>
                <w:vertAlign w:val="subscript"/>
              </w:rPr>
              <w:t>q,</w:t>
            </w:r>
            <w:r w:rsidRPr="00127C46">
              <w:rPr>
                <w:i/>
                <w:vertAlign w:val="subscript"/>
                <w:lang w:val="en-US"/>
              </w:rPr>
              <w:t xml:space="preserve"> </w:t>
            </w:r>
            <w:r w:rsidRPr="00127C46">
              <w:rPr>
                <w:i/>
                <w:vertAlign w:val="subscript"/>
              </w:rPr>
              <w:t>r,</w:t>
            </w:r>
            <w:r w:rsidRPr="00127C46">
              <w:rPr>
                <w:i/>
                <w:vertAlign w:val="subscript"/>
                <w:lang w:val="en-US"/>
              </w:rPr>
              <w:t xml:space="preserve"> </w:t>
            </w:r>
            <w:r w:rsidRPr="00127C46">
              <w:rPr>
                <w:i/>
                <w:vertAlign w:val="subscript"/>
              </w:rPr>
              <w:t>i</w:t>
            </w:r>
            <w:r w:rsidRPr="00127C46">
              <w:rPr>
                <w:lang w:val="pt-BR"/>
              </w:rPr>
              <w:t>)</w:t>
            </w:r>
          </w:p>
          <w:p w14:paraId="74E2AA37" w14:textId="77777777" w:rsidR="0063052D" w:rsidRPr="00127C46" w:rsidRDefault="0063052D" w:rsidP="00C078A2">
            <w:pPr>
              <w:pStyle w:val="FormulaBold"/>
            </w:pPr>
            <w:r w:rsidRPr="00127C46">
              <w:tab/>
            </w:r>
            <w:r w:rsidRPr="00127C46">
              <w:tab/>
            </w:r>
            <w:r w:rsidRPr="00127C46">
              <w:rPr>
                <w:lang w:val="en-US"/>
              </w:rPr>
              <w:t xml:space="preserve">   </w:t>
            </w:r>
            <w:r w:rsidRPr="00127C46">
              <w:t xml:space="preserve">+ (-1) * EMREAMT </w:t>
            </w:r>
            <w:r w:rsidRPr="00127C46">
              <w:rPr>
                <w:i/>
                <w:vertAlign w:val="subscript"/>
              </w:rPr>
              <w:t>q,</w:t>
            </w:r>
            <w:r w:rsidRPr="00127C46">
              <w:rPr>
                <w:i/>
                <w:vertAlign w:val="subscript"/>
                <w:lang w:val="en-US"/>
              </w:rPr>
              <w:t xml:space="preserve"> </w:t>
            </w:r>
            <w:r w:rsidRPr="00127C46">
              <w:rPr>
                <w:i/>
                <w:vertAlign w:val="subscript"/>
              </w:rPr>
              <w:t>r,</w:t>
            </w:r>
            <w:r w:rsidRPr="00127C46">
              <w:rPr>
                <w:i/>
                <w:vertAlign w:val="subscript"/>
                <w:lang w:val="en-US"/>
              </w:rPr>
              <w:t xml:space="preserve"> </w:t>
            </w:r>
            <w:r w:rsidRPr="00127C46">
              <w:rPr>
                <w:i/>
                <w:vertAlign w:val="subscript"/>
              </w:rPr>
              <w:t>i</w:t>
            </w:r>
          </w:p>
          <w:p w14:paraId="36A902BB" w14:textId="77777777" w:rsidR="0063052D" w:rsidRPr="00127C46" w:rsidRDefault="0063052D" w:rsidP="00C078A2">
            <w:pPr>
              <w:pStyle w:val="FormulaBold"/>
            </w:pPr>
            <w:r w:rsidRPr="00127C46">
              <w:tab/>
            </w:r>
            <w:r w:rsidRPr="00127C46">
              <w:tab/>
            </w:r>
            <w:r w:rsidRPr="00127C46">
              <w:rPr>
                <w:lang w:val="en-US"/>
              </w:rPr>
              <w:t xml:space="preserve">   </w:t>
            </w:r>
            <w:r w:rsidRPr="00127C46">
              <w:t>– [MEPR</w:t>
            </w:r>
            <w:r w:rsidRPr="00127C46">
              <w:rPr>
                <w:lang w:val="en-US"/>
              </w:rPr>
              <w:t xml:space="preserve"> </w:t>
            </w:r>
            <w:r w:rsidRPr="00127C46">
              <w:rPr>
                <w:i/>
                <w:vertAlign w:val="subscript"/>
              </w:rPr>
              <w:t>q,</w:t>
            </w:r>
            <w:r w:rsidRPr="00127C46">
              <w:rPr>
                <w:i/>
                <w:vertAlign w:val="subscript"/>
                <w:lang w:val="en-US"/>
              </w:rPr>
              <w:t xml:space="preserve"> </w:t>
            </w:r>
            <w:r w:rsidRPr="00127C46">
              <w:rPr>
                <w:i/>
                <w:vertAlign w:val="subscript"/>
              </w:rPr>
              <w:t>r,</w:t>
            </w:r>
            <w:r w:rsidRPr="00127C46">
              <w:rPr>
                <w:i/>
                <w:vertAlign w:val="subscript"/>
                <w:lang w:val="en-US"/>
              </w:rPr>
              <w:t xml:space="preserve"> </w:t>
            </w:r>
            <w:r w:rsidRPr="00127C46">
              <w:rPr>
                <w:i/>
                <w:vertAlign w:val="subscript"/>
              </w:rPr>
              <w:t>i</w:t>
            </w:r>
            <w:r w:rsidRPr="00127C46">
              <w:t xml:space="preserve"> * Min (RTMG</w:t>
            </w:r>
            <w:r w:rsidRPr="00127C46">
              <w:rPr>
                <w:lang w:val="en-US"/>
              </w:rPr>
              <w:t xml:space="preserve"> </w:t>
            </w:r>
            <w:r w:rsidRPr="00127C46">
              <w:rPr>
                <w:i/>
                <w:vertAlign w:val="subscript"/>
              </w:rPr>
              <w:t>q,</w:t>
            </w:r>
            <w:r w:rsidRPr="00127C46">
              <w:rPr>
                <w:i/>
                <w:vertAlign w:val="subscript"/>
                <w:lang w:val="en-US"/>
              </w:rPr>
              <w:t xml:space="preserve"> </w:t>
            </w:r>
            <w:r w:rsidRPr="00127C46">
              <w:rPr>
                <w:i/>
                <w:vertAlign w:val="subscript"/>
              </w:rPr>
              <w:t>r,</w:t>
            </w:r>
            <w:r w:rsidRPr="00127C46">
              <w:rPr>
                <w:i/>
                <w:vertAlign w:val="subscript"/>
                <w:lang w:val="en-US"/>
              </w:rPr>
              <w:t xml:space="preserve"> </w:t>
            </w:r>
            <w:r w:rsidRPr="00127C46">
              <w:rPr>
                <w:i/>
                <w:vertAlign w:val="subscript"/>
              </w:rPr>
              <w:t>i</w:t>
            </w:r>
            <w:r w:rsidRPr="00127C46">
              <w:t>, (LSL</w:t>
            </w:r>
            <w:r w:rsidRPr="00127C46">
              <w:rPr>
                <w:lang w:val="en-US"/>
              </w:rPr>
              <w:t xml:space="preserve"> </w:t>
            </w:r>
            <w:r w:rsidRPr="00127C46">
              <w:rPr>
                <w:i/>
                <w:vertAlign w:val="subscript"/>
              </w:rPr>
              <w:t>q,</w:t>
            </w:r>
            <w:r w:rsidRPr="00127C46">
              <w:rPr>
                <w:i/>
                <w:vertAlign w:val="subscript"/>
                <w:lang w:val="en-US"/>
              </w:rPr>
              <w:t xml:space="preserve"> </w:t>
            </w:r>
            <w:r w:rsidRPr="00127C46">
              <w:rPr>
                <w:i/>
                <w:vertAlign w:val="subscript"/>
              </w:rPr>
              <w:t>r,</w:t>
            </w:r>
            <w:r w:rsidRPr="00127C46">
              <w:rPr>
                <w:i/>
                <w:vertAlign w:val="subscript"/>
                <w:lang w:val="en-US"/>
              </w:rPr>
              <w:t xml:space="preserve"> </w:t>
            </w:r>
            <w:r w:rsidRPr="00127C46">
              <w:rPr>
                <w:i/>
                <w:vertAlign w:val="subscript"/>
              </w:rPr>
              <w:t>i</w:t>
            </w:r>
            <w:r w:rsidRPr="00127C46">
              <w:t xml:space="preserve"> * (¼)))] </w:t>
            </w:r>
          </w:p>
          <w:p w14:paraId="7870B08B" w14:textId="77777777" w:rsidR="0063052D" w:rsidRPr="00127C46" w:rsidRDefault="0063052D" w:rsidP="00C078A2">
            <w:pPr>
              <w:pStyle w:val="FormulaBold"/>
            </w:pPr>
            <w:r w:rsidRPr="00127C46">
              <w:tab/>
            </w:r>
            <w:r w:rsidRPr="00127C46">
              <w:tab/>
            </w:r>
            <w:r w:rsidRPr="00127C46">
              <w:rPr>
                <w:lang w:val="en-US"/>
              </w:rPr>
              <w:t xml:space="preserve">   </w:t>
            </w:r>
            <w:r w:rsidRPr="00127C46">
              <w:t>– [RTEOCOST</w:t>
            </w:r>
            <w:r w:rsidRPr="00127C46">
              <w:rPr>
                <w:lang w:val="en-US"/>
              </w:rPr>
              <w:t xml:space="preserve"> </w:t>
            </w:r>
            <w:r w:rsidRPr="00127C46">
              <w:rPr>
                <w:i/>
                <w:vertAlign w:val="subscript"/>
              </w:rPr>
              <w:t>q,</w:t>
            </w:r>
            <w:r w:rsidRPr="00127C46">
              <w:rPr>
                <w:i/>
                <w:vertAlign w:val="subscript"/>
                <w:lang w:val="en-US"/>
              </w:rPr>
              <w:t xml:space="preserve"> </w:t>
            </w:r>
            <w:r w:rsidRPr="00127C46">
              <w:rPr>
                <w:i/>
                <w:vertAlign w:val="subscript"/>
              </w:rPr>
              <w:t>r,</w:t>
            </w:r>
            <w:r w:rsidRPr="00127C46">
              <w:rPr>
                <w:i/>
                <w:vertAlign w:val="subscript"/>
                <w:lang w:val="en-US"/>
              </w:rPr>
              <w:t xml:space="preserve"> </w:t>
            </w:r>
            <w:r w:rsidRPr="00127C46">
              <w:rPr>
                <w:i/>
                <w:vertAlign w:val="subscript"/>
              </w:rPr>
              <w:t>i</w:t>
            </w:r>
            <w:r w:rsidRPr="00127C46">
              <w:t xml:space="preserve"> * Max (0, RTMG</w:t>
            </w:r>
            <w:r w:rsidRPr="00127C46">
              <w:rPr>
                <w:lang w:val="en-US"/>
              </w:rPr>
              <w:t xml:space="preserve"> </w:t>
            </w:r>
            <w:r w:rsidRPr="00127C46">
              <w:rPr>
                <w:i/>
                <w:vertAlign w:val="subscript"/>
              </w:rPr>
              <w:t>q,</w:t>
            </w:r>
            <w:r w:rsidRPr="00127C46">
              <w:rPr>
                <w:i/>
                <w:vertAlign w:val="subscript"/>
                <w:lang w:val="en-US"/>
              </w:rPr>
              <w:t xml:space="preserve"> </w:t>
            </w:r>
            <w:r w:rsidRPr="00127C46">
              <w:rPr>
                <w:i/>
                <w:vertAlign w:val="subscript"/>
              </w:rPr>
              <w:t>r,</w:t>
            </w:r>
            <w:r w:rsidRPr="00127C46">
              <w:rPr>
                <w:i/>
                <w:vertAlign w:val="subscript"/>
                <w:lang w:val="en-US"/>
              </w:rPr>
              <w:t xml:space="preserve"> </w:t>
            </w:r>
            <w:r w:rsidRPr="00127C46">
              <w:rPr>
                <w:i/>
                <w:vertAlign w:val="subscript"/>
              </w:rPr>
              <w:t>i</w:t>
            </w:r>
            <w:r w:rsidRPr="00127C46">
              <w:t xml:space="preserve"> – (LSL</w:t>
            </w:r>
            <w:r w:rsidRPr="00127C46">
              <w:rPr>
                <w:lang w:val="en-US"/>
              </w:rPr>
              <w:t xml:space="preserve"> </w:t>
            </w:r>
            <w:r w:rsidRPr="00127C46">
              <w:rPr>
                <w:i/>
                <w:vertAlign w:val="subscript"/>
              </w:rPr>
              <w:t>q,</w:t>
            </w:r>
            <w:r w:rsidRPr="00127C46">
              <w:rPr>
                <w:i/>
                <w:vertAlign w:val="subscript"/>
                <w:lang w:val="en-US"/>
              </w:rPr>
              <w:t xml:space="preserve"> </w:t>
            </w:r>
            <w:r w:rsidRPr="00127C46">
              <w:rPr>
                <w:i/>
                <w:vertAlign w:val="subscript"/>
              </w:rPr>
              <w:t>r,</w:t>
            </w:r>
            <w:r w:rsidRPr="00127C46">
              <w:rPr>
                <w:i/>
                <w:vertAlign w:val="subscript"/>
                <w:lang w:val="en-US"/>
              </w:rPr>
              <w:t xml:space="preserve"> </w:t>
            </w:r>
            <w:r w:rsidRPr="00127C46">
              <w:rPr>
                <w:i/>
                <w:vertAlign w:val="subscript"/>
              </w:rPr>
              <w:t>i</w:t>
            </w:r>
            <w:r w:rsidRPr="00127C46">
              <w:t xml:space="preserve"> * (¼)))]]</w:t>
            </w:r>
            <w:r w:rsidRPr="00127C46">
              <w:rPr>
                <w:sz w:val="28"/>
                <w:szCs w:val="28"/>
              </w:rPr>
              <w:t>}</w:t>
            </w:r>
            <w:r w:rsidRPr="00127C46">
              <w:t xml:space="preserve">  </w:t>
            </w:r>
          </w:p>
          <w:p w14:paraId="1631C633" w14:textId="77777777" w:rsidR="0063052D" w:rsidRDefault="0063052D" w:rsidP="0063616C">
            <w:pPr>
              <w:pStyle w:val="Formula"/>
              <w:rPr>
                <w:rStyle w:val="BodyTextChar"/>
                <w:iCs w:val="0"/>
              </w:rPr>
            </w:pPr>
            <w:r>
              <w:rPr>
                <w:rStyle w:val="BodyTextChar"/>
              </w:rPr>
              <w:lastRenderedPageBreak/>
              <w:t xml:space="preserve">If the QSE submitted a validated Three-Part Supply Offer for the Resource, </w:t>
            </w:r>
          </w:p>
          <w:p w14:paraId="0E8D5631" w14:textId="77777777" w:rsidR="0063052D" w:rsidRDefault="0063052D">
            <w:pPr>
              <w:pStyle w:val="Formula"/>
              <w:rPr>
                <w:rStyle w:val="BodyTextChar"/>
                <w:iCs w:val="0"/>
              </w:rPr>
            </w:pPr>
            <w:r>
              <w:rPr>
                <w:rStyle w:val="BodyTextChar"/>
              </w:rPr>
              <w:tab/>
              <w:t xml:space="preserve">Then, </w:t>
            </w:r>
            <w:r>
              <w:rPr>
                <w:rStyle w:val="BodyTextChar"/>
              </w:rPr>
              <w:tab/>
            </w:r>
            <w:r>
              <w:rPr>
                <w:rStyle w:val="BodyTextChar"/>
              </w:rPr>
              <w:tab/>
              <w:t xml:space="preserve">MEPR </w:t>
            </w:r>
            <w:r>
              <w:rPr>
                <w:i/>
                <w:vertAlign w:val="subscript"/>
              </w:rPr>
              <w:t>q, r, i</w:t>
            </w:r>
            <w:r>
              <w:rPr>
                <w:rStyle w:val="BodyTextChar"/>
              </w:rPr>
              <w:tab/>
              <w:t>=</w:t>
            </w:r>
            <w:r>
              <w:rPr>
                <w:rStyle w:val="BodyTextChar"/>
              </w:rPr>
              <w:tab/>
              <w:t xml:space="preserve">Min (MEO </w:t>
            </w:r>
            <w:r>
              <w:rPr>
                <w:i/>
                <w:vertAlign w:val="subscript"/>
              </w:rPr>
              <w:t>q, r, i</w:t>
            </w:r>
            <w:r w:rsidRPr="0021719E">
              <w:t xml:space="preserve">, </w:t>
            </w:r>
            <w:r w:rsidRPr="00F60211">
              <w:rPr>
                <w:rStyle w:val="BodyTextChar"/>
              </w:rPr>
              <w:t>MECAP</w:t>
            </w:r>
            <w:r>
              <w:rPr>
                <w:rStyle w:val="BodyTextChar"/>
              </w:rPr>
              <w:t xml:space="preserve"> </w:t>
            </w:r>
            <w:r>
              <w:rPr>
                <w:i/>
                <w:vertAlign w:val="subscript"/>
              </w:rPr>
              <w:t>q, r, i</w:t>
            </w:r>
            <w:r w:rsidRPr="0021719E">
              <w:t>)</w:t>
            </w:r>
          </w:p>
          <w:p w14:paraId="5F304A19" w14:textId="77777777" w:rsidR="0063052D" w:rsidRDefault="0063052D">
            <w:pPr>
              <w:pStyle w:val="Formula"/>
              <w:rPr>
                <w:rStyle w:val="BodyTextChar"/>
                <w:bCs w:val="0"/>
              </w:rPr>
            </w:pPr>
            <w:r>
              <w:rPr>
                <w:rStyle w:val="BodyTextChar"/>
              </w:rPr>
              <w:tab/>
              <w:t xml:space="preserve">Otherwise, </w:t>
            </w:r>
            <w:r>
              <w:rPr>
                <w:rStyle w:val="BodyTextChar"/>
              </w:rPr>
              <w:tab/>
              <w:t xml:space="preserve">MEPR </w:t>
            </w:r>
            <w:r>
              <w:rPr>
                <w:i/>
                <w:vertAlign w:val="subscript"/>
              </w:rPr>
              <w:t>q, r, i</w:t>
            </w:r>
            <w:r>
              <w:rPr>
                <w:rStyle w:val="BodyTextChar"/>
              </w:rPr>
              <w:t xml:space="preserve"> </w:t>
            </w:r>
            <w:r>
              <w:rPr>
                <w:rStyle w:val="BodyTextChar"/>
              </w:rPr>
              <w:tab/>
              <w:t xml:space="preserve">= </w:t>
            </w:r>
            <w:r>
              <w:rPr>
                <w:rStyle w:val="BodyTextChar"/>
              </w:rPr>
              <w:tab/>
              <w:t xml:space="preserve">MECAP </w:t>
            </w:r>
            <w:r>
              <w:rPr>
                <w:i/>
                <w:vertAlign w:val="subscript"/>
              </w:rPr>
              <w:t>q, r, i</w:t>
            </w:r>
          </w:p>
          <w:p w14:paraId="5A97990A" w14:textId="77777777" w:rsidR="0063052D" w:rsidRDefault="0063052D">
            <w:pPr>
              <w:pStyle w:val="Formula"/>
              <w:rPr>
                <w:rStyle w:val="BodyTextChar"/>
                <w:bCs w:val="0"/>
                <w:iCs w:val="0"/>
                <w:szCs w:val="20"/>
              </w:rPr>
            </w:pPr>
            <w:r>
              <w:rPr>
                <w:rStyle w:val="BodyTextChar"/>
              </w:rPr>
              <w:t>If ERCOT has approved verifiable minimum-energy costs for the Resource,</w:t>
            </w:r>
          </w:p>
          <w:p w14:paraId="04D70D6C" w14:textId="77777777" w:rsidR="0063052D" w:rsidRDefault="0063052D">
            <w:pPr>
              <w:pStyle w:val="Formula"/>
              <w:rPr>
                <w:rStyle w:val="BodyTextChar"/>
                <w:iCs w:val="0"/>
              </w:rPr>
            </w:pPr>
            <w:r>
              <w:rPr>
                <w:rStyle w:val="BodyTextChar"/>
              </w:rPr>
              <w:tab/>
              <w:t>Then,</w:t>
            </w:r>
            <w:r>
              <w:rPr>
                <w:rStyle w:val="BodyTextChar"/>
              </w:rPr>
              <w:tab/>
            </w:r>
            <w:r>
              <w:rPr>
                <w:rStyle w:val="BodyTextChar"/>
              </w:rPr>
              <w:tab/>
              <w:t xml:space="preserve">MECAP </w:t>
            </w:r>
            <w:r>
              <w:rPr>
                <w:i/>
                <w:vertAlign w:val="subscript"/>
              </w:rPr>
              <w:t>q, r, i</w:t>
            </w:r>
            <w:r>
              <w:rPr>
                <w:rStyle w:val="BodyTextChar"/>
              </w:rPr>
              <w:tab/>
              <w:t>=</w:t>
            </w:r>
            <w:r>
              <w:rPr>
                <w:rStyle w:val="BodyTextChar"/>
              </w:rPr>
              <w:tab/>
              <w:t xml:space="preserve">verifiable minimum-energy costs </w:t>
            </w:r>
            <w:r>
              <w:rPr>
                <w:i/>
                <w:vertAlign w:val="subscript"/>
              </w:rPr>
              <w:t>q, r, i</w:t>
            </w:r>
          </w:p>
          <w:p w14:paraId="492A9438" w14:textId="77777777" w:rsidR="0063052D" w:rsidRDefault="0063052D">
            <w:pPr>
              <w:pStyle w:val="Formula"/>
              <w:rPr>
                <w:rStyle w:val="BodyTextChar"/>
                <w:iCs w:val="0"/>
              </w:rPr>
            </w:pPr>
            <w:r>
              <w:rPr>
                <w:rStyle w:val="BodyTextChar"/>
              </w:rPr>
              <w:tab/>
              <w:t xml:space="preserve">Otherwise, </w:t>
            </w:r>
            <w:r>
              <w:rPr>
                <w:rStyle w:val="BodyTextChar"/>
              </w:rPr>
              <w:tab/>
              <w:t xml:space="preserve">MECAP </w:t>
            </w:r>
            <w:r>
              <w:rPr>
                <w:i/>
                <w:vertAlign w:val="subscript"/>
              </w:rPr>
              <w:t>q, r, i</w:t>
            </w:r>
            <w:r>
              <w:rPr>
                <w:rStyle w:val="BodyTextChar"/>
              </w:rPr>
              <w:tab/>
              <w:t xml:space="preserve">= </w:t>
            </w:r>
            <w:r>
              <w:rPr>
                <w:rStyle w:val="BodyTextChar"/>
              </w:rPr>
              <w:tab/>
              <w:t xml:space="preserve">RCGMEC </w:t>
            </w:r>
            <w:r>
              <w:rPr>
                <w:i/>
                <w:vertAlign w:val="subscript"/>
              </w:rPr>
              <w:t>i</w:t>
            </w:r>
          </w:p>
          <w:p w14:paraId="4046A37A" w14:textId="77777777" w:rsidR="0063052D" w:rsidRDefault="0063052D" w:rsidP="0063052D">
            <w:pPr>
              <w:pStyle w:val="BodyText"/>
              <w:tabs>
                <w:tab w:val="left" w:pos="1170"/>
              </w:tabs>
              <w:spacing w:after="0" w:line="360" w:lineRule="auto"/>
              <w:ind w:left="2700" w:hanging="1980"/>
              <w:rPr>
                <w:lang w:val="pt-BR"/>
              </w:rPr>
            </w:pPr>
            <w:r>
              <w:rPr>
                <w:lang w:val="pt-BR"/>
              </w:rPr>
              <w:t xml:space="preserve">Where, </w:t>
            </w:r>
          </w:p>
          <w:p w14:paraId="0CDA986D" w14:textId="4ECB309C" w:rsidR="0063052D" w:rsidRPr="0063052D" w:rsidRDefault="0063052D" w:rsidP="0063052D">
            <w:pPr>
              <w:spacing w:after="240"/>
              <w:ind w:left="2520" w:hanging="1800"/>
              <w:rPr>
                <w:iCs/>
                <w:sz w:val="20"/>
                <w:lang w:val="pt-BR"/>
              </w:rPr>
            </w:pPr>
            <w:r w:rsidRPr="00C24DE0">
              <w:rPr>
                <w:rStyle w:val="BodyTextChar"/>
              </w:rPr>
              <w:t xml:space="preserve">RTASREV </w:t>
            </w:r>
            <w:r w:rsidRPr="00C24DE0">
              <w:rPr>
                <w:i/>
                <w:vertAlign w:val="subscript"/>
                <w:lang w:val="it-IT"/>
              </w:rPr>
              <w:t xml:space="preserve">q, r, i </w:t>
            </w:r>
            <w:r w:rsidRPr="00C24DE0">
              <w:rPr>
                <w:i/>
                <w:lang w:val="it-IT"/>
              </w:rPr>
              <w:t xml:space="preserve">= </w:t>
            </w:r>
            <w:r w:rsidRPr="00C24DE0">
              <w:rPr>
                <w:rStyle w:val="BodyTextChar"/>
              </w:rPr>
              <w:t xml:space="preserve">RTRUREV </w:t>
            </w:r>
            <w:r w:rsidRPr="00C24DE0">
              <w:rPr>
                <w:i/>
                <w:vertAlign w:val="subscript"/>
                <w:lang w:val="it-IT"/>
              </w:rPr>
              <w:t xml:space="preserve">q, r, i </w:t>
            </w:r>
            <w:r w:rsidRPr="00C24DE0">
              <w:rPr>
                <w:i/>
                <w:lang w:val="it-IT"/>
              </w:rPr>
              <w:t>+</w:t>
            </w:r>
            <w:r w:rsidRPr="00C24DE0">
              <w:rPr>
                <w:rStyle w:val="BodyTextChar"/>
              </w:rPr>
              <w:t xml:space="preserve"> RTRDREV </w:t>
            </w:r>
            <w:r w:rsidRPr="00C24DE0">
              <w:rPr>
                <w:i/>
                <w:vertAlign w:val="subscript"/>
                <w:lang w:val="it-IT"/>
              </w:rPr>
              <w:t xml:space="preserve">q, r, i </w:t>
            </w:r>
            <w:r w:rsidRPr="00C24DE0">
              <w:rPr>
                <w:i/>
                <w:lang w:val="it-IT"/>
              </w:rPr>
              <w:t>+</w:t>
            </w:r>
            <w:r w:rsidRPr="00C24DE0">
              <w:rPr>
                <w:rStyle w:val="BodyTextChar"/>
              </w:rPr>
              <w:t xml:space="preserve"> RTRRREV </w:t>
            </w:r>
            <w:r w:rsidRPr="00C24DE0">
              <w:rPr>
                <w:i/>
                <w:vertAlign w:val="subscript"/>
                <w:lang w:val="it-IT"/>
              </w:rPr>
              <w:t xml:space="preserve">q, r, i </w:t>
            </w:r>
            <w:r w:rsidRPr="00C24DE0">
              <w:rPr>
                <w:i/>
                <w:lang w:val="it-IT"/>
              </w:rPr>
              <w:t>+</w:t>
            </w:r>
            <w:r w:rsidRPr="00C24DE0">
              <w:rPr>
                <w:rStyle w:val="BodyTextChar"/>
              </w:rPr>
              <w:t xml:space="preserve"> RTECRREV </w:t>
            </w:r>
            <w:r w:rsidRPr="00C24DE0">
              <w:rPr>
                <w:i/>
                <w:vertAlign w:val="subscript"/>
                <w:lang w:val="it-IT"/>
              </w:rPr>
              <w:t xml:space="preserve">q, r, i  </w:t>
            </w:r>
            <w:r w:rsidRPr="00C24DE0">
              <w:rPr>
                <w:i/>
                <w:lang w:val="it-IT"/>
              </w:rPr>
              <w:t xml:space="preserve">+  </w:t>
            </w:r>
            <w:r w:rsidRPr="00C24DE0">
              <w:rPr>
                <w:rStyle w:val="BodyTextChar"/>
              </w:rPr>
              <w:t>RTNSREV</w:t>
            </w:r>
            <w:r w:rsidRPr="00C24DE0">
              <w:rPr>
                <w:iCs/>
                <w:sz w:val="20"/>
              </w:rPr>
              <w:t xml:space="preserve"> </w:t>
            </w:r>
            <w:r w:rsidRPr="00C24DE0">
              <w:rPr>
                <w:i/>
                <w:iCs/>
                <w:vertAlign w:val="subscript"/>
                <w:lang w:val="pt-BR"/>
              </w:rPr>
              <w:t>q, r, i</w:t>
            </w:r>
          </w:p>
        </w:tc>
      </w:tr>
    </w:tbl>
    <w:p w14:paraId="732B7274" w14:textId="77777777" w:rsidR="00E2667F" w:rsidRDefault="00723BFB" w:rsidP="00300C4D">
      <w:pPr>
        <w:pStyle w:val="BodyText"/>
        <w:spacing w:before="240" w:after="0"/>
        <w:rPr>
          <w:rStyle w:val="BodyTextChar"/>
          <w:bCs/>
          <w:iCs/>
          <w:szCs w:val="24"/>
        </w:rPr>
      </w:pPr>
      <w:r>
        <w:rPr>
          <w:rStyle w:val="BodyTextChar"/>
        </w:rPr>
        <w:lastRenderedPageBreak/>
        <w:t>The above variables are defined as follows:</w:t>
      </w:r>
    </w:p>
    <w:tbl>
      <w:tblPr>
        <w:tblW w:w="5047"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7"/>
        <w:gridCol w:w="889"/>
        <w:gridCol w:w="6882"/>
      </w:tblGrid>
      <w:tr w:rsidR="00F80C33" w14:paraId="7D05C75E" w14:textId="77777777" w:rsidTr="007A7A3D">
        <w:trPr>
          <w:cantSplit/>
          <w:tblHeader/>
        </w:trPr>
        <w:tc>
          <w:tcPr>
            <w:tcW w:w="883" w:type="pct"/>
          </w:tcPr>
          <w:p w14:paraId="64D2B87C" w14:textId="77777777" w:rsidR="00F80C33" w:rsidRDefault="00723BFB">
            <w:pPr>
              <w:pStyle w:val="TableHead"/>
            </w:pPr>
            <w:r>
              <w:t>Variable</w:t>
            </w:r>
          </w:p>
        </w:tc>
        <w:tc>
          <w:tcPr>
            <w:tcW w:w="471" w:type="pct"/>
          </w:tcPr>
          <w:p w14:paraId="02FC6011" w14:textId="77777777" w:rsidR="00F80C33" w:rsidRDefault="00723BFB" w:rsidP="00B34C5D">
            <w:pPr>
              <w:pStyle w:val="TableHead"/>
              <w:jc w:val="center"/>
            </w:pPr>
            <w:r>
              <w:t>Unit</w:t>
            </w:r>
          </w:p>
        </w:tc>
        <w:tc>
          <w:tcPr>
            <w:tcW w:w="3646" w:type="pct"/>
          </w:tcPr>
          <w:p w14:paraId="26FE18AF" w14:textId="77777777" w:rsidR="00F80C33" w:rsidRDefault="00723BFB">
            <w:pPr>
              <w:pStyle w:val="TableHead"/>
            </w:pPr>
            <w:r>
              <w:t>Definition</w:t>
            </w:r>
          </w:p>
        </w:tc>
      </w:tr>
      <w:tr w:rsidR="00F80C33" w14:paraId="16043074" w14:textId="77777777" w:rsidTr="007A7A3D">
        <w:trPr>
          <w:cantSplit/>
        </w:trPr>
        <w:tc>
          <w:tcPr>
            <w:tcW w:w="883" w:type="pct"/>
          </w:tcPr>
          <w:p w14:paraId="61BE512A" w14:textId="73F643BA" w:rsidR="00F80C33" w:rsidRDefault="00723BFB">
            <w:pPr>
              <w:pStyle w:val="TableBody"/>
            </w:pPr>
            <w:r>
              <w:t>RUCEXRQC</w:t>
            </w:r>
            <w:r w:rsidR="00BC1A34">
              <w:t xml:space="preserve"> </w:t>
            </w:r>
            <w:r w:rsidRPr="00B34C5D">
              <w:rPr>
                <w:i/>
                <w:vertAlign w:val="subscript"/>
              </w:rPr>
              <w:t>q,</w:t>
            </w:r>
            <w:r w:rsidR="00BC1A34">
              <w:rPr>
                <w:i/>
                <w:vertAlign w:val="subscript"/>
              </w:rPr>
              <w:t xml:space="preserve"> </w:t>
            </w:r>
            <w:r w:rsidRPr="00B34C5D">
              <w:rPr>
                <w:i/>
                <w:vertAlign w:val="subscript"/>
              </w:rPr>
              <w:t>r,</w:t>
            </w:r>
            <w:r w:rsidR="00BC1A34">
              <w:rPr>
                <w:i/>
                <w:vertAlign w:val="subscript"/>
              </w:rPr>
              <w:t xml:space="preserve"> </w:t>
            </w:r>
            <w:r w:rsidRPr="00B34C5D">
              <w:rPr>
                <w:i/>
                <w:vertAlign w:val="subscript"/>
              </w:rPr>
              <w:t>d</w:t>
            </w:r>
          </w:p>
        </w:tc>
        <w:tc>
          <w:tcPr>
            <w:tcW w:w="471" w:type="pct"/>
          </w:tcPr>
          <w:p w14:paraId="5D3CA760" w14:textId="77777777" w:rsidR="00F80C33" w:rsidRDefault="00723BFB" w:rsidP="00B34C5D">
            <w:pPr>
              <w:pStyle w:val="TableBody"/>
              <w:jc w:val="center"/>
            </w:pPr>
            <w:r>
              <w:t>$</w:t>
            </w:r>
          </w:p>
        </w:tc>
        <w:tc>
          <w:tcPr>
            <w:tcW w:w="3646" w:type="pct"/>
          </w:tcPr>
          <w:p w14:paraId="7AEDF606" w14:textId="77777777" w:rsidR="00F80C33" w:rsidRDefault="00723BFB">
            <w:pPr>
              <w:pStyle w:val="TableBody"/>
            </w:pPr>
            <w:r w:rsidRPr="00B34C5D">
              <w:rPr>
                <w:i/>
              </w:rPr>
              <w:t>Revenue Less Cost During QSE-</w:t>
            </w:r>
            <w:proofErr w:type="spellStart"/>
            <w:r w:rsidRPr="00B34C5D">
              <w:rPr>
                <w:i/>
              </w:rPr>
              <w:t>Clawback</w:t>
            </w:r>
            <w:proofErr w:type="spellEnd"/>
            <w:r w:rsidRPr="00B34C5D">
              <w:rPr>
                <w:i/>
              </w:rPr>
              <w:t xml:space="preserve"> Intervals</w:t>
            </w:r>
            <w:r>
              <w:t xml:space="preserve">—The sum of the total revenue for Resource </w:t>
            </w:r>
            <w:proofErr w:type="spellStart"/>
            <w:r w:rsidR="00E3326A">
              <w:rPr>
                <w:i/>
              </w:rPr>
              <w:t>r</w:t>
            </w:r>
            <w:proofErr w:type="spellEnd"/>
            <w:r w:rsidR="00E3326A">
              <w:rPr>
                <w:i/>
              </w:rPr>
              <w:t xml:space="preserve"> </w:t>
            </w:r>
            <w:r>
              <w:t>less the cost during all QSE-</w:t>
            </w:r>
            <w:proofErr w:type="spellStart"/>
            <w:r>
              <w:t>Clawback</w:t>
            </w:r>
            <w:proofErr w:type="spellEnd"/>
            <w:r>
              <w:t xml:space="preserve"> Intervals for the Operating Day.</w:t>
            </w:r>
            <w:r w:rsidR="00E3326A">
              <w:t xml:space="preserve">  When one or more Combined Cycle Generation Resources are committed by RUC, Revenue Less Cost During QSE-</w:t>
            </w:r>
            <w:proofErr w:type="spellStart"/>
            <w:r w:rsidR="00E3326A">
              <w:t>Clawback</w:t>
            </w:r>
            <w:proofErr w:type="spellEnd"/>
            <w:r w:rsidR="00E3326A">
              <w:t xml:space="preserve"> Intervals is calculated for the Combined Cycle Train for all Combined Cycle Generation Resources earning revenue in QSE-</w:t>
            </w:r>
            <w:proofErr w:type="spellStart"/>
            <w:r w:rsidR="00E3326A">
              <w:t>Clawback</w:t>
            </w:r>
            <w:proofErr w:type="spellEnd"/>
            <w:r w:rsidR="00E3326A">
              <w:t xml:space="preserve"> Intervals.</w:t>
            </w:r>
          </w:p>
        </w:tc>
      </w:tr>
      <w:tr w:rsidR="00F80C33" w14:paraId="5EC018C1" w14:textId="77777777" w:rsidTr="007A7A3D">
        <w:trPr>
          <w:cantSplit/>
        </w:trPr>
        <w:tc>
          <w:tcPr>
            <w:tcW w:w="883" w:type="pct"/>
          </w:tcPr>
          <w:p w14:paraId="39C397C0" w14:textId="5EB36C81" w:rsidR="00F80C33" w:rsidRDefault="00723BFB">
            <w:pPr>
              <w:pStyle w:val="TableBody"/>
            </w:pPr>
            <w:r>
              <w:t>RTSPP</w:t>
            </w:r>
            <w:r w:rsidR="00BC1A34">
              <w:t xml:space="preserve"> </w:t>
            </w:r>
            <w:r w:rsidRPr="00B34C5D">
              <w:rPr>
                <w:i/>
                <w:vertAlign w:val="subscript"/>
              </w:rPr>
              <w:t>p,</w:t>
            </w:r>
            <w:r w:rsidR="00BC1A34">
              <w:rPr>
                <w:i/>
                <w:vertAlign w:val="subscript"/>
              </w:rPr>
              <w:t xml:space="preserve"> </w:t>
            </w:r>
            <w:r w:rsidRPr="00B34C5D">
              <w:rPr>
                <w:i/>
                <w:vertAlign w:val="subscript"/>
              </w:rPr>
              <w:t>i</w:t>
            </w:r>
          </w:p>
        </w:tc>
        <w:tc>
          <w:tcPr>
            <w:tcW w:w="471" w:type="pct"/>
          </w:tcPr>
          <w:p w14:paraId="1FA170C7" w14:textId="77777777" w:rsidR="00F80C33" w:rsidRDefault="00723BFB" w:rsidP="00B34C5D">
            <w:pPr>
              <w:pStyle w:val="TableBody"/>
              <w:jc w:val="center"/>
            </w:pPr>
            <w:r>
              <w:t>$/MWh</w:t>
            </w:r>
          </w:p>
        </w:tc>
        <w:tc>
          <w:tcPr>
            <w:tcW w:w="3646" w:type="pct"/>
          </w:tcPr>
          <w:p w14:paraId="0F703579" w14:textId="77777777" w:rsidR="00F80C33" w:rsidRDefault="00723BFB">
            <w:pPr>
              <w:pStyle w:val="TableBody"/>
            </w:pPr>
            <w:r w:rsidRPr="00B34C5D">
              <w:rPr>
                <w:i/>
              </w:rPr>
              <w:t>Real-Time Settlement Point Price</w:t>
            </w:r>
            <w:r>
              <w:t xml:space="preserve">—The Real-Time Settlement Point Price at the Resource’s Settlement Point for the Settlement Interval </w:t>
            </w:r>
            <w:r w:rsidRPr="00B34C5D">
              <w:rPr>
                <w:i/>
              </w:rPr>
              <w:t>i</w:t>
            </w:r>
            <w:r>
              <w:t>.</w:t>
            </w:r>
          </w:p>
        </w:tc>
      </w:tr>
      <w:tr w:rsidR="00F80C33" w14:paraId="7F075CC1" w14:textId="77777777" w:rsidTr="007A7A3D">
        <w:trPr>
          <w:cantSplit/>
        </w:trPr>
        <w:tc>
          <w:tcPr>
            <w:tcW w:w="883" w:type="pct"/>
          </w:tcPr>
          <w:p w14:paraId="0A828DFE" w14:textId="2C6726A4" w:rsidR="00F80C33" w:rsidRDefault="00723BFB">
            <w:pPr>
              <w:pStyle w:val="TableBody"/>
            </w:pPr>
            <w:r>
              <w:t>MEPR</w:t>
            </w:r>
            <w:r w:rsidR="00BC1A34">
              <w:t xml:space="preserve"> </w:t>
            </w:r>
            <w:r w:rsidRPr="00B34C5D">
              <w:rPr>
                <w:i/>
                <w:vertAlign w:val="subscript"/>
              </w:rPr>
              <w:t>q,</w:t>
            </w:r>
            <w:r w:rsidR="00BC1A34">
              <w:rPr>
                <w:i/>
                <w:vertAlign w:val="subscript"/>
              </w:rPr>
              <w:t xml:space="preserve"> </w:t>
            </w:r>
            <w:r w:rsidRPr="00B34C5D">
              <w:rPr>
                <w:i/>
                <w:vertAlign w:val="subscript"/>
              </w:rPr>
              <w:t>r,</w:t>
            </w:r>
            <w:r w:rsidR="00BC1A34">
              <w:rPr>
                <w:i/>
                <w:vertAlign w:val="subscript"/>
              </w:rPr>
              <w:t xml:space="preserve"> </w:t>
            </w:r>
            <w:r w:rsidRPr="00B34C5D">
              <w:rPr>
                <w:i/>
                <w:vertAlign w:val="subscript"/>
              </w:rPr>
              <w:t>i</w:t>
            </w:r>
          </w:p>
        </w:tc>
        <w:tc>
          <w:tcPr>
            <w:tcW w:w="471" w:type="pct"/>
          </w:tcPr>
          <w:p w14:paraId="4D8DEFA3" w14:textId="77777777" w:rsidR="00F80C33" w:rsidRDefault="00723BFB" w:rsidP="00B34C5D">
            <w:pPr>
              <w:pStyle w:val="TableBody"/>
              <w:jc w:val="center"/>
            </w:pPr>
            <w:r>
              <w:t>$/MWh</w:t>
            </w:r>
          </w:p>
        </w:tc>
        <w:tc>
          <w:tcPr>
            <w:tcW w:w="3646" w:type="pct"/>
          </w:tcPr>
          <w:p w14:paraId="592F1A0D" w14:textId="77777777" w:rsidR="00F80C33" w:rsidRDefault="00723BFB">
            <w:pPr>
              <w:pStyle w:val="TableBody"/>
            </w:pPr>
            <w:r w:rsidRPr="00B34C5D">
              <w:rPr>
                <w:i/>
              </w:rPr>
              <w:t>Minimum-Energy Price</w:t>
            </w:r>
            <w:r>
              <w:t xml:space="preserve">—The </w:t>
            </w:r>
            <w:r w:rsidR="00E3326A">
              <w:t>S</w:t>
            </w:r>
            <w:r>
              <w:t xml:space="preserve">ettlement price </w:t>
            </w:r>
            <w:r w:rsidR="00E3326A">
              <w:t xml:space="preserve">for Resource </w:t>
            </w:r>
            <w:r w:rsidR="00E3326A">
              <w:rPr>
                <w:i/>
              </w:rPr>
              <w:t xml:space="preserve">r </w:t>
            </w:r>
            <w:r w:rsidRPr="00E3326A">
              <w:t>for</w:t>
            </w:r>
            <w:r>
              <w:t xml:space="preserve"> minimum energy for the Settlement Interval </w:t>
            </w:r>
            <w:r w:rsidRPr="00B34C5D">
              <w:rPr>
                <w:i/>
              </w:rPr>
              <w:t>i</w:t>
            </w:r>
            <w:r>
              <w:t>.</w:t>
            </w:r>
            <w:r w:rsidR="00E3326A">
              <w:t xml:space="preserve">  Where for a Combined Cycle Train, the Resource </w:t>
            </w:r>
            <w:r w:rsidR="00E3326A" w:rsidRPr="00B34C5D">
              <w:rPr>
                <w:i/>
              </w:rPr>
              <w:t>r</w:t>
            </w:r>
            <w:r w:rsidR="00E3326A">
              <w:rPr>
                <w:i/>
              </w:rPr>
              <w:t xml:space="preserve"> </w:t>
            </w:r>
            <w:r w:rsidR="00E3326A" w:rsidRPr="001C65E0">
              <w:t xml:space="preserve">is a </w:t>
            </w:r>
            <w:r w:rsidR="00E3326A">
              <w:t>Combined Cycle Generation Resource within the Combined Cycle Train.</w:t>
            </w:r>
          </w:p>
        </w:tc>
      </w:tr>
      <w:tr w:rsidR="00F80C33" w14:paraId="36E3C5DC" w14:textId="77777777" w:rsidTr="007A7A3D">
        <w:trPr>
          <w:cantSplit/>
        </w:trPr>
        <w:tc>
          <w:tcPr>
            <w:tcW w:w="883" w:type="pct"/>
          </w:tcPr>
          <w:p w14:paraId="587E57DD" w14:textId="37D49DF3" w:rsidR="00F80C33" w:rsidRDefault="00723BFB">
            <w:pPr>
              <w:pStyle w:val="TableBody"/>
            </w:pPr>
            <w:r>
              <w:t>MEO</w:t>
            </w:r>
            <w:r w:rsidR="00BC1A34">
              <w:t xml:space="preserve"> </w:t>
            </w:r>
            <w:r w:rsidRPr="00B34C5D">
              <w:rPr>
                <w:i/>
                <w:vertAlign w:val="subscript"/>
              </w:rPr>
              <w:t>q,</w:t>
            </w:r>
            <w:r w:rsidR="00BC1A34">
              <w:rPr>
                <w:i/>
                <w:vertAlign w:val="subscript"/>
              </w:rPr>
              <w:t xml:space="preserve"> </w:t>
            </w:r>
            <w:r w:rsidRPr="00B34C5D">
              <w:rPr>
                <w:i/>
                <w:vertAlign w:val="subscript"/>
              </w:rPr>
              <w:t>r,</w:t>
            </w:r>
            <w:r w:rsidR="00BC1A34">
              <w:rPr>
                <w:i/>
                <w:vertAlign w:val="subscript"/>
              </w:rPr>
              <w:t xml:space="preserve"> </w:t>
            </w:r>
            <w:r w:rsidRPr="00B34C5D">
              <w:rPr>
                <w:i/>
                <w:vertAlign w:val="subscript"/>
              </w:rPr>
              <w:t>i</w:t>
            </w:r>
          </w:p>
        </w:tc>
        <w:tc>
          <w:tcPr>
            <w:tcW w:w="471" w:type="pct"/>
          </w:tcPr>
          <w:p w14:paraId="01FDADF4" w14:textId="77777777" w:rsidR="00F80C33" w:rsidRDefault="00723BFB" w:rsidP="00B34C5D">
            <w:pPr>
              <w:pStyle w:val="TableBody"/>
              <w:jc w:val="center"/>
            </w:pPr>
            <w:r>
              <w:t>$/MWh</w:t>
            </w:r>
          </w:p>
        </w:tc>
        <w:tc>
          <w:tcPr>
            <w:tcW w:w="3646" w:type="pct"/>
          </w:tcPr>
          <w:p w14:paraId="7C0715FF" w14:textId="77777777" w:rsidR="00F80C33" w:rsidRDefault="00723BFB">
            <w:pPr>
              <w:pStyle w:val="TableBody"/>
            </w:pPr>
            <w:r w:rsidRPr="00B34C5D">
              <w:rPr>
                <w:i/>
              </w:rPr>
              <w:t>Minimum-Energy Offer</w:t>
            </w:r>
            <w:r>
              <w:t xml:space="preserve">—Represents an offer for the costs incurred by Resource </w:t>
            </w:r>
            <w:r w:rsidR="00E3326A">
              <w:rPr>
                <w:i/>
              </w:rPr>
              <w:t xml:space="preserve">r </w:t>
            </w:r>
            <w:r>
              <w:t xml:space="preserve">in producing energy at the Resource’s LSL for the Settlement Interval </w:t>
            </w:r>
            <w:r w:rsidRPr="00B34C5D">
              <w:rPr>
                <w:i/>
              </w:rPr>
              <w:t>i</w:t>
            </w:r>
            <w:r>
              <w:t>.</w:t>
            </w:r>
            <w:r w:rsidR="00E3326A">
              <w:t xml:space="preserve">  Where for a Combined Cycle Train, the Resource </w:t>
            </w:r>
            <w:r w:rsidR="00E3326A" w:rsidRPr="00B34C5D">
              <w:rPr>
                <w:i/>
              </w:rPr>
              <w:t>r</w:t>
            </w:r>
            <w:r w:rsidR="00E3326A">
              <w:rPr>
                <w:i/>
              </w:rPr>
              <w:t xml:space="preserve"> </w:t>
            </w:r>
            <w:r w:rsidR="00E3326A" w:rsidRPr="001C65E0">
              <w:t xml:space="preserve">is a </w:t>
            </w:r>
            <w:r w:rsidR="00E3326A">
              <w:t>Combined Cycle Generation Resource within the Combined Cycle Train.</w:t>
            </w:r>
          </w:p>
        </w:tc>
      </w:tr>
      <w:tr w:rsidR="00F80C33" w14:paraId="68494BEA" w14:textId="77777777" w:rsidTr="007A7A3D">
        <w:trPr>
          <w:cantSplit/>
        </w:trPr>
        <w:tc>
          <w:tcPr>
            <w:tcW w:w="883" w:type="pct"/>
          </w:tcPr>
          <w:p w14:paraId="5B2A5AD1" w14:textId="7CDA39C1" w:rsidR="00F80C33" w:rsidRDefault="00723BFB">
            <w:pPr>
              <w:pStyle w:val="TableBody"/>
            </w:pPr>
            <w:r>
              <w:t>MECAP</w:t>
            </w:r>
            <w:r w:rsidR="00BC1A34">
              <w:t xml:space="preserve"> </w:t>
            </w:r>
            <w:r w:rsidRPr="00B34C5D">
              <w:rPr>
                <w:i/>
                <w:vertAlign w:val="subscript"/>
              </w:rPr>
              <w:t>q,</w:t>
            </w:r>
            <w:r w:rsidR="00BC1A34">
              <w:rPr>
                <w:i/>
                <w:vertAlign w:val="subscript"/>
              </w:rPr>
              <w:t xml:space="preserve"> </w:t>
            </w:r>
            <w:r w:rsidRPr="00B34C5D">
              <w:rPr>
                <w:i/>
                <w:vertAlign w:val="subscript"/>
              </w:rPr>
              <w:t>r,</w:t>
            </w:r>
            <w:r w:rsidR="00BC1A34">
              <w:rPr>
                <w:i/>
                <w:vertAlign w:val="subscript"/>
              </w:rPr>
              <w:t xml:space="preserve"> </w:t>
            </w:r>
            <w:r w:rsidRPr="00B34C5D">
              <w:rPr>
                <w:i/>
                <w:vertAlign w:val="subscript"/>
              </w:rPr>
              <w:t>i</w:t>
            </w:r>
          </w:p>
        </w:tc>
        <w:tc>
          <w:tcPr>
            <w:tcW w:w="471" w:type="pct"/>
          </w:tcPr>
          <w:p w14:paraId="02EAF239" w14:textId="77777777" w:rsidR="00F80C33" w:rsidRDefault="00723BFB" w:rsidP="00B34C5D">
            <w:pPr>
              <w:pStyle w:val="TableBody"/>
              <w:jc w:val="center"/>
            </w:pPr>
            <w:r>
              <w:t>$/MWh</w:t>
            </w:r>
          </w:p>
        </w:tc>
        <w:tc>
          <w:tcPr>
            <w:tcW w:w="3646" w:type="pct"/>
          </w:tcPr>
          <w:p w14:paraId="0A5B3693" w14:textId="77777777" w:rsidR="00F80C33" w:rsidRPr="00B34C5D" w:rsidRDefault="00723BFB" w:rsidP="00610129">
            <w:pPr>
              <w:pStyle w:val="TableBody"/>
              <w:rPr>
                <w:i/>
              </w:rPr>
            </w:pPr>
            <w:r w:rsidRPr="00B34C5D">
              <w:rPr>
                <w:i/>
              </w:rPr>
              <w:t>Minimum</w:t>
            </w:r>
            <w:r w:rsidR="00E3326A">
              <w:rPr>
                <w:i/>
              </w:rPr>
              <w:t>-</w:t>
            </w:r>
            <w:r w:rsidRPr="00B34C5D">
              <w:rPr>
                <w:i/>
              </w:rPr>
              <w:t>Energy Cap</w:t>
            </w:r>
            <w:r>
              <w:t xml:space="preserve">—The amount used </w:t>
            </w:r>
            <w:r w:rsidR="00E3326A">
              <w:t xml:space="preserve">for Resource </w:t>
            </w:r>
            <w:r w:rsidR="00E3326A">
              <w:rPr>
                <w:i/>
              </w:rPr>
              <w:t xml:space="preserve">r </w:t>
            </w:r>
            <w:r>
              <w:t xml:space="preserve">for minimum-energy costs.  The </w:t>
            </w:r>
            <w:r w:rsidR="00610129">
              <w:t>minimum cost is the Resource Category Minimum-Energy Generic Cap (RCGMEC)</w:t>
            </w:r>
            <w:r>
              <w:t xml:space="preserve"> unless ERCOT has approved verifiable unit-specific minimum energy costs for that Resource, in which case the Minimum-Energy </w:t>
            </w:r>
            <w:r w:rsidR="00E3326A">
              <w:t>C</w:t>
            </w:r>
            <w:r>
              <w:t xml:space="preserve">ap is the verifiable unit-specific minimum energy cost. </w:t>
            </w:r>
            <w:r w:rsidR="00E3326A">
              <w:t xml:space="preserve"> </w:t>
            </w:r>
            <w:r>
              <w:t>See Section 5.6.1, Verifiable Costs</w:t>
            </w:r>
            <w:r w:rsidR="00E3326A">
              <w:t>,</w:t>
            </w:r>
            <w:r>
              <w:t xml:space="preserve"> for more information on verifiable costs.</w:t>
            </w:r>
            <w:r w:rsidR="00E3326A">
              <w:t xml:space="preserve">  Where for a Combined Cycle Train, the Resource </w:t>
            </w:r>
            <w:r w:rsidR="00E3326A" w:rsidRPr="00B34C5D">
              <w:rPr>
                <w:i/>
              </w:rPr>
              <w:t>r</w:t>
            </w:r>
            <w:r w:rsidR="00E3326A">
              <w:rPr>
                <w:i/>
              </w:rPr>
              <w:t xml:space="preserve"> </w:t>
            </w:r>
            <w:r w:rsidR="00E3326A" w:rsidRPr="001C65E0">
              <w:t xml:space="preserve">is a </w:t>
            </w:r>
            <w:r w:rsidR="00E3326A">
              <w:t>Combined Cycle Generation Resource within the Combined Cycle Train.</w:t>
            </w:r>
          </w:p>
        </w:tc>
      </w:tr>
      <w:tr w:rsidR="00F80C33" w14:paraId="6BA71711" w14:textId="77777777" w:rsidTr="007A7A3D">
        <w:trPr>
          <w:cantSplit/>
        </w:trPr>
        <w:tc>
          <w:tcPr>
            <w:tcW w:w="883" w:type="pct"/>
          </w:tcPr>
          <w:p w14:paraId="5EF24EC7" w14:textId="5AE6A13D" w:rsidR="00F80C33" w:rsidRDefault="00723BFB">
            <w:pPr>
              <w:pStyle w:val="TableBody"/>
            </w:pPr>
            <w:r>
              <w:t>RCGMEC</w:t>
            </w:r>
            <w:r w:rsidR="00BC1A34">
              <w:t xml:space="preserve"> </w:t>
            </w:r>
            <w:r w:rsidRPr="00B34C5D">
              <w:rPr>
                <w:i/>
                <w:vertAlign w:val="subscript"/>
              </w:rPr>
              <w:t>i</w:t>
            </w:r>
          </w:p>
        </w:tc>
        <w:tc>
          <w:tcPr>
            <w:tcW w:w="471" w:type="pct"/>
          </w:tcPr>
          <w:p w14:paraId="10C4FFBD" w14:textId="77777777" w:rsidR="00F80C33" w:rsidRDefault="00723BFB" w:rsidP="00B34C5D">
            <w:pPr>
              <w:pStyle w:val="TableBody"/>
              <w:jc w:val="center"/>
            </w:pPr>
            <w:r>
              <w:t>$/MWh</w:t>
            </w:r>
          </w:p>
        </w:tc>
        <w:tc>
          <w:tcPr>
            <w:tcW w:w="3646" w:type="pct"/>
          </w:tcPr>
          <w:p w14:paraId="7093A829" w14:textId="77777777" w:rsidR="00F80C33" w:rsidRDefault="00723BFB">
            <w:pPr>
              <w:pStyle w:val="TableBody"/>
            </w:pPr>
            <w:r w:rsidRPr="00B34C5D">
              <w:rPr>
                <w:i/>
              </w:rPr>
              <w:t>Resource Category Generic Minimum-Energy Cost</w:t>
            </w:r>
            <w:r>
              <w:t>—The Resource Category Generic Minimum-Energy Cost cap for the category of the Resource, according to Section 4.4.9.2.3, Startup Offer and Minimum-Energy Offer Generic Caps, for the Operating Day.</w:t>
            </w:r>
          </w:p>
        </w:tc>
      </w:tr>
      <w:tr w:rsidR="004738F9" w14:paraId="7251DDBB" w14:textId="77777777" w:rsidTr="007A7A3D">
        <w:trPr>
          <w:cantSplit/>
        </w:trPr>
        <w:tc>
          <w:tcPr>
            <w:tcW w:w="883" w:type="pct"/>
          </w:tcPr>
          <w:p w14:paraId="03B41A18" w14:textId="54F7DB64" w:rsidR="004738F9" w:rsidRDefault="004738F9" w:rsidP="004738F9">
            <w:pPr>
              <w:pStyle w:val="TableBody"/>
            </w:pPr>
            <w:r w:rsidRPr="009716C5">
              <w:lastRenderedPageBreak/>
              <w:t>RTEOCOST</w:t>
            </w:r>
            <w:r>
              <w:t xml:space="preserve"> </w:t>
            </w:r>
            <w:r w:rsidRPr="009716C5">
              <w:rPr>
                <w:i/>
                <w:vertAlign w:val="subscript"/>
              </w:rPr>
              <w:t>q,</w:t>
            </w:r>
            <w:r>
              <w:rPr>
                <w:i/>
                <w:vertAlign w:val="subscript"/>
              </w:rPr>
              <w:t xml:space="preserve"> </w:t>
            </w:r>
            <w:r w:rsidRPr="009716C5">
              <w:rPr>
                <w:i/>
                <w:vertAlign w:val="subscript"/>
              </w:rPr>
              <w:t>r,</w:t>
            </w:r>
            <w:r>
              <w:rPr>
                <w:i/>
                <w:vertAlign w:val="subscript"/>
              </w:rPr>
              <w:t xml:space="preserve"> </w:t>
            </w:r>
            <w:r w:rsidRPr="009716C5">
              <w:rPr>
                <w:i/>
                <w:vertAlign w:val="subscript"/>
              </w:rPr>
              <w:t>i</w:t>
            </w:r>
          </w:p>
        </w:tc>
        <w:tc>
          <w:tcPr>
            <w:tcW w:w="471" w:type="pct"/>
          </w:tcPr>
          <w:p w14:paraId="2F59C82A" w14:textId="43A85C41" w:rsidR="004738F9" w:rsidRDefault="004738F9" w:rsidP="004738F9">
            <w:pPr>
              <w:pStyle w:val="TableBody"/>
              <w:jc w:val="center"/>
            </w:pPr>
            <w:r w:rsidRPr="009716C5">
              <w:t>$/MWh</w:t>
            </w:r>
          </w:p>
        </w:tc>
        <w:tc>
          <w:tcPr>
            <w:tcW w:w="3646" w:type="pct"/>
          </w:tcPr>
          <w:p w14:paraId="2260B022" w14:textId="20B6DD25" w:rsidR="004738F9" w:rsidRPr="00B34C5D" w:rsidRDefault="004738F9" w:rsidP="002769E3">
            <w:pPr>
              <w:pStyle w:val="TableBody"/>
              <w:rPr>
                <w:i/>
              </w:rPr>
            </w:pPr>
            <w:r w:rsidRPr="009716C5">
              <w:rPr>
                <w:i/>
              </w:rPr>
              <w:t>Real-Time Energy Offer Curve Cost Cap</w:t>
            </w:r>
            <w:r w:rsidRPr="009716C5">
              <w:sym w:font="Symbol" w:char="F0BE"/>
            </w:r>
            <w:r w:rsidRPr="009716C5">
              <w:t xml:space="preserve">The Energy Offer Curve Cost Cap for Resource </w:t>
            </w:r>
            <w:r w:rsidRPr="009716C5">
              <w:rPr>
                <w:i/>
              </w:rPr>
              <w:t>r</w:t>
            </w:r>
            <w:r w:rsidRPr="009716C5">
              <w:t xml:space="preserve"> represented by QSE </w:t>
            </w:r>
            <w:r w:rsidRPr="009716C5">
              <w:rPr>
                <w:i/>
              </w:rPr>
              <w:t>q</w:t>
            </w:r>
            <w:r w:rsidRPr="009716C5">
              <w:t xml:space="preserve">, for the Resource’s generation above the LSL for the Settlement Interval </w:t>
            </w:r>
            <w:r>
              <w:rPr>
                <w:i/>
              </w:rPr>
              <w:t>i.</w:t>
            </w:r>
            <w:r w:rsidRPr="009716C5">
              <w:rPr>
                <w:i/>
              </w:rPr>
              <w:t xml:space="preserve"> </w:t>
            </w:r>
            <w:r w:rsidRPr="009716C5">
              <w:t xml:space="preserve"> See</w:t>
            </w:r>
            <w:r w:rsidRPr="009716C5">
              <w:rPr>
                <w:b/>
              </w:rPr>
              <w:t xml:space="preserve"> </w:t>
            </w:r>
            <w:r w:rsidRPr="009716C5">
              <w:t xml:space="preserve">Section 4.4.9.3.3.  Where for a Combined Cycle Train, the Resource </w:t>
            </w:r>
            <w:r w:rsidRPr="009716C5">
              <w:rPr>
                <w:i/>
              </w:rPr>
              <w:t xml:space="preserve">r </w:t>
            </w:r>
            <w:r w:rsidRPr="009716C5">
              <w:t>is the Combined Cycle Train.</w:t>
            </w:r>
          </w:p>
        </w:tc>
      </w:tr>
      <w:tr w:rsidR="007A7A3D" w14:paraId="47B43BF0" w14:textId="77777777" w:rsidTr="007A7A3D">
        <w:trPr>
          <w:cantSplit/>
        </w:trPr>
        <w:tc>
          <w:tcPr>
            <w:tcW w:w="5000" w:type="pct"/>
            <w:gridSpan w:val="3"/>
          </w:tcPr>
          <w:p w14:paraId="304AFC0D" w14:textId="77777777" w:rsidR="007A7A3D" w:rsidRPr="00B34C5D" w:rsidRDefault="007A7A3D">
            <w:pPr>
              <w:pStyle w:val="TableBody"/>
              <w:rPr>
                <w:i/>
              </w:rPr>
            </w:pPr>
          </w:p>
        </w:tc>
      </w:tr>
      <w:tr w:rsidR="00F80C33" w14:paraId="3060BDAA" w14:textId="77777777" w:rsidTr="007A7A3D">
        <w:trPr>
          <w:cantSplit/>
        </w:trPr>
        <w:tc>
          <w:tcPr>
            <w:tcW w:w="883" w:type="pct"/>
          </w:tcPr>
          <w:p w14:paraId="30B9623B" w14:textId="039EE4AE" w:rsidR="00F80C33" w:rsidRDefault="00723BFB">
            <w:pPr>
              <w:pStyle w:val="TableBody"/>
            </w:pPr>
            <w:r>
              <w:t>RTMG</w:t>
            </w:r>
            <w:r w:rsidR="00BC1A34">
              <w:t xml:space="preserve"> </w:t>
            </w:r>
            <w:r w:rsidRPr="00B34C5D">
              <w:rPr>
                <w:i/>
                <w:vertAlign w:val="subscript"/>
              </w:rPr>
              <w:t>q,</w:t>
            </w:r>
            <w:r w:rsidR="00BC1A34">
              <w:rPr>
                <w:i/>
                <w:vertAlign w:val="subscript"/>
              </w:rPr>
              <w:t xml:space="preserve"> </w:t>
            </w:r>
            <w:r w:rsidRPr="00B34C5D">
              <w:rPr>
                <w:i/>
                <w:vertAlign w:val="subscript"/>
              </w:rPr>
              <w:t>r,</w:t>
            </w:r>
            <w:r w:rsidR="00BC1A34">
              <w:rPr>
                <w:i/>
                <w:vertAlign w:val="subscript"/>
              </w:rPr>
              <w:t xml:space="preserve"> </w:t>
            </w:r>
            <w:r w:rsidRPr="00B34C5D">
              <w:rPr>
                <w:i/>
                <w:vertAlign w:val="subscript"/>
              </w:rPr>
              <w:t>i</w:t>
            </w:r>
          </w:p>
        </w:tc>
        <w:tc>
          <w:tcPr>
            <w:tcW w:w="471" w:type="pct"/>
          </w:tcPr>
          <w:p w14:paraId="52FA2C8D" w14:textId="77777777" w:rsidR="00F80C33" w:rsidRDefault="00723BFB" w:rsidP="00B34C5D">
            <w:pPr>
              <w:pStyle w:val="TableBody"/>
              <w:jc w:val="center"/>
            </w:pPr>
            <w:r>
              <w:t>MWh</w:t>
            </w:r>
          </w:p>
        </w:tc>
        <w:tc>
          <w:tcPr>
            <w:tcW w:w="3646" w:type="pct"/>
          </w:tcPr>
          <w:p w14:paraId="628C0320" w14:textId="77777777" w:rsidR="00F80C33" w:rsidRDefault="00723BFB">
            <w:pPr>
              <w:pStyle w:val="TableBody"/>
            </w:pPr>
            <w:r w:rsidRPr="00B34C5D">
              <w:rPr>
                <w:i/>
              </w:rPr>
              <w:t>Real-Time Metered Generation</w:t>
            </w:r>
            <w:r>
              <w:t>—The Resource</w:t>
            </w:r>
            <w:r w:rsidR="00E3326A">
              <w:t xml:space="preserve"> </w:t>
            </w:r>
            <w:r w:rsidR="00E3326A">
              <w:rPr>
                <w:i/>
              </w:rPr>
              <w:t>r</w:t>
            </w:r>
            <w:r>
              <w:t xml:space="preserve">’s metered generation for the Settlement Interval </w:t>
            </w:r>
            <w:r w:rsidRPr="00B34C5D">
              <w:rPr>
                <w:i/>
              </w:rPr>
              <w:t>i</w:t>
            </w:r>
            <w:r>
              <w:t>.</w:t>
            </w:r>
            <w:r w:rsidR="00E3326A">
              <w:t xml:space="preserve">  Where for a Combined Cycle Train, the Resource </w:t>
            </w:r>
            <w:r w:rsidR="00E3326A" w:rsidRPr="00B34C5D">
              <w:rPr>
                <w:i/>
              </w:rPr>
              <w:t>r</w:t>
            </w:r>
            <w:r w:rsidR="00E3326A">
              <w:rPr>
                <w:i/>
              </w:rPr>
              <w:t xml:space="preserve"> </w:t>
            </w:r>
            <w:r w:rsidR="00E3326A">
              <w:t>is the Combined Cycle Train.</w:t>
            </w:r>
          </w:p>
        </w:tc>
      </w:tr>
      <w:tr w:rsidR="00F80C33" w14:paraId="678F82C1" w14:textId="77777777" w:rsidTr="007A7A3D">
        <w:trPr>
          <w:cantSplit/>
        </w:trPr>
        <w:tc>
          <w:tcPr>
            <w:tcW w:w="883" w:type="pct"/>
          </w:tcPr>
          <w:p w14:paraId="0A58F0D6" w14:textId="2B276C69" w:rsidR="00F80C33" w:rsidRDefault="00723BFB">
            <w:pPr>
              <w:pStyle w:val="TableBody"/>
            </w:pPr>
            <w:r>
              <w:t>LSL</w:t>
            </w:r>
            <w:r w:rsidR="00BC1A34">
              <w:t xml:space="preserve"> </w:t>
            </w:r>
            <w:r w:rsidRPr="00B34C5D">
              <w:rPr>
                <w:i/>
                <w:vertAlign w:val="subscript"/>
              </w:rPr>
              <w:t>q,</w:t>
            </w:r>
            <w:r w:rsidR="00BC1A34">
              <w:rPr>
                <w:i/>
                <w:vertAlign w:val="subscript"/>
              </w:rPr>
              <w:t xml:space="preserve"> </w:t>
            </w:r>
            <w:r w:rsidRPr="00B34C5D">
              <w:rPr>
                <w:i/>
                <w:vertAlign w:val="subscript"/>
              </w:rPr>
              <w:t>r,</w:t>
            </w:r>
            <w:r w:rsidR="00BC1A34">
              <w:rPr>
                <w:i/>
                <w:vertAlign w:val="subscript"/>
              </w:rPr>
              <w:t xml:space="preserve"> </w:t>
            </w:r>
            <w:r w:rsidRPr="00B34C5D">
              <w:rPr>
                <w:i/>
                <w:vertAlign w:val="subscript"/>
              </w:rPr>
              <w:t>i</w:t>
            </w:r>
          </w:p>
        </w:tc>
        <w:tc>
          <w:tcPr>
            <w:tcW w:w="471" w:type="pct"/>
          </w:tcPr>
          <w:p w14:paraId="111BFF90" w14:textId="77777777" w:rsidR="00F80C33" w:rsidRDefault="00723BFB" w:rsidP="00B34C5D">
            <w:pPr>
              <w:pStyle w:val="TableBody"/>
              <w:jc w:val="center"/>
            </w:pPr>
            <w:r>
              <w:t>MW</w:t>
            </w:r>
          </w:p>
        </w:tc>
        <w:tc>
          <w:tcPr>
            <w:tcW w:w="3646" w:type="pct"/>
          </w:tcPr>
          <w:p w14:paraId="7A27E52A" w14:textId="77777777" w:rsidR="00F80C33" w:rsidRDefault="00723BFB" w:rsidP="00E3326A">
            <w:pPr>
              <w:pStyle w:val="TableBody"/>
            </w:pPr>
            <w:r w:rsidRPr="00B34C5D">
              <w:rPr>
                <w:i/>
              </w:rPr>
              <w:t>Low Sustained Limit</w:t>
            </w:r>
            <w:r>
              <w:t xml:space="preserve">—The </w:t>
            </w:r>
            <w:r w:rsidR="00E3326A">
              <w:t>LSL</w:t>
            </w:r>
            <w:r>
              <w:t xml:space="preserve"> of Generation Resource </w:t>
            </w:r>
            <w:r w:rsidRPr="00B34C5D">
              <w:rPr>
                <w:i/>
              </w:rPr>
              <w:t>r</w:t>
            </w:r>
            <w:r>
              <w:t xml:space="preserve"> represented by QSE </w:t>
            </w:r>
            <w:r w:rsidRPr="00B34C5D">
              <w:rPr>
                <w:i/>
              </w:rPr>
              <w:t>q</w:t>
            </w:r>
            <w:r>
              <w:t xml:space="preserve"> for the hour that includes the Settlement Interval </w:t>
            </w:r>
            <w:r w:rsidRPr="00B34C5D">
              <w:rPr>
                <w:i/>
              </w:rPr>
              <w:t>i</w:t>
            </w:r>
            <w:r>
              <w:t>, as submitted in the COP.</w:t>
            </w:r>
            <w:r w:rsidR="00E3326A">
              <w:t xml:space="preserve">  Where for a Combined Cycle Train, the Resource </w:t>
            </w:r>
            <w:r w:rsidR="00E3326A" w:rsidRPr="00B34C5D">
              <w:rPr>
                <w:i/>
              </w:rPr>
              <w:t>r</w:t>
            </w:r>
            <w:r w:rsidR="00E3326A">
              <w:rPr>
                <w:i/>
              </w:rPr>
              <w:t xml:space="preserve"> </w:t>
            </w:r>
            <w:r w:rsidR="00E3326A" w:rsidRPr="001C65E0">
              <w:t xml:space="preserve">is a </w:t>
            </w:r>
            <w:r w:rsidR="00E3326A">
              <w:t>Combined Cycle Generation Resource within the Combined Cycle Train.</w:t>
            </w:r>
          </w:p>
        </w:tc>
      </w:tr>
      <w:tr w:rsidR="00FC4D30" w14:paraId="0F7D1E3B" w14:textId="77777777" w:rsidTr="00FC4D30">
        <w:trPr>
          <w:cantSplit/>
        </w:trPr>
        <w:tc>
          <w:tcPr>
            <w:tcW w:w="5000" w:type="pct"/>
            <w:gridSpan w:val="3"/>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212"/>
            </w:tblGrid>
            <w:tr w:rsidR="00FC4D30" w:rsidRPr="007A7A3D" w14:paraId="3B9A6905" w14:textId="77777777" w:rsidTr="00FD6A54">
              <w:trPr>
                <w:trHeight w:val="1205"/>
              </w:trPr>
              <w:tc>
                <w:tcPr>
                  <w:tcW w:w="9350" w:type="dxa"/>
                  <w:shd w:val="pct12" w:color="auto" w:fill="auto"/>
                </w:tcPr>
                <w:p w14:paraId="4ABDAD0E" w14:textId="57E1E295" w:rsidR="00FC4D30" w:rsidRPr="004B32CF" w:rsidRDefault="00FC4D30" w:rsidP="00FC4D30">
                  <w:pPr>
                    <w:spacing w:after="240"/>
                    <w:rPr>
                      <w:b/>
                      <w:i/>
                      <w:iCs/>
                    </w:rPr>
                  </w:pPr>
                  <w:r w:rsidRPr="004B32CF">
                    <w:rPr>
                      <w:b/>
                      <w:i/>
                      <w:iCs/>
                    </w:rPr>
                    <w:t>[NPR</w:t>
                  </w:r>
                  <w:r>
                    <w:rPr>
                      <w:b/>
                      <w:i/>
                      <w:iCs/>
                    </w:rPr>
                    <w:t>R1009</w:t>
                  </w:r>
                  <w:r w:rsidR="00FD6A54">
                    <w:rPr>
                      <w:b/>
                      <w:i/>
                      <w:iCs/>
                    </w:rPr>
                    <w:t xml:space="preserve"> and NPRR1014</w:t>
                  </w:r>
                  <w:r w:rsidRPr="004B32CF">
                    <w:rPr>
                      <w:b/>
                      <w:i/>
                      <w:iCs/>
                    </w:rPr>
                    <w:t xml:space="preserve">:  </w:t>
                  </w:r>
                  <w:r>
                    <w:rPr>
                      <w:b/>
                      <w:i/>
                      <w:iCs/>
                    </w:rPr>
                    <w:t>Insert</w:t>
                  </w:r>
                  <w:r w:rsidRPr="004B32CF">
                    <w:rPr>
                      <w:b/>
                      <w:i/>
                      <w:iCs/>
                    </w:rPr>
                    <w:t xml:space="preserve"> </w:t>
                  </w:r>
                  <w:r w:rsidR="00B970B6">
                    <w:rPr>
                      <w:b/>
                      <w:i/>
                      <w:iCs/>
                    </w:rPr>
                    <w:t xml:space="preserve">applicable portions of </w:t>
                  </w:r>
                  <w:r>
                    <w:rPr>
                      <w:b/>
                      <w:i/>
                      <w:iCs/>
                    </w:rPr>
                    <w:t xml:space="preserve">the variables below </w:t>
                  </w:r>
                  <w:r w:rsidRPr="004B32CF">
                    <w:rPr>
                      <w:b/>
                      <w:i/>
                      <w:iCs/>
                    </w:rPr>
                    <w:t>upon system implementation</w:t>
                  </w:r>
                  <w:r>
                    <w:rPr>
                      <w:b/>
                      <w:i/>
                      <w:iCs/>
                    </w:rPr>
                    <w:t xml:space="preserve"> of the Real-Time Co-Optimization (RTC) project</w:t>
                  </w:r>
                  <w:r w:rsidR="00FD6A54">
                    <w:rPr>
                      <w:b/>
                      <w:i/>
                      <w:iCs/>
                    </w:rPr>
                    <w:t xml:space="preserve"> for NPRR1009; or upon system implementation </w:t>
                  </w:r>
                  <w:r w:rsidR="003E2880">
                    <w:rPr>
                      <w:b/>
                      <w:i/>
                      <w:iCs/>
                    </w:rPr>
                    <w:t>for NPRR1014</w:t>
                  </w:r>
                  <w:r w:rsidRPr="004B32CF">
                    <w:rPr>
                      <w:b/>
                      <w:i/>
                      <w:iCs/>
                    </w:rPr>
                    <w:t>:]</w:t>
                  </w:r>
                </w:p>
                <w:tbl>
                  <w:tblPr>
                    <w:tblW w:w="885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3"/>
                    <w:gridCol w:w="840"/>
                    <w:gridCol w:w="6465"/>
                  </w:tblGrid>
                  <w:tr w:rsidR="00FC4D30" w:rsidRPr="009716C5" w14:paraId="745C6909" w14:textId="77777777" w:rsidTr="00FD6A54">
                    <w:trPr>
                      <w:cantSplit/>
                    </w:trPr>
                    <w:tc>
                      <w:tcPr>
                        <w:tcW w:w="877" w:type="pct"/>
                      </w:tcPr>
                      <w:p w14:paraId="69A4CF85" w14:textId="19A96976" w:rsidR="00FC4D30" w:rsidRPr="009716C5" w:rsidRDefault="00FC4D30" w:rsidP="00FC4D30">
                        <w:pPr>
                          <w:pStyle w:val="TableBody"/>
                        </w:pPr>
                        <w:r w:rsidRPr="00E65DD5">
                          <w:t>RT</w:t>
                        </w:r>
                        <w:r>
                          <w:t>AS</w:t>
                        </w:r>
                        <w:r w:rsidRPr="008414E2">
                          <w:t xml:space="preserve">REV </w:t>
                        </w:r>
                        <w:r w:rsidRPr="008414E2">
                          <w:rPr>
                            <w:i/>
                            <w:iCs w:val="0"/>
                            <w:vertAlign w:val="subscript"/>
                          </w:rPr>
                          <w:t>q, r, i</w:t>
                        </w:r>
                      </w:p>
                    </w:tc>
                    <w:tc>
                      <w:tcPr>
                        <w:tcW w:w="474" w:type="pct"/>
                      </w:tcPr>
                      <w:p w14:paraId="72BA0E8F" w14:textId="133FA3AB" w:rsidR="00FC4D30" w:rsidRPr="009716C5" w:rsidRDefault="00FC4D30" w:rsidP="00FC4D30">
                        <w:pPr>
                          <w:pStyle w:val="TableBody"/>
                          <w:jc w:val="center"/>
                        </w:pPr>
                        <w:r>
                          <w:rPr>
                            <w:iCs w:val="0"/>
                          </w:rPr>
                          <w:t>$</w:t>
                        </w:r>
                      </w:p>
                    </w:tc>
                    <w:tc>
                      <w:tcPr>
                        <w:tcW w:w="3649" w:type="pct"/>
                      </w:tcPr>
                      <w:p w14:paraId="66CD7DB5" w14:textId="41A3341F" w:rsidR="00FC4D30" w:rsidRPr="009716C5" w:rsidRDefault="00FC4D30" w:rsidP="00FC4D30">
                        <w:pPr>
                          <w:pStyle w:val="TableBody"/>
                        </w:pPr>
                        <w:r w:rsidRPr="008414E2">
                          <w:rPr>
                            <w:i/>
                            <w:iCs w:val="0"/>
                          </w:rPr>
                          <w:t>Real-Time Ancillary Service Revenue</w:t>
                        </w:r>
                        <w:r>
                          <w:rPr>
                            <w:i/>
                            <w:iCs w:val="0"/>
                          </w:rPr>
                          <w:t xml:space="preserve"> </w:t>
                        </w:r>
                        <w:r w:rsidRPr="008414E2">
                          <w:rPr>
                            <w:iCs w:val="0"/>
                          </w:rPr>
                          <w:t xml:space="preserve">— The </w:t>
                        </w:r>
                        <w:r>
                          <w:rPr>
                            <w:iCs w:val="0"/>
                          </w:rPr>
                          <w:t xml:space="preserve">total </w:t>
                        </w:r>
                        <w:r w:rsidRPr="008414E2">
                          <w:rPr>
                            <w:iCs w:val="0"/>
                          </w:rPr>
                          <w:t xml:space="preserve">Real-Time </w:t>
                        </w:r>
                        <w:r>
                          <w:rPr>
                            <w:iCs w:val="0"/>
                          </w:rPr>
                          <w:t xml:space="preserve">Ancillary Service </w:t>
                        </w:r>
                        <w:r w:rsidRPr="008414E2">
                          <w:rPr>
                            <w:iCs w:val="0"/>
                          </w:rPr>
                          <w:t xml:space="preserve">revenue for QSE </w:t>
                        </w:r>
                        <w:r w:rsidRPr="008414E2">
                          <w:rPr>
                            <w:i/>
                            <w:iCs w:val="0"/>
                          </w:rPr>
                          <w:t>q</w:t>
                        </w:r>
                        <w:r w:rsidRPr="008414E2">
                          <w:rPr>
                            <w:iCs w:val="0"/>
                          </w:rPr>
                          <w:t xml:space="preserve"> </w:t>
                        </w:r>
                        <w:r>
                          <w:rPr>
                            <w:iCs w:val="0"/>
                          </w:rPr>
                          <w:t>calculated for</w:t>
                        </w:r>
                        <w:r w:rsidRPr="00121157">
                          <w:rPr>
                            <w:iCs w:val="0"/>
                          </w:rPr>
                          <w:t xml:space="preserve"> Resource </w:t>
                        </w:r>
                        <w:r w:rsidRPr="008414E2">
                          <w:rPr>
                            <w:i/>
                            <w:iCs w:val="0"/>
                          </w:rPr>
                          <w:t>r</w:t>
                        </w:r>
                        <w:r w:rsidRPr="0010403A">
                          <w:rPr>
                            <w:iCs w:val="0"/>
                          </w:rPr>
                          <w:t xml:space="preserve"> </w:t>
                        </w:r>
                        <w:r w:rsidRPr="008414E2">
                          <w:rPr>
                            <w:iCs w:val="0"/>
                          </w:rPr>
                          <w:t xml:space="preserve">for the 15-minute Settlement </w:t>
                        </w:r>
                        <w:r>
                          <w:rPr>
                            <w:iCs w:val="0"/>
                          </w:rPr>
                          <w:t>I</w:t>
                        </w:r>
                        <w:r w:rsidRPr="008414E2">
                          <w:rPr>
                            <w:iCs w:val="0"/>
                          </w:rPr>
                          <w:t xml:space="preserve">nterval </w:t>
                        </w:r>
                        <w:r w:rsidRPr="008414E2">
                          <w:rPr>
                            <w:i/>
                            <w:iCs w:val="0"/>
                          </w:rPr>
                          <w:t>i</w:t>
                        </w:r>
                        <w:r w:rsidRPr="008414E2">
                          <w:rPr>
                            <w:iCs w:val="0"/>
                          </w:rPr>
                          <w:t xml:space="preserve">. </w:t>
                        </w:r>
                        <w:r w:rsidR="00B970B6">
                          <w:rPr>
                            <w:iCs w:val="0"/>
                          </w:rPr>
                          <w:t xml:space="preserve"> </w:t>
                        </w:r>
                        <w:r w:rsidRPr="00BE2778">
                          <w:rPr>
                            <w:iCs w:val="0"/>
                          </w:rPr>
                          <w:t xml:space="preserve">Where for a Combined Cycle Train, the Resource </w:t>
                        </w:r>
                        <w:r w:rsidRPr="008414E2">
                          <w:rPr>
                            <w:i/>
                            <w:iCs w:val="0"/>
                          </w:rPr>
                          <w:t>r</w:t>
                        </w:r>
                        <w:r w:rsidRPr="00BE2778">
                          <w:rPr>
                            <w:iCs w:val="0"/>
                          </w:rPr>
                          <w:t xml:space="preserve"> is the Combined Cycle Train.</w:t>
                        </w:r>
                      </w:p>
                    </w:tc>
                  </w:tr>
                  <w:tr w:rsidR="00FC4D30" w:rsidRPr="009716C5" w14:paraId="64744EAC" w14:textId="77777777" w:rsidTr="00FD6A54">
                    <w:trPr>
                      <w:cantSplit/>
                    </w:trPr>
                    <w:tc>
                      <w:tcPr>
                        <w:tcW w:w="877" w:type="pct"/>
                      </w:tcPr>
                      <w:p w14:paraId="183667C5" w14:textId="604223A3" w:rsidR="00FC4D30" w:rsidRPr="009716C5" w:rsidRDefault="00FC4D30" w:rsidP="00FC4D30">
                        <w:pPr>
                          <w:pStyle w:val="TableBody"/>
                        </w:pPr>
                        <w:r w:rsidRPr="008414E2">
                          <w:rPr>
                            <w:iCs w:val="0"/>
                          </w:rPr>
                          <w:t xml:space="preserve">RTRUREV </w:t>
                        </w:r>
                        <w:r w:rsidRPr="008414E2">
                          <w:rPr>
                            <w:i/>
                            <w:iCs w:val="0"/>
                            <w:vertAlign w:val="subscript"/>
                          </w:rPr>
                          <w:t>q, r, i</w:t>
                        </w:r>
                      </w:p>
                    </w:tc>
                    <w:tc>
                      <w:tcPr>
                        <w:tcW w:w="474" w:type="pct"/>
                      </w:tcPr>
                      <w:p w14:paraId="7A37C0D0" w14:textId="645E0CF6" w:rsidR="00FC4D30" w:rsidRPr="009716C5" w:rsidRDefault="00FC4D30" w:rsidP="00FC4D30">
                        <w:pPr>
                          <w:pStyle w:val="TableBody"/>
                          <w:jc w:val="center"/>
                        </w:pPr>
                        <w:r w:rsidRPr="008414E2">
                          <w:rPr>
                            <w:iCs w:val="0"/>
                          </w:rPr>
                          <w:t>$</w:t>
                        </w:r>
                      </w:p>
                    </w:tc>
                    <w:tc>
                      <w:tcPr>
                        <w:tcW w:w="3649" w:type="pct"/>
                      </w:tcPr>
                      <w:p w14:paraId="47ECDA02" w14:textId="07243707" w:rsidR="00FC4D30" w:rsidRPr="00B34C5D" w:rsidRDefault="00FC4D30" w:rsidP="00FC4D30">
                        <w:pPr>
                          <w:pStyle w:val="TableBody"/>
                          <w:rPr>
                            <w:i/>
                          </w:rPr>
                        </w:pPr>
                        <w:r w:rsidRPr="008414E2">
                          <w:rPr>
                            <w:i/>
                            <w:iCs w:val="0"/>
                          </w:rPr>
                          <w:t>Real-Time Reg-Up Revenue</w:t>
                        </w:r>
                        <w:r>
                          <w:rPr>
                            <w:i/>
                            <w:iCs w:val="0"/>
                          </w:rPr>
                          <w:t xml:space="preserve"> </w:t>
                        </w:r>
                        <w:r w:rsidRPr="008414E2">
                          <w:rPr>
                            <w:iCs w:val="0"/>
                          </w:rPr>
                          <w:t xml:space="preserve">— The Real-Time Reg-Up revenue for QSE </w:t>
                        </w:r>
                        <w:r w:rsidRPr="008414E2">
                          <w:rPr>
                            <w:i/>
                            <w:iCs w:val="0"/>
                          </w:rPr>
                          <w:t>q</w:t>
                        </w:r>
                        <w:r w:rsidRPr="008414E2">
                          <w:rPr>
                            <w:iCs w:val="0"/>
                          </w:rPr>
                          <w:t xml:space="preserve"> </w:t>
                        </w:r>
                        <w:r>
                          <w:rPr>
                            <w:iCs w:val="0"/>
                          </w:rPr>
                          <w:t>calculated for</w:t>
                        </w:r>
                        <w:r w:rsidRPr="00121157">
                          <w:rPr>
                            <w:iCs w:val="0"/>
                          </w:rPr>
                          <w:t xml:space="preserve"> Resource </w:t>
                        </w:r>
                        <w:r w:rsidRPr="008414E2">
                          <w:rPr>
                            <w:i/>
                            <w:iCs w:val="0"/>
                          </w:rPr>
                          <w:t>r</w:t>
                        </w:r>
                        <w:r w:rsidRPr="0010403A">
                          <w:rPr>
                            <w:iCs w:val="0"/>
                          </w:rPr>
                          <w:t xml:space="preserve"> </w:t>
                        </w:r>
                        <w:r w:rsidRPr="008414E2">
                          <w:rPr>
                            <w:iCs w:val="0"/>
                          </w:rPr>
                          <w:t xml:space="preserve">for the 15-minute Settlement </w:t>
                        </w:r>
                        <w:r>
                          <w:rPr>
                            <w:iCs w:val="0"/>
                          </w:rPr>
                          <w:t>I</w:t>
                        </w:r>
                        <w:r w:rsidRPr="008414E2">
                          <w:rPr>
                            <w:iCs w:val="0"/>
                          </w:rPr>
                          <w:t xml:space="preserve">nterval </w:t>
                        </w:r>
                        <w:r w:rsidRPr="008414E2">
                          <w:rPr>
                            <w:i/>
                            <w:iCs w:val="0"/>
                          </w:rPr>
                          <w:t>i</w:t>
                        </w:r>
                        <w:r w:rsidRPr="008414E2">
                          <w:rPr>
                            <w:iCs w:val="0"/>
                          </w:rPr>
                          <w:t xml:space="preserve">.  See Section 6.7.5, Real-Time Ancillary Service Imbalance </w:t>
                        </w:r>
                        <w:proofErr w:type="gramStart"/>
                        <w:r w:rsidRPr="008414E2">
                          <w:rPr>
                            <w:iCs w:val="0"/>
                          </w:rPr>
                          <w:t>Payment</w:t>
                        </w:r>
                        <w:proofErr w:type="gramEnd"/>
                        <w:r w:rsidRPr="008414E2">
                          <w:rPr>
                            <w:iCs w:val="0"/>
                          </w:rPr>
                          <w:t xml:space="preserve"> or Charge.  Where for a Combined Cycle Train, the Resource </w:t>
                        </w:r>
                        <w:r w:rsidRPr="008414E2">
                          <w:rPr>
                            <w:i/>
                            <w:iCs w:val="0"/>
                          </w:rPr>
                          <w:t>r</w:t>
                        </w:r>
                        <w:r w:rsidRPr="008414E2">
                          <w:rPr>
                            <w:iCs w:val="0"/>
                          </w:rPr>
                          <w:t xml:space="preserve"> is the Combined Cycle Train.</w:t>
                        </w:r>
                      </w:p>
                    </w:tc>
                  </w:tr>
                  <w:tr w:rsidR="00FC4D30" w:rsidRPr="009716C5" w14:paraId="7AA3E75E" w14:textId="77777777" w:rsidTr="00FD6A54">
                    <w:trPr>
                      <w:cantSplit/>
                    </w:trPr>
                    <w:tc>
                      <w:tcPr>
                        <w:tcW w:w="877" w:type="pct"/>
                      </w:tcPr>
                      <w:p w14:paraId="5CFB156B" w14:textId="135FAC1C" w:rsidR="00FC4D30" w:rsidRPr="009716C5" w:rsidRDefault="00FC4D30" w:rsidP="00FC4D30">
                        <w:pPr>
                          <w:pStyle w:val="TableBody"/>
                        </w:pPr>
                        <w:r w:rsidRPr="008414E2">
                          <w:rPr>
                            <w:iCs w:val="0"/>
                          </w:rPr>
                          <w:t>RTR</w:t>
                        </w:r>
                        <w:r w:rsidRPr="00E65DD5">
                          <w:rPr>
                            <w:iCs w:val="0"/>
                          </w:rPr>
                          <w:t>D</w:t>
                        </w:r>
                        <w:r w:rsidRPr="008414E2">
                          <w:rPr>
                            <w:iCs w:val="0"/>
                          </w:rPr>
                          <w:t xml:space="preserve">REV </w:t>
                        </w:r>
                        <w:r w:rsidRPr="008414E2">
                          <w:rPr>
                            <w:i/>
                            <w:iCs w:val="0"/>
                            <w:vertAlign w:val="subscript"/>
                          </w:rPr>
                          <w:t>q, r, i</w:t>
                        </w:r>
                      </w:p>
                    </w:tc>
                    <w:tc>
                      <w:tcPr>
                        <w:tcW w:w="474" w:type="pct"/>
                      </w:tcPr>
                      <w:p w14:paraId="27718A28" w14:textId="585A7A39" w:rsidR="00FC4D30" w:rsidRPr="009716C5" w:rsidRDefault="00FC4D30" w:rsidP="00FC4D30">
                        <w:pPr>
                          <w:pStyle w:val="TableBody"/>
                          <w:jc w:val="center"/>
                        </w:pPr>
                        <w:r w:rsidRPr="008414E2">
                          <w:rPr>
                            <w:iCs w:val="0"/>
                          </w:rPr>
                          <w:t>$</w:t>
                        </w:r>
                      </w:p>
                    </w:tc>
                    <w:tc>
                      <w:tcPr>
                        <w:tcW w:w="3649" w:type="pct"/>
                      </w:tcPr>
                      <w:p w14:paraId="49CDE3AB" w14:textId="220FC48F" w:rsidR="00FC4D30" w:rsidRPr="00B34C5D" w:rsidRDefault="00FC4D30" w:rsidP="00FC4D30">
                        <w:pPr>
                          <w:pStyle w:val="TableBody"/>
                          <w:rPr>
                            <w:i/>
                          </w:rPr>
                        </w:pPr>
                        <w:r w:rsidRPr="008414E2">
                          <w:rPr>
                            <w:i/>
                            <w:iCs w:val="0"/>
                          </w:rPr>
                          <w:t>Real-Time Reg-Down Revenue</w:t>
                        </w:r>
                        <w:r>
                          <w:rPr>
                            <w:i/>
                            <w:iCs w:val="0"/>
                          </w:rPr>
                          <w:t xml:space="preserve"> </w:t>
                        </w:r>
                        <w:r w:rsidRPr="008414E2">
                          <w:rPr>
                            <w:iCs w:val="0"/>
                          </w:rPr>
                          <w:t>— The Real-Time R</w:t>
                        </w:r>
                        <w:r w:rsidRPr="00E65DD5">
                          <w:rPr>
                            <w:iCs w:val="0"/>
                          </w:rPr>
                          <w:t>eg-</w:t>
                        </w:r>
                        <w:r w:rsidRPr="008414E2">
                          <w:rPr>
                            <w:iCs w:val="0"/>
                          </w:rPr>
                          <w:t>D</w:t>
                        </w:r>
                        <w:r>
                          <w:rPr>
                            <w:iCs w:val="0"/>
                          </w:rPr>
                          <w:t>ow</w:t>
                        </w:r>
                        <w:r w:rsidRPr="00E65DD5">
                          <w:rPr>
                            <w:iCs w:val="0"/>
                          </w:rPr>
                          <w:t>n</w:t>
                        </w:r>
                        <w:r w:rsidRPr="008414E2">
                          <w:rPr>
                            <w:iCs w:val="0"/>
                          </w:rPr>
                          <w:t xml:space="preserve"> revenue for QSE </w:t>
                        </w:r>
                        <w:r w:rsidRPr="008414E2">
                          <w:rPr>
                            <w:i/>
                            <w:iCs w:val="0"/>
                          </w:rPr>
                          <w:t>q</w:t>
                        </w:r>
                        <w:r w:rsidRPr="008414E2">
                          <w:rPr>
                            <w:iCs w:val="0"/>
                          </w:rPr>
                          <w:t xml:space="preserve"> </w:t>
                        </w:r>
                        <w:r>
                          <w:rPr>
                            <w:iCs w:val="0"/>
                          </w:rPr>
                          <w:t>calculated for</w:t>
                        </w:r>
                        <w:r w:rsidRPr="00121157">
                          <w:rPr>
                            <w:iCs w:val="0"/>
                          </w:rPr>
                          <w:t xml:space="preserve"> Resource </w:t>
                        </w:r>
                        <w:r w:rsidRPr="008414E2">
                          <w:rPr>
                            <w:i/>
                            <w:iCs w:val="0"/>
                          </w:rPr>
                          <w:t>r</w:t>
                        </w:r>
                        <w:r w:rsidRPr="0010403A">
                          <w:rPr>
                            <w:iCs w:val="0"/>
                          </w:rPr>
                          <w:t xml:space="preserve"> </w:t>
                        </w:r>
                        <w:r w:rsidRPr="008414E2">
                          <w:rPr>
                            <w:iCs w:val="0"/>
                          </w:rPr>
                          <w:t xml:space="preserve">for the 15-minute Settlement </w:t>
                        </w:r>
                        <w:r>
                          <w:rPr>
                            <w:iCs w:val="0"/>
                          </w:rPr>
                          <w:t>I</w:t>
                        </w:r>
                        <w:r w:rsidRPr="008414E2">
                          <w:rPr>
                            <w:iCs w:val="0"/>
                          </w:rPr>
                          <w:t xml:space="preserve">nterval </w:t>
                        </w:r>
                        <w:r w:rsidRPr="008414E2">
                          <w:rPr>
                            <w:i/>
                            <w:iCs w:val="0"/>
                          </w:rPr>
                          <w:t>i</w:t>
                        </w:r>
                        <w:r w:rsidRPr="008414E2">
                          <w:rPr>
                            <w:iCs w:val="0"/>
                          </w:rPr>
                          <w:t xml:space="preserve">.  See Section 6.7.5.  Where for a Combined Cycle Train, the Resource </w:t>
                        </w:r>
                        <w:r w:rsidRPr="008414E2">
                          <w:rPr>
                            <w:i/>
                            <w:iCs w:val="0"/>
                          </w:rPr>
                          <w:t>r</w:t>
                        </w:r>
                        <w:r w:rsidRPr="008414E2">
                          <w:rPr>
                            <w:iCs w:val="0"/>
                          </w:rPr>
                          <w:t xml:space="preserve"> is the Combined Cycle Train.</w:t>
                        </w:r>
                      </w:p>
                    </w:tc>
                  </w:tr>
                  <w:tr w:rsidR="00FC4D30" w:rsidRPr="009716C5" w14:paraId="6C0305F4" w14:textId="77777777" w:rsidTr="00FD6A54">
                    <w:trPr>
                      <w:cantSplit/>
                    </w:trPr>
                    <w:tc>
                      <w:tcPr>
                        <w:tcW w:w="877" w:type="pct"/>
                      </w:tcPr>
                      <w:p w14:paraId="7CEFEF97" w14:textId="51F47259" w:rsidR="00FC4D30" w:rsidRPr="009716C5" w:rsidRDefault="00FC4D30" w:rsidP="00FC4D30">
                        <w:pPr>
                          <w:pStyle w:val="TableBody"/>
                        </w:pPr>
                        <w:r w:rsidRPr="008414E2">
                          <w:rPr>
                            <w:iCs w:val="0"/>
                          </w:rPr>
                          <w:t>RTR</w:t>
                        </w:r>
                        <w:r w:rsidRPr="00E65DD5">
                          <w:rPr>
                            <w:iCs w:val="0"/>
                          </w:rPr>
                          <w:t>R</w:t>
                        </w:r>
                        <w:r w:rsidRPr="008414E2">
                          <w:rPr>
                            <w:iCs w:val="0"/>
                          </w:rPr>
                          <w:t xml:space="preserve">REV </w:t>
                        </w:r>
                        <w:r w:rsidRPr="008414E2">
                          <w:rPr>
                            <w:i/>
                            <w:iCs w:val="0"/>
                            <w:vertAlign w:val="subscript"/>
                          </w:rPr>
                          <w:t>q, r, i</w:t>
                        </w:r>
                      </w:p>
                    </w:tc>
                    <w:tc>
                      <w:tcPr>
                        <w:tcW w:w="474" w:type="pct"/>
                      </w:tcPr>
                      <w:p w14:paraId="1BC76A2B" w14:textId="29D3965A" w:rsidR="00FC4D30" w:rsidRPr="009716C5" w:rsidRDefault="00FC4D30" w:rsidP="00FC4D30">
                        <w:pPr>
                          <w:pStyle w:val="TableBody"/>
                          <w:jc w:val="center"/>
                        </w:pPr>
                        <w:r w:rsidRPr="008414E2">
                          <w:rPr>
                            <w:iCs w:val="0"/>
                          </w:rPr>
                          <w:t>$</w:t>
                        </w:r>
                      </w:p>
                    </w:tc>
                    <w:tc>
                      <w:tcPr>
                        <w:tcW w:w="3649" w:type="pct"/>
                      </w:tcPr>
                      <w:p w14:paraId="4C40C644" w14:textId="353BC241" w:rsidR="00FC4D30" w:rsidRPr="00B34C5D" w:rsidRDefault="00FC4D30" w:rsidP="00FC4D30">
                        <w:pPr>
                          <w:pStyle w:val="TableBody"/>
                          <w:rPr>
                            <w:i/>
                          </w:rPr>
                        </w:pPr>
                        <w:r w:rsidRPr="008414E2">
                          <w:rPr>
                            <w:i/>
                            <w:iCs w:val="0"/>
                          </w:rPr>
                          <w:t>Real-Time Responsive Reserve Revenue</w:t>
                        </w:r>
                        <w:r>
                          <w:rPr>
                            <w:i/>
                            <w:iCs w:val="0"/>
                          </w:rPr>
                          <w:t xml:space="preserve"> </w:t>
                        </w:r>
                        <w:r w:rsidRPr="008414E2">
                          <w:rPr>
                            <w:iCs w:val="0"/>
                          </w:rPr>
                          <w:t xml:space="preserve">— The Real-Time RRS revenue for QSE </w:t>
                        </w:r>
                        <w:r w:rsidRPr="008414E2">
                          <w:rPr>
                            <w:i/>
                            <w:iCs w:val="0"/>
                          </w:rPr>
                          <w:t>q</w:t>
                        </w:r>
                        <w:r w:rsidRPr="008414E2">
                          <w:rPr>
                            <w:iCs w:val="0"/>
                          </w:rPr>
                          <w:t xml:space="preserve"> </w:t>
                        </w:r>
                        <w:r>
                          <w:rPr>
                            <w:iCs w:val="0"/>
                          </w:rPr>
                          <w:t>calculated for</w:t>
                        </w:r>
                        <w:r w:rsidRPr="00121157">
                          <w:rPr>
                            <w:iCs w:val="0"/>
                          </w:rPr>
                          <w:t xml:space="preserve"> Resource </w:t>
                        </w:r>
                        <w:r w:rsidRPr="008414E2">
                          <w:rPr>
                            <w:i/>
                            <w:iCs w:val="0"/>
                          </w:rPr>
                          <w:t>r</w:t>
                        </w:r>
                        <w:r w:rsidRPr="0010403A">
                          <w:rPr>
                            <w:iCs w:val="0"/>
                          </w:rPr>
                          <w:t xml:space="preserve"> </w:t>
                        </w:r>
                        <w:r w:rsidRPr="008414E2">
                          <w:rPr>
                            <w:iCs w:val="0"/>
                          </w:rPr>
                          <w:t xml:space="preserve">for the 15-minute Settlement </w:t>
                        </w:r>
                        <w:r>
                          <w:rPr>
                            <w:iCs w:val="0"/>
                          </w:rPr>
                          <w:t>I</w:t>
                        </w:r>
                        <w:r w:rsidRPr="008414E2">
                          <w:rPr>
                            <w:iCs w:val="0"/>
                          </w:rPr>
                          <w:t xml:space="preserve">nterval </w:t>
                        </w:r>
                        <w:r w:rsidRPr="008414E2">
                          <w:rPr>
                            <w:i/>
                            <w:iCs w:val="0"/>
                          </w:rPr>
                          <w:t>i</w:t>
                        </w:r>
                        <w:r w:rsidRPr="008414E2">
                          <w:rPr>
                            <w:iCs w:val="0"/>
                          </w:rPr>
                          <w:t xml:space="preserve">.  See Section 6.7.5.  Where for a Combined Cycle Train, the Resource </w:t>
                        </w:r>
                        <w:r w:rsidRPr="008414E2">
                          <w:rPr>
                            <w:i/>
                            <w:iCs w:val="0"/>
                          </w:rPr>
                          <w:t>r</w:t>
                        </w:r>
                        <w:r w:rsidRPr="008414E2">
                          <w:rPr>
                            <w:iCs w:val="0"/>
                          </w:rPr>
                          <w:t xml:space="preserve"> is the Combined Cycle Train.</w:t>
                        </w:r>
                      </w:p>
                    </w:tc>
                  </w:tr>
                  <w:tr w:rsidR="00FC4D30" w:rsidRPr="009716C5" w14:paraId="705E261E" w14:textId="77777777" w:rsidTr="00FD6A54">
                    <w:trPr>
                      <w:cantSplit/>
                    </w:trPr>
                    <w:tc>
                      <w:tcPr>
                        <w:tcW w:w="877" w:type="pct"/>
                      </w:tcPr>
                      <w:p w14:paraId="4B084705" w14:textId="5097FCFF" w:rsidR="00FC4D30" w:rsidRPr="009716C5" w:rsidRDefault="00FC4D30" w:rsidP="00FC4D30">
                        <w:pPr>
                          <w:pStyle w:val="TableBody"/>
                        </w:pPr>
                        <w:r w:rsidRPr="008414E2">
                          <w:rPr>
                            <w:iCs w:val="0"/>
                          </w:rPr>
                          <w:t xml:space="preserve">RTNSREV </w:t>
                        </w:r>
                        <w:r w:rsidRPr="008414E2">
                          <w:rPr>
                            <w:i/>
                            <w:iCs w:val="0"/>
                            <w:vertAlign w:val="subscript"/>
                          </w:rPr>
                          <w:t>q, r, i</w:t>
                        </w:r>
                      </w:p>
                    </w:tc>
                    <w:tc>
                      <w:tcPr>
                        <w:tcW w:w="474" w:type="pct"/>
                      </w:tcPr>
                      <w:p w14:paraId="17995B84" w14:textId="71D1A41E" w:rsidR="00FC4D30" w:rsidRPr="009716C5" w:rsidRDefault="00FC4D30" w:rsidP="00FC4D30">
                        <w:pPr>
                          <w:pStyle w:val="TableBody"/>
                          <w:jc w:val="center"/>
                        </w:pPr>
                        <w:r w:rsidRPr="008414E2">
                          <w:rPr>
                            <w:iCs w:val="0"/>
                          </w:rPr>
                          <w:t>$</w:t>
                        </w:r>
                      </w:p>
                    </w:tc>
                    <w:tc>
                      <w:tcPr>
                        <w:tcW w:w="3649" w:type="pct"/>
                      </w:tcPr>
                      <w:p w14:paraId="7158A27A" w14:textId="1291F8CE" w:rsidR="00FC4D30" w:rsidRPr="00B34C5D" w:rsidRDefault="00FC4D30" w:rsidP="00FC4D30">
                        <w:pPr>
                          <w:pStyle w:val="TableBody"/>
                          <w:rPr>
                            <w:i/>
                          </w:rPr>
                        </w:pPr>
                        <w:r w:rsidRPr="008414E2">
                          <w:rPr>
                            <w:i/>
                            <w:iCs w:val="0"/>
                          </w:rPr>
                          <w:t>Real-Time Non-Spin Revenue</w:t>
                        </w:r>
                        <w:r>
                          <w:rPr>
                            <w:i/>
                            <w:iCs w:val="0"/>
                          </w:rPr>
                          <w:t xml:space="preserve"> </w:t>
                        </w:r>
                        <w:r w:rsidRPr="008414E2">
                          <w:rPr>
                            <w:iCs w:val="0"/>
                          </w:rPr>
                          <w:t>— The Real-Time N</w:t>
                        </w:r>
                        <w:r>
                          <w:rPr>
                            <w:iCs w:val="0"/>
                          </w:rPr>
                          <w:t>on-</w:t>
                        </w:r>
                        <w:r w:rsidRPr="008414E2">
                          <w:rPr>
                            <w:iCs w:val="0"/>
                          </w:rPr>
                          <w:t>S</w:t>
                        </w:r>
                        <w:r>
                          <w:rPr>
                            <w:iCs w:val="0"/>
                          </w:rPr>
                          <w:t>pin</w:t>
                        </w:r>
                        <w:r w:rsidRPr="008414E2">
                          <w:rPr>
                            <w:iCs w:val="0"/>
                          </w:rPr>
                          <w:t xml:space="preserve"> revenue for QSE </w:t>
                        </w:r>
                        <w:r w:rsidRPr="008414E2">
                          <w:rPr>
                            <w:i/>
                            <w:iCs w:val="0"/>
                          </w:rPr>
                          <w:t>q</w:t>
                        </w:r>
                        <w:r w:rsidRPr="008414E2">
                          <w:rPr>
                            <w:iCs w:val="0"/>
                          </w:rPr>
                          <w:t xml:space="preserve"> </w:t>
                        </w:r>
                        <w:r>
                          <w:rPr>
                            <w:iCs w:val="0"/>
                          </w:rPr>
                          <w:t>calculated for</w:t>
                        </w:r>
                        <w:r w:rsidRPr="00121157">
                          <w:rPr>
                            <w:iCs w:val="0"/>
                          </w:rPr>
                          <w:t xml:space="preserve"> Resource </w:t>
                        </w:r>
                        <w:r w:rsidRPr="008414E2">
                          <w:rPr>
                            <w:i/>
                            <w:iCs w:val="0"/>
                          </w:rPr>
                          <w:t>r</w:t>
                        </w:r>
                        <w:r w:rsidRPr="0010403A">
                          <w:rPr>
                            <w:iCs w:val="0"/>
                          </w:rPr>
                          <w:t xml:space="preserve"> </w:t>
                        </w:r>
                        <w:r w:rsidRPr="008414E2">
                          <w:rPr>
                            <w:iCs w:val="0"/>
                          </w:rPr>
                          <w:t xml:space="preserve">for the 15-minute Settlement </w:t>
                        </w:r>
                        <w:r>
                          <w:rPr>
                            <w:iCs w:val="0"/>
                          </w:rPr>
                          <w:t>I</w:t>
                        </w:r>
                        <w:r w:rsidRPr="008414E2">
                          <w:rPr>
                            <w:iCs w:val="0"/>
                          </w:rPr>
                          <w:t xml:space="preserve">nterval </w:t>
                        </w:r>
                        <w:r w:rsidRPr="008414E2">
                          <w:rPr>
                            <w:i/>
                            <w:iCs w:val="0"/>
                          </w:rPr>
                          <w:t>i</w:t>
                        </w:r>
                        <w:r w:rsidRPr="008414E2">
                          <w:rPr>
                            <w:iCs w:val="0"/>
                          </w:rPr>
                          <w:t xml:space="preserve">.  </w:t>
                        </w:r>
                        <w:r w:rsidRPr="00E65DD5">
                          <w:rPr>
                            <w:iCs w:val="0"/>
                          </w:rPr>
                          <w:t xml:space="preserve">See Section 6.7.5.  </w:t>
                        </w:r>
                        <w:r w:rsidRPr="008414E2">
                          <w:rPr>
                            <w:iCs w:val="0"/>
                          </w:rPr>
                          <w:t xml:space="preserve">Where for a Combined Cycle Train, the Resource </w:t>
                        </w:r>
                        <w:r w:rsidRPr="008414E2">
                          <w:rPr>
                            <w:i/>
                            <w:iCs w:val="0"/>
                          </w:rPr>
                          <w:t>r</w:t>
                        </w:r>
                        <w:r w:rsidRPr="008414E2">
                          <w:rPr>
                            <w:iCs w:val="0"/>
                          </w:rPr>
                          <w:t xml:space="preserve"> is the Combined Cycle Train.</w:t>
                        </w:r>
                      </w:p>
                    </w:tc>
                  </w:tr>
                  <w:tr w:rsidR="00FC4D30" w:rsidRPr="009716C5" w14:paraId="108D83E8" w14:textId="77777777" w:rsidTr="00FD6A54">
                    <w:trPr>
                      <w:cantSplit/>
                    </w:trPr>
                    <w:tc>
                      <w:tcPr>
                        <w:tcW w:w="877" w:type="pct"/>
                      </w:tcPr>
                      <w:p w14:paraId="66E93A37" w14:textId="0502AB84" w:rsidR="00FC4D30" w:rsidRPr="009716C5" w:rsidRDefault="00FC4D30" w:rsidP="00FC4D30">
                        <w:pPr>
                          <w:pStyle w:val="TableBody"/>
                        </w:pPr>
                        <w:r w:rsidRPr="008414E2">
                          <w:rPr>
                            <w:iCs w:val="0"/>
                          </w:rPr>
                          <w:t>RT</w:t>
                        </w:r>
                        <w:r>
                          <w:rPr>
                            <w:iCs w:val="0"/>
                          </w:rPr>
                          <w:t>ECR</w:t>
                        </w:r>
                        <w:r w:rsidRPr="008414E2">
                          <w:rPr>
                            <w:iCs w:val="0"/>
                          </w:rPr>
                          <w:t xml:space="preserve">REV </w:t>
                        </w:r>
                        <w:r w:rsidRPr="008414E2">
                          <w:rPr>
                            <w:i/>
                            <w:iCs w:val="0"/>
                            <w:vertAlign w:val="subscript"/>
                          </w:rPr>
                          <w:t>q, r, i</w:t>
                        </w:r>
                      </w:p>
                    </w:tc>
                    <w:tc>
                      <w:tcPr>
                        <w:tcW w:w="474" w:type="pct"/>
                      </w:tcPr>
                      <w:p w14:paraId="1C6B50C9" w14:textId="527A8EAA" w:rsidR="00FC4D30" w:rsidRPr="009716C5" w:rsidRDefault="00FC4D30" w:rsidP="00FC4D30">
                        <w:pPr>
                          <w:pStyle w:val="TableBody"/>
                          <w:jc w:val="center"/>
                        </w:pPr>
                        <w:r w:rsidRPr="008414E2">
                          <w:rPr>
                            <w:iCs w:val="0"/>
                          </w:rPr>
                          <w:t>$</w:t>
                        </w:r>
                      </w:p>
                    </w:tc>
                    <w:tc>
                      <w:tcPr>
                        <w:tcW w:w="3649" w:type="pct"/>
                      </w:tcPr>
                      <w:p w14:paraId="5C06EBB6" w14:textId="42BFF3F0" w:rsidR="00FC4D30" w:rsidRPr="00B34C5D" w:rsidRDefault="00FC4D30" w:rsidP="00FC4D30">
                        <w:pPr>
                          <w:pStyle w:val="TableBody"/>
                          <w:rPr>
                            <w:i/>
                          </w:rPr>
                        </w:pPr>
                        <w:r w:rsidRPr="008414E2">
                          <w:rPr>
                            <w:i/>
                            <w:iCs w:val="0"/>
                          </w:rPr>
                          <w:t>Real-Time ERCOT Contingency Reserve Service Revenue</w:t>
                        </w:r>
                        <w:r>
                          <w:rPr>
                            <w:i/>
                            <w:iCs w:val="0"/>
                          </w:rPr>
                          <w:t xml:space="preserve"> </w:t>
                        </w:r>
                        <w:r w:rsidRPr="008414E2">
                          <w:rPr>
                            <w:iCs w:val="0"/>
                          </w:rPr>
                          <w:t xml:space="preserve">— The Real-Time ECRS revenue for QSE </w:t>
                        </w:r>
                        <w:r w:rsidRPr="008414E2">
                          <w:rPr>
                            <w:i/>
                            <w:iCs w:val="0"/>
                          </w:rPr>
                          <w:t>q</w:t>
                        </w:r>
                        <w:r w:rsidRPr="008414E2">
                          <w:rPr>
                            <w:iCs w:val="0"/>
                          </w:rPr>
                          <w:t xml:space="preserve"> </w:t>
                        </w:r>
                        <w:r>
                          <w:rPr>
                            <w:iCs w:val="0"/>
                          </w:rPr>
                          <w:t>calculated for</w:t>
                        </w:r>
                        <w:r w:rsidRPr="00121157">
                          <w:rPr>
                            <w:iCs w:val="0"/>
                          </w:rPr>
                          <w:t xml:space="preserve"> Resource </w:t>
                        </w:r>
                        <w:r w:rsidRPr="008414E2">
                          <w:rPr>
                            <w:i/>
                            <w:iCs w:val="0"/>
                          </w:rPr>
                          <w:t>r</w:t>
                        </w:r>
                        <w:r w:rsidRPr="0010403A">
                          <w:rPr>
                            <w:iCs w:val="0"/>
                          </w:rPr>
                          <w:t xml:space="preserve"> </w:t>
                        </w:r>
                        <w:r w:rsidRPr="008414E2">
                          <w:rPr>
                            <w:iCs w:val="0"/>
                          </w:rPr>
                          <w:t xml:space="preserve">for the 15-minute Settlement </w:t>
                        </w:r>
                        <w:r>
                          <w:rPr>
                            <w:iCs w:val="0"/>
                          </w:rPr>
                          <w:t>I</w:t>
                        </w:r>
                        <w:r w:rsidRPr="008414E2">
                          <w:rPr>
                            <w:iCs w:val="0"/>
                          </w:rPr>
                          <w:t xml:space="preserve">nterval </w:t>
                        </w:r>
                        <w:r w:rsidRPr="008414E2">
                          <w:rPr>
                            <w:i/>
                            <w:iCs w:val="0"/>
                          </w:rPr>
                          <w:t>i</w:t>
                        </w:r>
                        <w:r w:rsidRPr="008414E2">
                          <w:rPr>
                            <w:iCs w:val="0"/>
                          </w:rPr>
                          <w:t xml:space="preserve">.  See Section 6.7.5.  Where for a Combined Cycle Train, the Resource </w:t>
                        </w:r>
                        <w:r w:rsidRPr="008414E2">
                          <w:rPr>
                            <w:i/>
                            <w:iCs w:val="0"/>
                          </w:rPr>
                          <w:t>r</w:t>
                        </w:r>
                        <w:r w:rsidRPr="008414E2">
                          <w:rPr>
                            <w:iCs w:val="0"/>
                          </w:rPr>
                          <w:t xml:space="preserve"> is the Combined Cycle Train.</w:t>
                        </w:r>
                      </w:p>
                    </w:tc>
                  </w:tr>
                </w:tbl>
                <w:p w14:paraId="200A0624" w14:textId="77777777" w:rsidR="00FC4D30" w:rsidRPr="007A7A3D" w:rsidRDefault="00FC4D30" w:rsidP="00FC4D30">
                  <w:pPr>
                    <w:pStyle w:val="BodyTextNumbered"/>
                  </w:pPr>
                </w:p>
              </w:tc>
            </w:tr>
          </w:tbl>
          <w:p w14:paraId="07422474" w14:textId="77777777" w:rsidR="00FC4D30" w:rsidRPr="00B34C5D" w:rsidRDefault="00FC4D30">
            <w:pPr>
              <w:pStyle w:val="TableBody"/>
              <w:rPr>
                <w:i/>
              </w:rPr>
            </w:pPr>
          </w:p>
        </w:tc>
      </w:tr>
      <w:tr w:rsidR="00F80C33" w14:paraId="715F604E" w14:textId="77777777" w:rsidTr="007A7A3D">
        <w:trPr>
          <w:cantSplit/>
        </w:trPr>
        <w:tc>
          <w:tcPr>
            <w:tcW w:w="883" w:type="pct"/>
          </w:tcPr>
          <w:p w14:paraId="079801C1" w14:textId="0E65F7D1" w:rsidR="00F80C33" w:rsidRDefault="00723BFB">
            <w:pPr>
              <w:pStyle w:val="TableBody"/>
            </w:pPr>
            <w:r>
              <w:lastRenderedPageBreak/>
              <w:t>VSSVARAMT</w:t>
            </w:r>
            <w:r w:rsidR="00BC1A34">
              <w:t xml:space="preserve"> </w:t>
            </w:r>
            <w:r w:rsidRPr="00B34C5D">
              <w:rPr>
                <w:i/>
                <w:vertAlign w:val="subscript"/>
              </w:rPr>
              <w:t>q,</w:t>
            </w:r>
            <w:r w:rsidR="00BC1A34">
              <w:rPr>
                <w:i/>
                <w:vertAlign w:val="subscript"/>
              </w:rPr>
              <w:t xml:space="preserve"> </w:t>
            </w:r>
            <w:r w:rsidRPr="00B34C5D">
              <w:rPr>
                <w:i/>
                <w:vertAlign w:val="subscript"/>
              </w:rPr>
              <w:t>r,</w:t>
            </w:r>
            <w:r w:rsidR="00BC1A34">
              <w:rPr>
                <w:i/>
                <w:vertAlign w:val="subscript"/>
              </w:rPr>
              <w:t xml:space="preserve"> </w:t>
            </w:r>
            <w:r w:rsidRPr="00B34C5D">
              <w:rPr>
                <w:i/>
                <w:vertAlign w:val="subscript"/>
              </w:rPr>
              <w:t>i</w:t>
            </w:r>
          </w:p>
        </w:tc>
        <w:tc>
          <w:tcPr>
            <w:tcW w:w="471" w:type="pct"/>
          </w:tcPr>
          <w:p w14:paraId="6D880235" w14:textId="77777777" w:rsidR="00F80C33" w:rsidRDefault="00723BFB" w:rsidP="00B34C5D">
            <w:pPr>
              <w:pStyle w:val="TableBody"/>
              <w:jc w:val="center"/>
            </w:pPr>
            <w:r>
              <w:t>$</w:t>
            </w:r>
          </w:p>
        </w:tc>
        <w:tc>
          <w:tcPr>
            <w:tcW w:w="3646" w:type="pct"/>
          </w:tcPr>
          <w:p w14:paraId="759D2B04" w14:textId="77777777" w:rsidR="00FC4D30" w:rsidRPr="00B34C5D" w:rsidRDefault="00723BFB">
            <w:pPr>
              <w:pStyle w:val="TableBody"/>
              <w:rPr>
                <w:i/>
              </w:rPr>
            </w:pPr>
            <w:r w:rsidRPr="00B34C5D">
              <w:rPr>
                <w:i/>
              </w:rPr>
              <w:t xml:space="preserve">Voltage Support Service </w:t>
            </w:r>
            <w:proofErr w:type="spellStart"/>
            <w:r w:rsidR="00E3326A">
              <w:rPr>
                <w:i/>
              </w:rPr>
              <w:t>VA</w:t>
            </w:r>
            <w:r w:rsidRPr="00B34C5D">
              <w:rPr>
                <w:i/>
              </w:rPr>
              <w:t>r</w:t>
            </w:r>
            <w:proofErr w:type="spellEnd"/>
            <w:r w:rsidRPr="00B34C5D">
              <w:rPr>
                <w:i/>
              </w:rPr>
              <w:t xml:space="preserve"> Amount by interval</w:t>
            </w:r>
            <w:r>
              <w:t xml:space="preserve">—The payment to the QSE for the VSS provided by Generation Resource </w:t>
            </w:r>
            <w:r w:rsidR="00E3326A">
              <w:rPr>
                <w:i/>
              </w:rPr>
              <w:t xml:space="preserve">r </w:t>
            </w:r>
            <w:r>
              <w:t xml:space="preserve">for the 15-minute Settlement Interval </w:t>
            </w:r>
            <w:r w:rsidRPr="00B34C5D">
              <w:rPr>
                <w:i/>
              </w:rPr>
              <w:t>i</w:t>
            </w:r>
            <w:r>
              <w:t>.  See Section 6.6.7.1, Voltage Support Service Payments.</w:t>
            </w:r>
            <w:r w:rsidR="00E3326A">
              <w:t xml:space="preserve">  Payment for VSS is made to the Combined Cycle Train.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6656"/>
            </w:tblGrid>
            <w:tr w:rsidR="00FC4D30" w:rsidRPr="004B32CF" w14:paraId="3A5E0347" w14:textId="77777777" w:rsidTr="00FD6A54">
              <w:trPr>
                <w:trHeight w:val="1205"/>
              </w:trPr>
              <w:tc>
                <w:tcPr>
                  <w:tcW w:w="9350" w:type="dxa"/>
                  <w:shd w:val="pct12" w:color="auto" w:fill="auto"/>
                </w:tcPr>
                <w:p w14:paraId="298836DC" w14:textId="2C8987DC" w:rsidR="00FC4D30" w:rsidRPr="004B32CF" w:rsidRDefault="00FC4D30" w:rsidP="00FC4D30">
                  <w:pPr>
                    <w:spacing w:after="240"/>
                    <w:rPr>
                      <w:b/>
                      <w:i/>
                      <w:iCs/>
                    </w:rPr>
                  </w:pPr>
                  <w:r w:rsidRPr="004B32CF">
                    <w:rPr>
                      <w:b/>
                      <w:i/>
                      <w:iCs/>
                    </w:rPr>
                    <w:t>[NPR</w:t>
                  </w:r>
                  <w:r>
                    <w:rPr>
                      <w:b/>
                      <w:i/>
                      <w:iCs/>
                    </w:rPr>
                    <w:t>R1009</w:t>
                  </w:r>
                  <w:r w:rsidR="00FD6A54">
                    <w:rPr>
                      <w:b/>
                      <w:i/>
                      <w:iCs/>
                    </w:rPr>
                    <w:t xml:space="preserve"> and NPRR1014</w:t>
                  </w:r>
                  <w:r w:rsidRPr="004B32CF">
                    <w:rPr>
                      <w:b/>
                      <w:i/>
                      <w:iCs/>
                    </w:rPr>
                    <w:t>:  Replace</w:t>
                  </w:r>
                  <w:r w:rsidR="00B970B6" w:rsidRPr="004B32CF">
                    <w:rPr>
                      <w:b/>
                      <w:i/>
                      <w:iCs/>
                    </w:rPr>
                    <w:t xml:space="preserve"> </w:t>
                  </w:r>
                  <w:r w:rsidR="00B970B6">
                    <w:rPr>
                      <w:b/>
                      <w:i/>
                      <w:iCs/>
                    </w:rPr>
                    <w:t xml:space="preserve">applicable portions of </w:t>
                  </w:r>
                  <w:r>
                    <w:rPr>
                      <w:b/>
                      <w:i/>
                      <w:iCs/>
                    </w:rPr>
                    <w:t>the definition</w:t>
                  </w:r>
                  <w:r w:rsidRPr="004B32CF">
                    <w:rPr>
                      <w:b/>
                      <w:i/>
                      <w:iCs/>
                    </w:rPr>
                    <w:t xml:space="preserve"> above with the following </w:t>
                  </w:r>
                  <w:r w:rsidR="00FD6A54" w:rsidRPr="004B32CF">
                    <w:rPr>
                      <w:b/>
                      <w:i/>
                      <w:iCs/>
                    </w:rPr>
                    <w:t>upon system implementation</w:t>
                  </w:r>
                  <w:r w:rsidR="00FD6A54">
                    <w:rPr>
                      <w:b/>
                      <w:i/>
                      <w:iCs/>
                    </w:rPr>
                    <w:t xml:space="preserve"> of the Real-Time Co-Optimization (RTC) project for NPRR1009; or upon system implementation </w:t>
                  </w:r>
                  <w:r w:rsidR="003E2880">
                    <w:rPr>
                      <w:b/>
                      <w:i/>
                      <w:iCs/>
                    </w:rPr>
                    <w:t>for NPRR1014</w:t>
                  </w:r>
                  <w:r w:rsidRPr="004B32CF">
                    <w:rPr>
                      <w:b/>
                      <w:i/>
                      <w:iCs/>
                    </w:rPr>
                    <w:t>:]</w:t>
                  </w:r>
                </w:p>
                <w:p w14:paraId="69AD59E1" w14:textId="5045D32F" w:rsidR="00FC4D30" w:rsidRPr="007A7A3D" w:rsidRDefault="00FC4D30" w:rsidP="00FC4D30">
                  <w:pPr>
                    <w:pStyle w:val="TableBody"/>
                  </w:pPr>
                  <w:r w:rsidRPr="00121157">
                    <w:rPr>
                      <w:i/>
                      <w:iCs w:val="0"/>
                    </w:rPr>
                    <w:t xml:space="preserve">Voltage Support Service </w:t>
                  </w:r>
                  <w:proofErr w:type="spellStart"/>
                  <w:r w:rsidRPr="00121157">
                    <w:rPr>
                      <w:i/>
                      <w:iCs w:val="0"/>
                    </w:rPr>
                    <w:t>VAr</w:t>
                  </w:r>
                  <w:proofErr w:type="spellEnd"/>
                  <w:r w:rsidRPr="00121157">
                    <w:rPr>
                      <w:i/>
                      <w:iCs w:val="0"/>
                    </w:rPr>
                    <w:t xml:space="preserve"> Amount</w:t>
                  </w:r>
                  <w:r w:rsidRPr="00121157">
                    <w:rPr>
                      <w:iCs w:val="0"/>
                    </w:rPr>
                    <w:t xml:space="preserve">—The payment to the QSE for the VSS provided by Generation Resource </w:t>
                  </w:r>
                  <w:r w:rsidRPr="00121157">
                    <w:rPr>
                      <w:i/>
                      <w:iCs w:val="0"/>
                    </w:rPr>
                    <w:t xml:space="preserve">r </w:t>
                  </w:r>
                  <w:r w:rsidRPr="00121157">
                    <w:rPr>
                      <w:iCs w:val="0"/>
                    </w:rPr>
                    <w:t xml:space="preserve">for the 15-minute Settlement Interval </w:t>
                  </w:r>
                  <w:r w:rsidRPr="00121157">
                    <w:rPr>
                      <w:i/>
                      <w:iCs w:val="0"/>
                    </w:rPr>
                    <w:t>i</w:t>
                  </w:r>
                  <w:r w:rsidRPr="00121157">
                    <w:rPr>
                      <w:iCs w:val="0"/>
                    </w:rPr>
                    <w:t>.  See Section 6.6.7.1, Voltage Support Service Payments.  Payment for VSS is made to the Combined Cycle Train.</w:t>
                  </w:r>
                </w:p>
              </w:tc>
            </w:tr>
          </w:tbl>
          <w:p w14:paraId="15C994D5" w14:textId="328D665F" w:rsidR="00F80C33" w:rsidRPr="00B34C5D" w:rsidRDefault="00F80C33">
            <w:pPr>
              <w:pStyle w:val="TableBody"/>
              <w:rPr>
                <w:i/>
              </w:rPr>
            </w:pPr>
          </w:p>
        </w:tc>
      </w:tr>
      <w:tr w:rsidR="00F80C33" w14:paraId="7F8065D0" w14:textId="77777777" w:rsidTr="007A7A3D">
        <w:trPr>
          <w:cantSplit/>
        </w:trPr>
        <w:tc>
          <w:tcPr>
            <w:tcW w:w="883" w:type="pct"/>
          </w:tcPr>
          <w:p w14:paraId="72FE81A0" w14:textId="69072C40" w:rsidR="00F80C33" w:rsidRDefault="00723BFB">
            <w:pPr>
              <w:pStyle w:val="TableBody"/>
            </w:pPr>
            <w:r>
              <w:t>VSSEAMT</w:t>
            </w:r>
            <w:r w:rsidR="00BC1A34">
              <w:t xml:space="preserve"> </w:t>
            </w:r>
            <w:r w:rsidRPr="00B34C5D">
              <w:rPr>
                <w:i/>
                <w:vertAlign w:val="subscript"/>
              </w:rPr>
              <w:t>q,</w:t>
            </w:r>
            <w:r w:rsidR="00BC1A34">
              <w:rPr>
                <w:i/>
                <w:vertAlign w:val="subscript"/>
              </w:rPr>
              <w:t xml:space="preserve"> </w:t>
            </w:r>
            <w:r w:rsidRPr="00B34C5D">
              <w:rPr>
                <w:i/>
                <w:vertAlign w:val="subscript"/>
              </w:rPr>
              <w:t>r,</w:t>
            </w:r>
            <w:r w:rsidR="00BC1A34">
              <w:rPr>
                <w:i/>
                <w:vertAlign w:val="subscript"/>
              </w:rPr>
              <w:t xml:space="preserve"> </w:t>
            </w:r>
            <w:r w:rsidRPr="00B34C5D">
              <w:rPr>
                <w:i/>
                <w:vertAlign w:val="subscript"/>
              </w:rPr>
              <w:t>i</w:t>
            </w:r>
          </w:p>
        </w:tc>
        <w:tc>
          <w:tcPr>
            <w:tcW w:w="471" w:type="pct"/>
          </w:tcPr>
          <w:p w14:paraId="28BFC98B" w14:textId="77777777" w:rsidR="00F80C33" w:rsidRDefault="00723BFB" w:rsidP="00B34C5D">
            <w:pPr>
              <w:pStyle w:val="TableBody"/>
              <w:jc w:val="center"/>
            </w:pPr>
            <w:r>
              <w:t>$</w:t>
            </w:r>
          </w:p>
        </w:tc>
        <w:tc>
          <w:tcPr>
            <w:tcW w:w="3646" w:type="pct"/>
          </w:tcPr>
          <w:p w14:paraId="42430B1A" w14:textId="77777777" w:rsidR="00FC4D30" w:rsidRPr="00B34C5D" w:rsidRDefault="00723BFB" w:rsidP="00E3326A">
            <w:pPr>
              <w:pStyle w:val="TableBody"/>
              <w:rPr>
                <w:i/>
              </w:rPr>
            </w:pPr>
            <w:r w:rsidRPr="00B34C5D">
              <w:rPr>
                <w:i/>
              </w:rPr>
              <w:t>Voltage Support Service Energy Amount by interval</w:t>
            </w:r>
            <w:r>
              <w:t xml:space="preserve">—The lost opportunity payment to the QSE for ERCOT-directed VSS from the Generation Resource </w:t>
            </w:r>
            <w:r w:rsidR="00E3326A">
              <w:rPr>
                <w:i/>
              </w:rPr>
              <w:t xml:space="preserve">r </w:t>
            </w:r>
            <w:r>
              <w:t xml:space="preserve">for the 15-minute Settlement Interval </w:t>
            </w:r>
            <w:r w:rsidRPr="00B34C5D">
              <w:rPr>
                <w:i/>
              </w:rPr>
              <w:t>i</w:t>
            </w:r>
            <w:r>
              <w:t>.  See Section 6.6.7.1.</w:t>
            </w:r>
            <w:r w:rsidR="00E3326A">
              <w:t xml:space="preserve">  Payment for VSS is made to the Combined Cycle Train.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6656"/>
            </w:tblGrid>
            <w:tr w:rsidR="00FC4D30" w:rsidRPr="004B32CF" w14:paraId="141ADB97" w14:textId="77777777" w:rsidTr="00FD6A54">
              <w:trPr>
                <w:trHeight w:val="1205"/>
              </w:trPr>
              <w:tc>
                <w:tcPr>
                  <w:tcW w:w="9350" w:type="dxa"/>
                  <w:shd w:val="pct12" w:color="auto" w:fill="auto"/>
                </w:tcPr>
                <w:p w14:paraId="210DA975" w14:textId="4066997E" w:rsidR="00FC4D30" w:rsidRPr="004B32CF" w:rsidRDefault="00FC4D30" w:rsidP="00FC4D30">
                  <w:pPr>
                    <w:spacing w:after="240"/>
                    <w:rPr>
                      <w:b/>
                      <w:i/>
                      <w:iCs/>
                    </w:rPr>
                  </w:pPr>
                  <w:r w:rsidRPr="004B32CF">
                    <w:rPr>
                      <w:b/>
                      <w:i/>
                      <w:iCs/>
                    </w:rPr>
                    <w:t>[NPR</w:t>
                  </w:r>
                  <w:r>
                    <w:rPr>
                      <w:b/>
                      <w:i/>
                      <w:iCs/>
                    </w:rPr>
                    <w:t>R1009</w:t>
                  </w:r>
                  <w:r w:rsidR="00FD6A54">
                    <w:rPr>
                      <w:b/>
                      <w:i/>
                      <w:iCs/>
                    </w:rPr>
                    <w:t xml:space="preserve"> and NPRR1014</w:t>
                  </w:r>
                  <w:r w:rsidRPr="004B32CF">
                    <w:rPr>
                      <w:b/>
                      <w:i/>
                      <w:iCs/>
                    </w:rPr>
                    <w:t>:  Replace</w:t>
                  </w:r>
                  <w:r w:rsidR="00B970B6">
                    <w:rPr>
                      <w:b/>
                      <w:i/>
                      <w:iCs/>
                    </w:rPr>
                    <w:t xml:space="preserve"> applicable portions of</w:t>
                  </w:r>
                  <w:r w:rsidRPr="004B32CF">
                    <w:rPr>
                      <w:b/>
                      <w:i/>
                      <w:iCs/>
                    </w:rPr>
                    <w:t xml:space="preserve"> </w:t>
                  </w:r>
                  <w:r>
                    <w:rPr>
                      <w:b/>
                      <w:i/>
                      <w:iCs/>
                    </w:rPr>
                    <w:t>the definition</w:t>
                  </w:r>
                  <w:r w:rsidRPr="004B32CF">
                    <w:rPr>
                      <w:b/>
                      <w:i/>
                      <w:iCs/>
                    </w:rPr>
                    <w:t xml:space="preserve"> above with the following </w:t>
                  </w:r>
                  <w:r w:rsidR="00FD6A54" w:rsidRPr="004B32CF">
                    <w:rPr>
                      <w:b/>
                      <w:i/>
                      <w:iCs/>
                    </w:rPr>
                    <w:t>upon system implementation</w:t>
                  </w:r>
                  <w:r w:rsidR="00FD6A54">
                    <w:rPr>
                      <w:b/>
                      <w:i/>
                      <w:iCs/>
                    </w:rPr>
                    <w:t xml:space="preserve"> of the Real-Time Co-Optimization (RTC) project for NPRR1009; or upon system implementation </w:t>
                  </w:r>
                  <w:r w:rsidR="003E2880">
                    <w:rPr>
                      <w:b/>
                      <w:i/>
                      <w:iCs/>
                    </w:rPr>
                    <w:t>for NPRR1014</w:t>
                  </w:r>
                  <w:r w:rsidRPr="004B32CF">
                    <w:rPr>
                      <w:b/>
                      <w:i/>
                      <w:iCs/>
                    </w:rPr>
                    <w:t>:]</w:t>
                  </w:r>
                </w:p>
                <w:p w14:paraId="242AAC25" w14:textId="2A044134" w:rsidR="00FC4D30" w:rsidRPr="007A7A3D" w:rsidRDefault="00FC4D30" w:rsidP="00FC4D30">
                  <w:pPr>
                    <w:pStyle w:val="TableBody"/>
                  </w:pPr>
                  <w:r w:rsidRPr="00121157">
                    <w:rPr>
                      <w:i/>
                      <w:iCs w:val="0"/>
                    </w:rPr>
                    <w:t>Voltage Support Service Energy Amount</w:t>
                  </w:r>
                  <w:r w:rsidRPr="00121157">
                    <w:rPr>
                      <w:iCs w:val="0"/>
                    </w:rPr>
                    <w:t xml:space="preserve">—The lost opportunity payment to the QSE for ERCOT-directed VSS from the Generation Resource </w:t>
                  </w:r>
                  <w:r w:rsidRPr="00121157">
                    <w:rPr>
                      <w:i/>
                      <w:iCs w:val="0"/>
                    </w:rPr>
                    <w:t xml:space="preserve">r </w:t>
                  </w:r>
                  <w:r w:rsidRPr="00121157">
                    <w:rPr>
                      <w:iCs w:val="0"/>
                    </w:rPr>
                    <w:t xml:space="preserve">for the 15-minute Settlement Interval </w:t>
                  </w:r>
                  <w:r w:rsidRPr="00121157">
                    <w:rPr>
                      <w:i/>
                      <w:iCs w:val="0"/>
                    </w:rPr>
                    <w:t>i</w:t>
                  </w:r>
                  <w:r w:rsidRPr="00121157">
                    <w:rPr>
                      <w:iCs w:val="0"/>
                    </w:rPr>
                    <w:t xml:space="preserve">.  See Section 6.6.7.1.  Payment for VSS is made to the Combined Cycle Train.  </w:t>
                  </w:r>
                </w:p>
              </w:tc>
            </w:tr>
          </w:tbl>
          <w:p w14:paraId="60A39B0F" w14:textId="1D96EE5C" w:rsidR="00F80C33" w:rsidRPr="00B34C5D" w:rsidRDefault="00F80C33" w:rsidP="00E3326A">
            <w:pPr>
              <w:pStyle w:val="TableBody"/>
              <w:rPr>
                <w:i/>
              </w:rPr>
            </w:pPr>
          </w:p>
        </w:tc>
      </w:tr>
      <w:tr w:rsidR="00F80C33" w14:paraId="13ECBFB3" w14:textId="77777777" w:rsidTr="007A7A3D">
        <w:trPr>
          <w:cantSplit/>
        </w:trPr>
        <w:tc>
          <w:tcPr>
            <w:tcW w:w="883" w:type="pct"/>
          </w:tcPr>
          <w:p w14:paraId="7BCED4D2" w14:textId="7C198AD3" w:rsidR="00F80C33" w:rsidRDefault="00723BFB">
            <w:pPr>
              <w:pStyle w:val="TableBody"/>
            </w:pPr>
            <w:r>
              <w:t>EMREAMT</w:t>
            </w:r>
            <w:r w:rsidR="00BC1A34">
              <w:t xml:space="preserve"> </w:t>
            </w:r>
            <w:r w:rsidRPr="00B34C5D">
              <w:rPr>
                <w:i/>
                <w:vertAlign w:val="subscript"/>
              </w:rPr>
              <w:t>q,</w:t>
            </w:r>
            <w:r w:rsidR="00BC1A34">
              <w:rPr>
                <w:i/>
                <w:vertAlign w:val="subscript"/>
              </w:rPr>
              <w:t xml:space="preserve"> </w:t>
            </w:r>
            <w:r w:rsidRPr="00B34C5D">
              <w:rPr>
                <w:i/>
                <w:vertAlign w:val="subscript"/>
              </w:rPr>
              <w:t>r,</w:t>
            </w:r>
            <w:r w:rsidR="00BC1A34">
              <w:rPr>
                <w:i/>
                <w:vertAlign w:val="subscript"/>
              </w:rPr>
              <w:t xml:space="preserve"> </w:t>
            </w:r>
            <w:r w:rsidRPr="00B34C5D">
              <w:rPr>
                <w:i/>
                <w:vertAlign w:val="subscript"/>
              </w:rPr>
              <w:t>i</w:t>
            </w:r>
          </w:p>
        </w:tc>
        <w:tc>
          <w:tcPr>
            <w:tcW w:w="471" w:type="pct"/>
          </w:tcPr>
          <w:p w14:paraId="48C76AA9" w14:textId="77777777" w:rsidR="00F80C33" w:rsidRDefault="00723BFB" w:rsidP="00B34C5D">
            <w:pPr>
              <w:pStyle w:val="TableBody"/>
              <w:jc w:val="center"/>
            </w:pPr>
            <w:r>
              <w:t>$</w:t>
            </w:r>
          </w:p>
        </w:tc>
        <w:tc>
          <w:tcPr>
            <w:tcW w:w="3646" w:type="pct"/>
          </w:tcPr>
          <w:p w14:paraId="6A0131CB" w14:textId="77777777" w:rsidR="00FC4D30" w:rsidRDefault="00723BFB" w:rsidP="00E3326A">
            <w:pPr>
              <w:pStyle w:val="TableBody"/>
            </w:pPr>
            <w:r w:rsidRPr="00B34C5D">
              <w:rPr>
                <w:i/>
              </w:rPr>
              <w:t>Emergency Energy Amount by interval</w:t>
            </w:r>
            <w:r>
              <w:t>—The payment to the QSE as additional compensation for the additional energy produced by the Generation Resource</w:t>
            </w:r>
            <w:r w:rsidR="00E3326A">
              <w:t xml:space="preserve"> </w:t>
            </w:r>
            <w:r w:rsidR="00E3326A">
              <w:rPr>
                <w:i/>
              </w:rPr>
              <w:t>r</w:t>
            </w:r>
            <w:r>
              <w:t xml:space="preserve"> in Real-Time during the Emergency Condition, for the 15-minute Settlement Interval </w:t>
            </w:r>
            <w:r w:rsidRPr="00B34C5D">
              <w:rPr>
                <w:i/>
              </w:rPr>
              <w:t>i</w:t>
            </w:r>
            <w:r>
              <w:t>.  See Section 6.6.9.1, Payment for Emergency Power Increase Directed by ERCOT.</w:t>
            </w:r>
            <w:r w:rsidR="00E3326A">
              <w:t xml:space="preserve">  Payment for emergency energy is made to the Combined Cycle Train.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6656"/>
            </w:tblGrid>
            <w:tr w:rsidR="00FC4D30" w:rsidRPr="004B32CF" w14:paraId="46F19DE5" w14:textId="77777777" w:rsidTr="00FD6A54">
              <w:trPr>
                <w:trHeight w:val="1205"/>
              </w:trPr>
              <w:tc>
                <w:tcPr>
                  <w:tcW w:w="9350" w:type="dxa"/>
                  <w:shd w:val="pct12" w:color="auto" w:fill="auto"/>
                </w:tcPr>
                <w:p w14:paraId="4AE02FE2" w14:textId="083CA763" w:rsidR="00FC4D30" w:rsidRPr="004B32CF" w:rsidRDefault="00FC4D30" w:rsidP="00FC4D30">
                  <w:pPr>
                    <w:spacing w:after="240"/>
                    <w:rPr>
                      <w:b/>
                      <w:i/>
                      <w:iCs/>
                    </w:rPr>
                  </w:pPr>
                  <w:r w:rsidRPr="004B32CF">
                    <w:rPr>
                      <w:b/>
                      <w:i/>
                      <w:iCs/>
                    </w:rPr>
                    <w:t>[NPR</w:t>
                  </w:r>
                  <w:r>
                    <w:rPr>
                      <w:b/>
                      <w:i/>
                      <w:iCs/>
                    </w:rPr>
                    <w:t>R1009</w:t>
                  </w:r>
                  <w:r w:rsidR="00FD6A54">
                    <w:rPr>
                      <w:b/>
                      <w:i/>
                      <w:iCs/>
                    </w:rPr>
                    <w:t xml:space="preserve"> and NPRR1014</w:t>
                  </w:r>
                  <w:r w:rsidRPr="004B32CF">
                    <w:rPr>
                      <w:b/>
                      <w:i/>
                      <w:iCs/>
                    </w:rPr>
                    <w:t>:  Replace</w:t>
                  </w:r>
                  <w:r w:rsidR="00B970B6">
                    <w:rPr>
                      <w:b/>
                      <w:i/>
                      <w:iCs/>
                    </w:rPr>
                    <w:t xml:space="preserve"> applicable portions of</w:t>
                  </w:r>
                  <w:r w:rsidRPr="004B32CF">
                    <w:rPr>
                      <w:b/>
                      <w:i/>
                      <w:iCs/>
                    </w:rPr>
                    <w:t xml:space="preserve"> </w:t>
                  </w:r>
                  <w:r>
                    <w:rPr>
                      <w:b/>
                      <w:i/>
                      <w:iCs/>
                    </w:rPr>
                    <w:t>the definition</w:t>
                  </w:r>
                  <w:r w:rsidRPr="004B32CF">
                    <w:rPr>
                      <w:b/>
                      <w:i/>
                      <w:iCs/>
                    </w:rPr>
                    <w:t xml:space="preserve"> above with the following </w:t>
                  </w:r>
                  <w:r w:rsidR="00FD6A54" w:rsidRPr="004B32CF">
                    <w:rPr>
                      <w:b/>
                      <w:i/>
                      <w:iCs/>
                    </w:rPr>
                    <w:t>upon system implementation</w:t>
                  </w:r>
                  <w:r w:rsidR="00FD6A54">
                    <w:rPr>
                      <w:b/>
                      <w:i/>
                      <w:iCs/>
                    </w:rPr>
                    <w:t xml:space="preserve"> of the Real-Time Co-Optimization (RTC) project for NPRR1009; or upon system implementation </w:t>
                  </w:r>
                  <w:r w:rsidR="003E2880">
                    <w:rPr>
                      <w:b/>
                      <w:i/>
                      <w:iCs/>
                    </w:rPr>
                    <w:t>for NPRR1014</w:t>
                  </w:r>
                  <w:r w:rsidRPr="004B32CF">
                    <w:rPr>
                      <w:b/>
                      <w:i/>
                      <w:iCs/>
                    </w:rPr>
                    <w:t>:]</w:t>
                  </w:r>
                </w:p>
                <w:p w14:paraId="1599C39A" w14:textId="326F9729" w:rsidR="00FC4D30" w:rsidRPr="007A7A3D" w:rsidRDefault="00FC4D30" w:rsidP="00291B10">
                  <w:pPr>
                    <w:pStyle w:val="TableBody"/>
                  </w:pPr>
                  <w:r w:rsidRPr="00121157">
                    <w:rPr>
                      <w:i/>
                      <w:iCs w:val="0"/>
                    </w:rPr>
                    <w:t>Emergency Energy Amount</w:t>
                  </w:r>
                  <w:r w:rsidRPr="00121157">
                    <w:rPr>
                      <w:iCs w:val="0"/>
                    </w:rPr>
                    <w:t xml:space="preserve">—The payment to the QSE as additional compensation for the additional energy </w:t>
                  </w:r>
                  <w:r>
                    <w:rPr>
                      <w:iCs w:val="0"/>
                    </w:rPr>
                    <w:t xml:space="preserve">or Ancillary Services </w:t>
                  </w:r>
                  <w:r w:rsidRPr="00121157">
                    <w:rPr>
                      <w:iCs w:val="0"/>
                    </w:rPr>
                    <w:t xml:space="preserve">produced </w:t>
                  </w:r>
                  <w:r w:rsidR="00291B10">
                    <w:rPr>
                      <w:iCs w:val="0"/>
                    </w:rPr>
                    <w:t xml:space="preserve">or consumed </w:t>
                  </w:r>
                  <w:r w:rsidRPr="00121157">
                    <w:rPr>
                      <w:iCs w:val="0"/>
                    </w:rPr>
                    <w:t xml:space="preserve">by the Resource </w:t>
                  </w:r>
                  <w:r w:rsidRPr="00121157">
                    <w:rPr>
                      <w:i/>
                      <w:iCs w:val="0"/>
                    </w:rPr>
                    <w:t>r</w:t>
                  </w:r>
                  <w:r w:rsidRPr="00121157">
                    <w:rPr>
                      <w:iCs w:val="0"/>
                    </w:rPr>
                    <w:t xml:space="preserve"> in Real-Time during the Emergency Condition, for the 15-minute Settlement Interval </w:t>
                  </w:r>
                  <w:r w:rsidRPr="00121157">
                    <w:rPr>
                      <w:i/>
                      <w:iCs w:val="0"/>
                    </w:rPr>
                    <w:t>i</w:t>
                  </w:r>
                  <w:r w:rsidRPr="00121157">
                    <w:rPr>
                      <w:iCs w:val="0"/>
                    </w:rPr>
                    <w:t xml:space="preserve">.  See Section 6.6.9.1, Payment for Emergency </w:t>
                  </w:r>
                  <w:r w:rsidR="00FD6A54">
                    <w:rPr>
                      <w:iCs w:val="0"/>
                    </w:rPr>
                    <w:t>Operations Settlement</w:t>
                  </w:r>
                  <w:r w:rsidRPr="00121157">
                    <w:rPr>
                      <w:iCs w:val="0"/>
                    </w:rPr>
                    <w:t xml:space="preserve">.  Payment for emergency energy is made to the Combined Cycle Train.  </w:t>
                  </w:r>
                </w:p>
              </w:tc>
            </w:tr>
          </w:tbl>
          <w:p w14:paraId="25539E4D" w14:textId="17246346" w:rsidR="00F80C33" w:rsidRPr="00B34C5D" w:rsidRDefault="00E3326A" w:rsidP="00E3326A">
            <w:pPr>
              <w:pStyle w:val="TableBody"/>
              <w:rPr>
                <w:i/>
              </w:rPr>
            </w:pPr>
            <w:r>
              <w:t xml:space="preserve">  </w:t>
            </w:r>
          </w:p>
        </w:tc>
      </w:tr>
      <w:tr w:rsidR="00F80C33" w14:paraId="4D0BEE70" w14:textId="77777777" w:rsidTr="007A7A3D">
        <w:trPr>
          <w:cantSplit/>
        </w:trPr>
        <w:tc>
          <w:tcPr>
            <w:tcW w:w="883" w:type="pct"/>
          </w:tcPr>
          <w:p w14:paraId="7C82F3B1" w14:textId="77777777" w:rsidR="00F80C33" w:rsidRDefault="00723BFB">
            <w:pPr>
              <w:pStyle w:val="TableBody"/>
            </w:pPr>
            <w:r w:rsidRPr="00B34C5D">
              <w:rPr>
                <w:i/>
              </w:rPr>
              <w:t>q</w:t>
            </w:r>
          </w:p>
        </w:tc>
        <w:tc>
          <w:tcPr>
            <w:tcW w:w="471" w:type="pct"/>
          </w:tcPr>
          <w:p w14:paraId="46CBB9F2" w14:textId="77777777" w:rsidR="00F80C33" w:rsidRDefault="00723BFB" w:rsidP="00B34C5D">
            <w:pPr>
              <w:pStyle w:val="TableBody"/>
              <w:jc w:val="center"/>
            </w:pPr>
            <w:r>
              <w:t>none</w:t>
            </w:r>
          </w:p>
        </w:tc>
        <w:tc>
          <w:tcPr>
            <w:tcW w:w="3646" w:type="pct"/>
          </w:tcPr>
          <w:p w14:paraId="10A96171" w14:textId="77777777" w:rsidR="00F80C33" w:rsidRDefault="00723BFB">
            <w:pPr>
              <w:pStyle w:val="TableBody"/>
            </w:pPr>
            <w:r>
              <w:t>A QSE.</w:t>
            </w:r>
          </w:p>
        </w:tc>
      </w:tr>
      <w:tr w:rsidR="00F80C33" w14:paraId="515C8758" w14:textId="77777777" w:rsidTr="007A7A3D">
        <w:trPr>
          <w:cantSplit/>
        </w:trPr>
        <w:tc>
          <w:tcPr>
            <w:tcW w:w="883" w:type="pct"/>
          </w:tcPr>
          <w:p w14:paraId="5DC715FA" w14:textId="77777777" w:rsidR="00F80C33" w:rsidRDefault="00723BFB">
            <w:pPr>
              <w:pStyle w:val="TableBody"/>
            </w:pPr>
            <w:r w:rsidRPr="00B34C5D">
              <w:rPr>
                <w:i/>
              </w:rPr>
              <w:t>r</w:t>
            </w:r>
          </w:p>
        </w:tc>
        <w:tc>
          <w:tcPr>
            <w:tcW w:w="471" w:type="pct"/>
          </w:tcPr>
          <w:p w14:paraId="39A3091D" w14:textId="77777777" w:rsidR="00F80C33" w:rsidRDefault="00723BFB" w:rsidP="00B34C5D">
            <w:pPr>
              <w:pStyle w:val="TableBody"/>
              <w:jc w:val="center"/>
            </w:pPr>
            <w:r>
              <w:t>none</w:t>
            </w:r>
          </w:p>
        </w:tc>
        <w:tc>
          <w:tcPr>
            <w:tcW w:w="3646" w:type="pct"/>
          </w:tcPr>
          <w:p w14:paraId="3EA16996" w14:textId="77777777" w:rsidR="00F80C33" w:rsidRDefault="00723BFB">
            <w:pPr>
              <w:pStyle w:val="TableBody"/>
            </w:pPr>
            <w:r>
              <w:t>A RUC-committed Generation Resource.</w:t>
            </w:r>
          </w:p>
        </w:tc>
      </w:tr>
      <w:tr w:rsidR="00F80C33" w14:paraId="6641E218" w14:textId="77777777" w:rsidTr="007A7A3D">
        <w:trPr>
          <w:cantSplit/>
        </w:trPr>
        <w:tc>
          <w:tcPr>
            <w:tcW w:w="883" w:type="pct"/>
          </w:tcPr>
          <w:p w14:paraId="65C10B5D" w14:textId="77777777" w:rsidR="00F80C33" w:rsidRDefault="00723BFB">
            <w:pPr>
              <w:pStyle w:val="TableBody"/>
            </w:pPr>
            <w:r w:rsidRPr="00B34C5D">
              <w:rPr>
                <w:i/>
              </w:rPr>
              <w:t>d</w:t>
            </w:r>
          </w:p>
        </w:tc>
        <w:tc>
          <w:tcPr>
            <w:tcW w:w="471" w:type="pct"/>
          </w:tcPr>
          <w:p w14:paraId="39DDEB2B" w14:textId="77777777" w:rsidR="00F80C33" w:rsidRDefault="00723BFB" w:rsidP="00B34C5D">
            <w:pPr>
              <w:pStyle w:val="TableBody"/>
              <w:jc w:val="center"/>
            </w:pPr>
            <w:r>
              <w:t>none</w:t>
            </w:r>
          </w:p>
        </w:tc>
        <w:tc>
          <w:tcPr>
            <w:tcW w:w="3646" w:type="pct"/>
          </w:tcPr>
          <w:p w14:paraId="1193982E" w14:textId="77777777" w:rsidR="00F80C33" w:rsidRDefault="00723BFB">
            <w:pPr>
              <w:pStyle w:val="TableBody"/>
            </w:pPr>
            <w:r>
              <w:t>An Operating Day containing the RUC-commitment.</w:t>
            </w:r>
          </w:p>
        </w:tc>
      </w:tr>
      <w:tr w:rsidR="00F80C33" w14:paraId="64FBA726" w14:textId="77777777" w:rsidTr="007A7A3D">
        <w:trPr>
          <w:cantSplit/>
        </w:trPr>
        <w:tc>
          <w:tcPr>
            <w:tcW w:w="883" w:type="pct"/>
          </w:tcPr>
          <w:p w14:paraId="088B9434" w14:textId="77777777" w:rsidR="00F80C33" w:rsidRPr="00B34C5D" w:rsidRDefault="00723BFB">
            <w:pPr>
              <w:pStyle w:val="TableBody"/>
              <w:rPr>
                <w:i/>
              </w:rPr>
            </w:pPr>
            <w:r w:rsidRPr="00B34C5D">
              <w:rPr>
                <w:i/>
              </w:rPr>
              <w:lastRenderedPageBreak/>
              <w:t>p</w:t>
            </w:r>
          </w:p>
        </w:tc>
        <w:tc>
          <w:tcPr>
            <w:tcW w:w="471" w:type="pct"/>
          </w:tcPr>
          <w:p w14:paraId="6DC14E6D" w14:textId="77777777" w:rsidR="00F80C33" w:rsidRDefault="00723BFB" w:rsidP="00B34C5D">
            <w:pPr>
              <w:pStyle w:val="TableBody"/>
              <w:jc w:val="center"/>
            </w:pPr>
            <w:r>
              <w:t>none</w:t>
            </w:r>
          </w:p>
        </w:tc>
        <w:tc>
          <w:tcPr>
            <w:tcW w:w="3646" w:type="pct"/>
          </w:tcPr>
          <w:p w14:paraId="2BEAAD00" w14:textId="77777777" w:rsidR="00F80C33" w:rsidRPr="00B34C5D" w:rsidRDefault="00723BFB">
            <w:pPr>
              <w:pStyle w:val="TableBody"/>
              <w:rPr>
                <w:i/>
              </w:rPr>
            </w:pPr>
            <w:r>
              <w:t>A Resource Node Settlement Point.</w:t>
            </w:r>
          </w:p>
        </w:tc>
      </w:tr>
      <w:tr w:rsidR="00F80C33" w14:paraId="3B2293AA" w14:textId="77777777" w:rsidTr="007A7A3D">
        <w:trPr>
          <w:cantSplit/>
        </w:trPr>
        <w:tc>
          <w:tcPr>
            <w:tcW w:w="883" w:type="pct"/>
          </w:tcPr>
          <w:p w14:paraId="254847F4" w14:textId="77777777" w:rsidR="00F80C33" w:rsidRPr="00B34C5D" w:rsidRDefault="00723BFB">
            <w:pPr>
              <w:pStyle w:val="TableBody"/>
              <w:rPr>
                <w:i/>
              </w:rPr>
            </w:pPr>
            <w:r w:rsidRPr="00B34C5D">
              <w:rPr>
                <w:i/>
              </w:rPr>
              <w:t>i</w:t>
            </w:r>
          </w:p>
        </w:tc>
        <w:tc>
          <w:tcPr>
            <w:tcW w:w="471" w:type="pct"/>
          </w:tcPr>
          <w:p w14:paraId="60FD2BBD" w14:textId="77777777" w:rsidR="00F80C33" w:rsidRDefault="00723BFB" w:rsidP="00B34C5D">
            <w:pPr>
              <w:pStyle w:val="TableBody"/>
              <w:jc w:val="center"/>
            </w:pPr>
            <w:r>
              <w:t>none</w:t>
            </w:r>
          </w:p>
        </w:tc>
        <w:tc>
          <w:tcPr>
            <w:tcW w:w="3646" w:type="pct"/>
          </w:tcPr>
          <w:p w14:paraId="6B83D22A" w14:textId="77777777" w:rsidR="00F80C33" w:rsidRDefault="00723BFB">
            <w:pPr>
              <w:pStyle w:val="TableBody"/>
            </w:pPr>
            <w:r>
              <w:t>A 15-minute Settlement Interval within the hour that is identified as a QSE-</w:t>
            </w:r>
            <w:proofErr w:type="spellStart"/>
            <w:r>
              <w:t>Clawback</w:t>
            </w:r>
            <w:proofErr w:type="spellEnd"/>
            <w:r>
              <w:t xml:space="preserve"> Interval.</w:t>
            </w:r>
          </w:p>
        </w:tc>
      </w:tr>
    </w:tbl>
    <w:p w14:paraId="3887A4B8" w14:textId="3CA56AEF" w:rsidR="00F80C33" w:rsidRPr="000B7479" w:rsidRDefault="00723BFB" w:rsidP="00A57182">
      <w:pPr>
        <w:pStyle w:val="H3"/>
        <w:spacing w:before="480"/>
        <w:rPr>
          <w:b/>
          <w:i/>
        </w:rPr>
      </w:pPr>
      <w:bookmarkStart w:id="250" w:name="_Toc400547191"/>
      <w:bookmarkStart w:id="251" w:name="_Toc405384296"/>
      <w:bookmarkStart w:id="252" w:name="_Toc405543563"/>
      <w:bookmarkStart w:id="253" w:name="_Toc428178072"/>
      <w:bookmarkStart w:id="254" w:name="_Toc440872703"/>
      <w:bookmarkStart w:id="255" w:name="_Toc458766248"/>
      <w:bookmarkStart w:id="256" w:name="_Toc459292653"/>
      <w:bookmarkStart w:id="257" w:name="_Toc60038360"/>
      <w:r w:rsidRPr="000B7479">
        <w:rPr>
          <w:b/>
          <w:i/>
        </w:rPr>
        <w:t>5.7.2</w:t>
      </w:r>
      <w:r w:rsidRPr="000B7479">
        <w:rPr>
          <w:b/>
          <w:i/>
        </w:rPr>
        <w:tab/>
        <w:t xml:space="preserve">RUC </w:t>
      </w:r>
      <w:proofErr w:type="spellStart"/>
      <w:r w:rsidRPr="000B7479">
        <w:rPr>
          <w:b/>
          <w:i/>
        </w:rPr>
        <w:t>Clawback</w:t>
      </w:r>
      <w:proofErr w:type="spellEnd"/>
      <w:r w:rsidRPr="000B7479">
        <w:rPr>
          <w:b/>
          <w:i/>
        </w:rPr>
        <w:t xml:space="preserve"> Charge</w:t>
      </w:r>
      <w:bookmarkEnd w:id="247"/>
      <w:bookmarkEnd w:id="248"/>
      <w:bookmarkEnd w:id="249"/>
      <w:bookmarkEnd w:id="250"/>
      <w:bookmarkEnd w:id="251"/>
      <w:bookmarkEnd w:id="252"/>
      <w:bookmarkEnd w:id="253"/>
      <w:bookmarkEnd w:id="254"/>
      <w:bookmarkEnd w:id="255"/>
      <w:bookmarkEnd w:id="256"/>
      <w:bookmarkEnd w:id="257"/>
    </w:p>
    <w:p w14:paraId="46C6F704" w14:textId="77777777" w:rsidR="00F80C33" w:rsidRDefault="00723BFB">
      <w:pPr>
        <w:pStyle w:val="BodyTextNumbered"/>
        <w:rPr>
          <w:rStyle w:val="BodyTextChar"/>
        </w:rPr>
      </w:pPr>
      <w:bookmarkStart w:id="258" w:name="_Toc106616866"/>
      <w:r>
        <w:rPr>
          <w:rStyle w:val="BodyTextChar"/>
        </w:rPr>
        <w:t>(1)</w:t>
      </w:r>
      <w:r>
        <w:rPr>
          <w:rStyle w:val="BodyTextChar"/>
        </w:rPr>
        <w:tab/>
        <w:t xml:space="preserve">A QSE for a Resource shall pay a RUC </w:t>
      </w:r>
      <w:proofErr w:type="spellStart"/>
      <w:r>
        <w:rPr>
          <w:rStyle w:val="BodyTextChar"/>
        </w:rPr>
        <w:t>Clawback</w:t>
      </w:r>
      <w:proofErr w:type="spellEnd"/>
      <w:r>
        <w:rPr>
          <w:rStyle w:val="BodyTextChar"/>
        </w:rPr>
        <w:t xml:space="preserve"> Charge for the Operating Day if the RUC Guarantee is less than the sum of:</w:t>
      </w:r>
      <w:bookmarkEnd w:id="258"/>
    </w:p>
    <w:p w14:paraId="59FF3BEE" w14:textId="77777777" w:rsidR="00F80C33" w:rsidRDefault="00723BFB">
      <w:pPr>
        <w:pStyle w:val="List2"/>
      </w:pPr>
      <w:bookmarkStart w:id="259" w:name="_Toc106616867"/>
      <w:r>
        <w:t>(a)</w:t>
      </w:r>
      <w:r>
        <w:tab/>
        <w:t>RUC Minimum-Energy Revenue calculated in Section 5.7.1</w:t>
      </w:r>
      <w:r w:rsidR="00E3326A">
        <w:t>.2</w:t>
      </w:r>
      <w:r>
        <w:t xml:space="preserve">, RUC </w:t>
      </w:r>
      <w:r w:rsidR="00E3326A">
        <w:t>Minimum-Energy Revenue</w:t>
      </w:r>
      <w:r>
        <w:t>;</w:t>
      </w:r>
    </w:p>
    <w:p w14:paraId="2FAAED62" w14:textId="77777777" w:rsidR="00F80C33" w:rsidRDefault="00723BFB">
      <w:pPr>
        <w:pStyle w:val="List2"/>
      </w:pPr>
      <w:r>
        <w:t>(b)</w:t>
      </w:r>
      <w:r>
        <w:tab/>
        <w:t>Revenue Less Cost Above LSL During RUC-Committed Hours calculated in Section 5.7.1.3, Revenue Less Cost Above LSL During RUC-Committed Hours; and</w:t>
      </w:r>
      <w:bookmarkEnd w:id="259"/>
      <w:r>
        <w:t xml:space="preserve"> </w:t>
      </w:r>
    </w:p>
    <w:p w14:paraId="4B618CDC" w14:textId="77777777" w:rsidR="00F80C33" w:rsidRDefault="00723BFB">
      <w:pPr>
        <w:pStyle w:val="List2"/>
      </w:pPr>
      <w:bookmarkStart w:id="260" w:name="_Toc106616868"/>
      <w:r>
        <w:t>(c)</w:t>
      </w:r>
      <w:r>
        <w:tab/>
        <w:t>Revenue Less Cost During QSE-</w:t>
      </w:r>
      <w:proofErr w:type="spellStart"/>
      <w:r>
        <w:t>Clawback</w:t>
      </w:r>
      <w:proofErr w:type="spellEnd"/>
      <w:r>
        <w:t xml:space="preserve"> Intervals calculated in Section 5.7.1.4, Revenue Less Cost During QSE </w:t>
      </w:r>
      <w:proofErr w:type="spellStart"/>
      <w:r>
        <w:t>Clawback</w:t>
      </w:r>
      <w:proofErr w:type="spellEnd"/>
      <w:r>
        <w:t xml:space="preserve"> Intervals.</w:t>
      </w:r>
      <w:bookmarkEnd w:id="260"/>
      <w:r>
        <w:t xml:space="preserve"> </w:t>
      </w:r>
    </w:p>
    <w:p w14:paraId="7865BFF7" w14:textId="72875FF5" w:rsidR="00FE5A6B" w:rsidRPr="00A4246C" w:rsidRDefault="00FE5A6B" w:rsidP="00FE5A6B">
      <w:pPr>
        <w:pStyle w:val="BodyTextNumbered"/>
        <w:rPr>
          <w:iCs/>
        </w:rPr>
      </w:pPr>
      <w:r w:rsidRPr="00A4246C">
        <w:rPr>
          <w:iCs/>
        </w:rPr>
        <w:t>(2)</w:t>
      </w:r>
      <w:r w:rsidRPr="00A4246C">
        <w:rPr>
          <w:iCs/>
        </w:rPr>
        <w:tab/>
        <w:t xml:space="preserve">The amount of the RUC </w:t>
      </w:r>
      <w:proofErr w:type="spellStart"/>
      <w:r w:rsidRPr="00A4246C">
        <w:rPr>
          <w:iCs/>
        </w:rPr>
        <w:t>Clawback</w:t>
      </w:r>
      <w:proofErr w:type="spellEnd"/>
      <w:r w:rsidRPr="00A4246C">
        <w:rPr>
          <w:iCs/>
        </w:rPr>
        <w:t xml:space="preserve"> Charge is </w:t>
      </w:r>
      <w:r w:rsidR="004E03B9">
        <w:rPr>
          <w:iCs/>
        </w:rPr>
        <w:t>100%</w:t>
      </w:r>
      <w:r w:rsidRPr="00A4246C">
        <w:rPr>
          <w:iCs/>
        </w:rPr>
        <w:t xml:space="preserve"> of the difference calculated in paragraph (1) above.</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4E03B9" w:rsidRPr="00067302" w14:paraId="5AE96DDE" w14:textId="77777777" w:rsidTr="00FE6580">
        <w:trPr>
          <w:trHeight w:val="854"/>
        </w:trPr>
        <w:tc>
          <w:tcPr>
            <w:tcW w:w="9350" w:type="dxa"/>
            <w:shd w:val="pct12" w:color="auto" w:fill="auto"/>
          </w:tcPr>
          <w:p w14:paraId="0EEAA5DB" w14:textId="002609A5" w:rsidR="004E03B9" w:rsidRPr="004F688A" w:rsidRDefault="004E03B9" w:rsidP="00FE6580">
            <w:pPr>
              <w:spacing w:after="240"/>
              <w:rPr>
                <w:b/>
                <w:i/>
                <w:iCs/>
              </w:rPr>
            </w:pPr>
            <w:r w:rsidRPr="00067302">
              <w:rPr>
                <w:b/>
                <w:i/>
                <w:iCs/>
              </w:rPr>
              <w:t>[NPRR</w:t>
            </w:r>
            <w:r>
              <w:rPr>
                <w:b/>
                <w:i/>
                <w:iCs/>
              </w:rPr>
              <w:t>1172</w:t>
            </w:r>
            <w:r w:rsidRPr="00067302">
              <w:rPr>
                <w:b/>
                <w:i/>
                <w:iCs/>
              </w:rPr>
              <w:t xml:space="preserve">:  </w:t>
            </w:r>
            <w:r w:rsidR="008F6C16">
              <w:rPr>
                <w:b/>
                <w:i/>
                <w:iCs/>
              </w:rPr>
              <w:t>Delete</w:t>
            </w:r>
            <w:r w:rsidRPr="00067302">
              <w:rPr>
                <w:b/>
                <w:i/>
                <w:iCs/>
              </w:rPr>
              <w:t xml:space="preserve"> paragraph (</w:t>
            </w:r>
            <w:r>
              <w:rPr>
                <w:b/>
                <w:i/>
                <w:iCs/>
              </w:rPr>
              <w:t>2</w:t>
            </w:r>
            <w:r w:rsidRPr="00067302">
              <w:rPr>
                <w:b/>
                <w:i/>
                <w:iCs/>
              </w:rPr>
              <w:t xml:space="preserve">) </w:t>
            </w:r>
            <w:r>
              <w:rPr>
                <w:b/>
                <w:i/>
                <w:iCs/>
              </w:rPr>
              <w:t>above</w:t>
            </w:r>
            <w:r w:rsidRPr="00067302">
              <w:rPr>
                <w:b/>
                <w:i/>
                <w:iCs/>
              </w:rPr>
              <w:t xml:space="preserve"> upon system implementation and renumber accordingly</w:t>
            </w:r>
            <w:r w:rsidR="00C078A2">
              <w:rPr>
                <w:b/>
                <w:i/>
                <w:iCs/>
              </w:rPr>
              <w:t>.</w:t>
            </w:r>
            <w:r w:rsidRPr="00067302">
              <w:rPr>
                <w:b/>
                <w:i/>
                <w:iCs/>
              </w:rPr>
              <w:t>]</w:t>
            </w:r>
          </w:p>
        </w:tc>
      </w:tr>
    </w:tbl>
    <w:p w14:paraId="1D15F9A1" w14:textId="55C8584D" w:rsidR="00F80C33" w:rsidRDefault="00723BFB" w:rsidP="008F6C16">
      <w:pPr>
        <w:pStyle w:val="BodyTextNumbered"/>
        <w:spacing w:before="240"/>
      </w:pPr>
      <w:r>
        <w:t>(</w:t>
      </w:r>
      <w:r w:rsidR="00E6037B">
        <w:t>3</w:t>
      </w:r>
      <w:r>
        <w:t>)</w:t>
      </w:r>
      <w:r>
        <w:tab/>
        <w:t xml:space="preserve">The RUC </w:t>
      </w:r>
      <w:proofErr w:type="spellStart"/>
      <w:r>
        <w:t>Clawback</w:t>
      </w:r>
      <w:proofErr w:type="spellEnd"/>
      <w:r>
        <w:t xml:space="preserve"> Charge for a Resource</w:t>
      </w:r>
      <w:r>
        <w:rPr>
          <w:rStyle w:val="CharCharCharChar"/>
          <w:iCs w:val="0"/>
        </w:rPr>
        <w:t xml:space="preserve">, including RMR </w:t>
      </w:r>
      <w:r w:rsidR="002227D6">
        <w:rPr>
          <w:rStyle w:val="CharCharCharChar"/>
          <w:iCs w:val="0"/>
        </w:rPr>
        <w:t>U</w:t>
      </w:r>
      <w:r>
        <w:rPr>
          <w:rStyle w:val="CharCharCharChar"/>
          <w:iCs w:val="0"/>
        </w:rPr>
        <w:t>nits,</w:t>
      </w:r>
      <w:r>
        <w:t xml:space="preserve"> for each Operating Day is allocated evenly over the RUC-Committed Hours for that Resource.  </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291B10" w:rsidRPr="004B32CF" w14:paraId="06498DF3" w14:textId="77777777" w:rsidTr="005314CE">
        <w:trPr>
          <w:trHeight w:val="1205"/>
        </w:trPr>
        <w:tc>
          <w:tcPr>
            <w:tcW w:w="9350" w:type="dxa"/>
            <w:shd w:val="pct12" w:color="auto" w:fill="auto"/>
          </w:tcPr>
          <w:p w14:paraId="1847871B" w14:textId="6C721C77" w:rsidR="00291B10" w:rsidRPr="004B32CF" w:rsidRDefault="00291B10" w:rsidP="005314CE">
            <w:pPr>
              <w:spacing w:after="240"/>
              <w:rPr>
                <w:b/>
                <w:i/>
                <w:iCs/>
              </w:rPr>
            </w:pPr>
            <w:bookmarkStart w:id="261" w:name="_Toc74113619"/>
            <w:bookmarkStart w:id="262" w:name="_Toc101091057"/>
            <w:bookmarkStart w:id="263" w:name="_Toc88017250"/>
            <w:r>
              <w:rPr>
                <w:b/>
                <w:i/>
                <w:iCs/>
              </w:rPr>
              <w:t>[NPRR1014</w:t>
            </w:r>
            <w:r w:rsidRPr="004B32CF">
              <w:rPr>
                <w:b/>
                <w:i/>
                <w:iCs/>
              </w:rPr>
              <w:t xml:space="preserve">:  </w:t>
            </w:r>
            <w:r>
              <w:rPr>
                <w:b/>
                <w:i/>
                <w:iCs/>
              </w:rPr>
              <w:t>Insert paragraph (</w:t>
            </w:r>
            <w:r w:rsidR="00E6037B">
              <w:rPr>
                <w:b/>
                <w:i/>
                <w:iCs/>
              </w:rPr>
              <w:t>4</w:t>
            </w:r>
            <w:r w:rsidRPr="004B32CF">
              <w:rPr>
                <w:b/>
                <w:i/>
                <w:iCs/>
              </w:rPr>
              <w:t xml:space="preserve">) </w:t>
            </w:r>
            <w:r>
              <w:rPr>
                <w:b/>
                <w:i/>
                <w:iCs/>
              </w:rPr>
              <w:t>below</w:t>
            </w:r>
            <w:r w:rsidRPr="004B32CF">
              <w:rPr>
                <w:b/>
                <w:i/>
                <w:iCs/>
              </w:rPr>
              <w:t xml:space="preserve"> upon system implementation</w:t>
            </w:r>
            <w:r>
              <w:rPr>
                <w:b/>
                <w:i/>
                <w:iCs/>
              </w:rPr>
              <w:t xml:space="preserve"> and renumber accordingly</w:t>
            </w:r>
            <w:r w:rsidRPr="004B32CF">
              <w:rPr>
                <w:b/>
                <w:i/>
                <w:iCs/>
              </w:rPr>
              <w:t>:]</w:t>
            </w:r>
          </w:p>
          <w:p w14:paraId="0B16D72D" w14:textId="58869949" w:rsidR="00291B10" w:rsidRPr="00291B10" w:rsidRDefault="00291B10" w:rsidP="0069478E">
            <w:pPr>
              <w:spacing w:after="240"/>
              <w:ind w:left="720" w:hanging="720"/>
              <w:rPr>
                <w:iCs/>
              </w:rPr>
            </w:pPr>
            <w:r w:rsidRPr="00A552C3">
              <w:rPr>
                <w:iCs/>
              </w:rPr>
              <w:t>(</w:t>
            </w:r>
            <w:r w:rsidR="00E6037B">
              <w:rPr>
                <w:iCs/>
              </w:rPr>
              <w:t>4</w:t>
            </w:r>
            <w:r w:rsidRPr="00A552C3">
              <w:rPr>
                <w:iCs/>
              </w:rPr>
              <w:t>)</w:t>
            </w:r>
            <w:r w:rsidRPr="00A552C3">
              <w:rPr>
                <w:iCs/>
              </w:rPr>
              <w:tab/>
              <w:t>Energy Storage Resources</w:t>
            </w:r>
            <w:r w:rsidR="0069478E" w:rsidRPr="00A552C3">
              <w:rPr>
                <w:iCs/>
              </w:rPr>
              <w:t xml:space="preserve"> </w:t>
            </w:r>
            <w:r w:rsidR="0069478E">
              <w:rPr>
                <w:iCs/>
              </w:rPr>
              <w:t xml:space="preserve">(ESRs) </w:t>
            </w:r>
            <w:r w:rsidRPr="00A552C3">
              <w:rPr>
                <w:iCs/>
              </w:rPr>
              <w:t xml:space="preserve">are not subject to RUC </w:t>
            </w:r>
            <w:proofErr w:type="spellStart"/>
            <w:r w:rsidRPr="00A552C3">
              <w:rPr>
                <w:iCs/>
              </w:rPr>
              <w:t>Clawback</w:t>
            </w:r>
            <w:proofErr w:type="spellEnd"/>
            <w:r w:rsidRPr="00A552C3">
              <w:rPr>
                <w:iCs/>
              </w:rPr>
              <w:t xml:space="preserve"> Charges. </w:t>
            </w:r>
          </w:p>
        </w:tc>
      </w:tr>
    </w:tbl>
    <w:p w14:paraId="5A917B08" w14:textId="731D12A9" w:rsidR="001D6962" w:rsidRPr="00A4246C" w:rsidRDefault="00FE5A6B" w:rsidP="00300C4D">
      <w:pPr>
        <w:pStyle w:val="BodyTextNumbered"/>
        <w:spacing w:before="240"/>
        <w:rPr>
          <w:iCs/>
        </w:rPr>
      </w:pPr>
      <w:r w:rsidRPr="00A4246C">
        <w:rPr>
          <w:iCs/>
        </w:rPr>
        <w:t>(</w:t>
      </w:r>
      <w:r w:rsidR="00E6037B">
        <w:rPr>
          <w:iCs/>
        </w:rPr>
        <w:t>4</w:t>
      </w:r>
      <w:r w:rsidRPr="00A4246C">
        <w:rPr>
          <w:iCs/>
        </w:rPr>
        <w:t>)</w:t>
      </w:r>
      <w:r w:rsidRPr="00A4246C">
        <w:rPr>
          <w:iCs/>
        </w:rPr>
        <w:tab/>
      </w:r>
      <w:r w:rsidR="001D6962" w:rsidRPr="00A4246C">
        <w:rPr>
          <w:iCs/>
        </w:rPr>
        <w:t xml:space="preserve">For each RUC-committed Resource, the RUC </w:t>
      </w:r>
      <w:proofErr w:type="spellStart"/>
      <w:r w:rsidR="001D6962" w:rsidRPr="00A4246C">
        <w:rPr>
          <w:iCs/>
        </w:rPr>
        <w:t>Clawback</w:t>
      </w:r>
      <w:proofErr w:type="spellEnd"/>
      <w:r w:rsidR="001D6962" w:rsidRPr="00A4246C">
        <w:rPr>
          <w:iCs/>
        </w:rPr>
        <w:t xml:space="preserve"> Charge for each RUC-Committed Hour of the Operating Day is calculated as follows:</w:t>
      </w:r>
    </w:p>
    <w:p w14:paraId="1A29C317" w14:textId="77777777" w:rsidR="001D6962" w:rsidRPr="000C5E12" w:rsidRDefault="001D6962" w:rsidP="001D6962">
      <w:pPr>
        <w:spacing w:after="240"/>
        <w:ind w:left="720"/>
        <w:rPr>
          <w:iCs/>
        </w:rPr>
      </w:pPr>
      <w:r w:rsidRPr="000C5E12">
        <w:rPr>
          <w:iCs/>
        </w:rPr>
        <w:t>If (RUCMEREV</w:t>
      </w:r>
      <w:r>
        <w:rPr>
          <w:iCs/>
        </w:rPr>
        <w:t xml:space="preserve"> </w:t>
      </w:r>
      <w:r w:rsidRPr="000C5E12">
        <w:rPr>
          <w:i/>
          <w:iCs/>
          <w:vertAlign w:val="subscript"/>
        </w:rPr>
        <w:t>q,</w:t>
      </w:r>
      <w:r>
        <w:rPr>
          <w:i/>
          <w:iCs/>
          <w:vertAlign w:val="subscript"/>
        </w:rPr>
        <w:t xml:space="preserve"> </w:t>
      </w:r>
      <w:r w:rsidRPr="000C5E12">
        <w:rPr>
          <w:i/>
          <w:iCs/>
          <w:vertAlign w:val="subscript"/>
        </w:rPr>
        <w:t>r,</w:t>
      </w:r>
      <w:r>
        <w:rPr>
          <w:i/>
          <w:iCs/>
          <w:vertAlign w:val="subscript"/>
        </w:rPr>
        <w:t xml:space="preserve"> </w:t>
      </w:r>
      <w:r w:rsidRPr="000C5E12">
        <w:rPr>
          <w:i/>
          <w:iCs/>
          <w:vertAlign w:val="subscript"/>
        </w:rPr>
        <w:t>d</w:t>
      </w:r>
      <w:r w:rsidRPr="000C5E12">
        <w:rPr>
          <w:iCs/>
        </w:rPr>
        <w:t xml:space="preserve"> + RUCEXRR</w:t>
      </w:r>
      <w:r>
        <w:rPr>
          <w:iCs/>
        </w:rPr>
        <w:t xml:space="preserve"> </w:t>
      </w:r>
      <w:r w:rsidRPr="000C5E12">
        <w:rPr>
          <w:i/>
          <w:iCs/>
          <w:vertAlign w:val="subscript"/>
        </w:rPr>
        <w:t>q,</w:t>
      </w:r>
      <w:r>
        <w:rPr>
          <w:i/>
          <w:iCs/>
          <w:vertAlign w:val="subscript"/>
        </w:rPr>
        <w:t xml:space="preserve"> </w:t>
      </w:r>
      <w:r w:rsidRPr="000C5E12">
        <w:rPr>
          <w:i/>
          <w:iCs/>
          <w:vertAlign w:val="subscript"/>
        </w:rPr>
        <w:t>r,</w:t>
      </w:r>
      <w:r>
        <w:rPr>
          <w:i/>
          <w:iCs/>
          <w:vertAlign w:val="subscript"/>
        </w:rPr>
        <w:t xml:space="preserve"> </w:t>
      </w:r>
      <w:r w:rsidRPr="000C5E12">
        <w:rPr>
          <w:i/>
          <w:iCs/>
          <w:vertAlign w:val="subscript"/>
        </w:rPr>
        <w:t>d</w:t>
      </w:r>
      <w:r w:rsidRPr="004D0A1B">
        <w:rPr>
          <w:i/>
          <w:iCs/>
        </w:rPr>
        <w:t xml:space="preserve"> </w:t>
      </w:r>
      <w:r w:rsidRPr="000C5E12">
        <w:rPr>
          <w:iCs/>
        </w:rPr>
        <w:t>– RUCACREV</w:t>
      </w:r>
      <w:r>
        <w:rPr>
          <w:iCs/>
        </w:rPr>
        <w:t xml:space="preserve"> </w:t>
      </w:r>
      <w:r w:rsidRPr="000C5E12">
        <w:rPr>
          <w:i/>
          <w:iCs/>
          <w:vertAlign w:val="subscript"/>
        </w:rPr>
        <w:t>q,</w:t>
      </w:r>
      <w:r>
        <w:rPr>
          <w:i/>
          <w:iCs/>
          <w:vertAlign w:val="subscript"/>
        </w:rPr>
        <w:t xml:space="preserve"> </w:t>
      </w:r>
      <w:r w:rsidRPr="000C5E12">
        <w:rPr>
          <w:i/>
          <w:iCs/>
          <w:vertAlign w:val="subscript"/>
        </w:rPr>
        <w:t>r,</w:t>
      </w:r>
      <w:r>
        <w:rPr>
          <w:i/>
          <w:iCs/>
          <w:vertAlign w:val="subscript"/>
        </w:rPr>
        <w:t xml:space="preserve"> </w:t>
      </w:r>
      <w:r w:rsidRPr="000C5E12">
        <w:rPr>
          <w:i/>
          <w:iCs/>
          <w:vertAlign w:val="subscript"/>
        </w:rPr>
        <w:t>d</w:t>
      </w:r>
      <w:r w:rsidRPr="000C5E12">
        <w:rPr>
          <w:iCs/>
        </w:rPr>
        <w:t xml:space="preserve"> – RUCG</w:t>
      </w:r>
      <w:r>
        <w:rPr>
          <w:iCs/>
        </w:rPr>
        <w:t xml:space="preserve"> </w:t>
      </w:r>
      <w:r w:rsidRPr="000C5E12">
        <w:rPr>
          <w:i/>
          <w:iCs/>
          <w:vertAlign w:val="subscript"/>
        </w:rPr>
        <w:t>q,</w:t>
      </w:r>
      <w:r>
        <w:rPr>
          <w:i/>
          <w:iCs/>
          <w:vertAlign w:val="subscript"/>
        </w:rPr>
        <w:t xml:space="preserve"> </w:t>
      </w:r>
      <w:r w:rsidRPr="000C5E12">
        <w:rPr>
          <w:i/>
          <w:iCs/>
          <w:vertAlign w:val="subscript"/>
        </w:rPr>
        <w:t>r,</w:t>
      </w:r>
      <w:r>
        <w:rPr>
          <w:i/>
          <w:iCs/>
          <w:vertAlign w:val="subscript"/>
        </w:rPr>
        <w:t xml:space="preserve"> </w:t>
      </w:r>
      <w:r w:rsidRPr="000C5E12">
        <w:rPr>
          <w:i/>
          <w:iCs/>
          <w:vertAlign w:val="subscript"/>
        </w:rPr>
        <w:t>d</w:t>
      </w:r>
      <w:r w:rsidRPr="000C5E12">
        <w:rPr>
          <w:iCs/>
        </w:rPr>
        <w:t xml:space="preserve">) &gt; 0, </w:t>
      </w:r>
    </w:p>
    <w:p w14:paraId="4F2E1362" w14:textId="77777777" w:rsidR="001D6962" w:rsidRPr="00AE5718" w:rsidRDefault="001D6962" w:rsidP="00C078A2">
      <w:pPr>
        <w:pStyle w:val="FormulaBold"/>
        <w:rPr>
          <w:b w:val="0"/>
          <w:bCs/>
        </w:rPr>
      </w:pPr>
      <w:r w:rsidRPr="00AE5718">
        <w:rPr>
          <w:b w:val="0"/>
          <w:bCs/>
        </w:rPr>
        <w:t>Then,</w:t>
      </w:r>
    </w:p>
    <w:p w14:paraId="35AA8220" w14:textId="77777777" w:rsidR="001D6962" w:rsidRPr="000C5E12" w:rsidRDefault="001D6962" w:rsidP="00C078A2">
      <w:pPr>
        <w:pStyle w:val="FormulaBold"/>
      </w:pPr>
      <w:r w:rsidRPr="000C5E12">
        <w:t>RUCCBAMT</w:t>
      </w:r>
      <w:r>
        <w:rPr>
          <w:lang w:val="en-US"/>
        </w:rPr>
        <w:t xml:space="preserve"> </w:t>
      </w:r>
      <w:r w:rsidRPr="000C5E12">
        <w:rPr>
          <w:i/>
          <w:vertAlign w:val="subscript"/>
        </w:rPr>
        <w:t>q,</w:t>
      </w:r>
      <w:r>
        <w:rPr>
          <w:i/>
          <w:vertAlign w:val="subscript"/>
          <w:lang w:val="en-US"/>
        </w:rPr>
        <w:t xml:space="preserve"> </w:t>
      </w:r>
      <w:r w:rsidRPr="000C5E12">
        <w:rPr>
          <w:i/>
          <w:vertAlign w:val="subscript"/>
        </w:rPr>
        <w:t>r,</w:t>
      </w:r>
      <w:r>
        <w:rPr>
          <w:i/>
          <w:vertAlign w:val="subscript"/>
          <w:lang w:val="en-US"/>
        </w:rPr>
        <w:t xml:space="preserve"> </w:t>
      </w:r>
      <w:r w:rsidRPr="000C5E12">
        <w:rPr>
          <w:i/>
          <w:vertAlign w:val="subscript"/>
        </w:rPr>
        <w:t>h</w:t>
      </w:r>
      <w:r w:rsidRPr="000C5E12">
        <w:tab/>
        <w:t>=</w:t>
      </w:r>
      <w:r w:rsidRPr="000C5E12">
        <w:tab/>
        <w:t>[(RUCMEREV</w:t>
      </w:r>
      <w:r>
        <w:rPr>
          <w:lang w:val="en-US"/>
        </w:rPr>
        <w:t xml:space="preserve"> </w:t>
      </w:r>
      <w:r w:rsidRPr="000C5E12">
        <w:rPr>
          <w:i/>
          <w:vertAlign w:val="subscript"/>
        </w:rPr>
        <w:t>q,</w:t>
      </w:r>
      <w:r>
        <w:rPr>
          <w:i/>
          <w:vertAlign w:val="subscript"/>
          <w:lang w:val="en-US"/>
        </w:rPr>
        <w:t xml:space="preserve"> </w:t>
      </w:r>
      <w:r w:rsidRPr="000C5E12">
        <w:rPr>
          <w:i/>
          <w:vertAlign w:val="subscript"/>
        </w:rPr>
        <w:t>r,</w:t>
      </w:r>
      <w:r>
        <w:rPr>
          <w:i/>
          <w:vertAlign w:val="subscript"/>
          <w:lang w:val="en-US"/>
        </w:rPr>
        <w:t xml:space="preserve"> </w:t>
      </w:r>
      <w:r w:rsidRPr="000C5E12">
        <w:rPr>
          <w:i/>
          <w:vertAlign w:val="subscript"/>
        </w:rPr>
        <w:t>d</w:t>
      </w:r>
      <w:r w:rsidRPr="000C5E12">
        <w:t xml:space="preserve"> + RUCEXRR</w:t>
      </w:r>
      <w:r>
        <w:rPr>
          <w:lang w:val="en-US"/>
        </w:rPr>
        <w:t xml:space="preserve"> </w:t>
      </w:r>
      <w:r w:rsidRPr="000C5E12">
        <w:rPr>
          <w:i/>
          <w:vertAlign w:val="subscript"/>
        </w:rPr>
        <w:t>q,</w:t>
      </w:r>
      <w:r>
        <w:rPr>
          <w:i/>
          <w:vertAlign w:val="subscript"/>
          <w:lang w:val="en-US"/>
        </w:rPr>
        <w:t xml:space="preserve"> </w:t>
      </w:r>
      <w:r w:rsidRPr="000C5E12">
        <w:rPr>
          <w:i/>
          <w:vertAlign w:val="subscript"/>
        </w:rPr>
        <w:t>r,</w:t>
      </w:r>
      <w:r>
        <w:rPr>
          <w:i/>
          <w:vertAlign w:val="subscript"/>
          <w:lang w:val="en-US"/>
        </w:rPr>
        <w:t xml:space="preserve"> </w:t>
      </w:r>
      <w:r w:rsidRPr="000C5E12">
        <w:rPr>
          <w:i/>
          <w:vertAlign w:val="subscript"/>
        </w:rPr>
        <w:t xml:space="preserve">d </w:t>
      </w:r>
      <w:r w:rsidRPr="000C5E12">
        <w:rPr>
          <w:iCs/>
        </w:rPr>
        <w:t>– RUCACREV</w:t>
      </w:r>
      <w:r>
        <w:rPr>
          <w:iCs/>
          <w:lang w:val="en-US"/>
        </w:rPr>
        <w:t xml:space="preserve"> </w:t>
      </w:r>
      <w:r w:rsidRPr="000C5E12">
        <w:rPr>
          <w:i/>
          <w:iCs/>
          <w:vertAlign w:val="subscript"/>
        </w:rPr>
        <w:t>q,</w:t>
      </w:r>
      <w:r>
        <w:rPr>
          <w:i/>
          <w:iCs/>
          <w:vertAlign w:val="subscript"/>
          <w:lang w:val="en-US"/>
        </w:rPr>
        <w:t xml:space="preserve"> </w:t>
      </w:r>
      <w:r w:rsidRPr="000C5E12">
        <w:rPr>
          <w:i/>
          <w:iCs/>
          <w:vertAlign w:val="subscript"/>
        </w:rPr>
        <w:t>r,</w:t>
      </w:r>
      <w:r>
        <w:rPr>
          <w:i/>
          <w:iCs/>
          <w:vertAlign w:val="subscript"/>
          <w:lang w:val="en-US"/>
        </w:rPr>
        <w:t xml:space="preserve"> </w:t>
      </w:r>
      <w:r w:rsidRPr="000C5E12">
        <w:rPr>
          <w:i/>
          <w:iCs/>
          <w:vertAlign w:val="subscript"/>
        </w:rPr>
        <w:t>d</w:t>
      </w:r>
      <w:r w:rsidRPr="000C5E12">
        <w:t xml:space="preserve"> – RUCG</w:t>
      </w:r>
      <w:r>
        <w:rPr>
          <w:lang w:val="en-US"/>
        </w:rPr>
        <w:t xml:space="preserve"> </w:t>
      </w:r>
      <w:r w:rsidRPr="000C5E12">
        <w:rPr>
          <w:i/>
          <w:vertAlign w:val="subscript"/>
        </w:rPr>
        <w:t>q,</w:t>
      </w:r>
      <w:r>
        <w:rPr>
          <w:i/>
          <w:vertAlign w:val="subscript"/>
          <w:lang w:val="en-US"/>
        </w:rPr>
        <w:t xml:space="preserve"> </w:t>
      </w:r>
      <w:r w:rsidRPr="000C5E12">
        <w:rPr>
          <w:i/>
          <w:vertAlign w:val="subscript"/>
        </w:rPr>
        <w:t>r,</w:t>
      </w:r>
      <w:r>
        <w:rPr>
          <w:i/>
          <w:vertAlign w:val="subscript"/>
          <w:lang w:val="en-US"/>
        </w:rPr>
        <w:t xml:space="preserve"> </w:t>
      </w:r>
      <w:r w:rsidRPr="000C5E12">
        <w:rPr>
          <w:i/>
          <w:vertAlign w:val="subscript"/>
        </w:rPr>
        <w:t>d</w:t>
      </w:r>
      <w:r w:rsidRPr="000C5E12">
        <w:t>) * RUCCBFR</w:t>
      </w:r>
      <w:r>
        <w:rPr>
          <w:lang w:val="en-US"/>
        </w:rPr>
        <w:t xml:space="preserve"> </w:t>
      </w:r>
      <w:r w:rsidRPr="000C5E12">
        <w:rPr>
          <w:i/>
          <w:vertAlign w:val="subscript"/>
        </w:rPr>
        <w:t>q,</w:t>
      </w:r>
      <w:r>
        <w:rPr>
          <w:i/>
          <w:vertAlign w:val="subscript"/>
          <w:lang w:val="en-US"/>
        </w:rPr>
        <w:t xml:space="preserve"> </w:t>
      </w:r>
      <w:r w:rsidRPr="000C5E12">
        <w:rPr>
          <w:i/>
          <w:vertAlign w:val="subscript"/>
        </w:rPr>
        <w:t>r,</w:t>
      </w:r>
      <w:r>
        <w:rPr>
          <w:i/>
          <w:vertAlign w:val="subscript"/>
          <w:lang w:val="en-US"/>
        </w:rPr>
        <w:t xml:space="preserve"> </w:t>
      </w:r>
      <w:r w:rsidRPr="000C5E12">
        <w:rPr>
          <w:i/>
          <w:vertAlign w:val="subscript"/>
        </w:rPr>
        <w:t>d</w:t>
      </w:r>
      <w:r w:rsidRPr="000C5E12">
        <w:t xml:space="preserve"> + RUCEXRQC</w:t>
      </w:r>
      <w:r>
        <w:rPr>
          <w:lang w:val="en-US"/>
        </w:rPr>
        <w:t xml:space="preserve"> </w:t>
      </w:r>
      <w:r w:rsidRPr="000C5E12">
        <w:rPr>
          <w:i/>
          <w:vertAlign w:val="subscript"/>
        </w:rPr>
        <w:t>q,</w:t>
      </w:r>
      <w:r>
        <w:rPr>
          <w:i/>
          <w:vertAlign w:val="subscript"/>
          <w:lang w:val="en-US"/>
        </w:rPr>
        <w:t xml:space="preserve"> </w:t>
      </w:r>
      <w:r w:rsidRPr="000C5E12">
        <w:rPr>
          <w:i/>
          <w:vertAlign w:val="subscript"/>
        </w:rPr>
        <w:t>r,</w:t>
      </w:r>
      <w:r>
        <w:rPr>
          <w:i/>
          <w:vertAlign w:val="subscript"/>
          <w:lang w:val="en-US"/>
        </w:rPr>
        <w:t xml:space="preserve"> </w:t>
      </w:r>
      <w:r w:rsidRPr="000C5E12">
        <w:rPr>
          <w:i/>
          <w:vertAlign w:val="subscript"/>
        </w:rPr>
        <w:t>d</w:t>
      </w:r>
      <w:r w:rsidRPr="000C5E12">
        <w:t xml:space="preserve"> * RUCCBFC</w:t>
      </w:r>
      <w:r>
        <w:rPr>
          <w:lang w:val="en-US"/>
        </w:rPr>
        <w:t xml:space="preserve"> </w:t>
      </w:r>
      <w:r w:rsidRPr="000C5E12">
        <w:rPr>
          <w:i/>
          <w:vertAlign w:val="subscript"/>
        </w:rPr>
        <w:t>q,</w:t>
      </w:r>
      <w:r>
        <w:rPr>
          <w:i/>
          <w:vertAlign w:val="subscript"/>
          <w:lang w:val="en-US"/>
        </w:rPr>
        <w:t xml:space="preserve"> </w:t>
      </w:r>
      <w:r w:rsidRPr="000C5E12">
        <w:rPr>
          <w:i/>
          <w:vertAlign w:val="subscript"/>
        </w:rPr>
        <w:t>r,</w:t>
      </w:r>
      <w:r>
        <w:rPr>
          <w:i/>
          <w:vertAlign w:val="subscript"/>
          <w:lang w:val="en-US"/>
        </w:rPr>
        <w:t xml:space="preserve"> </w:t>
      </w:r>
      <w:r w:rsidRPr="000C5E12">
        <w:rPr>
          <w:i/>
          <w:vertAlign w:val="subscript"/>
        </w:rPr>
        <w:t>d</w:t>
      </w:r>
      <w:r w:rsidRPr="000C5E12">
        <w:t>] / RUCHR</w:t>
      </w:r>
      <w:r>
        <w:rPr>
          <w:lang w:val="en-US"/>
        </w:rPr>
        <w:t xml:space="preserve"> </w:t>
      </w:r>
      <w:r w:rsidRPr="000C5E12">
        <w:rPr>
          <w:i/>
          <w:vertAlign w:val="subscript"/>
        </w:rPr>
        <w:t>q,</w:t>
      </w:r>
      <w:r>
        <w:rPr>
          <w:i/>
          <w:vertAlign w:val="subscript"/>
          <w:lang w:val="en-US"/>
        </w:rPr>
        <w:t xml:space="preserve"> </w:t>
      </w:r>
      <w:r w:rsidRPr="000C5E12">
        <w:rPr>
          <w:i/>
          <w:vertAlign w:val="subscript"/>
        </w:rPr>
        <w:t>r,</w:t>
      </w:r>
      <w:r>
        <w:rPr>
          <w:i/>
          <w:vertAlign w:val="subscript"/>
          <w:lang w:val="en-US"/>
        </w:rPr>
        <w:t xml:space="preserve"> </w:t>
      </w:r>
      <w:r w:rsidRPr="000C5E12">
        <w:rPr>
          <w:i/>
          <w:vertAlign w:val="subscript"/>
        </w:rPr>
        <w:t>d</w:t>
      </w:r>
      <w:r w:rsidRPr="000C5E12">
        <w:t xml:space="preserve"> </w:t>
      </w:r>
    </w:p>
    <w:p w14:paraId="694ED233" w14:textId="77777777" w:rsidR="001D6962" w:rsidRPr="00AE5718" w:rsidRDefault="001D6962" w:rsidP="00C078A2">
      <w:pPr>
        <w:pStyle w:val="FormulaBold"/>
        <w:rPr>
          <w:b w:val="0"/>
          <w:bCs/>
        </w:rPr>
      </w:pPr>
      <w:r w:rsidRPr="00AE5718">
        <w:rPr>
          <w:b w:val="0"/>
          <w:bCs/>
        </w:rPr>
        <w:lastRenderedPageBreak/>
        <w:t xml:space="preserve">Otherwise, </w:t>
      </w:r>
    </w:p>
    <w:p w14:paraId="0FE2E0CC" w14:textId="77777777" w:rsidR="001D6962" w:rsidRPr="000C5E12" w:rsidRDefault="001D6962" w:rsidP="00C078A2">
      <w:pPr>
        <w:pStyle w:val="FormulaBold"/>
      </w:pPr>
      <w:r w:rsidRPr="000C5E12">
        <w:t>RUCCBAMT</w:t>
      </w:r>
      <w:r>
        <w:rPr>
          <w:lang w:val="en-US"/>
        </w:rPr>
        <w:t xml:space="preserve"> </w:t>
      </w:r>
      <w:r w:rsidRPr="000C5E12">
        <w:rPr>
          <w:i/>
          <w:vertAlign w:val="subscript"/>
        </w:rPr>
        <w:t>q,</w:t>
      </w:r>
      <w:r>
        <w:rPr>
          <w:i/>
          <w:vertAlign w:val="subscript"/>
          <w:lang w:val="en-US"/>
        </w:rPr>
        <w:t xml:space="preserve"> </w:t>
      </w:r>
      <w:r w:rsidRPr="000C5E12">
        <w:rPr>
          <w:i/>
          <w:vertAlign w:val="subscript"/>
        </w:rPr>
        <w:t>r,</w:t>
      </w:r>
      <w:r>
        <w:rPr>
          <w:i/>
          <w:vertAlign w:val="subscript"/>
          <w:lang w:val="en-US"/>
        </w:rPr>
        <w:t xml:space="preserve"> </w:t>
      </w:r>
      <w:r w:rsidRPr="000C5E12">
        <w:rPr>
          <w:i/>
          <w:vertAlign w:val="subscript"/>
        </w:rPr>
        <w:t>h</w:t>
      </w:r>
      <w:r w:rsidRPr="000C5E12">
        <w:t xml:space="preserve"> </w:t>
      </w:r>
      <w:r w:rsidRPr="000C5E12">
        <w:tab/>
        <w:t>=</w:t>
      </w:r>
      <w:r w:rsidRPr="000C5E12">
        <w:tab/>
        <w:t>[Max (0, RUCMEREV</w:t>
      </w:r>
      <w:r>
        <w:rPr>
          <w:lang w:val="en-US"/>
        </w:rPr>
        <w:t xml:space="preserve"> </w:t>
      </w:r>
      <w:r w:rsidRPr="000C5E12">
        <w:rPr>
          <w:i/>
          <w:vertAlign w:val="subscript"/>
        </w:rPr>
        <w:t>q,</w:t>
      </w:r>
      <w:r>
        <w:rPr>
          <w:i/>
          <w:vertAlign w:val="subscript"/>
          <w:lang w:val="en-US"/>
        </w:rPr>
        <w:t xml:space="preserve"> </w:t>
      </w:r>
      <w:r w:rsidRPr="000C5E12">
        <w:rPr>
          <w:i/>
          <w:vertAlign w:val="subscript"/>
        </w:rPr>
        <w:t>r,</w:t>
      </w:r>
      <w:r>
        <w:rPr>
          <w:i/>
          <w:vertAlign w:val="subscript"/>
          <w:lang w:val="en-US"/>
        </w:rPr>
        <w:t xml:space="preserve"> </w:t>
      </w:r>
      <w:r w:rsidRPr="000C5E12">
        <w:rPr>
          <w:i/>
          <w:vertAlign w:val="subscript"/>
        </w:rPr>
        <w:t>d</w:t>
      </w:r>
      <w:r w:rsidRPr="000C5E12">
        <w:t xml:space="preserve"> + RUCEXRR</w:t>
      </w:r>
      <w:r>
        <w:rPr>
          <w:lang w:val="en-US"/>
        </w:rPr>
        <w:t xml:space="preserve"> </w:t>
      </w:r>
      <w:r w:rsidRPr="000C5E12">
        <w:rPr>
          <w:i/>
          <w:vertAlign w:val="subscript"/>
        </w:rPr>
        <w:t>q,</w:t>
      </w:r>
      <w:r>
        <w:rPr>
          <w:i/>
          <w:vertAlign w:val="subscript"/>
          <w:lang w:val="en-US"/>
        </w:rPr>
        <w:t xml:space="preserve"> </w:t>
      </w:r>
      <w:r w:rsidRPr="000C5E12">
        <w:rPr>
          <w:i/>
          <w:vertAlign w:val="subscript"/>
        </w:rPr>
        <w:t>r,</w:t>
      </w:r>
      <w:r>
        <w:rPr>
          <w:i/>
          <w:vertAlign w:val="subscript"/>
          <w:lang w:val="en-US"/>
        </w:rPr>
        <w:t xml:space="preserve"> </w:t>
      </w:r>
      <w:r w:rsidRPr="000C5E12">
        <w:rPr>
          <w:i/>
          <w:vertAlign w:val="subscript"/>
        </w:rPr>
        <w:t>d</w:t>
      </w:r>
      <w:r w:rsidRPr="000C5E12">
        <w:t xml:space="preserve"> + RUCEXRQC</w:t>
      </w:r>
      <w:r>
        <w:rPr>
          <w:lang w:val="en-US"/>
        </w:rPr>
        <w:t xml:space="preserve"> </w:t>
      </w:r>
      <w:r w:rsidRPr="000C5E12">
        <w:rPr>
          <w:i/>
          <w:vertAlign w:val="subscript"/>
        </w:rPr>
        <w:t>q,</w:t>
      </w:r>
      <w:r>
        <w:rPr>
          <w:i/>
          <w:vertAlign w:val="subscript"/>
          <w:lang w:val="en-US"/>
        </w:rPr>
        <w:t xml:space="preserve"> </w:t>
      </w:r>
      <w:r w:rsidRPr="000C5E12">
        <w:rPr>
          <w:i/>
          <w:vertAlign w:val="subscript"/>
        </w:rPr>
        <w:t>r,</w:t>
      </w:r>
      <w:r>
        <w:rPr>
          <w:i/>
          <w:vertAlign w:val="subscript"/>
          <w:lang w:val="en-US"/>
        </w:rPr>
        <w:t xml:space="preserve"> </w:t>
      </w:r>
      <w:r w:rsidRPr="000C5E12">
        <w:rPr>
          <w:i/>
          <w:vertAlign w:val="subscript"/>
        </w:rPr>
        <w:t>d</w:t>
      </w:r>
      <w:r w:rsidRPr="000C5E12">
        <w:t xml:space="preserve"> – </w:t>
      </w:r>
      <w:r w:rsidRPr="000C5E12">
        <w:rPr>
          <w:iCs/>
        </w:rPr>
        <w:t xml:space="preserve"> RUCACREV</w:t>
      </w:r>
      <w:r>
        <w:rPr>
          <w:iCs/>
          <w:lang w:val="en-US"/>
        </w:rPr>
        <w:t xml:space="preserve"> </w:t>
      </w:r>
      <w:r w:rsidRPr="000C5E12">
        <w:rPr>
          <w:i/>
          <w:iCs/>
          <w:vertAlign w:val="subscript"/>
        </w:rPr>
        <w:t>q,</w:t>
      </w:r>
      <w:r>
        <w:rPr>
          <w:i/>
          <w:iCs/>
          <w:vertAlign w:val="subscript"/>
          <w:lang w:val="en-US"/>
        </w:rPr>
        <w:t xml:space="preserve"> </w:t>
      </w:r>
      <w:r w:rsidRPr="000C5E12">
        <w:rPr>
          <w:i/>
          <w:iCs/>
          <w:vertAlign w:val="subscript"/>
        </w:rPr>
        <w:t>r,</w:t>
      </w:r>
      <w:r>
        <w:rPr>
          <w:i/>
          <w:iCs/>
          <w:vertAlign w:val="subscript"/>
          <w:lang w:val="en-US"/>
        </w:rPr>
        <w:t xml:space="preserve"> </w:t>
      </w:r>
      <w:r w:rsidRPr="000C5E12">
        <w:rPr>
          <w:i/>
          <w:iCs/>
          <w:vertAlign w:val="subscript"/>
        </w:rPr>
        <w:t>d</w:t>
      </w:r>
      <w:r w:rsidRPr="000C5E12">
        <w:t xml:space="preserve"> – RUCG</w:t>
      </w:r>
      <w:r>
        <w:rPr>
          <w:lang w:val="en-US"/>
        </w:rPr>
        <w:t xml:space="preserve"> </w:t>
      </w:r>
      <w:r w:rsidRPr="000C5E12">
        <w:rPr>
          <w:i/>
          <w:vertAlign w:val="subscript"/>
        </w:rPr>
        <w:t>q,</w:t>
      </w:r>
      <w:r>
        <w:rPr>
          <w:i/>
          <w:vertAlign w:val="subscript"/>
          <w:lang w:val="en-US"/>
        </w:rPr>
        <w:t xml:space="preserve"> </w:t>
      </w:r>
      <w:r w:rsidRPr="000C5E12">
        <w:rPr>
          <w:i/>
          <w:vertAlign w:val="subscript"/>
        </w:rPr>
        <w:t>r,</w:t>
      </w:r>
      <w:r>
        <w:rPr>
          <w:i/>
          <w:vertAlign w:val="subscript"/>
          <w:lang w:val="en-US"/>
        </w:rPr>
        <w:t xml:space="preserve"> </w:t>
      </w:r>
      <w:r w:rsidRPr="000C5E12">
        <w:rPr>
          <w:i/>
          <w:vertAlign w:val="subscript"/>
        </w:rPr>
        <w:t>d</w:t>
      </w:r>
      <w:r w:rsidRPr="000C5E12">
        <w:t>) * RUCCBFC</w:t>
      </w:r>
      <w:r>
        <w:rPr>
          <w:lang w:val="en-US"/>
        </w:rPr>
        <w:t xml:space="preserve"> </w:t>
      </w:r>
      <w:r w:rsidRPr="000C5E12">
        <w:rPr>
          <w:i/>
          <w:vertAlign w:val="subscript"/>
        </w:rPr>
        <w:t>q,</w:t>
      </w:r>
      <w:r>
        <w:rPr>
          <w:i/>
          <w:vertAlign w:val="subscript"/>
          <w:lang w:val="en-US"/>
        </w:rPr>
        <w:t xml:space="preserve"> </w:t>
      </w:r>
      <w:r w:rsidRPr="000C5E12">
        <w:rPr>
          <w:i/>
          <w:vertAlign w:val="subscript"/>
        </w:rPr>
        <w:t>r,</w:t>
      </w:r>
      <w:r>
        <w:rPr>
          <w:i/>
          <w:vertAlign w:val="subscript"/>
          <w:lang w:val="en-US"/>
        </w:rPr>
        <w:t xml:space="preserve"> </w:t>
      </w:r>
      <w:r w:rsidRPr="000C5E12">
        <w:rPr>
          <w:i/>
          <w:vertAlign w:val="subscript"/>
        </w:rPr>
        <w:t>d</w:t>
      </w:r>
      <w:r w:rsidRPr="000C5E12">
        <w:t>] / RUCHR</w:t>
      </w:r>
      <w:r>
        <w:rPr>
          <w:lang w:val="en-US"/>
        </w:rPr>
        <w:t xml:space="preserve"> </w:t>
      </w:r>
      <w:r w:rsidRPr="000C5E12">
        <w:rPr>
          <w:i/>
          <w:vertAlign w:val="subscript"/>
        </w:rPr>
        <w:t>q,</w:t>
      </w:r>
      <w:r>
        <w:rPr>
          <w:i/>
          <w:vertAlign w:val="subscript"/>
          <w:lang w:val="en-US"/>
        </w:rPr>
        <w:t xml:space="preserve"> </w:t>
      </w:r>
      <w:r w:rsidRPr="000C5E12">
        <w:rPr>
          <w:i/>
          <w:vertAlign w:val="subscript"/>
        </w:rPr>
        <w:t>r,</w:t>
      </w:r>
      <w:r>
        <w:rPr>
          <w:i/>
          <w:vertAlign w:val="subscript"/>
          <w:lang w:val="en-US"/>
        </w:rPr>
        <w:t xml:space="preserve"> </w:t>
      </w:r>
      <w:r w:rsidRPr="000C5E12">
        <w:rPr>
          <w:i/>
          <w:vertAlign w:val="subscript"/>
        </w:rPr>
        <w:t>d</w:t>
      </w:r>
    </w:p>
    <w:p w14:paraId="0DD6A5AA" w14:textId="77777777" w:rsidR="001D6962" w:rsidRPr="000C5E12" w:rsidRDefault="001D6962" w:rsidP="001D6962">
      <w:pPr>
        <w:pStyle w:val="BodyText"/>
        <w:ind w:left="720"/>
      </w:pPr>
      <w:proofErr w:type="gramStart"/>
      <w:r w:rsidRPr="000C5E12">
        <w:t>Where</w:t>
      </w:r>
      <w:proofErr w:type="gramEnd"/>
      <w:r w:rsidRPr="000C5E12">
        <w:t xml:space="preserve">, </w:t>
      </w:r>
    </w:p>
    <w:p w14:paraId="7E9E1D08" w14:textId="77777777" w:rsidR="001D6962" w:rsidRPr="000C5E12" w:rsidRDefault="001D6962" w:rsidP="001D6962">
      <w:pPr>
        <w:pStyle w:val="BodyText"/>
        <w:ind w:left="720"/>
        <w:rPr>
          <w:rStyle w:val="CharChar2"/>
          <w:b w:val="0"/>
          <w:i w:val="0"/>
        </w:rPr>
      </w:pPr>
      <w:r w:rsidRPr="000C5E12">
        <w:t>The RUCAC</w:t>
      </w:r>
      <w:r w:rsidRPr="000C5E12">
        <w:rPr>
          <w:rStyle w:val="BodyTextChar"/>
        </w:rPr>
        <w:t xml:space="preserve"> revenue</w:t>
      </w:r>
      <w:r w:rsidRPr="000C5E12">
        <w:t xml:space="preserve"> is calculated for a Combined Cycle Train as follows</w:t>
      </w:r>
      <w:r w:rsidRPr="000C5E12">
        <w:rPr>
          <w:rStyle w:val="CharChar2"/>
          <w:b w:val="0"/>
          <w:i w:val="0"/>
        </w:rPr>
        <w:t>:</w:t>
      </w:r>
    </w:p>
    <w:p w14:paraId="12CCB78B" w14:textId="77777777" w:rsidR="001D6962" w:rsidRPr="000C5E12" w:rsidRDefault="001D6962" w:rsidP="00C078A2">
      <w:pPr>
        <w:pStyle w:val="FormulaBold"/>
      </w:pPr>
      <w:r w:rsidRPr="000C5E12">
        <w:t>RUCACREV</w:t>
      </w:r>
      <w:r>
        <w:rPr>
          <w:lang w:val="en-US"/>
        </w:rPr>
        <w:t xml:space="preserve"> </w:t>
      </w:r>
      <w:r w:rsidRPr="000C5E12">
        <w:rPr>
          <w:i/>
          <w:vertAlign w:val="subscript"/>
        </w:rPr>
        <w:t>q,</w:t>
      </w:r>
      <w:r>
        <w:rPr>
          <w:i/>
          <w:vertAlign w:val="subscript"/>
          <w:lang w:val="en-US"/>
        </w:rPr>
        <w:t xml:space="preserve"> </w:t>
      </w:r>
      <w:r w:rsidRPr="000C5E12">
        <w:rPr>
          <w:i/>
          <w:vertAlign w:val="subscript"/>
        </w:rPr>
        <w:t>r,</w:t>
      </w:r>
      <w:r>
        <w:rPr>
          <w:i/>
          <w:vertAlign w:val="subscript"/>
          <w:lang w:val="en-US"/>
        </w:rPr>
        <w:t xml:space="preserve"> </w:t>
      </w:r>
      <w:r w:rsidRPr="000C5E12">
        <w:rPr>
          <w:i/>
          <w:vertAlign w:val="subscript"/>
        </w:rPr>
        <w:t>d</w:t>
      </w:r>
      <w:r w:rsidRPr="000C5E12">
        <w:tab/>
        <w:t>=</w:t>
      </w:r>
      <w:r>
        <w:rPr>
          <w:lang w:val="en-US"/>
        </w:rPr>
        <w:t xml:space="preserve">  Max{0,</w:t>
      </w:r>
      <w:r w:rsidRPr="000C5E12">
        <w:rPr>
          <w:position w:val="-20"/>
        </w:rPr>
        <w:object w:dxaOrig="220" w:dyaOrig="440" w14:anchorId="4B4C3EC1">
          <v:shape id="_x0000_i1034" type="#_x0000_t75" style="width:9.6pt;height:22.8pt" o:ole="">
            <v:imagedata r:id="rId25" o:title=""/>
          </v:shape>
          <o:OLEObject Type="Embed" ProgID="Equation.3" ShapeID="_x0000_i1034" DrawAspect="Content" ObjectID="_1775281564" r:id="rId33"/>
        </w:object>
      </w:r>
      <w:r w:rsidRPr="000C5E12">
        <w:t xml:space="preserve"> RUCMEREV96</w:t>
      </w:r>
      <w:r>
        <w:rPr>
          <w:lang w:val="en-US"/>
        </w:rPr>
        <w:t xml:space="preserve"> </w:t>
      </w:r>
      <w:r w:rsidRPr="000C5E12">
        <w:rPr>
          <w:i/>
          <w:vertAlign w:val="subscript"/>
        </w:rPr>
        <w:t>q,</w:t>
      </w:r>
      <w:r>
        <w:rPr>
          <w:i/>
          <w:vertAlign w:val="subscript"/>
          <w:lang w:val="en-US"/>
        </w:rPr>
        <w:t xml:space="preserve"> </w:t>
      </w:r>
      <w:r w:rsidRPr="000C5E12">
        <w:rPr>
          <w:i/>
          <w:vertAlign w:val="subscript"/>
        </w:rPr>
        <w:t>r,</w:t>
      </w:r>
      <w:r>
        <w:rPr>
          <w:i/>
          <w:vertAlign w:val="subscript"/>
          <w:lang w:val="en-US"/>
        </w:rPr>
        <w:t xml:space="preserve"> </w:t>
      </w:r>
      <w:r w:rsidRPr="000C5E12">
        <w:rPr>
          <w:i/>
          <w:vertAlign w:val="subscript"/>
        </w:rPr>
        <w:t>i</w:t>
      </w:r>
      <w:r w:rsidRPr="000C5E12">
        <w:t xml:space="preserve"> + Max(0, </w:t>
      </w:r>
      <w:r w:rsidRPr="000C5E12">
        <w:rPr>
          <w:position w:val="-20"/>
        </w:rPr>
        <w:object w:dxaOrig="220" w:dyaOrig="440" w14:anchorId="47106222">
          <v:shape id="_x0000_i1035" type="#_x0000_t75" style="width:9.6pt;height:22.8pt" o:ole="">
            <v:imagedata r:id="rId25" o:title=""/>
          </v:shape>
          <o:OLEObject Type="Embed" ProgID="Equation.3" ShapeID="_x0000_i1035" DrawAspect="Content" ObjectID="_1775281565" r:id="rId34"/>
        </w:object>
      </w:r>
      <w:r w:rsidRPr="000C5E12">
        <w:t>RUCEXRR96</w:t>
      </w:r>
      <w:r>
        <w:rPr>
          <w:lang w:val="en-US"/>
        </w:rPr>
        <w:t xml:space="preserve"> </w:t>
      </w:r>
      <w:r w:rsidRPr="000C5E12">
        <w:rPr>
          <w:i/>
          <w:vertAlign w:val="subscript"/>
        </w:rPr>
        <w:t>q,</w:t>
      </w:r>
      <w:r>
        <w:rPr>
          <w:i/>
          <w:vertAlign w:val="subscript"/>
          <w:lang w:val="en-US"/>
        </w:rPr>
        <w:t xml:space="preserve"> </w:t>
      </w:r>
      <w:r w:rsidRPr="000C5E12">
        <w:rPr>
          <w:i/>
          <w:vertAlign w:val="subscript"/>
        </w:rPr>
        <w:t>r,</w:t>
      </w:r>
      <w:r>
        <w:rPr>
          <w:i/>
          <w:vertAlign w:val="subscript"/>
          <w:lang w:val="en-US"/>
        </w:rPr>
        <w:t xml:space="preserve"> </w:t>
      </w:r>
      <w:r w:rsidRPr="000C5E12">
        <w:rPr>
          <w:i/>
          <w:vertAlign w:val="subscript"/>
        </w:rPr>
        <w:t>i</w:t>
      </w:r>
      <w:r w:rsidRPr="000C5E12">
        <w:t>)</w:t>
      </w:r>
      <w:r>
        <w:rPr>
          <w:lang w:val="en-US"/>
        </w:rPr>
        <w:t>}</w:t>
      </w:r>
      <w:r w:rsidRPr="000C5E12">
        <w:t xml:space="preserve">  </w:t>
      </w:r>
    </w:p>
    <w:p w14:paraId="52A9F7E2" w14:textId="77777777" w:rsidR="001D6962" w:rsidRDefault="001D6962" w:rsidP="001D6962">
      <w:pPr>
        <w:pStyle w:val="BodyText"/>
        <w:spacing w:after="0"/>
      </w:pPr>
      <w:r>
        <w:t>The above variables are defined as follows:</w:t>
      </w:r>
    </w:p>
    <w:tbl>
      <w:tblPr>
        <w:tblW w:w="935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95"/>
        <w:gridCol w:w="784"/>
        <w:gridCol w:w="6777"/>
      </w:tblGrid>
      <w:tr w:rsidR="001D6962" w14:paraId="62F6685F" w14:textId="77777777" w:rsidTr="00AE5718">
        <w:trPr>
          <w:cantSplit/>
          <w:tblHeader/>
        </w:trPr>
        <w:tc>
          <w:tcPr>
            <w:tcW w:w="959" w:type="pct"/>
          </w:tcPr>
          <w:p w14:paraId="5D976F45" w14:textId="77777777" w:rsidR="001D6962" w:rsidRDefault="001D6962" w:rsidP="00FA3373">
            <w:pPr>
              <w:pStyle w:val="TableHead"/>
            </w:pPr>
            <w:r>
              <w:t>Variable</w:t>
            </w:r>
          </w:p>
        </w:tc>
        <w:tc>
          <w:tcPr>
            <w:tcW w:w="419" w:type="pct"/>
          </w:tcPr>
          <w:p w14:paraId="15947F90" w14:textId="77777777" w:rsidR="001D6962" w:rsidRDefault="001D6962" w:rsidP="00FA3373">
            <w:pPr>
              <w:pStyle w:val="TableHead"/>
              <w:jc w:val="center"/>
            </w:pPr>
            <w:r>
              <w:t>Unit</w:t>
            </w:r>
          </w:p>
        </w:tc>
        <w:tc>
          <w:tcPr>
            <w:tcW w:w="3622" w:type="pct"/>
          </w:tcPr>
          <w:p w14:paraId="7CEE7473" w14:textId="77777777" w:rsidR="001D6962" w:rsidRDefault="001D6962" w:rsidP="00FA3373">
            <w:pPr>
              <w:pStyle w:val="TableHead"/>
            </w:pPr>
            <w:r>
              <w:t>Definition</w:t>
            </w:r>
          </w:p>
        </w:tc>
      </w:tr>
      <w:tr w:rsidR="001D6962" w14:paraId="7AA13125" w14:textId="77777777" w:rsidTr="00AE5718">
        <w:trPr>
          <w:cantSplit/>
        </w:trPr>
        <w:tc>
          <w:tcPr>
            <w:tcW w:w="959" w:type="pct"/>
          </w:tcPr>
          <w:p w14:paraId="220EE373" w14:textId="77777777" w:rsidR="001D6962" w:rsidRDefault="001D6962" w:rsidP="00FA3373">
            <w:pPr>
              <w:pStyle w:val="TableBody"/>
            </w:pPr>
            <w:r>
              <w:t xml:space="preserve">RUCCBAMT </w:t>
            </w:r>
            <w:r w:rsidRPr="00B34C5D">
              <w:rPr>
                <w:i/>
                <w:vertAlign w:val="subscript"/>
              </w:rPr>
              <w:t>q,</w:t>
            </w:r>
            <w:r>
              <w:rPr>
                <w:i/>
                <w:vertAlign w:val="subscript"/>
              </w:rPr>
              <w:t xml:space="preserve"> </w:t>
            </w:r>
            <w:r w:rsidRPr="00B34C5D">
              <w:rPr>
                <w:i/>
                <w:vertAlign w:val="subscript"/>
              </w:rPr>
              <w:t>r,</w:t>
            </w:r>
            <w:r>
              <w:rPr>
                <w:i/>
                <w:vertAlign w:val="subscript"/>
              </w:rPr>
              <w:t xml:space="preserve"> </w:t>
            </w:r>
            <w:r w:rsidRPr="00B34C5D">
              <w:rPr>
                <w:i/>
                <w:vertAlign w:val="subscript"/>
              </w:rPr>
              <w:t>h</w:t>
            </w:r>
          </w:p>
        </w:tc>
        <w:tc>
          <w:tcPr>
            <w:tcW w:w="419" w:type="pct"/>
          </w:tcPr>
          <w:p w14:paraId="30386B93" w14:textId="77777777" w:rsidR="001D6962" w:rsidRDefault="001D6962" w:rsidP="00FA3373">
            <w:pPr>
              <w:pStyle w:val="TableBody"/>
              <w:jc w:val="center"/>
            </w:pPr>
            <w:r>
              <w:t>$</w:t>
            </w:r>
          </w:p>
        </w:tc>
        <w:tc>
          <w:tcPr>
            <w:tcW w:w="3622" w:type="pct"/>
          </w:tcPr>
          <w:p w14:paraId="7F83B419" w14:textId="77777777" w:rsidR="001D6962" w:rsidRDefault="001D6962" w:rsidP="00FA3373">
            <w:pPr>
              <w:pStyle w:val="TableBody"/>
            </w:pPr>
            <w:r w:rsidRPr="00B34C5D">
              <w:rPr>
                <w:i/>
              </w:rPr>
              <w:t xml:space="preserve">RUC </w:t>
            </w:r>
            <w:proofErr w:type="spellStart"/>
            <w:r w:rsidRPr="00B34C5D">
              <w:rPr>
                <w:i/>
              </w:rPr>
              <w:t>Clawback</w:t>
            </w:r>
            <w:proofErr w:type="spellEnd"/>
            <w:r w:rsidRPr="00B34C5D">
              <w:rPr>
                <w:i/>
              </w:rPr>
              <w:t xml:space="preserve"> Charge</w:t>
            </w:r>
            <w:r>
              <w:t xml:space="preserve">––The RUC </w:t>
            </w:r>
            <w:proofErr w:type="spellStart"/>
            <w:r>
              <w:t>Clawback</w:t>
            </w:r>
            <w:proofErr w:type="spellEnd"/>
            <w:r>
              <w:t xml:space="preserve"> Charge to a QSE for Resource </w:t>
            </w:r>
            <w:r>
              <w:rPr>
                <w:i/>
              </w:rPr>
              <w:t>r</w:t>
            </w:r>
            <w:r>
              <w:t xml:space="preserve"> represented by QSE </w:t>
            </w:r>
            <w:r>
              <w:rPr>
                <w:i/>
              </w:rPr>
              <w:t xml:space="preserve">q </w:t>
            </w:r>
            <w:r>
              <w:t xml:space="preserve">as described in this Section, for each RUC-Committed Hour </w:t>
            </w:r>
            <w:r w:rsidRPr="008E34C0">
              <w:rPr>
                <w:i/>
              </w:rPr>
              <w:t>h</w:t>
            </w:r>
            <w:r>
              <w:t xml:space="preserve"> of the Operating Day for that Resource.  When one or more Combined Cycle Generation Resources are committed by RUC, a charge is made to the Combined Cycle Train for all RUC-committed Combined Cycle Generation Resources.</w:t>
            </w:r>
          </w:p>
        </w:tc>
      </w:tr>
      <w:tr w:rsidR="001D6962" w14:paraId="31368974" w14:textId="77777777" w:rsidTr="00AE5718">
        <w:trPr>
          <w:cantSplit/>
        </w:trPr>
        <w:tc>
          <w:tcPr>
            <w:tcW w:w="959" w:type="pct"/>
          </w:tcPr>
          <w:p w14:paraId="14E74145" w14:textId="77777777" w:rsidR="001D6962" w:rsidRDefault="001D6962" w:rsidP="00FA3373">
            <w:pPr>
              <w:pStyle w:val="TableBody"/>
            </w:pPr>
            <w:r>
              <w:t xml:space="preserve">RUCG </w:t>
            </w:r>
            <w:r w:rsidRPr="00B34C5D">
              <w:rPr>
                <w:i/>
                <w:vertAlign w:val="subscript"/>
              </w:rPr>
              <w:t>q,</w:t>
            </w:r>
            <w:r>
              <w:rPr>
                <w:i/>
                <w:vertAlign w:val="subscript"/>
              </w:rPr>
              <w:t xml:space="preserve"> </w:t>
            </w:r>
            <w:r w:rsidRPr="00B34C5D">
              <w:rPr>
                <w:i/>
                <w:vertAlign w:val="subscript"/>
              </w:rPr>
              <w:t>r,</w:t>
            </w:r>
            <w:r>
              <w:rPr>
                <w:i/>
                <w:vertAlign w:val="subscript"/>
              </w:rPr>
              <w:t xml:space="preserve"> </w:t>
            </w:r>
            <w:r w:rsidRPr="00B34C5D">
              <w:rPr>
                <w:i/>
                <w:vertAlign w:val="subscript"/>
              </w:rPr>
              <w:t>d</w:t>
            </w:r>
          </w:p>
        </w:tc>
        <w:tc>
          <w:tcPr>
            <w:tcW w:w="419" w:type="pct"/>
          </w:tcPr>
          <w:p w14:paraId="06BFAC0B" w14:textId="77777777" w:rsidR="001D6962" w:rsidRDefault="001D6962" w:rsidP="00FA3373">
            <w:pPr>
              <w:pStyle w:val="TableBody"/>
              <w:jc w:val="center"/>
            </w:pPr>
            <w:r>
              <w:t>$</w:t>
            </w:r>
          </w:p>
        </w:tc>
        <w:tc>
          <w:tcPr>
            <w:tcW w:w="3622" w:type="pct"/>
          </w:tcPr>
          <w:p w14:paraId="0237C96A" w14:textId="77777777" w:rsidR="001D6962" w:rsidRDefault="001D6962" w:rsidP="00FA3373">
            <w:pPr>
              <w:pStyle w:val="TableBody"/>
            </w:pPr>
            <w:r w:rsidRPr="00B34C5D">
              <w:rPr>
                <w:i/>
              </w:rPr>
              <w:t>RUC Guarantee</w:t>
            </w:r>
            <w:r>
              <w:t xml:space="preserve">—The sum of eligible Startup Costs and Minimum-Energy Costs for Resource </w:t>
            </w:r>
            <w:r>
              <w:rPr>
                <w:i/>
              </w:rPr>
              <w:t>r</w:t>
            </w:r>
            <w:r>
              <w:t xml:space="preserve"> represented by QSE </w:t>
            </w:r>
            <w:r>
              <w:rPr>
                <w:i/>
              </w:rPr>
              <w:t>q</w:t>
            </w:r>
            <w:r>
              <w:t xml:space="preserve"> during all RUC-Committed Hours, for the Operating Day</w:t>
            </w:r>
            <w:r w:rsidRPr="008E34C0">
              <w:rPr>
                <w:i/>
              </w:rPr>
              <w:t xml:space="preserve"> d</w:t>
            </w:r>
            <w:r>
              <w:t>.  See Section 5.7.1.1, RUC Guarantee.  When one or more Combined Cycle Generation Resources are committed by RUC, guaranteed costs are calculated for the Combined Cycle Train for all RUC-committed Combined Cycle Generation Resources.</w:t>
            </w:r>
          </w:p>
        </w:tc>
      </w:tr>
      <w:tr w:rsidR="001D6962" w14:paraId="73305A85" w14:textId="77777777" w:rsidTr="00AE5718">
        <w:trPr>
          <w:cantSplit/>
        </w:trPr>
        <w:tc>
          <w:tcPr>
            <w:tcW w:w="959" w:type="pct"/>
          </w:tcPr>
          <w:p w14:paraId="1443E57C" w14:textId="77777777" w:rsidR="001D6962" w:rsidRDefault="001D6962" w:rsidP="00FA3373">
            <w:pPr>
              <w:pStyle w:val="TableBody"/>
            </w:pPr>
            <w:r>
              <w:t xml:space="preserve">RUCMEREV </w:t>
            </w:r>
            <w:r w:rsidRPr="00B34C5D">
              <w:rPr>
                <w:i/>
                <w:vertAlign w:val="subscript"/>
              </w:rPr>
              <w:t>q,</w:t>
            </w:r>
            <w:r>
              <w:rPr>
                <w:i/>
                <w:vertAlign w:val="subscript"/>
              </w:rPr>
              <w:t xml:space="preserve"> </w:t>
            </w:r>
            <w:r w:rsidRPr="00B34C5D">
              <w:rPr>
                <w:i/>
                <w:vertAlign w:val="subscript"/>
              </w:rPr>
              <w:t>r,</w:t>
            </w:r>
            <w:r>
              <w:rPr>
                <w:i/>
                <w:vertAlign w:val="subscript"/>
              </w:rPr>
              <w:t xml:space="preserve"> </w:t>
            </w:r>
            <w:r w:rsidRPr="00B34C5D">
              <w:rPr>
                <w:i/>
                <w:vertAlign w:val="subscript"/>
              </w:rPr>
              <w:t>d</w:t>
            </w:r>
          </w:p>
        </w:tc>
        <w:tc>
          <w:tcPr>
            <w:tcW w:w="419" w:type="pct"/>
          </w:tcPr>
          <w:p w14:paraId="0BC79553" w14:textId="77777777" w:rsidR="001D6962" w:rsidRDefault="001D6962" w:rsidP="00FA3373">
            <w:pPr>
              <w:pStyle w:val="TableBody"/>
              <w:jc w:val="center"/>
            </w:pPr>
            <w:r>
              <w:t>$</w:t>
            </w:r>
          </w:p>
        </w:tc>
        <w:tc>
          <w:tcPr>
            <w:tcW w:w="3622" w:type="pct"/>
          </w:tcPr>
          <w:p w14:paraId="02B84B60" w14:textId="77777777" w:rsidR="001D6962" w:rsidRDefault="001D6962" w:rsidP="00FA3373">
            <w:pPr>
              <w:pStyle w:val="TableBody"/>
            </w:pPr>
            <w:r w:rsidRPr="00B34C5D">
              <w:rPr>
                <w:i/>
              </w:rPr>
              <w:t>RUC Minimum-Energy Revenue</w:t>
            </w:r>
            <w:r>
              <w:t xml:space="preserve">—The sum of the energy revenues for generation of Resource </w:t>
            </w:r>
            <w:r>
              <w:rPr>
                <w:i/>
              </w:rPr>
              <w:t xml:space="preserve">r </w:t>
            </w:r>
            <w:r>
              <w:t xml:space="preserve">represented by QSE </w:t>
            </w:r>
            <w:r>
              <w:rPr>
                <w:i/>
              </w:rPr>
              <w:t>q</w:t>
            </w:r>
            <w:r>
              <w:t xml:space="preserve"> up to LSL during all RUC-Committed Hours, for the Operating Day</w:t>
            </w:r>
            <w:r w:rsidRPr="008E34C0">
              <w:rPr>
                <w:i/>
              </w:rPr>
              <w:t xml:space="preserve"> d</w:t>
            </w:r>
            <w:r>
              <w:t>.  See Section 5.7.1.2.  When one or more Combined Cycle Generation Resources are committed by RUC, RUC Minimum-Energy Revenue is calculated for the Combined Cycle Train for all RUC-committed Combined Cycle Generation Resources.</w:t>
            </w:r>
          </w:p>
        </w:tc>
      </w:tr>
      <w:tr w:rsidR="001D6962" w14:paraId="6D2C3C11" w14:textId="77777777" w:rsidTr="00AE5718">
        <w:trPr>
          <w:cantSplit/>
        </w:trPr>
        <w:tc>
          <w:tcPr>
            <w:tcW w:w="959" w:type="pct"/>
          </w:tcPr>
          <w:p w14:paraId="210D8673" w14:textId="77777777" w:rsidR="001D6962" w:rsidRDefault="001D6962" w:rsidP="00FA3373">
            <w:pPr>
              <w:pStyle w:val="TableBody"/>
            </w:pPr>
            <w:r>
              <w:t xml:space="preserve">RUCEXRR </w:t>
            </w:r>
            <w:r w:rsidRPr="00B34C5D">
              <w:rPr>
                <w:i/>
                <w:vertAlign w:val="subscript"/>
              </w:rPr>
              <w:t>q,</w:t>
            </w:r>
            <w:r>
              <w:rPr>
                <w:i/>
                <w:vertAlign w:val="subscript"/>
              </w:rPr>
              <w:t xml:space="preserve"> </w:t>
            </w:r>
            <w:r w:rsidRPr="00B34C5D">
              <w:rPr>
                <w:i/>
                <w:vertAlign w:val="subscript"/>
              </w:rPr>
              <w:t>r,</w:t>
            </w:r>
            <w:r>
              <w:rPr>
                <w:i/>
                <w:vertAlign w:val="subscript"/>
              </w:rPr>
              <w:t xml:space="preserve"> </w:t>
            </w:r>
            <w:r w:rsidRPr="00B34C5D">
              <w:rPr>
                <w:i/>
                <w:vertAlign w:val="subscript"/>
              </w:rPr>
              <w:t>d</w:t>
            </w:r>
          </w:p>
        </w:tc>
        <w:tc>
          <w:tcPr>
            <w:tcW w:w="419" w:type="pct"/>
          </w:tcPr>
          <w:p w14:paraId="1EEBA400" w14:textId="77777777" w:rsidR="001D6962" w:rsidRDefault="001D6962" w:rsidP="00FA3373">
            <w:pPr>
              <w:pStyle w:val="TableBody"/>
              <w:jc w:val="center"/>
            </w:pPr>
            <w:r>
              <w:t>$</w:t>
            </w:r>
          </w:p>
        </w:tc>
        <w:tc>
          <w:tcPr>
            <w:tcW w:w="3622" w:type="pct"/>
          </w:tcPr>
          <w:p w14:paraId="50FF4CA5" w14:textId="77777777" w:rsidR="001D6962" w:rsidRDefault="001D6962" w:rsidP="00FA3373">
            <w:pPr>
              <w:pStyle w:val="TableBody"/>
            </w:pPr>
            <w:r w:rsidRPr="00B34C5D">
              <w:rPr>
                <w:i/>
              </w:rPr>
              <w:t>Revenue Less Cost Above LSL During RUC-Committed Hours</w:t>
            </w:r>
            <w:r>
              <w:t xml:space="preserve">—The sum of the total revenue for Resource </w:t>
            </w:r>
            <w:r>
              <w:rPr>
                <w:i/>
              </w:rPr>
              <w:t xml:space="preserve">r </w:t>
            </w:r>
            <w:r>
              <w:t xml:space="preserve">represented by QSE </w:t>
            </w:r>
            <w:r>
              <w:rPr>
                <w:i/>
              </w:rPr>
              <w:t>q</w:t>
            </w:r>
            <w:r>
              <w:t xml:space="preserve"> above the LSL less the cost during all RUC-Committed Hours, for the Operating Day</w:t>
            </w:r>
            <w:r w:rsidRPr="008E34C0">
              <w:rPr>
                <w:i/>
              </w:rPr>
              <w:t xml:space="preserve"> d</w:t>
            </w:r>
            <w:r>
              <w:t>.  See Section 5.7.1.3.  When one or more Combined Cycle Generation Resources are committed by RUC, Revenue Less Cost Above LSL During RUC-Committed Hours is calculated for the Combined Cycle Train for all RUC-committed Combined Cycle Generation Resources.</w:t>
            </w:r>
          </w:p>
        </w:tc>
      </w:tr>
      <w:tr w:rsidR="001D6962" w14:paraId="41379547" w14:textId="77777777" w:rsidTr="00AE5718">
        <w:trPr>
          <w:cantSplit/>
        </w:trPr>
        <w:tc>
          <w:tcPr>
            <w:tcW w:w="959" w:type="pct"/>
          </w:tcPr>
          <w:p w14:paraId="5509481E" w14:textId="77777777" w:rsidR="001D6962" w:rsidRDefault="001D6962" w:rsidP="00FA3373">
            <w:pPr>
              <w:pStyle w:val="TableBody"/>
            </w:pPr>
            <w:r>
              <w:t xml:space="preserve">RUCEXRQC </w:t>
            </w:r>
            <w:r w:rsidRPr="00B34C5D">
              <w:rPr>
                <w:i/>
                <w:vertAlign w:val="subscript"/>
              </w:rPr>
              <w:t>q,</w:t>
            </w:r>
            <w:r>
              <w:rPr>
                <w:i/>
                <w:vertAlign w:val="subscript"/>
              </w:rPr>
              <w:t xml:space="preserve"> </w:t>
            </w:r>
            <w:r w:rsidRPr="00B34C5D">
              <w:rPr>
                <w:i/>
                <w:vertAlign w:val="subscript"/>
              </w:rPr>
              <w:t>r,</w:t>
            </w:r>
            <w:r>
              <w:rPr>
                <w:i/>
                <w:vertAlign w:val="subscript"/>
              </w:rPr>
              <w:t xml:space="preserve"> </w:t>
            </w:r>
            <w:r w:rsidRPr="00B34C5D">
              <w:rPr>
                <w:i/>
                <w:vertAlign w:val="subscript"/>
              </w:rPr>
              <w:t>d</w:t>
            </w:r>
          </w:p>
        </w:tc>
        <w:tc>
          <w:tcPr>
            <w:tcW w:w="419" w:type="pct"/>
          </w:tcPr>
          <w:p w14:paraId="60208F1F" w14:textId="77777777" w:rsidR="001D6962" w:rsidRDefault="001D6962" w:rsidP="00FA3373">
            <w:pPr>
              <w:pStyle w:val="TableBody"/>
              <w:jc w:val="center"/>
            </w:pPr>
            <w:r>
              <w:t>$</w:t>
            </w:r>
          </w:p>
        </w:tc>
        <w:tc>
          <w:tcPr>
            <w:tcW w:w="3622" w:type="pct"/>
          </w:tcPr>
          <w:p w14:paraId="5C1F8B80" w14:textId="77777777" w:rsidR="001D6962" w:rsidRDefault="001D6962" w:rsidP="00FA3373">
            <w:pPr>
              <w:pStyle w:val="TableBody"/>
            </w:pPr>
            <w:r w:rsidRPr="00B34C5D">
              <w:rPr>
                <w:i/>
              </w:rPr>
              <w:t>Revenue Less Cost from QSE-</w:t>
            </w:r>
            <w:proofErr w:type="spellStart"/>
            <w:r w:rsidRPr="00B34C5D">
              <w:rPr>
                <w:i/>
              </w:rPr>
              <w:t>Clawback</w:t>
            </w:r>
            <w:proofErr w:type="spellEnd"/>
            <w:r w:rsidRPr="00B34C5D">
              <w:rPr>
                <w:i/>
              </w:rPr>
              <w:t xml:space="preserve"> Intervals</w:t>
            </w:r>
            <w:r>
              <w:t xml:space="preserve">—The sum of the total revenue for Resource </w:t>
            </w:r>
            <w:r w:rsidRPr="008F10B8">
              <w:rPr>
                <w:i/>
              </w:rPr>
              <w:t>r</w:t>
            </w:r>
            <w:r>
              <w:t xml:space="preserve"> represented by QSE </w:t>
            </w:r>
            <w:r>
              <w:rPr>
                <w:i/>
              </w:rPr>
              <w:t>q</w:t>
            </w:r>
            <w:r>
              <w:t xml:space="preserve"> less the cost during all QSE-</w:t>
            </w:r>
            <w:proofErr w:type="spellStart"/>
            <w:r>
              <w:t>Clawback</w:t>
            </w:r>
            <w:proofErr w:type="spellEnd"/>
            <w:r>
              <w:t xml:space="preserve"> Intervals for the Operating Day</w:t>
            </w:r>
            <w:r w:rsidRPr="008E34C0">
              <w:rPr>
                <w:i/>
              </w:rPr>
              <w:t xml:space="preserve"> d</w:t>
            </w:r>
            <w:r>
              <w:t>.  See Section 5.7.1.4.  When one or more Combined Cycle Generation Resources are committed by RUC, Revenue Less Cost from QSE-</w:t>
            </w:r>
            <w:proofErr w:type="spellStart"/>
            <w:r>
              <w:t>Clawback</w:t>
            </w:r>
            <w:proofErr w:type="spellEnd"/>
            <w:r>
              <w:t xml:space="preserve"> Intervals is calculated for the Combined Cycle Train for all Combined Cycle Generation Resources earning revenue in QSE </w:t>
            </w:r>
            <w:proofErr w:type="spellStart"/>
            <w:r>
              <w:t>Clawback</w:t>
            </w:r>
            <w:proofErr w:type="spellEnd"/>
            <w:r>
              <w:t xml:space="preserve"> Intervals.</w:t>
            </w:r>
          </w:p>
        </w:tc>
      </w:tr>
      <w:tr w:rsidR="001D6962" w14:paraId="455A485C" w14:textId="77777777" w:rsidTr="00AE5718">
        <w:trPr>
          <w:cantSplit/>
        </w:trPr>
        <w:tc>
          <w:tcPr>
            <w:tcW w:w="959" w:type="pct"/>
          </w:tcPr>
          <w:p w14:paraId="0C668E3A" w14:textId="77777777" w:rsidR="001D6962" w:rsidRDefault="001D6962" w:rsidP="00FA3373">
            <w:pPr>
              <w:pStyle w:val="TableBody"/>
            </w:pPr>
            <w:r w:rsidRPr="00C864CE">
              <w:lastRenderedPageBreak/>
              <w:t>RUCACREV</w:t>
            </w:r>
            <w:r>
              <w:t xml:space="preserve"> </w:t>
            </w:r>
            <w:r w:rsidRPr="00C864CE">
              <w:rPr>
                <w:i/>
                <w:vertAlign w:val="subscript"/>
              </w:rPr>
              <w:t>q,</w:t>
            </w:r>
            <w:r>
              <w:rPr>
                <w:i/>
                <w:vertAlign w:val="subscript"/>
              </w:rPr>
              <w:t xml:space="preserve"> </w:t>
            </w:r>
            <w:r w:rsidRPr="00C864CE">
              <w:rPr>
                <w:i/>
                <w:vertAlign w:val="subscript"/>
              </w:rPr>
              <w:t>r,</w:t>
            </w:r>
            <w:r>
              <w:rPr>
                <w:i/>
                <w:vertAlign w:val="subscript"/>
              </w:rPr>
              <w:t xml:space="preserve"> </w:t>
            </w:r>
            <w:r w:rsidRPr="00C864CE">
              <w:rPr>
                <w:i/>
                <w:vertAlign w:val="subscript"/>
              </w:rPr>
              <w:t>d</w:t>
            </w:r>
          </w:p>
        </w:tc>
        <w:tc>
          <w:tcPr>
            <w:tcW w:w="419" w:type="pct"/>
          </w:tcPr>
          <w:p w14:paraId="556AFAD8" w14:textId="77777777" w:rsidR="001D6962" w:rsidRDefault="001D6962" w:rsidP="00FA3373">
            <w:pPr>
              <w:pStyle w:val="TableBody"/>
              <w:spacing w:line="360" w:lineRule="auto"/>
              <w:jc w:val="center"/>
            </w:pPr>
            <w:r w:rsidRPr="00A41318">
              <w:t>$</w:t>
            </w:r>
          </w:p>
        </w:tc>
        <w:tc>
          <w:tcPr>
            <w:tcW w:w="3622" w:type="pct"/>
          </w:tcPr>
          <w:p w14:paraId="04261E05" w14:textId="39EAC87E" w:rsidR="001D6962" w:rsidRPr="00B34C5D" w:rsidRDefault="001D6962" w:rsidP="00B970B6">
            <w:pPr>
              <w:pStyle w:val="TableBody"/>
              <w:rPr>
                <w:i/>
              </w:rPr>
            </w:pPr>
            <w:r w:rsidRPr="00A41318">
              <w:rPr>
                <w:i/>
              </w:rPr>
              <w:t>Revenue from RUCAC Hours</w:t>
            </w:r>
            <w:r w:rsidRPr="00A41318">
              <w:t xml:space="preserve">—The net positive sum for the energy revenues for generation of Resource </w:t>
            </w:r>
            <w:r w:rsidRPr="00A41318">
              <w:rPr>
                <w:i/>
              </w:rPr>
              <w:t xml:space="preserve">r </w:t>
            </w:r>
            <w:r w:rsidRPr="00A41318">
              <w:t xml:space="preserve">represented by QSE </w:t>
            </w:r>
            <w:r w:rsidRPr="00A41318">
              <w:rPr>
                <w:i/>
              </w:rPr>
              <w:t>q</w:t>
            </w:r>
            <w:r w:rsidRPr="00A41318">
              <w:t xml:space="preserve"> up to LSL and the total revenue for Resource </w:t>
            </w:r>
            <w:r w:rsidRPr="00A41318">
              <w:rPr>
                <w:i/>
              </w:rPr>
              <w:t>r</w:t>
            </w:r>
            <w:r w:rsidRPr="000C5E12">
              <w:t xml:space="preserve"> operating </w:t>
            </w:r>
            <w:r w:rsidRPr="00C864CE">
              <w:t xml:space="preserve">above </w:t>
            </w:r>
            <w:r w:rsidRPr="000C5E12">
              <w:t>its</w:t>
            </w:r>
            <w:r w:rsidRPr="00C864CE">
              <w:t xml:space="preserve"> LSL less the cost during all RUCAC-Hours</w:t>
            </w:r>
            <w:r>
              <w:t xml:space="preserve">, for the Operating Day </w:t>
            </w:r>
            <w:r>
              <w:rPr>
                <w:i/>
              </w:rPr>
              <w:t>d</w:t>
            </w:r>
            <w:r w:rsidRPr="00A41318">
              <w:t xml:space="preserve">. </w:t>
            </w:r>
            <w:r w:rsidR="00B970B6">
              <w:t xml:space="preserve"> </w:t>
            </w:r>
            <w:r w:rsidRPr="00A41318">
              <w:t>When one or more Combined Cycle Generation Resources are RUCAC, revenue from RUCAC Hours is calculated for the Combined Cycle Train for all Combined Cycle Generation Resources that were RUC-committed during the RUCAC-Hours.</w:t>
            </w:r>
          </w:p>
        </w:tc>
      </w:tr>
      <w:tr w:rsidR="001D6962" w14:paraId="15E6408A" w14:textId="77777777" w:rsidTr="00AE5718">
        <w:trPr>
          <w:cantSplit/>
        </w:trPr>
        <w:tc>
          <w:tcPr>
            <w:tcW w:w="959" w:type="pct"/>
          </w:tcPr>
          <w:p w14:paraId="3396C126" w14:textId="77777777" w:rsidR="001D6962" w:rsidRDefault="001D6962" w:rsidP="00FA3373">
            <w:pPr>
              <w:pStyle w:val="TableBody"/>
            </w:pPr>
            <w:r>
              <w:t xml:space="preserve">RUCMEREV96 </w:t>
            </w:r>
            <w:r w:rsidRPr="00FA1CD9">
              <w:rPr>
                <w:i/>
                <w:vertAlign w:val="subscript"/>
              </w:rPr>
              <w:t>q,</w:t>
            </w:r>
            <w:r>
              <w:rPr>
                <w:i/>
                <w:vertAlign w:val="subscript"/>
              </w:rPr>
              <w:t xml:space="preserve"> </w:t>
            </w:r>
            <w:r w:rsidRPr="00FA1CD9">
              <w:rPr>
                <w:i/>
                <w:vertAlign w:val="subscript"/>
              </w:rPr>
              <w:t>r,</w:t>
            </w:r>
            <w:r>
              <w:rPr>
                <w:i/>
                <w:vertAlign w:val="subscript"/>
              </w:rPr>
              <w:t xml:space="preserve"> </w:t>
            </w:r>
            <w:r w:rsidRPr="00FA1CD9">
              <w:rPr>
                <w:i/>
                <w:vertAlign w:val="subscript"/>
              </w:rPr>
              <w:t>i</w:t>
            </w:r>
          </w:p>
        </w:tc>
        <w:tc>
          <w:tcPr>
            <w:tcW w:w="419" w:type="pct"/>
          </w:tcPr>
          <w:p w14:paraId="397C8C79" w14:textId="77777777" w:rsidR="001D6962" w:rsidRDefault="001D6962" w:rsidP="00FA3373">
            <w:pPr>
              <w:pStyle w:val="TableBody"/>
              <w:spacing w:line="360" w:lineRule="auto"/>
              <w:jc w:val="center"/>
            </w:pPr>
            <w:r>
              <w:t>$</w:t>
            </w:r>
          </w:p>
        </w:tc>
        <w:tc>
          <w:tcPr>
            <w:tcW w:w="3622" w:type="pct"/>
          </w:tcPr>
          <w:p w14:paraId="7A25C43D" w14:textId="77777777" w:rsidR="001D6962" w:rsidRPr="00B34C5D" w:rsidRDefault="001D6962" w:rsidP="00FA3373">
            <w:pPr>
              <w:pStyle w:val="TableBody"/>
              <w:rPr>
                <w:i/>
              </w:rPr>
            </w:pPr>
            <w:r w:rsidRPr="00B34C5D">
              <w:rPr>
                <w:i/>
              </w:rPr>
              <w:t>RUC Minimum-Energy Revenue</w:t>
            </w:r>
            <w:r>
              <w:rPr>
                <w:i/>
              </w:rPr>
              <w:t xml:space="preserve"> by Interval</w:t>
            </w:r>
            <w:r>
              <w:t xml:space="preserve">—The energy revenues for generation of Resource </w:t>
            </w:r>
            <w:r w:rsidRPr="00926CD1">
              <w:rPr>
                <w:i/>
              </w:rPr>
              <w:t>r</w:t>
            </w:r>
            <w:r w:rsidRPr="00853E7A">
              <w:t xml:space="preserve"> represented by QSE </w:t>
            </w:r>
            <w:r w:rsidRPr="00853E7A">
              <w:rPr>
                <w:i/>
              </w:rPr>
              <w:t>q</w:t>
            </w:r>
            <w:r>
              <w:t xml:space="preserve"> up to LSL during all RUC-Committed Hours, for the Settlement Interval </w:t>
            </w:r>
            <w:r w:rsidRPr="00606BF3">
              <w:rPr>
                <w:i/>
              </w:rPr>
              <w:t>i</w:t>
            </w:r>
            <w:r>
              <w:t xml:space="preserve">.  When one or more Combined Cycle Generation Resources are committed by RUC, RUC Minimum-Energy Revenue is calculated for the Combined Cycle Train for all RUC-committed Combined Cycle Generation Resources.  During </w:t>
            </w:r>
            <w:r w:rsidRPr="00606BF3">
              <w:t>RUCAC</w:t>
            </w:r>
            <w:r>
              <w:t xml:space="preserve">-Intervals for a Combined Cycle Train, the </w:t>
            </w:r>
            <w:r w:rsidRPr="001C37F6">
              <w:t xml:space="preserve">minimum energy </w:t>
            </w:r>
            <w:r>
              <w:t xml:space="preserve">revenue </w:t>
            </w:r>
            <w:r w:rsidRPr="001C37F6">
              <w:t xml:space="preserve">is calculated as the difference between the minimum energy </w:t>
            </w:r>
            <w:r>
              <w:t>revenue</w:t>
            </w:r>
            <w:r w:rsidRPr="001C37F6">
              <w:t xml:space="preserve"> </w:t>
            </w:r>
            <w:r>
              <w:t xml:space="preserve">of </w:t>
            </w:r>
            <w:r w:rsidRPr="001C37F6">
              <w:t>the RUC-committed configuration and the QSE-committed configuration.</w:t>
            </w:r>
          </w:p>
        </w:tc>
      </w:tr>
      <w:tr w:rsidR="001D6962" w14:paraId="6890A67C" w14:textId="77777777" w:rsidTr="00AE5718">
        <w:trPr>
          <w:cantSplit/>
        </w:trPr>
        <w:tc>
          <w:tcPr>
            <w:tcW w:w="959" w:type="pct"/>
          </w:tcPr>
          <w:p w14:paraId="3D46A2A8" w14:textId="77777777" w:rsidR="001D6962" w:rsidRDefault="001D6962" w:rsidP="00FA3373">
            <w:pPr>
              <w:pStyle w:val="TableBody"/>
            </w:pPr>
            <w:r w:rsidRPr="000C5E12">
              <w:t>RUCEXRR96</w:t>
            </w:r>
            <w:r>
              <w:t xml:space="preserve"> </w:t>
            </w:r>
            <w:r w:rsidRPr="000C5E12">
              <w:rPr>
                <w:i/>
                <w:vertAlign w:val="subscript"/>
              </w:rPr>
              <w:t>q,</w:t>
            </w:r>
            <w:r>
              <w:rPr>
                <w:i/>
                <w:vertAlign w:val="subscript"/>
              </w:rPr>
              <w:t xml:space="preserve"> </w:t>
            </w:r>
            <w:r w:rsidRPr="000C5E12">
              <w:rPr>
                <w:i/>
                <w:vertAlign w:val="subscript"/>
              </w:rPr>
              <w:t>r,</w:t>
            </w:r>
            <w:r>
              <w:rPr>
                <w:i/>
                <w:vertAlign w:val="subscript"/>
              </w:rPr>
              <w:t xml:space="preserve"> </w:t>
            </w:r>
            <w:r w:rsidRPr="000C5E12">
              <w:rPr>
                <w:i/>
                <w:vertAlign w:val="subscript"/>
              </w:rPr>
              <w:t>i</w:t>
            </w:r>
          </w:p>
        </w:tc>
        <w:tc>
          <w:tcPr>
            <w:tcW w:w="419" w:type="pct"/>
          </w:tcPr>
          <w:p w14:paraId="59DAED88" w14:textId="77777777" w:rsidR="001D6962" w:rsidRDefault="001D6962" w:rsidP="00FA3373">
            <w:pPr>
              <w:pStyle w:val="TableBody"/>
              <w:spacing w:line="360" w:lineRule="auto"/>
              <w:jc w:val="center"/>
            </w:pPr>
            <w:r w:rsidRPr="000C5E12">
              <w:t>$</w:t>
            </w:r>
          </w:p>
        </w:tc>
        <w:tc>
          <w:tcPr>
            <w:tcW w:w="3622" w:type="pct"/>
          </w:tcPr>
          <w:p w14:paraId="3ED766D4" w14:textId="77777777" w:rsidR="001D6962" w:rsidRPr="00B34C5D" w:rsidRDefault="001D6962" w:rsidP="00FA3373">
            <w:pPr>
              <w:pStyle w:val="TableBody"/>
              <w:rPr>
                <w:i/>
              </w:rPr>
            </w:pPr>
            <w:r w:rsidRPr="000C5E12">
              <w:rPr>
                <w:i/>
              </w:rPr>
              <w:t xml:space="preserve">Revenue Less Cost Above LSL During RUC-Committed Hours by </w:t>
            </w:r>
            <w:r>
              <w:rPr>
                <w:i/>
              </w:rPr>
              <w:t>I</w:t>
            </w:r>
            <w:r w:rsidRPr="000C5E12">
              <w:rPr>
                <w:i/>
              </w:rPr>
              <w:t>nterval</w:t>
            </w:r>
            <w:r w:rsidRPr="000C5E12">
              <w:t xml:space="preserve">—The total revenue for Resource </w:t>
            </w:r>
            <w:r w:rsidRPr="000C5E12">
              <w:rPr>
                <w:i/>
              </w:rPr>
              <w:t xml:space="preserve">r </w:t>
            </w:r>
            <w:r w:rsidRPr="000C5E12">
              <w:t xml:space="preserve">represented by QSE </w:t>
            </w:r>
            <w:r w:rsidRPr="000C5E12">
              <w:rPr>
                <w:i/>
              </w:rPr>
              <w:t>q</w:t>
            </w:r>
            <w:r w:rsidRPr="000C5E12">
              <w:t xml:space="preserve"> operating above its LSL less the cost during all RUC-Committed hours, for the Settlement Interval </w:t>
            </w:r>
            <w:r w:rsidRPr="000C5E12">
              <w:rPr>
                <w:i/>
              </w:rPr>
              <w:t>i</w:t>
            </w:r>
            <w:r w:rsidRPr="000C5E12">
              <w:t>.  When one or more Combined Cycle Generation Resources are committed by RUC, revenue less cost above LSL is calculated for the Combined Cycle Train for all RUC-committed Combined Cycle Generation Resources.</w:t>
            </w:r>
          </w:p>
        </w:tc>
      </w:tr>
      <w:tr w:rsidR="001D6962" w14:paraId="11760821" w14:textId="77777777" w:rsidTr="00AE5718">
        <w:trPr>
          <w:cantSplit/>
        </w:trPr>
        <w:tc>
          <w:tcPr>
            <w:tcW w:w="959" w:type="pct"/>
          </w:tcPr>
          <w:p w14:paraId="104FCA3A" w14:textId="77777777" w:rsidR="001D6962" w:rsidRDefault="001D6962" w:rsidP="00FA3373">
            <w:pPr>
              <w:pStyle w:val="TableBody"/>
            </w:pPr>
            <w:r>
              <w:t xml:space="preserve">RUCCBFR </w:t>
            </w:r>
            <w:r w:rsidRPr="00B34C5D">
              <w:rPr>
                <w:i/>
                <w:vertAlign w:val="subscript"/>
              </w:rPr>
              <w:t>q,</w:t>
            </w:r>
            <w:r>
              <w:rPr>
                <w:i/>
                <w:vertAlign w:val="subscript"/>
              </w:rPr>
              <w:t xml:space="preserve"> </w:t>
            </w:r>
            <w:r w:rsidRPr="00B34C5D">
              <w:rPr>
                <w:i/>
                <w:vertAlign w:val="subscript"/>
              </w:rPr>
              <w:t>r,</w:t>
            </w:r>
            <w:r>
              <w:rPr>
                <w:i/>
                <w:vertAlign w:val="subscript"/>
              </w:rPr>
              <w:t xml:space="preserve"> </w:t>
            </w:r>
            <w:r w:rsidRPr="00B34C5D">
              <w:rPr>
                <w:i/>
                <w:vertAlign w:val="subscript"/>
              </w:rPr>
              <w:t>d</w:t>
            </w:r>
          </w:p>
        </w:tc>
        <w:tc>
          <w:tcPr>
            <w:tcW w:w="419" w:type="pct"/>
          </w:tcPr>
          <w:p w14:paraId="600DCB1D" w14:textId="77777777" w:rsidR="001D6962" w:rsidRDefault="001D6962" w:rsidP="00FA3373">
            <w:pPr>
              <w:pStyle w:val="TableBody"/>
              <w:spacing w:line="360" w:lineRule="auto"/>
              <w:jc w:val="center"/>
            </w:pPr>
            <w:r>
              <w:t>none</w:t>
            </w:r>
          </w:p>
        </w:tc>
        <w:tc>
          <w:tcPr>
            <w:tcW w:w="3622" w:type="pct"/>
          </w:tcPr>
          <w:p w14:paraId="0C3612A5" w14:textId="57385C5A" w:rsidR="001D6962" w:rsidRPr="00B34C5D" w:rsidRDefault="001D6962" w:rsidP="00FA3373">
            <w:pPr>
              <w:pStyle w:val="TableBody"/>
              <w:rPr>
                <w:i/>
              </w:rPr>
            </w:pPr>
            <w:r w:rsidRPr="00B34C5D">
              <w:rPr>
                <w:i/>
              </w:rPr>
              <w:t xml:space="preserve">RUC </w:t>
            </w:r>
            <w:proofErr w:type="spellStart"/>
            <w:r w:rsidRPr="00B34C5D">
              <w:rPr>
                <w:i/>
              </w:rPr>
              <w:t>Claw</w:t>
            </w:r>
            <w:r>
              <w:rPr>
                <w:i/>
              </w:rPr>
              <w:t>b</w:t>
            </w:r>
            <w:r w:rsidRPr="00B34C5D">
              <w:rPr>
                <w:i/>
              </w:rPr>
              <w:t>ack</w:t>
            </w:r>
            <w:proofErr w:type="spellEnd"/>
            <w:r w:rsidRPr="00B34C5D">
              <w:rPr>
                <w:i/>
              </w:rPr>
              <w:t xml:space="preserve"> Factor for RUC-Committed Hours</w:t>
            </w:r>
            <w:r>
              <w:t xml:space="preserve">—The </w:t>
            </w:r>
            <w:proofErr w:type="spellStart"/>
            <w:r>
              <w:t>Clawback</w:t>
            </w:r>
            <w:proofErr w:type="spellEnd"/>
            <w:r>
              <w:t xml:space="preserve"> Factor for Resource </w:t>
            </w:r>
            <w:r>
              <w:rPr>
                <w:i/>
              </w:rPr>
              <w:t xml:space="preserve">r </w:t>
            </w:r>
            <w:r>
              <w:t xml:space="preserve">represented by QSE </w:t>
            </w:r>
            <w:r>
              <w:rPr>
                <w:i/>
              </w:rPr>
              <w:t>q</w:t>
            </w:r>
            <w:r>
              <w:t xml:space="preserve"> for RUC-Committed Hours, as specified in paragraph (2) above, for the Operating Day </w:t>
            </w:r>
            <w:r w:rsidRPr="008E34C0">
              <w:rPr>
                <w:i/>
              </w:rPr>
              <w:t>d</w:t>
            </w:r>
            <w:r>
              <w:t xml:space="preserve">.  When one or more Combined Cycle Generation Resources are committed by RUC, the RUC </w:t>
            </w:r>
            <w:proofErr w:type="spellStart"/>
            <w:r>
              <w:t>Clawback</w:t>
            </w:r>
            <w:proofErr w:type="spellEnd"/>
            <w:r>
              <w:t xml:space="preserve"> Factor for RUC-Committed Hours is determined for the Combined Cycle Train for all RUC-committed Combined Cycle Generation Resources.</w:t>
            </w:r>
          </w:p>
        </w:tc>
      </w:tr>
      <w:tr w:rsidR="001D6962" w14:paraId="492AF557" w14:textId="77777777" w:rsidTr="00AE5718">
        <w:trPr>
          <w:cantSplit/>
        </w:trPr>
        <w:tc>
          <w:tcPr>
            <w:tcW w:w="959" w:type="pct"/>
          </w:tcPr>
          <w:p w14:paraId="782298B3" w14:textId="77777777" w:rsidR="001D6962" w:rsidRDefault="001D6962" w:rsidP="00FA3373">
            <w:pPr>
              <w:pStyle w:val="TableBody"/>
            </w:pPr>
            <w:r>
              <w:t xml:space="preserve">RUCCBFC </w:t>
            </w:r>
            <w:r w:rsidRPr="00B34C5D">
              <w:rPr>
                <w:i/>
                <w:vertAlign w:val="subscript"/>
              </w:rPr>
              <w:t>q,</w:t>
            </w:r>
            <w:r>
              <w:rPr>
                <w:i/>
                <w:vertAlign w:val="subscript"/>
              </w:rPr>
              <w:t xml:space="preserve"> </w:t>
            </w:r>
            <w:r w:rsidRPr="00B34C5D">
              <w:rPr>
                <w:i/>
                <w:vertAlign w:val="subscript"/>
              </w:rPr>
              <w:t>r,</w:t>
            </w:r>
            <w:r>
              <w:rPr>
                <w:i/>
                <w:vertAlign w:val="subscript"/>
              </w:rPr>
              <w:t xml:space="preserve"> </w:t>
            </w:r>
            <w:r w:rsidRPr="00B34C5D">
              <w:rPr>
                <w:i/>
                <w:vertAlign w:val="subscript"/>
              </w:rPr>
              <w:t>d</w:t>
            </w:r>
          </w:p>
        </w:tc>
        <w:tc>
          <w:tcPr>
            <w:tcW w:w="419" w:type="pct"/>
          </w:tcPr>
          <w:p w14:paraId="62490C80" w14:textId="77777777" w:rsidR="001D6962" w:rsidRDefault="001D6962" w:rsidP="00FA3373">
            <w:pPr>
              <w:pStyle w:val="TableBody"/>
              <w:jc w:val="center"/>
            </w:pPr>
            <w:r>
              <w:t>none</w:t>
            </w:r>
          </w:p>
        </w:tc>
        <w:tc>
          <w:tcPr>
            <w:tcW w:w="3622" w:type="pct"/>
          </w:tcPr>
          <w:p w14:paraId="277185E9" w14:textId="545C2825" w:rsidR="001D6962" w:rsidRPr="00B34C5D" w:rsidRDefault="001D6962" w:rsidP="00FA3373">
            <w:pPr>
              <w:pStyle w:val="TableBody"/>
              <w:rPr>
                <w:i/>
              </w:rPr>
            </w:pPr>
            <w:r w:rsidRPr="00B34C5D">
              <w:rPr>
                <w:i/>
              </w:rPr>
              <w:t xml:space="preserve">RUC </w:t>
            </w:r>
            <w:proofErr w:type="spellStart"/>
            <w:r w:rsidRPr="00B34C5D">
              <w:rPr>
                <w:i/>
              </w:rPr>
              <w:t>Claw</w:t>
            </w:r>
            <w:r>
              <w:rPr>
                <w:i/>
              </w:rPr>
              <w:t>b</w:t>
            </w:r>
            <w:r w:rsidRPr="00B34C5D">
              <w:rPr>
                <w:i/>
              </w:rPr>
              <w:t>ack</w:t>
            </w:r>
            <w:proofErr w:type="spellEnd"/>
            <w:r w:rsidRPr="00B34C5D">
              <w:rPr>
                <w:i/>
              </w:rPr>
              <w:t xml:space="preserve"> Factor for QSE </w:t>
            </w:r>
            <w:proofErr w:type="spellStart"/>
            <w:r w:rsidRPr="00B34C5D">
              <w:rPr>
                <w:i/>
              </w:rPr>
              <w:t>Clawback</w:t>
            </w:r>
            <w:proofErr w:type="spellEnd"/>
            <w:r w:rsidRPr="00B34C5D">
              <w:rPr>
                <w:i/>
              </w:rPr>
              <w:t xml:space="preserve"> </w:t>
            </w:r>
            <w:r>
              <w:rPr>
                <w:i/>
              </w:rPr>
              <w:t>I</w:t>
            </w:r>
            <w:r w:rsidRPr="00B34C5D">
              <w:rPr>
                <w:i/>
              </w:rPr>
              <w:t>ntervals</w:t>
            </w:r>
            <w:r>
              <w:t xml:space="preserve">—The </w:t>
            </w:r>
            <w:proofErr w:type="spellStart"/>
            <w:r>
              <w:t>Clawback</w:t>
            </w:r>
            <w:proofErr w:type="spellEnd"/>
            <w:r>
              <w:t xml:space="preserve"> Factor for Resource </w:t>
            </w:r>
            <w:r>
              <w:rPr>
                <w:i/>
              </w:rPr>
              <w:t xml:space="preserve">r </w:t>
            </w:r>
            <w:r>
              <w:t xml:space="preserve">represented by QSE </w:t>
            </w:r>
            <w:r>
              <w:rPr>
                <w:i/>
              </w:rPr>
              <w:t>q</w:t>
            </w:r>
            <w:r>
              <w:t xml:space="preserve"> for QSE </w:t>
            </w:r>
            <w:proofErr w:type="spellStart"/>
            <w:r>
              <w:t>Clawback</w:t>
            </w:r>
            <w:proofErr w:type="spellEnd"/>
            <w:r>
              <w:t xml:space="preserve"> Intervals, as specified in paragraph (2) above, for the Operating Day </w:t>
            </w:r>
            <w:r w:rsidRPr="008E34C0">
              <w:rPr>
                <w:i/>
              </w:rPr>
              <w:t>d</w:t>
            </w:r>
            <w:r>
              <w:t xml:space="preserve">.  When one or more Combined Cycle Generation Resources are committed by RUC, the RUC </w:t>
            </w:r>
            <w:proofErr w:type="spellStart"/>
            <w:r>
              <w:t>Clawback</w:t>
            </w:r>
            <w:proofErr w:type="spellEnd"/>
            <w:r>
              <w:t xml:space="preserve"> Factor for QSE </w:t>
            </w:r>
            <w:proofErr w:type="spellStart"/>
            <w:r>
              <w:t>Clawback</w:t>
            </w:r>
            <w:proofErr w:type="spellEnd"/>
            <w:r>
              <w:t xml:space="preserve"> Intervals is determined for the Combined Cycle Train for all RUC-committed Combined Cycle Generation Resources.</w:t>
            </w:r>
          </w:p>
        </w:tc>
      </w:tr>
      <w:tr w:rsidR="001D6962" w14:paraId="241CD3A3" w14:textId="77777777" w:rsidTr="00AE5718">
        <w:trPr>
          <w:cantSplit/>
        </w:trPr>
        <w:tc>
          <w:tcPr>
            <w:tcW w:w="959" w:type="pct"/>
          </w:tcPr>
          <w:p w14:paraId="1012DF34" w14:textId="77777777" w:rsidR="001D6962" w:rsidRDefault="001D6962" w:rsidP="00FA3373">
            <w:pPr>
              <w:pStyle w:val="TableBody"/>
            </w:pPr>
            <w:r>
              <w:t xml:space="preserve">RUCHR </w:t>
            </w:r>
            <w:r w:rsidRPr="00B34C5D">
              <w:rPr>
                <w:i/>
                <w:vertAlign w:val="subscript"/>
              </w:rPr>
              <w:t>q,</w:t>
            </w:r>
            <w:r>
              <w:rPr>
                <w:i/>
                <w:vertAlign w:val="subscript"/>
              </w:rPr>
              <w:t xml:space="preserve"> </w:t>
            </w:r>
            <w:r w:rsidRPr="00B34C5D">
              <w:rPr>
                <w:i/>
                <w:vertAlign w:val="subscript"/>
              </w:rPr>
              <w:t>r,</w:t>
            </w:r>
            <w:r>
              <w:rPr>
                <w:i/>
                <w:vertAlign w:val="subscript"/>
              </w:rPr>
              <w:t xml:space="preserve"> </w:t>
            </w:r>
            <w:r w:rsidRPr="00B34C5D">
              <w:rPr>
                <w:i/>
                <w:vertAlign w:val="subscript"/>
              </w:rPr>
              <w:t>d</w:t>
            </w:r>
          </w:p>
        </w:tc>
        <w:tc>
          <w:tcPr>
            <w:tcW w:w="419" w:type="pct"/>
          </w:tcPr>
          <w:p w14:paraId="3F098424" w14:textId="77777777" w:rsidR="001D6962" w:rsidRDefault="001D6962" w:rsidP="00FA3373">
            <w:pPr>
              <w:pStyle w:val="TableBody"/>
              <w:jc w:val="center"/>
            </w:pPr>
            <w:r>
              <w:t>none</w:t>
            </w:r>
          </w:p>
        </w:tc>
        <w:tc>
          <w:tcPr>
            <w:tcW w:w="3622" w:type="pct"/>
          </w:tcPr>
          <w:p w14:paraId="6B1F2008" w14:textId="77777777" w:rsidR="001D6962" w:rsidRDefault="001D6962" w:rsidP="00FA3373">
            <w:pPr>
              <w:pStyle w:val="TableBody"/>
            </w:pPr>
            <w:r w:rsidRPr="00B34C5D">
              <w:rPr>
                <w:i/>
              </w:rPr>
              <w:t>RUC Hour</w:t>
            </w:r>
            <w:r>
              <w:t xml:space="preserve">—The total number of RUC-Committed Hours, for Resource </w:t>
            </w:r>
            <w:r>
              <w:rPr>
                <w:i/>
              </w:rPr>
              <w:t>r</w:t>
            </w:r>
            <w:r>
              <w:t xml:space="preserve"> represented by QSE </w:t>
            </w:r>
            <w:r>
              <w:rPr>
                <w:i/>
              </w:rPr>
              <w:t>q</w:t>
            </w:r>
            <w:r>
              <w:t xml:space="preserve"> for the Operating Day</w:t>
            </w:r>
            <w:r w:rsidRPr="008E34C0">
              <w:rPr>
                <w:i/>
              </w:rPr>
              <w:t xml:space="preserve"> d</w:t>
            </w:r>
            <w:r>
              <w:t>.  When one or more Combined Cycle Generation Resources are committed by RUC, the total number of RUC-Committed Hours is calculated for the Combined Cycle Train for all RUC-committed Combined Cycle Generation Resources.</w:t>
            </w:r>
          </w:p>
        </w:tc>
      </w:tr>
      <w:tr w:rsidR="001D6962" w14:paraId="7B4B7C0B" w14:textId="77777777" w:rsidTr="00AE5718">
        <w:trPr>
          <w:cantSplit/>
        </w:trPr>
        <w:tc>
          <w:tcPr>
            <w:tcW w:w="959" w:type="pct"/>
          </w:tcPr>
          <w:p w14:paraId="00EFCA18" w14:textId="77777777" w:rsidR="001D6962" w:rsidRDefault="001D6962" w:rsidP="00FA3373">
            <w:pPr>
              <w:pStyle w:val="TableBody"/>
            </w:pPr>
            <w:r w:rsidRPr="00B34C5D">
              <w:rPr>
                <w:i/>
              </w:rPr>
              <w:t>q</w:t>
            </w:r>
          </w:p>
        </w:tc>
        <w:tc>
          <w:tcPr>
            <w:tcW w:w="419" w:type="pct"/>
          </w:tcPr>
          <w:p w14:paraId="0A289ED6" w14:textId="77777777" w:rsidR="001D6962" w:rsidRDefault="001D6962" w:rsidP="00FA3373">
            <w:pPr>
              <w:pStyle w:val="TableBody"/>
              <w:jc w:val="center"/>
            </w:pPr>
            <w:r>
              <w:t>none</w:t>
            </w:r>
          </w:p>
        </w:tc>
        <w:tc>
          <w:tcPr>
            <w:tcW w:w="3622" w:type="pct"/>
          </w:tcPr>
          <w:p w14:paraId="53624059" w14:textId="77777777" w:rsidR="001D6962" w:rsidRDefault="001D6962" w:rsidP="00FA3373">
            <w:pPr>
              <w:pStyle w:val="TableBody"/>
            </w:pPr>
            <w:r>
              <w:t>A QSE.</w:t>
            </w:r>
          </w:p>
        </w:tc>
      </w:tr>
      <w:tr w:rsidR="001D6962" w14:paraId="14089A4A" w14:textId="77777777" w:rsidTr="00AE5718">
        <w:trPr>
          <w:cantSplit/>
        </w:trPr>
        <w:tc>
          <w:tcPr>
            <w:tcW w:w="959" w:type="pct"/>
          </w:tcPr>
          <w:p w14:paraId="19E2B520" w14:textId="77777777" w:rsidR="001D6962" w:rsidRDefault="001D6962" w:rsidP="00FA3373">
            <w:pPr>
              <w:pStyle w:val="TableBody"/>
            </w:pPr>
            <w:r w:rsidRPr="00B34C5D">
              <w:rPr>
                <w:i/>
              </w:rPr>
              <w:t>r</w:t>
            </w:r>
          </w:p>
        </w:tc>
        <w:tc>
          <w:tcPr>
            <w:tcW w:w="419" w:type="pct"/>
          </w:tcPr>
          <w:p w14:paraId="294B3B4F" w14:textId="77777777" w:rsidR="001D6962" w:rsidRDefault="001D6962" w:rsidP="00FA3373">
            <w:pPr>
              <w:pStyle w:val="TableBody"/>
              <w:jc w:val="center"/>
            </w:pPr>
            <w:r>
              <w:t>none</w:t>
            </w:r>
          </w:p>
        </w:tc>
        <w:tc>
          <w:tcPr>
            <w:tcW w:w="3622" w:type="pct"/>
          </w:tcPr>
          <w:p w14:paraId="462EFF65" w14:textId="77777777" w:rsidR="001D6962" w:rsidRDefault="001D6962" w:rsidP="00FA3373">
            <w:pPr>
              <w:pStyle w:val="TableBody"/>
            </w:pPr>
            <w:r>
              <w:t>A RUC-committed Generation Resource.</w:t>
            </w:r>
          </w:p>
        </w:tc>
      </w:tr>
      <w:tr w:rsidR="001D6962" w14:paraId="1893610D" w14:textId="77777777" w:rsidTr="00AE5718">
        <w:trPr>
          <w:cantSplit/>
        </w:trPr>
        <w:tc>
          <w:tcPr>
            <w:tcW w:w="959" w:type="pct"/>
          </w:tcPr>
          <w:p w14:paraId="2913BF22" w14:textId="77777777" w:rsidR="001D6962" w:rsidRDefault="001D6962" w:rsidP="00FA3373">
            <w:pPr>
              <w:pStyle w:val="TableBody"/>
            </w:pPr>
            <w:r w:rsidRPr="00B34C5D">
              <w:rPr>
                <w:i/>
              </w:rPr>
              <w:t>d</w:t>
            </w:r>
          </w:p>
        </w:tc>
        <w:tc>
          <w:tcPr>
            <w:tcW w:w="419" w:type="pct"/>
          </w:tcPr>
          <w:p w14:paraId="7598424E" w14:textId="77777777" w:rsidR="001D6962" w:rsidRDefault="001D6962" w:rsidP="00FA3373">
            <w:pPr>
              <w:pStyle w:val="TableBody"/>
              <w:jc w:val="center"/>
            </w:pPr>
            <w:r>
              <w:t>none</w:t>
            </w:r>
          </w:p>
        </w:tc>
        <w:tc>
          <w:tcPr>
            <w:tcW w:w="3622" w:type="pct"/>
          </w:tcPr>
          <w:p w14:paraId="6D34AB0F" w14:textId="77777777" w:rsidR="001D6962" w:rsidRDefault="001D6962" w:rsidP="00FA3373">
            <w:pPr>
              <w:pStyle w:val="TableBody"/>
            </w:pPr>
            <w:r>
              <w:t>An Operating Day containing the RUC-commitment.</w:t>
            </w:r>
          </w:p>
        </w:tc>
      </w:tr>
      <w:tr w:rsidR="001D6962" w14:paraId="2381020D" w14:textId="77777777" w:rsidTr="00AE5718">
        <w:trPr>
          <w:cantSplit/>
        </w:trPr>
        <w:tc>
          <w:tcPr>
            <w:tcW w:w="959" w:type="pct"/>
          </w:tcPr>
          <w:p w14:paraId="68FEFA46" w14:textId="77777777" w:rsidR="001D6962" w:rsidRDefault="001D6962" w:rsidP="00FA3373">
            <w:pPr>
              <w:pStyle w:val="TableBody"/>
            </w:pPr>
            <w:r w:rsidRPr="00B34C5D">
              <w:rPr>
                <w:i/>
              </w:rPr>
              <w:t>h</w:t>
            </w:r>
          </w:p>
        </w:tc>
        <w:tc>
          <w:tcPr>
            <w:tcW w:w="419" w:type="pct"/>
          </w:tcPr>
          <w:p w14:paraId="18D4455F" w14:textId="77777777" w:rsidR="001D6962" w:rsidRDefault="001D6962" w:rsidP="00FA3373">
            <w:pPr>
              <w:pStyle w:val="TableBody"/>
              <w:jc w:val="center"/>
            </w:pPr>
            <w:r>
              <w:t>none</w:t>
            </w:r>
          </w:p>
        </w:tc>
        <w:tc>
          <w:tcPr>
            <w:tcW w:w="3622" w:type="pct"/>
          </w:tcPr>
          <w:p w14:paraId="2275FD3E" w14:textId="77777777" w:rsidR="001D6962" w:rsidRDefault="001D6962" w:rsidP="00FA3373">
            <w:pPr>
              <w:pStyle w:val="TableBody"/>
            </w:pPr>
            <w:r>
              <w:t>An hour in the RUC-commitment period.</w:t>
            </w:r>
          </w:p>
        </w:tc>
      </w:tr>
      <w:tr w:rsidR="001D6962" w14:paraId="325199E8" w14:textId="77777777" w:rsidTr="00AE5718">
        <w:trPr>
          <w:cantSplit/>
        </w:trPr>
        <w:tc>
          <w:tcPr>
            <w:tcW w:w="959" w:type="pct"/>
          </w:tcPr>
          <w:p w14:paraId="27386DFD" w14:textId="77777777" w:rsidR="001D6962" w:rsidRPr="00B34C5D" w:rsidRDefault="001D6962" w:rsidP="00FA3373">
            <w:pPr>
              <w:pStyle w:val="TableBody"/>
              <w:rPr>
                <w:i/>
              </w:rPr>
            </w:pPr>
            <w:r>
              <w:rPr>
                <w:i/>
              </w:rPr>
              <w:t>i</w:t>
            </w:r>
          </w:p>
        </w:tc>
        <w:tc>
          <w:tcPr>
            <w:tcW w:w="419" w:type="pct"/>
          </w:tcPr>
          <w:p w14:paraId="3AE03E67" w14:textId="77777777" w:rsidR="001D6962" w:rsidRDefault="001D6962" w:rsidP="00FA3373">
            <w:pPr>
              <w:pStyle w:val="TableBody"/>
              <w:jc w:val="center"/>
            </w:pPr>
            <w:r>
              <w:t>none</w:t>
            </w:r>
          </w:p>
        </w:tc>
        <w:tc>
          <w:tcPr>
            <w:tcW w:w="3622" w:type="pct"/>
          </w:tcPr>
          <w:p w14:paraId="47C6D7CC" w14:textId="77777777" w:rsidR="001D6962" w:rsidRDefault="001D6962" w:rsidP="00FA3373">
            <w:pPr>
              <w:pStyle w:val="TableBody"/>
            </w:pPr>
            <w:r>
              <w:t>A 15-minute Settlement Interval within the hour that includes a</w:t>
            </w:r>
            <w:r w:rsidRPr="00FC3DA7">
              <w:t xml:space="preserve"> RUCAC instruction.</w:t>
            </w:r>
          </w:p>
        </w:tc>
      </w:tr>
    </w:tbl>
    <w:p w14:paraId="7CFE0819" w14:textId="77777777" w:rsidR="00E6037B" w:rsidRPr="00E6037B" w:rsidRDefault="00E6037B" w:rsidP="00E6037B">
      <w:pPr>
        <w:pStyle w:val="BodyText"/>
        <w:spacing w:after="0"/>
        <w:rPr>
          <w:lang w:val="x-none" w:eastAsia="x-none"/>
        </w:rPr>
      </w:pPr>
      <w:bookmarkStart w:id="264" w:name="_Toc400547192"/>
      <w:bookmarkStart w:id="265" w:name="_Toc405384297"/>
      <w:bookmarkStart w:id="266" w:name="_Toc405543564"/>
      <w:bookmarkStart w:id="267" w:name="_Toc428178073"/>
      <w:bookmarkStart w:id="268" w:name="_Toc440872704"/>
      <w:bookmarkStart w:id="269" w:name="_Toc458766249"/>
      <w:bookmarkStart w:id="270" w:name="_Toc459292654"/>
      <w:bookmarkStart w:id="271" w:name="_Toc60038361"/>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596"/>
      </w:tblGrid>
      <w:tr w:rsidR="00E6037B" w:rsidRPr="00067302" w14:paraId="09C2FA5C" w14:textId="77777777" w:rsidTr="00FE6580">
        <w:trPr>
          <w:trHeight w:val="1205"/>
        </w:trPr>
        <w:tc>
          <w:tcPr>
            <w:tcW w:w="9360" w:type="dxa"/>
            <w:shd w:val="pct12" w:color="auto" w:fill="auto"/>
          </w:tcPr>
          <w:p w14:paraId="28A120E2" w14:textId="77777777" w:rsidR="00E6037B" w:rsidRPr="00067302" w:rsidRDefault="00E6037B" w:rsidP="00FE6580">
            <w:pPr>
              <w:spacing w:after="240"/>
              <w:rPr>
                <w:b/>
                <w:i/>
                <w:iCs/>
              </w:rPr>
            </w:pPr>
            <w:r w:rsidRPr="00067302">
              <w:rPr>
                <w:b/>
                <w:i/>
                <w:iCs/>
              </w:rPr>
              <w:lastRenderedPageBreak/>
              <w:t>[NPRR</w:t>
            </w:r>
            <w:r>
              <w:rPr>
                <w:b/>
                <w:i/>
                <w:iCs/>
              </w:rPr>
              <w:t>1172</w:t>
            </w:r>
            <w:r w:rsidRPr="00067302">
              <w:rPr>
                <w:b/>
                <w:i/>
                <w:iCs/>
              </w:rPr>
              <w:t xml:space="preserve">:  </w:t>
            </w:r>
            <w:r>
              <w:rPr>
                <w:b/>
                <w:i/>
                <w:iCs/>
              </w:rPr>
              <w:t>Replace</w:t>
            </w:r>
            <w:r w:rsidRPr="00067302">
              <w:rPr>
                <w:b/>
                <w:i/>
                <w:iCs/>
              </w:rPr>
              <w:t xml:space="preserve"> paragraph (</w:t>
            </w:r>
            <w:r>
              <w:rPr>
                <w:b/>
                <w:i/>
                <w:iCs/>
              </w:rPr>
              <w:t>4</w:t>
            </w:r>
            <w:r w:rsidRPr="00067302">
              <w:rPr>
                <w:b/>
                <w:i/>
                <w:iCs/>
              </w:rPr>
              <w:t xml:space="preserve">) </w:t>
            </w:r>
            <w:r>
              <w:rPr>
                <w:b/>
                <w:i/>
                <w:iCs/>
              </w:rPr>
              <w:t>above with the following</w:t>
            </w:r>
            <w:r w:rsidRPr="00067302">
              <w:rPr>
                <w:b/>
                <w:i/>
                <w:iCs/>
              </w:rPr>
              <w:t xml:space="preserve"> upon system implementation:]</w:t>
            </w:r>
          </w:p>
          <w:p w14:paraId="48773E2A" w14:textId="77777777" w:rsidR="00E6037B" w:rsidRPr="00067302" w:rsidRDefault="00E6037B" w:rsidP="00E6037B">
            <w:pPr>
              <w:pStyle w:val="BodyTextNumbered"/>
              <w:rPr>
                <w:iCs/>
              </w:rPr>
            </w:pPr>
            <w:r w:rsidRPr="00067302">
              <w:rPr>
                <w:iCs/>
              </w:rPr>
              <w:t>(</w:t>
            </w:r>
            <w:r>
              <w:rPr>
                <w:iCs/>
              </w:rPr>
              <w:t>4</w:t>
            </w:r>
            <w:r w:rsidRPr="00067302">
              <w:rPr>
                <w:iCs/>
              </w:rPr>
              <w:t>)</w:t>
            </w:r>
            <w:r w:rsidRPr="00067302">
              <w:rPr>
                <w:iCs/>
              </w:rPr>
              <w:tab/>
              <w:t xml:space="preserve">For each RUC-committed Resource, the RUC </w:t>
            </w:r>
            <w:proofErr w:type="spellStart"/>
            <w:r w:rsidRPr="00067302">
              <w:rPr>
                <w:iCs/>
              </w:rPr>
              <w:t>Clawback</w:t>
            </w:r>
            <w:proofErr w:type="spellEnd"/>
            <w:r w:rsidRPr="00067302">
              <w:rPr>
                <w:iCs/>
              </w:rPr>
              <w:t xml:space="preserve"> Charge for each RUC-Committed Hour of the Operating Day is calculated as follows:</w:t>
            </w:r>
          </w:p>
          <w:p w14:paraId="2198B6B7" w14:textId="77777777" w:rsidR="00E6037B" w:rsidRPr="00067302" w:rsidRDefault="00E6037B" w:rsidP="00C078A2">
            <w:pPr>
              <w:pStyle w:val="FormulaBold"/>
            </w:pPr>
            <w:r w:rsidRPr="00067302">
              <w:t xml:space="preserve">RUCCBAMT </w:t>
            </w:r>
            <w:r w:rsidRPr="00067302">
              <w:rPr>
                <w:i/>
                <w:vertAlign w:val="subscript"/>
              </w:rPr>
              <w:t>q, r, h</w:t>
            </w:r>
            <w:r w:rsidRPr="00067302">
              <w:t xml:space="preserve"> </w:t>
            </w:r>
            <w:r w:rsidRPr="00067302">
              <w:tab/>
              <w:t>=</w:t>
            </w:r>
            <w:r w:rsidRPr="00067302">
              <w:tab/>
              <w:t xml:space="preserve">Max (0, RUCMEREV </w:t>
            </w:r>
            <w:r w:rsidRPr="00067302">
              <w:rPr>
                <w:i/>
                <w:vertAlign w:val="subscript"/>
              </w:rPr>
              <w:t>q, r, d</w:t>
            </w:r>
            <w:r w:rsidRPr="00067302">
              <w:t xml:space="preserve"> + RUCEXRR </w:t>
            </w:r>
            <w:r w:rsidRPr="00067302">
              <w:rPr>
                <w:i/>
                <w:vertAlign w:val="subscript"/>
              </w:rPr>
              <w:t>q, r, d</w:t>
            </w:r>
            <w:r w:rsidRPr="00067302">
              <w:t xml:space="preserve"> + RUCEXRQC </w:t>
            </w:r>
            <w:r w:rsidRPr="00067302">
              <w:rPr>
                <w:i/>
                <w:vertAlign w:val="subscript"/>
              </w:rPr>
              <w:t>q, r, d</w:t>
            </w:r>
            <w:r w:rsidRPr="00067302">
              <w:t xml:space="preserve"> – </w:t>
            </w:r>
            <w:r w:rsidRPr="00067302">
              <w:rPr>
                <w:iCs/>
              </w:rPr>
              <w:t xml:space="preserve"> RUCACREV </w:t>
            </w:r>
            <w:r w:rsidRPr="00067302">
              <w:rPr>
                <w:i/>
                <w:iCs/>
                <w:vertAlign w:val="subscript"/>
              </w:rPr>
              <w:t>q, r, d</w:t>
            </w:r>
            <w:r w:rsidRPr="00067302">
              <w:t xml:space="preserve"> – RUCG </w:t>
            </w:r>
            <w:r w:rsidRPr="00067302">
              <w:rPr>
                <w:i/>
                <w:vertAlign w:val="subscript"/>
              </w:rPr>
              <w:t>q, r, d</w:t>
            </w:r>
            <w:r w:rsidRPr="00067302">
              <w:t xml:space="preserve">) / RUCHR </w:t>
            </w:r>
            <w:r w:rsidRPr="00067302">
              <w:rPr>
                <w:i/>
                <w:vertAlign w:val="subscript"/>
              </w:rPr>
              <w:t>q, r, d</w:t>
            </w:r>
          </w:p>
          <w:p w14:paraId="7AA63BB5" w14:textId="77777777" w:rsidR="00E6037B" w:rsidRPr="00067302" w:rsidRDefault="00E6037B" w:rsidP="00FE6580">
            <w:pPr>
              <w:pStyle w:val="BodyText"/>
              <w:ind w:left="720"/>
            </w:pPr>
            <w:proofErr w:type="gramStart"/>
            <w:r w:rsidRPr="00067302">
              <w:t>Where</w:t>
            </w:r>
            <w:proofErr w:type="gramEnd"/>
            <w:r w:rsidRPr="00067302">
              <w:t xml:space="preserve">, </w:t>
            </w:r>
          </w:p>
          <w:p w14:paraId="564D758E" w14:textId="77777777" w:rsidR="00E6037B" w:rsidRPr="007B5071" w:rsidRDefault="00E6037B" w:rsidP="00FE6580">
            <w:pPr>
              <w:pStyle w:val="BodyText"/>
              <w:ind w:left="720"/>
              <w:rPr>
                <w:rStyle w:val="CharChar2"/>
                <w:b w:val="0"/>
                <w:i w:val="0"/>
              </w:rPr>
            </w:pPr>
            <w:r w:rsidRPr="007B5071">
              <w:t>The RUCAC</w:t>
            </w:r>
            <w:r w:rsidRPr="007B5071">
              <w:rPr>
                <w:rStyle w:val="BodyTextChar"/>
              </w:rPr>
              <w:t xml:space="preserve"> revenue</w:t>
            </w:r>
            <w:r w:rsidRPr="007B5071">
              <w:t xml:space="preserve"> is calculated for a Combined Cycle Train as follows</w:t>
            </w:r>
            <w:r w:rsidRPr="007B5071">
              <w:rPr>
                <w:rStyle w:val="CharChar2"/>
                <w:b w:val="0"/>
                <w:i w:val="0"/>
              </w:rPr>
              <w:t>:</w:t>
            </w:r>
          </w:p>
          <w:p w14:paraId="74A3AA84" w14:textId="77777777" w:rsidR="00E6037B" w:rsidRPr="00067302" w:rsidRDefault="00E6037B" w:rsidP="00C078A2">
            <w:pPr>
              <w:pStyle w:val="FormulaBold"/>
            </w:pPr>
            <w:r w:rsidRPr="007B5071">
              <w:t xml:space="preserve">RUCACREV </w:t>
            </w:r>
            <w:r w:rsidRPr="007B5071">
              <w:rPr>
                <w:i/>
                <w:vertAlign w:val="subscript"/>
              </w:rPr>
              <w:t>q, r, d</w:t>
            </w:r>
            <w:r w:rsidRPr="007B5071">
              <w:tab/>
              <w:t xml:space="preserve">=  Max{0, </w:t>
            </w:r>
            <w:r w:rsidRPr="007B5071">
              <w:rPr>
                <w:position w:val="-20"/>
              </w:rPr>
              <w:object w:dxaOrig="220" w:dyaOrig="440" w14:anchorId="1F1141BB">
                <v:shape id="_x0000_i1036" type="#_x0000_t75" style="width:9.6pt;height:22.8pt" o:ole="">
                  <v:imagedata r:id="rId25" o:title=""/>
                </v:shape>
                <o:OLEObject Type="Embed" ProgID="Equation.3" ShapeID="_x0000_i1036" DrawAspect="Content" ObjectID="_1775281566" r:id="rId35"/>
              </w:object>
            </w:r>
            <w:r w:rsidRPr="007B5071">
              <w:t xml:space="preserve"> RUCMEREV96 </w:t>
            </w:r>
            <w:r w:rsidRPr="007B5071">
              <w:rPr>
                <w:i/>
                <w:vertAlign w:val="subscript"/>
              </w:rPr>
              <w:t>q, r, i</w:t>
            </w:r>
            <w:r w:rsidRPr="007B5071">
              <w:t xml:space="preserve"> + Max(0, </w:t>
            </w:r>
            <w:r w:rsidRPr="007B5071">
              <w:rPr>
                <w:position w:val="-20"/>
              </w:rPr>
              <w:object w:dxaOrig="220" w:dyaOrig="440" w14:anchorId="74136F48">
                <v:shape id="_x0000_i1037" type="#_x0000_t75" style="width:9.6pt;height:22.8pt" o:ole="">
                  <v:imagedata r:id="rId25" o:title=""/>
                </v:shape>
                <o:OLEObject Type="Embed" ProgID="Equation.3" ShapeID="_x0000_i1037" DrawAspect="Content" ObjectID="_1775281567" r:id="rId36"/>
              </w:object>
            </w:r>
            <w:r w:rsidRPr="007B5071">
              <w:t xml:space="preserve">RUCEXRR96 </w:t>
            </w:r>
            <w:r w:rsidRPr="007B5071">
              <w:rPr>
                <w:i/>
                <w:vertAlign w:val="subscript"/>
              </w:rPr>
              <w:t>q, r, i</w:t>
            </w:r>
            <w:r w:rsidRPr="007B5071">
              <w:t>)}</w:t>
            </w:r>
            <w:r w:rsidRPr="00067302">
              <w:t xml:space="preserve">  </w:t>
            </w:r>
          </w:p>
          <w:p w14:paraId="45D1734D" w14:textId="77777777" w:rsidR="00E6037B" w:rsidRPr="00067302" w:rsidRDefault="00E6037B" w:rsidP="00FE6580">
            <w:pPr>
              <w:pStyle w:val="BodyText"/>
              <w:spacing w:after="0"/>
            </w:pPr>
            <w:r w:rsidRPr="00067302">
              <w:t>The above variables are defined as follows:</w:t>
            </w:r>
          </w:p>
          <w:tbl>
            <w:tblPr>
              <w:tblW w:w="935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7"/>
              <w:gridCol w:w="812"/>
              <w:gridCol w:w="6777"/>
            </w:tblGrid>
            <w:tr w:rsidR="00E6037B" w:rsidRPr="00067302" w14:paraId="28F43A38" w14:textId="77777777" w:rsidTr="00AE5718">
              <w:trPr>
                <w:cantSplit/>
                <w:tblHeader/>
              </w:trPr>
              <w:tc>
                <w:tcPr>
                  <w:tcW w:w="944" w:type="pct"/>
                </w:tcPr>
                <w:p w14:paraId="0F4139CD" w14:textId="77777777" w:rsidR="00E6037B" w:rsidRPr="00067302" w:rsidRDefault="00E6037B" w:rsidP="00FE6580">
                  <w:pPr>
                    <w:pStyle w:val="TableHead"/>
                  </w:pPr>
                  <w:r w:rsidRPr="00067302">
                    <w:t>Variable</w:t>
                  </w:r>
                </w:p>
              </w:tc>
              <w:tc>
                <w:tcPr>
                  <w:tcW w:w="434" w:type="pct"/>
                </w:tcPr>
                <w:p w14:paraId="5453255E" w14:textId="77777777" w:rsidR="00E6037B" w:rsidRPr="00067302" w:rsidRDefault="00E6037B" w:rsidP="00FE6580">
                  <w:pPr>
                    <w:pStyle w:val="TableHead"/>
                    <w:jc w:val="center"/>
                  </w:pPr>
                  <w:r w:rsidRPr="00067302">
                    <w:t>Unit</w:t>
                  </w:r>
                </w:p>
              </w:tc>
              <w:tc>
                <w:tcPr>
                  <w:tcW w:w="3622" w:type="pct"/>
                </w:tcPr>
                <w:p w14:paraId="14CD7452" w14:textId="77777777" w:rsidR="00E6037B" w:rsidRPr="00067302" w:rsidRDefault="00E6037B" w:rsidP="00FE6580">
                  <w:pPr>
                    <w:pStyle w:val="TableHead"/>
                  </w:pPr>
                  <w:r w:rsidRPr="00067302">
                    <w:t>Definition</w:t>
                  </w:r>
                </w:p>
              </w:tc>
            </w:tr>
            <w:tr w:rsidR="00E6037B" w:rsidRPr="00067302" w14:paraId="12BDF918" w14:textId="77777777" w:rsidTr="00AE5718">
              <w:trPr>
                <w:cantSplit/>
              </w:trPr>
              <w:tc>
                <w:tcPr>
                  <w:tcW w:w="944" w:type="pct"/>
                </w:tcPr>
                <w:p w14:paraId="3C6A344F" w14:textId="77777777" w:rsidR="00E6037B" w:rsidRPr="00067302" w:rsidRDefault="00E6037B" w:rsidP="00FE6580">
                  <w:pPr>
                    <w:pStyle w:val="TableBody"/>
                  </w:pPr>
                  <w:r w:rsidRPr="00067302">
                    <w:t xml:space="preserve">RUCCBAMT </w:t>
                  </w:r>
                  <w:r w:rsidRPr="00067302">
                    <w:rPr>
                      <w:i/>
                      <w:vertAlign w:val="subscript"/>
                    </w:rPr>
                    <w:t>q, r, h</w:t>
                  </w:r>
                </w:p>
              </w:tc>
              <w:tc>
                <w:tcPr>
                  <w:tcW w:w="434" w:type="pct"/>
                </w:tcPr>
                <w:p w14:paraId="51659CDB" w14:textId="77777777" w:rsidR="00E6037B" w:rsidRPr="00067302" w:rsidRDefault="00E6037B" w:rsidP="00FE6580">
                  <w:pPr>
                    <w:pStyle w:val="TableBody"/>
                    <w:jc w:val="center"/>
                  </w:pPr>
                  <w:r w:rsidRPr="00067302">
                    <w:t>$</w:t>
                  </w:r>
                </w:p>
              </w:tc>
              <w:tc>
                <w:tcPr>
                  <w:tcW w:w="3622" w:type="pct"/>
                </w:tcPr>
                <w:p w14:paraId="423F5573" w14:textId="77777777" w:rsidR="00E6037B" w:rsidRPr="00067302" w:rsidRDefault="00E6037B" w:rsidP="00FE6580">
                  <w:pPr>
                    <w:pStyle w:val="TableBody"/>
                  </w:pPr>
                  <w:r w:rsidRPr="00067302">
                    <w:rPr>
                      <w:i/>
                    </w:rPr>
                    <w:t xml:space="preserve">RUC </w:t>
                  </w:r>
                  <w:proofErr w:type="spellStart"/>
                  <w:r w:rsidRPr="00067302">
                    <w:rPr>
                      <w:i/>
                    </w:rPr>
                    <w:t>Clawback</w:t>
                  </w:r>
                  <w:proofErr w:type="spellEnd"/>
                  <w:r w:rsidRPr="00067302">
                    <w:rPr>
                      <w:i/>
                    </w:rPr>
                    <w:t xml:space="preserve"> Charge</w:t>
                  </w:r>
                  <w:r w:rsidRPr="00067302">
                    <w:t xml:space="preserve">––The RUC </w:t>
                  </w:r>
                  <w:proofErr w:type="spellStart"/>
                  <w:r w:rsidRPr="00067302">
                    <w:t>Clawback</w:t>
                  </w:r>
                  <w:proofErr w:type="spellEnd"/>
                  <w:r w:rsidRPr="00067302">
                    <w:t xml:space="preserve"> Charge to a QSE for Resource </w:t>
                  </w:r>
                  <w:r w:rsidRPr="00067302">
                    <w:rPr>
                      <w:i/>
                    </w:rPr>
                    <w:t>r</w:t>
                  </w:r>
                  <w:r w:rsidRPr="00067302">
                    <w:t xml:space="preserve"> represented by QSE </w:t>
                  </w:r>
                  <w:r w:rsidRPr="00067302">
                    <w:rPr>
                      <w:i/>
                    </w:rPr>
                    <w:t xml:space="preserve">q </w:t>
                  </w:r>
                  <w:r w:rsidRPr="00067302">
                    <w:t xml:space="preserve">as described in this Section, for each RUC-Committed Hour </w:t>
                  </w:r>
                  <w:r w:rsidRPr="00067302">
                    <w:rPr>
                      <w:i/>
                    </w:rPr>
                    <w:t>h</w:t>
                  </w:r>
                  <w:r w:rsidRPr="00067302">
                    <w:t xml:space="preserve"> of the Operating Day for that Resource.  When one or more Combined Cycle Generation Resources are committed by RUC, a charge is made to the Combined Cycle Train for all RUC-committed Combined Cycle Generation Resources.</w:t>
                  </w:r>
                </w:p>
              </w:tc>
            </w:tr>
            <w:tr w:rsidR="00E6037B" w:rsidRPr="00067302" w14:paraId="291FFADE" w14:textId="77777777" w:rsidTr="00AE5718">
              <w:trPr>
                <w:cantSplit/>
              </w:trPr>
              <w:tc>
                <w:tcPr>
                  <w:tcW w:w="944" w:type="pct"/>
                </w:tcPr>
                <w:p w14:paraId="1D09B8CE" w14:textId="77777777" w:rsidR="00E6037B" w:rsidRPr="00067302" w:rsidRDefault="00E6037B" w:rsidP="00FE6580">
                  <w:pPr>
                    <w:pStyle w:val="TableBody"/>
                  </w:pPr>
                  <w:r w:rsidRPr="00067302">
                    <w:t xml:space="preserve">RUCG </w:t>
                  </w:r>
                  <w:r w:rsidRPr="00067302">
                    <w:rPr>
                      <w:i/>
                      <w:vertAlign w:val="subscript"/>
                    </w:rPr>
                    <w:t>q, r, d</w:t>
                  </w:r>
                </w:p>
              </w:tc>
              <w:tc>
                <w:tcPr>
                  <w:tcW w:w="434" w:type="pct"/>
                </w:tcPr>
                <w:p w14:paraId="19037B53" w14:textId="77777777" w:rsidR="00E6037B" w:rsidRPr="00067302" w:rsidRDefault="00E6037B" w:rsidP="00FE6580">
                  <w:pPr>
                    <w:pStyle w:val="TableBody"/>
                    <w:jc w:val="center"/>
                  </w:pPr>
                  <w:r w:rsidRPr="00067302">
                    <w:t>$</w:t>
                  </w:r>
                </w:p>
              </w:tc>
              <w:tc>
                <w:tcPr>
                  <w:tcW w:w="3622" w:type="pct"/>
                </w:tcPr>
                <w:p w14:paraId="359ED361" w14:textId="77777777" w:rsidR="00E6037B" w:rsidRPr="00067302" w:rsidRDefault="00E6037B" w:rsidP="00FE6580">
                  <w:pPr>
                    <w:pStyle w:val="TableBody"/>
                  </w:pPr>
                  <w:r w:rsidRPr="00067302">
                    <w:rPr>
                      <w:i/>
                    </w:rPr>
                    <w:t>RUC Guarantee</w:t>
                  </w:r>
                  <w:r w:rsidRPr="00067302">
                    <w:t xml:space="preserve">—The sum of eligible Startup Costs and Minimum-Energy Costs for Resource </w:t>
                  </w:r>
                  <w:r w:rsidRPr="00067302">
                    <w:rPr>
                      <w:i/>
                    </w:rPr>
                    <w:t>r</w:t>
                  </w:r>
                  <w:r w:rsidRPr="00067302">
                    <w:t xml:space="preserve"> represented by QSE </w:t>
                  </w:r>
                  <w:r w:rsidRPr="00067302">
                    <w:rPr>
                      <w:i/>
                    </w:rPr>
                    <w:t>q</w:t>
                  </w:r>
                  <w:r w:rsidRPr="00067302">
                    <w:t xml:space="preserve"> during all RUC-Committed Hours, for the Operating Day</w:t>
                  </w:r>
                  <w:r w:rsidRPr="00067302">
                    <w:rPr>
                      <w:i/>
                    </w:rPr>
                    <w:t xml:space="preserve"> d</w:t>
                  </w:r>
                  <w:r w:rsidRPr="00067302">
                    <w:t>.  See Section 5.7.1.1, RUC Guarantee.  When one or more Combined Cycle Generation Resources are committed by RUC, guaranteed costs are calculated for the Combined Cycle Train for all RUC-committed Combined Cycle Generation Resources.</w:t>
                  </w:r>
                </w:p>
              </w:tc>
            </w:tr>
            <w:tr w:rsidR="00E6037B" w:rsidRPr="00067302" w14:paraId="027FCD20" w14:textId="77777777" w:rsidTr="00AE5718">
              <w:trPr>
                <w:cantSplit/>
              </w:trPr>
              <w:tc>
                <w:tcPr>
                  <w:tcW w:w="944" w:type="pct"/>
                </w:tcPr>
                <w:p w14:paraId="4AE7ED31" w14:textId="77777777" w:rsidR="00E6037B" w:rsidRPr="00067302" w:rsidRDefault="00E6037B" w:rsidP="00FE6580">
                  <w:pPr>
                    <w:pStyle w:val="TableBody"/>
                  </w:pPr>
                  <w:r w:rsidRPr="00067302">
                    <w:t xml:space="preserve">RUCMEREV </w:t>
                  </w:r>
                  <w:r w:rsidRPr="00067302">
                    <w:rPr>
                      <w:i/>
                      <w:vertAlign w:val="subscript"/>
                    </w:rPr>
                    <w:t>q, r, d</w:t>
                  </w:r>
                </w:p>
              </w:tc>
              <w:tc>
                <w:tcPr>
                  <w:tcW w:w="434" w:type="pct"/>
                </w:tcPr>
                <w:p w14:paraId="3E8342C6" w14:textId="77777777" w:rsidR="00E6037B" w:rsidRPr="00067302" w:rsidRDefault="00E6037B" w:rsidP="00FE6580">
                  <w:pPr>
                    <w:pStyle w:val="TableBody"/>
                    <w:jc w:val="center"/>
                  </w:pPr>
                  <w:r w:rsidRPr="00067302">
                    <w:t>$</w:t>
                  </w:r>
                </w:p>
              </w:tc>
              <w:tc>
                <w:tcPr>
                  <w:tcW w:w="3622" w:type="pct"/>
                </w:tcPr>
                <w:p w14:paraId="4CA574D4" w14:textId="77777777" w:rsidR="00E6037B" w:rsidRPr="00067302" w:rsidRDefault="00E6037B" w:rsidP="00FE6580">
                  <w:pPr>
                    <w:pStyle w:val="TableBody"/>
                  </w:pPr>
                  <w:r w:rsidRPr="00067302">
                    <w:rPr>
                      <w:i/>
                    </w:rPr>
                    <w:t>RUC Minimum-Energy Revenue</w:t>
                  </w:r>
                  <w:r w:rsidRPr="00067302">
                    <w:t xml:space="preserve">—The sum of the energy revenues for generation of Resource </w:t>
                  </w:r>
                  <w:r w:rsidRPr="00067302">
                    <w:rPr>
                      <w:i/>
                    </w:rPr>
                    <w:t xml:space="preserve">r </w:t>
                  </w:r>
                  <w:r w:rsidRPr="00067302">
                    <w:t xml:space="preserve">represented by QSE </w:t>
                  </w:r>
                  <w:r w:rsidRPr="00067302">
                    <w:rPr>
                      <w:i/>
                    </w:rPr>
                    <w:t>q</w:t>
                  </w:r>
                  <w:r w:rsidRPr="00067302">
                    <w:t xml:space="preserve"> up to LSL during all RUC-Committed Hours, for the Operating Day</w:t>
                  </w:r>
                  <w:r w:rsidRPr="00067302">
                    <w:rPr>
                      <w:i/>
                    </w:rPr>
                    <w:t xml:space="preserve"> d</w:t>
                  </w:r>
                  <w:r w:rsidRPr="00067302">
                    <w:t>.  See Section 5.7.1.2.  When one or more Combined Cycle Generation Resources are committed by RUC, RUC Minimum-Energy Revenue is calculated for the Combined Cycle Train for all RUC-committed Combined Cycle Generation Resources.</w:t>
                  </w:r>
                </w:p>
              </w:tc>
            </w:tr>
            <w:tr w:rsidR="00E6037B" w:rsidRPr="00067302" w14:paraId="72711A35" w14:textId="77777777" w:rsidTr="00AE5718">
              <w:trPr>
                <w:cantSplit/>
              </w:trPr>
              <w:tc>
                <w:tcPr>
                  <w:tcW w:w="944" w:type="pct"/>
                </w:tcPr>
                <w:p w14:paraId="7BECEB82" w14:textId="77777777" w:rsidR="00E6037B" w:rsidRPr="00067302" w:rsidRDefault="00E6037B" w:rsidP="00FE6580">
                  <w:pPr>
                    <w:pStyle w:val="TableBody"/>
                  </w:pPr>
                  <w:r w:rsidRPr="00067302">
                    <w:t xml:space="preserve">RUCEXRR </w:t>
                  </w:r>
                  <w:r w:rsidRPr="00067302">
                    <w:rPr>
                      <w:i/>
                      <w:vertAlign w:val="subscript"/>
                    </w:rPr>
                    <w:t>q, r, d</w:t>
                  </w:r>
                </w:p>
              </w:tc>
              <w:tc>
                <w:tcPr>
                  <w:tcW w:w="434" w:type="pct"/>
                </w:tcPr>
                <w:p w14:paraId="4B13E4D9" w14:textId="77777777" w:rsidR="00E6037B" w:rsidRPr="00067302" w:rsidRDefault="00E6037B" w:rsidP="00FE6580">
                  <w:pPr>
                    <w:pStyle w:val="TableBody"/>
                    <w:jc w:val="center"/>
                  </w:pPr>
                  <w:r w:rsidRPr="00067302">
                    <w:t>$</w:t>
                  </w:r>
                </w:p>
              </w:tc>
              <w:tc>
                <w:tcPr>
                  <w:tcW w:w="3622" w:type="pct"/>
                </w:tcPr>
                <w:p w14:paraId="553F24BC" w14:textId="77777777" w:rsidR="00E6037B" w:rsidRPr="00067302" w:rsidRDefault="00E6037B" w:rsidP="00FE6580">
                  <w:pPr>
                    <w:pStyle w:val="TableBody"/>
                  </w:pPr>
                  <w:r w:rsidRPr="00067302">
                    <w:rPr>
                      <w:i/>
                    </w:rPr>
                    <w:t>Revenue Less Cost Above LSL During RUC-Committed Hours</w:t>
                  </w:r>
                  <w:r w:rsidRPr="00067302">
                    <w:t xml:space="preserve">—The sum of the total revenue for Resource </w:t>
                  </w:r>
                  <w:r w:rsidRPr="00067302">
                    <w:rPr>
                      <w:i/>
                    </w:rPr>
                    <w:t xml:space="preserve">r </w:t>
                  </w:r>
                  <w:r w:rsidRPr="00067302">
                    <w:t xml:space="preserve">represented by QSE </w:t>
                  </w:r>
                  <w:r w:rsidRPr="00067302">
                    <w:rPr>
                      <w:i/>
                    </w:rPr>
                    <w:t>q</w:t>
                  </w:r>
                  <w:r w:rsidRPr="00067302">
                    <w:t xml:space="preserve"> above the LSL less the cost during all RUC-Committed Hours, for the Operating Day</w:t>
                  </w:r>
                  <w:r w:rsidRPr="00067302">
                    <w:rPr>
                      <w:i/>
                    </w:rPr>
                    <w:t xml:space="preserve"> d</w:t>
                  </w:r>
                  <w:r w:rsidRPr="00067302">
                    <w:t>.  See Section 5.7.1.3.  When one or more Combined Cycle Generation Resources are committed by RUC, Revenue Less Cost Above LSL During RUC-Committed Hours is calculated for the Combined Cycle Train for all RUC-committed Combined Cycle Generation Resources.</w:t>
                  </w:r>
                </w:p>
              </w:tc>
            </w:tr>
            <w:tr w:rsidR="00E6037B" w:rsidRPr="00067302" w14:paraId="22F8DB68" w14:textId="77777777" w:rsidTr="00AE5718">
              <w:trPr>
                <w:cantSplit/>
              </w:trPr>
              <w:tc>
                <w:tcPr>
                  <w:tcW w:w="944" w:type="pct"/>
                </w:tcPr>
                <w:p w14:paraId="78076241" w14:textId="77777777" w:rsidR="00E6037B" w:rsidRPr="00067302" w:rsidRDefault="00E6037B" w:rsidP="00FE6580">
                  <w:pPr>
                    <w:pStyle w:val="TableBody"/>
                  </w:pPr>
                  <w:r w:rsidRPr="00067302">
                    <w:t xml:space="preserve">RUCEXRQC </w:t>
                  </w:r>
                  <w:r w:rsidRPr="00067302">
                    <w:rPr>
                      <w:i/>
                      <w:vertAlign w:val="subscript"/>
                    </w:rPr>
                    <w:t>q, r, d</w:t>
                  </w:r>
                </w:p>
              </w:tc>
              <w:tc>
                <w:tcPr>
                  <w:tcW w:w="434" w:type="pct"/>
                </w:tcPr>
                <w:p w14:paraId="4E515352" w14:textId="77777777" w:rsidR="00E6037B" w:rsidRPr="00067302" w:rsidRDefault="00E6037B" w:rsidP="00FE6580">
                  <w:pPr>
                    <w:pStyle w:val="TableBody"/>
                    <w:jc w:val="center"/>
                  </w:pPr>
                  <w:r w:rsidRPr="00067302">
                    <w:t>$</w:t>
                  </w:r>
                </w:p>
              </w:tc>
              <w:tc>
                <w:tcPr>
                  <w:tcW w:w="3622" w:type="pct"/>
                </w:tcPr>
                <w:p w14:paraId="20F6466F" w14:textId="77777777" w:rsidR="00E6037B" w:rsidRPr="00067302" w:rsidRDefault="00E6037B" w:rsidP="00FE6580">
                  <w:pPr>
                    <w:pStyle w:val="TableBody"/>
                  </w:pPr>
                  <w:r w:rsidRPr="00067302">
                    <w:rPr>
                      <w:i/>
                    </w:rPr>
                    <w:t>Revenue Less Cost from QSE-</w:t>
                  </w:r>
                  <w:proofErr w:type="spellStart"/>
                  <w:r w:rsidRPr="00067302">
                    <w:rPr>
                      <w:i/>
                    </w:rPr>
                    <w:t>Clawback</w:t>
                  </w:r>
                  <w:proofErr w:type="spellEnd"/>
                  <w:r w:rsidRPr="00067302">
                    <w:rPr>
                      <w:i/>
                    </w:rPr>
                    <w:t xml:space="preserve"> Intervals</w:t>
                  </w:r>
                  <w:r w:rsidRPr="00067302">
                    <w:t xml:space="preserve">—The sum of the total revenue for Resource </w:t>
                  </w:r>
                  <w:r w:rsidRPr="00067302">
                    <w:rPr>
                      <w:i/>
                    </w:rPr>
                    <w:t>r</w:t>
                  </w:r>
                  <w:r w:rsidRPr="00067302">
                    <w:t xml:space="preserve"> represented by QSE </w:t>
                  </w:r>
                  <w:r w:rsidRPr="00067302">
                    <w:rPr>
                      <w:i/>
                    </w:rPr>
                    <w:t>q</w:t>
                  </w:r>
                  <w:r w:rsidRPr="00067302">
                    <w:t xml:space="preserve"> less the cost during all QSE-</w:t>
                  </w:r>
                  <w:proofErr w:type="spellStart"/>
                  <w:r w:rsidRPr="00067302">
                    <w:t>Clawback</w:t>
                  </w:r>
                  <w:proofErr w:type="spellEnd"/>
                  <w:r w:rsidRPr="00067302">
                    <w:t xml:space="preserve"> Intervals for the Operating Day</w:t>
                  </w:r>
                  <w:r w:rsidRPr="00067302">
                    <w:rPr>
                      <w:i/>
                    </w:rPr>
                    <w:t xml:space="preserve"> d</w:t>
                  </w:r>
                  <w:r w:rsidRPr="00067302">
                    <w:t>.  See Section 5.7.1.4.  When one or more Combined Cycle Generation Resources are committed by RUC, Revenue Less Cost from QSE-</w:t>
                  </w:r>
                  <w:proofErr w:type="spellStart"/>
                  <w:r w:rsidRPr="00067302">
                    <w:t>Clawback</w:t>
                  </w:r>
                  <w:proofErr w:type="spellEnd"/>
                  <w:r w:rsidRPr="00067302">
                    <w:t xml:space="preserve"> Intervals is calculated for the Combined Cycle Train for all Combined Cycle Generation Resources earning revenue in QSE </w:t>
                  </w:r>
                  <w:proofErr w:type="spellStart"/>
                  <w:r w:rsidRPr="00067302">
                    <w:t>Clawback</w:t>
                  </w:r>
                  <w:proofErr w:type="spellEnd"/>
                  <w:r w:rsidRPr="00067302">
                    <w:t xml:space="preserve"> Intervals.</w:t>
                  </w:r>
                </w:p>
              </w:tc>
            </w:tr>
            <w:tr w:rsidR="00E6037B" w:rsidRPr="00067302" w14:paraId="043CA54C" w14:textId="77777777" w:rsidTr="00AE5718">
              <w:trPr>
                <w:cantSplit/>
              </w:trPr>
              <w:tc>
                <w:tcPr>
                  <w:tcW w:w="944" w:type="pct"/>
                </w:tcPr>
                <w:p w14:paraId="4005D868" w14:textId="77777777" w:rsidR="00E6037B" w:rsidRPr="00067302" w:rsidRDefault="00E6037B" w:rsidP="00FE6580">
                  <w:pPr>
                    <w:pStyle w:val="TableBody"/>
                  </w:pPr>
                  <w:r w:rsidRPr="00067302">
                    <w:lastRenderedPageBreak/>
                    <w:t xml:space="preserve">RUCACREV </w:t>
                  </w:r>
                  <w:r w:rsidRPr="00067302">
                    <w:rPr>
                      <w:i/>
                      <w:vertAlign w:val="subscript"/>
                    </w:rPr>
                    <w:t>q, r, d</w:t>
                  </w:r>
                </w:p>
              </w:tc>
              <w:tc>
                <w:tcPr>
                  <w:tcW w:w="434" w:type="pct"/>
                </w:tcPr>
                <w:p w14:paraId="3B4BED64" w14:textId="77777777" w:rsidR="00E6037B" w:rsidRPr="00067302" w:rsidRDefault="00E6037B" w:rsidP="00FE6580">
                  <w:pPr>
                    <w:pStyle w:val="TableBody"/>
                    <w:spacing w:line="360" w:lineRule="auto"/>
                    <w:jc w:val="center"/>
                  </w:pPr>
                  <w:r w:rsidRPr="00067302">
                    <w:t>$</w:t>
                  </w:r>
                </w:p>
              </w:tc>
              <w:tc>
                <w:tcPr>
                  <w:tcW w:w="3622" w:type="pct"/>
                </w:tcPr>
                <w:p w14:paraId="6ADEE679" w14:textId="77777777" w:rsidR="00E6037B" w:rsidRPr="00067302" w:rsidRDefault="00E6037B" w:rsidP="00FE6580">
                  <w:pPr>
                    <w:pStyle w:val="TableBody"/>
                    <w:rPr>
                      <w:i/>
                    </w:rPr>
                  </w:pPr>
                  <w:r w:rsidRPr="00067302">
                    <w:rPr>
                      <w:i/>
                    </w:rPr>
                    <w:t>Revenue from RUCAC Hours</w:t>
                  </w:r>
                  <w:r w:rsidRPr="00067302">
                    <w:t xml:space="preserve">—The net positive sum for the energy revenues for generation of Resource </w:t>
                  </w:r>
                  <w:r w:rsidRPr="00067302">
                    <w:rPr>
                      <w:i/>
                    </w:rPr>
                    <w:t xml:space="preserve">r </w:t>
                  </w:r>
                  <w:r w:rsidRPr="00067302">
                    <w:t xml:space="preserve">represented by QSE </w:t>
                  </w:r>
                  <w:r w:rsidRPr="00067302">
                    <w:rPr>
                      <w:i/>
                    </w:rPr>
                    <w:t>q</w:t>
                  </w:r>
                  <w:r w:rsidRPr="00067302">
                    <w:t xml:space="preserve"> up to LSL and the total revenue for Resource </w:t>
                  </w:r>
                  <w:r w:rsidRPr="00067302">
                    <w:rPr>
                      <w:i/>
                    </w:rPr>
                    <w:t>r</w:t>
                  </w:r>
                  <w:r w:rsidRPr="00067302">
                    <w:t xml:space="preserve"> operating above its LSL less the cost during all RUCAC-Hours, for the Operating Day </w:t>
                  </w:r>
                  <w:r w:rsidRPr="00067302">
                    <w:rPr>
                      <w:i/>
                    </w:rPr>
                    <w:t>d</w:t>
                  </w:r>
                  <w:r w:rsidRPr="00067302">
                    <w:t>.  When one or more Combined Cycle Generation Resources are RUCAC, revenue from RUCAC Hours is calculated for the Combined Cycle Train for all Combined Cycle Generation Resources that were RUC-committed during the RUCAC-Hours.</w:t>
                  </w:r>
                </w:p>
              </w:tc>
            </w:tr>
            <w:tr w:rsidR="00E6037B" w:rsidRPr="00067302" w14:paraId="37DF4313" w14:textId="77777777" w:rsidTr="00AE5718">
              <w:trPr>
                <w:cantSplit/>
              </w:trPr>
              <w:tc>
                <w:tcPr>
                  <w:tcW w:w="944" w:type="pct"/>
                </w:tcPr>
                <w:p w14:paraId="259E1978" w14:textId="77777777" w:rsidR="00E6037B" w:rsidRPr="00067302" w:rsidRDefault="00E6037B" w:rsidP="00FE6580">
                  <w:pPr>
                    <w:pStyle w:val="TableBody"/>
                  </w:pPr>
                  <w:r w:rsidRPr="00067302">
                    <w:t xml:space="preserve">RUCMEREV96 </w:t>
                  </w:r>
                  <w:r w:rsidRPr="00067302">
                    <w:rPr>
                      <w:i/>
                      <w:vertAlign w:val="subscript"/>
                    </w:rPr>
                    <w:t>q, r, i</w:t>
                  </w:r>
                </w:p>
              </w:tc>
              <w:tc>
                <w:tcPr>
                  <w:tcW w:w="434" w:type="pct"/>
                </w:tcPr>
                <w:p w14:paraId="3D43E7A9" w14:textId="77777777" w:rsidR="00E6037B" w:rsidRPr="00067302" w:rsidRDefault="00E6037B" w:rsidP="00FE6580">
                  <w:pPr>
                    <w:pStyle w:val="TableBody"/>
                    <w:spacing w:line="360" w:lineRule="auto"/>
                    <w:jc w:val="center"/>
                  </w:pPr>
                  <w:r w:rsidRPr="00067302">
                    <w:t>$</w:t>
                  </w:r>
                </w:p>
              </w:tc>
              <w:tc>
                <w:tcPr>
                  <w:tcW w:w="3622" w:type="pct"/>
                </w:tcPr>
                <w:p w14:paraId="711B1AC7" w14:textId="77777777" w:rsidR="00E6037B" w:rsidRPr="00067302" w:rsidRDefault="00E6037B" w:rsidP="00FE6580">
                  <w:pPr>
                    <w:pStyle w:val="TableBody"/>
                    <w:rPr>
                      <w:i/>
                    </w:rPr>
                  </w:pPr>
                  <w:r w:rsidRPr="00067302">
                    <w:rPr>
                      <w:i/>
                    </w:rPr>
                    <w:t>RUC Minimum-Energy Revenue by Interval</w:t>
                  </w:r>
                  <w:r w:rsidRPr="00067302">
                    <w:t xml:space="preserve">—The energy revenues for generation of Resource </w:t>
                  </w:r>
                  <w:r w:rsidRPr="00067302">
                    <w:rPr>
                      <w:i/>
                    </w:rPr>
                    <w:t>r</w:t>
                  </w:r>
                  <w:r w:rsidRPr="00067302">
                    <w:t xml:space="preserve"> represented by QSE </w:t>
                  </w:r>
                  <w:r w:rsidRPr="00067302">
                    <w:rPr>
                      <w:i/>
                    </w:rPr>
                    <w:t>q</w:t>
                  </w:r>
                  <w:r w:rsidRPr="00067302">
                    <w:t xml:space="preserve"> up to LSL during all RUC-Committed Hours, for the Settlement Interval </w:t>
                  </w:r>
                  <w:r w:rsidRPr="00067302">
                    <w:rPr>
                      <w:i/>
                    </w:rPr>
                    <w:t>i</w:t>
                  </w:r>
                  <w:r w:rsidRPr="00067302">
                    <w:t>.  When one or more Combined Cycle Generation Resources are committed by RUC, RUC Minimum-Energy Revenue is calculated for the Combined Cycle Train for all RUC-committed Combined Cycle Generation Resources.  During RUCAC-Intervals for a Combined Cycle Train, the minimum energy revenue is calculated as the difference between the minimum energy revenue of the RUC-committed configuration and the QSE-committed configuration.</w:t>
                  </w:r>
                </w:p>
              </w:tc>
            </w:tr>
            <w:tr w:rsidR="00E6037B" w:rsidRPr="00067302" w14:paraId="4B9A5772" w14:textId="77777777" w:rsidTr="00AE5718">
              <w:trPr>
                <w:cantSplit/>
              </w:trPr>
              <w:tc>
                <w:tcPr>
                  <w:tcW w:w="944" w:type="pct"/>
                </w:tcPr>
                <w:p w14:paraId="0B1CF045" w14:textId="77777777" w:rsidR="00E6037B" w:rsidRPr="00067302" w:rsidRDefault="00E6037B" w:rsidP="00FE6580">
                  <w:pPr>
                    <w:pStyle w:val="TableBody"/>
                  </w:pPr>
                  <w:r w:rsidRPr="00067302">
                    <w:t xml:space="preserve">RUCEXRR96 </w:t>
                  </w:r>
                  <w:r w:rsidRPr="00067302">
                    <w:rPr>
                      <w:i/>
                      <w:vertAlign w:val="subscript"/>
                    </w:rPr>
                    <w:t>q, r, i</w:t>
                  </w:r>
                </w:p>
              </w:tc>
              <w:tc>
                <w:tcPr>
                  <w:tcW w:w="434" w:type="pct"/>
                </w:tcPr>
                <w:p w14:paraId="703A3BAA" w14:textId="77777777" w:rsidR="00E6037B" w:rsidRPr="00067302" w:rsidRDefault="00E6037B" w:rsidP="00FE6580">
                  <w:pPr>
                    <w:pStyle w:val="TableBody"/>
                    <w:spacing w:line="360" w:lineRule="auto"/>
                    <w:jc w:val="center"/>
                  </w:pPr>
                  <w:r w:rsidRPr="00067302">
                    <w:t>$</w:t>
                  </w:r>
                </w:p>
              </w:tc>
              <w:tc>
                <w:tcPr>
                  <w:tcW w:w="3622" w:type="pct"/>
                </w:tcPr>
                <w:p w14:paraId="050FD63B" w14:textId="77777777" w:rsidR="00E6037B" w:rsidRPr="00067302" w:rsidRDefault="00E6037B" w:rsidP="00FE6580">
                  <w:pPr>
                    <w:pStyle w:val="TableBody"/>
                    <w:rPr>
                      <w:i/>
                    </w:rPr>
                  </w:pPr>
                  <w:r w:rsidRPr="00067302">
                    <w:rPr>
                      <w:i/>
                    </w:rPr>
                    <w:t>Revenue Less Cost Above LSL During RUC-Committed Hours by Interval</w:t>
                  </w:r>
                  <w:r w:rsidRPr="00067302">
                    <w:t xml:space="preserve">—The total revenue for Resource </w:t>
                  </w:r>
                  <w:r w:rsidRPr="00067302">
                    <w:rPr>
                      <w:i/>
                    </w:rPr>
                    <w:t xml:space="preserve">r </w:t>
                  </w:r>
                  <w:r w:rsidRPr="00067302">
                    <w:t xml:space="preserve">represented by QSE </w:t>
                  </w:r>
                  <w:r w:rsidRPr="00067302">
                    <w:rPr>
                      <w:i/>
                    </w:rPr>
                    <w:t>q</w:t>
                  </w:r>
                  <w:r w:rsidRPr="00067302">
                    <w:t xml:space="preserve"> operating above its LSL less the cost during all RUC-Committed hours, for the Settlement Interval </w:t>
                  </w:r>
                  <w:r w:rsidRPr="00067302">
                    <w:rPr>
                      <w:i/>
                    </w:rPr>
                    <w:t>i</w:t>
                  </w:r>
                  <w:r w:rsidRPr="00067302">
                    <w:t>.  When one or more Combined Cycle Generation Resources are committed by RUC, revenue less cost above LSL is calculated for the Combined Cycle Train for all RUC-committed Combined Cycle Generation Resources.</w:t>
                  </w:r>
                </w:p>
              </w:tc>
            </w:tr>
            <w:tr w:rsidR="00E6037B" w:rsidRPr="00067302" w14:paraId="5C25A960" w14:textId="77777777" w:rsidTr="00AE5718">
              <w:trPr>
                <w:cantSplit/>
              </w:trPr>
              <w:tc>
                <w:tcPr>
                  <w:tcW w:w="944" w:type="pct"/>
                </w:tcPr>
                <w:p w14:paraId="7B198B39" w14:textId="77777777" w:rsidR="00E6037B" w:rsidRPr="00067302" w:rsidRDefault="00E6037B" w:rsidP="00FE6580">
                  <w:pPr>
                    <w:pStyle w:val="TableBody"/>
                  </w:pPr>
                  <w:r w:rsidRPr="00067302">
                    <w:t xml:space="preserve">RUCHR </w:t>
                  </w:r>
                  <w:r w:rsidRPr="00067302">
                    <w:rPr>
                      <w:i/>
                      <w:vertAlign w:val="subscript"/>
                    </w:rPr>
                    <w:t>q, r, d</w:t>
                  </w:r>
                </w:p>
              </w:tc>
              <w:tc>
                <w:tcPr>
                  <w:tcW w:w="434" w:type="pct"/>
                </w:tcPr>
                <w:p w14:paraId="1DFF0F9B" w14:textId="77777777" w:rsidR="00E6037B" w:rsidRPr="00067302" w:rsidRDefault="00E6037B" w:rsidP="00FE6580">
                  <w:pPr>
                    <w:pStyle w:val="TableBody"/>
                    <w:jc w:val="center"/>
                  </w:pPr>
                  <w:r w:rsidRPr="00067302">
                    <w:t>none</w:t>
                  </w:r>
                </w:p>
              </w:tc>
              <w:tc>
                <w:tcPr>
                  <w:tcW w:w="3622" w:type="pct"/>
                </w:tcPr>
                <w:p w14:paraId="5D067790" w14:textId="77777777" w:rsidR="00E6037B" w:rsidRPr="00067302" w:rsidRDefault="00E6037B" w:rsidP="00FE6580">
                  <w:pPr>
                    <w:pStyle w:val="TableBody"/>
                  </w:pPr>
                  <w:r w:rsidRPr="00067302">
                    <w:rPr>
                      <w:i/>
                    </w:rPr>
                    <w:t>RUC Hour</w:t>
                  </w:r>
                  <w:r w:rsidRPr="00067302">
                    <w:t xml:space="preserve">—The total number of RUC-Committed Hours, for Resource </w:t>
                  </w:r>
                  <w:r w:rsidRPr="00067302">
                    <w:rPr>
                      <w:i/>
                    </w:rPr>
                    <w:t>r</w:t>
                  </w:r>
                  <w:r w:rsidRPr="00067302">
                    <w:t xml:space="preserve"> represented by QSE </w:t>
                  </w:r>
                  <w:r w:rsidRPr="00067302">
                    <w:rPr>
                      <w:i/>
                    </w:rPr>
                    <w:t>q</w:t>
                  </w:r>
                  <w:r w:rsidRPr="00067302">
                    <w:t xml:space="preserve"> for the Operating Day</w:t>
                  </w:r>
                  <w:r w:rsidRPr="00067302">
                    <w:rPr>
                      <w:i/>
                    </w:rPr>
                    <w:t xml:space="preserve"> d</w:t>
                  </w:r>
                  <w:r w:rsidRPr="00067302">
                    <w:t>.  When one or more Combined Cycle Generation Resources are committed by RUC, the total number of RUC-Committed Hours is calculated for the Combined Cycle Train for all RUC-committed Combined Cycle Generation Resources.</w:t>
                  </w:r>
                </w:p>
              </w:tc>
            </w:tr>
            <w:tr w:rsidR="00E6037B" w:rsidRPr="00067302" w14:paraId="76649EA4" w14:textId="77777777" w:rsidTr="00AE5718">
              <w:trPr>
                <w:cantSplit/>
              </w:trPr>
              <w:tc>
                <w:tcPr>
                  <w:tcW w:w="944" w:type="pct"/>
                </w:tcPr>
                <w:p w14:paraId="2BDFAE74" w14:textId="77777777" w:rsidR="00E6037B" w:rsidRPr="00067302" w:rsidRDefault="00E6037B" w:rsidP="00FE6580">
                  <w:pPr>
                    <w:pStyle w:val="TableBody"/>
                  </w:pPr>
                  <w:r w:rsidRPr="00067302">
                    <w:rPr>
                      <w:i/>
                    </w:rPr>
                    <w:t>q</w:t>
                  </w:r>
                </w:p>
              </w:tc>
              <w:tc>
                <w:tcPr>
                  <w:tcW w:w="434" w:type="pct"/>
                </w:tcPr>
                <w:p w14:paraId="3F34652B" w14:textId="77777777" w:rsidR="00E6037B" w:rsidRPr="00067302" w:rsidRDefault="00E6037B" w:rsidP="00FE6580">
                  <w:pPr>
                    <w:pStyle w:val="TableBody"/>
                    <w:jc w:val="center"/>
                  </w:pPr>
                  <w:r w:rsidRPr="00067302">
                    <w:t>none</w:t>
                  </w:r>
                </w:p>
              </w:tc>
              <w:tc>
                <w:tcPr>
                  <w:tcW w:w="3622" w:type="pct"/>
                </w:tcPr>
                <w:p w14:paraId="5819F1F8" w14:textId="77777777" w:rsidR="00E6037B" w:rsidRPr="00067302" w:rsidRDefault="00E6037B" w:rsidP="00FE6580">
                  <w:pPr>
                    <w:pStyle w:val="TableBody"/>
                  </w:pPr>
                  <w:r w:rsidRPr="00067302">
                    <w:t>A QSE.</w:t>
                  </w:r>
                </w:p>
              </w:tc>
            </w:tr>
            <w:tr w:rsidR="00E6037B" w:rsidRPr="00067302" w14:paraId="675F293C" w14:textId="77777777" w:rsidTr="00AE5718">
              <w:trPr>
                <w:cantSplit/>
              </w:trPr>
              <w:tc>
                <w:tcPr>
                  <w:tcW w:w="944" w:type="pct"/>
                </w:tcPr>
                <w:p w14:paraId="0D26FAD5" w14:textId="77777777" w:rsidR="00E6037B" w:rsidRPr="00067302" w:rsidRDefault="00E6037B" w:rsidP="00FE6580">
                  <w:pPr>
                    <w:pStyle w:val="TableBody"/>
                  </w:pPr>
                  <w:r w:rsidRPr="00067302">
                    <w:rPr>
                      <w:i/>
                    </w:rPr>
                    <w:t>r</w:t>
                  </w:r>
                </w:p>
              </w:tc>
              <w:tc>
                <w:tcPr>
                  <w:tcW w:w="434" w:type="pct"/>
                </w:tcPr>
                <w:p w14:paraId="2B717D98" w14:textId="77777777" w:rsidR="00E6037B" w:rsidRPr="00067302" w:rsidRDefault="00E6037B" w:rsidP="00FE6580">
                  <w:pPr>
                    <w:pStyle w:val="TableBody"/>
                    <w:jc w:val="center"/>
                  </w:pPr>
                  <w:r w:rsidRPr="00067302">
                    <w:t>none</w:t>
                  </w:r>
                </w:p>
              </w:tc>
              <w:tc>
                <w:tcPr>
                  <w:tcW w:w="3622" w:type="pct"/>
                </w:tcPr>
                <w:p w14:paraId="3BEBFD3F" w14:textId="77777777" w:rsidR="00E6037B" w:rsidRPr="00067302" w:rsidRDefault="00E6037B" w:rsidP="00FE6580">
                  <w:pPr>
                    <w:pStyle w:val="TableBody"/>
                  </w:pPr>
                  <w:r w:rsidRPr="00067302">
                    <w:t>A RUC-committed Generation Resource.</w:t>
                  </w:r>
                </w:p>
              </w:tc>
            </w:tr>
            <w:tr w:rsidR="00E6037B" w:rsidRPr="00067302" w14:paraId="772797E3" w14:textId="77777777" w:rsidTr="00AE5718">
              <w:trPr>
                <w:cantSplit/>
              </w:trPr>
              <w:tc>
                <w:tcPr>
                  <w:tcW w:w="944" w:type="pct"/>
                </w:tcPr>
                <w:p w14:paraId="48BDCA59" w14:textId="77777777" w:rsidR="00E6037B" w:rsidRPr="00067302" w:rsidRDefault="00E6037B" w:rsidP="00FE6580">
                  <w:pPr>
                    <w:pStyle w:val="TableBody"/>
                  </w:pPr>
                  <w:r w:rsidRPr="00067302">
                    <w:rPr>
                      <w:i/>
                    </w:rPr>
                    <w:t>d</w:t>
                  </w:r>
                </w:p>
              </w:tc>
              <w:tc>
                <w:tcPr>
                  <w:tcW w:w="434" w:type="pct"/>
                </w:tcPr>
                <w:p w14:paraId="34089339" w14:textId="77777777" w:rsidR="00E6037B" w:rsidRPr="00067302" w:rsidRDefault="00E6037B" w:rsidP="00FE6580">
                  <w:pPr>
                    <w:pStyle w:val="TableBody"/>
                    <w:jc w:val="center"/>
                  </w:pPr>
                  <w:r w:rsidRPr="00067302">
                    <w:t>none</w:t>
                  </w:r>
                </w:p>
              </w:tc>
              <w:tc>
                <w:tcPr>
                  <w:tcW w:w="3622" w:type="pct"/>
                </w:tcPr>
                <w:p w14:paraId="4804B1D8" w14:textId="77777777" w:rsidR="00E6037B" w:rsidRPr="00067302" w:rsidRDefault="00E6037B" w:rsidP="00FE6580">
                  <w:pPr>
                    <w:pStyle w:val="TableBody"/>
                  </w:pPr>
                  <w:r w:rsidRPr="00067302">
                    <w:t>An Operating Day containing the RUC-commitment.</w:t>
                  </w:r>
                </w:p>
              </w:tc>
            </w:tr>
            <w:tr w:rsidR="00E6037B" w:rsidRPr="00067302" w14:paraId="4FF8647C" w14:textId="77777777" w:rsidTr="00AE5718">
              <w:trPr>
                <w:cantSplit/>
              </w:trPr>
              <w:tc>
                <w:tcPr>
                  <w:tcW w:w="944" w:type="pct"/>
                </w:tcPr>
                <w:p w14:paraId="44FAD94C" w14:textId="77777777" w:rsidR="00E6037B" w:rsidRPr="00067302" w:rsidRDefault="00E6037B" w:rsidP="00FE6580">
                  <w:pPr>
                    <w:pStyle w:val="TableBody"/>
                  </w:pPr>
                  <w:r w:rsidRPr="00067302">
                    <w:rPr>
                      <w:i/>
                    </w:rPr>
                    <w:t>h</w:t>
                  </w:r>
                </w:p>
              </w:tc>
              <w:tc>
                <w:tcPr>
                  <w:tcW w:w="434" w:type="pct"/>
                </w:tcPr>
                <w:p w14:paraId="666F1FEF" w14:textId="77777777" w:rsidR="00E6037B" w:rsidRPr="00067302" w:rsidRDefault="00E6037B" w:rsidP="00FE6580">
                  <w:pPr>
                    <w:pStyle w:val="TableBody"/>
                    <w:jc w:val="center"/>
                  </w:pPr>
                  <w:r w:rsidRPr="00067302">
                    <w:t>none</w:t>
                  </w:r>
                </w:p>
              </w:tc>
              <w:tc>
                <w:tcPr>
                  <w:tcW w:w="3622" w:type="pct"/>
                </w:tcPr>
                <w:p w14:paraId="5029002B" w14:textId="77777777" w:rsidR="00E6037B" w:rsidRPr="00067302" w:rsidRDefault="00E6037B" w:rsidP="00FE6580">
                  <w:pPr>
                    <w:pStyle w:val="TableBody"/>
                  </w:pPr>
                  <w:r w:rsidRPr="00067302">
                    <w:t>An hour in the RUC-commitment period.</w:t>
                  </w:r>
                </w:p>
              </w:tc>
            </w:tr>
            <w:tr w:rsidR="00E6037B" w:rsidRPr="00067302" w14:paraId="2FFF6148" w14:textId="77777777" w:rsidTr="00AE5718">
              <w:trPr>
                <w:cantSplit/>
              </w:trPr>
              <w:tc>
                <w:tcPr>
                  <w:tcW w:w="944" w:type="pct"/>
                </w:tcPr>
                <w:p w14:paraId="0733D459" w14:textId="77777777" w:rsidR="00E6037B" w:rsidRPr="00067302" w:rsidRDefault="00E6037B" w:rsidP="00FE6580">
                  <w:pPr>
                    <w:pStyle w:val="TableBody"/>
                    <w:rPr>
                      <w:i/>
                    </w:rPr>
                  </w:pPr>
                  <w:r w:rsidRPr="00067302">
                    <w:rPr>
                      <w:i/>
                    </w:rPr>
                    <w:t>i</w:t>
                  </w:r>
                </w:p>
              </w:tc>
              <w:tc>
                <w:tcPr>
                  <w:tcW w:w="434" w:type="pct"/>
                </w:tcPr>
                <w:p w14:paraId="6A661200" w14:textId="77777777" w:rsidR="00E6037B" w:rsidRPr="00067302" w:rsidRDefault="00E6037B" w:rsidP="00FE6580">
                  <w:pPr>
                    <w:pStyle w:val="TableBody"/>
                    <w:jc w:val="center"/>
                  </w:pPr>
                  <w:r w:rsidRPr="00067302">
                    <w:t>none</w:t>
                  </w:r>
                </w:p>
              </w:tc>
              <w:tc>
                <w:tcPr>
                  <w:tcW w:w="3622" w:type="pct"/>
                </w:tcPr>
                <w:p w14:paraId="68CD88A0" w14:textId="77777777" w:rsidR="00E6037B" w:rsidRPr="00067302" w:rsidRDefault="00E6037B" w:rsidP="00FE6580">
                  <w:pPr>
                    <w:pStyle w:val="TableBody"/>
                  </w:pPr>
                  <w:r w:rsidRPr="00067302">
                    <w:t>A 15-minute Settlement Interval within the hour that includes a RUCAC instruction.</w:t>
                  </w:r>
                </w:p>
              </w:tc>
            </w:tr>
          </w:tbl>
          <w:p w14:paraId="7343C3FF" w14:textId="77777777" w:rsidR="00E6037B" w:rsidRPr="00067302" w:rsidRDefault="00E6037B" w:rsidP="00FE6580">
            <w:pPr>
              <w:spacing w:after="240"/>
              <w:ind w:left="720" w:hanging="720"/>
              <w:rPr>
                <w:iCs/>
              </w:rPr>
            </w:pPr>
          </w:p>
        </w:tc>
      </w:tr>
    </w:tbl>
    <w:p w14:paraId="6ABB967D" w14:textId="049626DB" w:rsidR="00F80C33" w:rsidRPr="007C113F" w:rsidRDefault="00723BFB" w:rsidP="00D5476E">
      <w:pPr>
        <w:pStyle w:val="H3"/>
        <w:spacing w:before="480"/>
        <w:rPr>
          <w:b/>
          <w:i/>
        </w:rPr>
      </w:pPr>
      <w:r w:rsidRPr="007C113F">
        <w:rPr>
          <w:b/>
          <w:i/>
        </w:rPr>
        <w:lastRenderedPageBreak/>
        <w:t>5.7.3</w:t>
      </w:r>
      <w:r w:rsidRPr="007C113F">
        <w:rPr>
          <w:b/>
          <w:i/>
        </w:rPr>
        <w:tab/>
        <w:t>Payment When ERCOT Decommits a QSE-Committed Resource</w:t>
      </w:r>
      <w:bookmarkEnd w:id="261"/>
      <w:bookmarkEnd w:id="262"/>
      <w:bookmarkEnd w:id="264"/>
      <w:bookmarkEnd w:id="265"/>
      <w:bookmarkEnd w:id="266"/>
      <w:bookmarkEnd w:id="267"/>
      <w:bookmarkEnd w:id="268"/>
      <w:bookmarkEnd w:id="269"/>
      <w:bookmarkEnd w:id="270"/>
      <w:bookmarkEnd w:id="271"/>
      <w:r w:rsidRPr="007C113F">
        <w:rPr>
          <w:b/>
          <w:i/>
        </w:rPr>
        <w:t xml:space="preserve"> </w:t>
      </w:r>
      <w:bookmarkEnd w:id="263"/>
    </w:p>
    <w:p w14:paraId="39892874" w14:textId="77777777" w:rsidR="00F80C33" w:rsidRDefault="00723BFB">
      <w:pPr>
        <w:pStyle w:val="BodyTextNumberedChar"/>
      </w:pPr>
      <w:r>
        <w:t>(1)</w:t>
      </w:r>
      <w:r>
        <w:tab/>
        <w:t xml:space="preserve">If ERCOT decommits a QSE-committed Resource during the RUC process earlier than its scheduled shutdown within the Operating Day, then no compensation is due to the affected QSE from ERCOT. </w:t>
      </w:r>
    </w:p>
    <w:p w14:paraId="5DE1CB52" w14:textId="77777777" w:rsidR="00F80C33" w:rsidRDefault="00723BFB">
      <w:pPr>
        <w:pStyle w:val="BodyTextNumberedChar"/>
      </w:pPr>
      <w:r>
        <w:t>(2)</w:t>
      </w:r>
      <w:r>
        <w:tab/>
        <w:t xml:space="preserve">If ERCOT decommits a QSE committed Resource that is not scheduled to shutdown within the Operating Day, then ERCOT shall pay the affected QSE an amount as calculated below for the hours of decommitment.  The number of continuous decommitted hours used in the calculation are the hours beginning with the first decommitted hour until the earlier of: </w:t>
      </w:r>
    </w:p>
    <w:p w14:paraId="3A41F92F" w14:textId="77777777" w:rsidR="00F80C33" w:rsidRDefault="00723BFB">
      <w:pPr>
        <w:pStyle w:val="List2"/>
      </w:pPr>
      <w:r>
        <w:t>(a)</w:t>
      </w:r>
      <w:r>
        <w:tab/>
        <w:t xml:space="preserve">The hour ERCOT determines that the Resource may again be at LSL; and </w:t>
      </w:r>
    </w:p>
    <w:p w14:paraId="1001453C" w14:textId="77777777" w:rsidR="00F80C33" w:rsidRDefault="00723BFB">
      <w:pPr>
        <w:pStyle w:val="List2"/>
      </w:pPr>
      <w:r>
        <w:t>(b)</w:t>
      </w:r>
      <w:r>
        <w:tab/>
        <w:t xml:space="preserve">The end of the last hour of the Operating Day.  </w:t>
      </w:r>
    </w:p>
    <w:p w14:paraId="1BC9DB60" w14:textId="77777777" w:rsidR="00F80C33" w:rsidRDefault="00723BFB" w:rsidP="00736FA5">
      <w:pPr>
        <w:pStyle w:val="List2"/>
        <w:ind w:left="720"/>
      </w:pPr>
      <w:r>
        <w:lastRenderedPageBreak/>
        <w:t>(3)</w:t>
      </w:r>
      <w:r>
        <w:tab/>
        <w:t xml:space="preserve">If ERCOT decommits a QSE-committed Resource not scheduled to shutdown within the Operating Day, and the decommitment period spans more than one Operating Day, the RUC Decommitment Payment </w:t>
      </w:r>
      <w:r w:rsidR="00D95AAD">
        <w:t xml:space="preserve">Amount </w:t>
      </w:r>
      <w:r>
        <w:t xml:space="preserve">shall be calculated and paid in the Operating Day in which the RUC </w:t>
      </w:r>
      <w:r w:rsidR="00C84291">
        <w:t>d</w:t>
      </w:r>
      <w:r>
        <w:t xml:space="preserve">ecommitment originated.  The number of continuous decommitted hours used in the calculation are the hours beginning with the first decommitted hour until the end of the last hour of the Operating Day in which the RUC </w:t>
      </w:r>
      <w:r w:rsidR="00C84291">
        <w:t>d</w:t>
      </w:r>
      <w:r>
        <w:t>ecommitment originated.</w:t>
      </w:r>
    </w:p>
    <w:p w14:paraId="29F1BDC7" w14:textId="77777777" w:rsidR="00050FE9" w:rsidRPr="00021FD9" w:rsidRDefault="00050FE9" w:rsidP="00736FA5">
      <w:pPr>
        <w:pStyle w:val="List2"/>
        <w:ind w:left="720"/>
        <w:rPr>
          <w:szCs w:val="24"/>
        </w:rPr>
      </w:pPr>
      <w:r w:rsidRPr="00CC3BD8">
        <w:t>(4)</w:t>
      </w:r>
      <w:r w:rsidRPr="00CC3BD8">
        <w:tab/>
      </w:r>
      <w:r w:rsidRPr="00CC3BD8">
        <w:rPr>
          <w:szCs w:val="24"/>
        </w:rPr>
        <w:t>The payment for a RUC Cancellation instruction for a Resource</w:t>
      </w:r>
      <w:r w:rsidRPr="00CC3BD8">
        <w:rPr>
          <w:rStyle w:val="CharCharCharChar"/>
          <w:iCs w:val="0"/>
          <w:szCs w:val="24"/>
        </w:rPr>
        <w:t xml:space="preserve"> is settled </w:t>
      </w:r>
      <w:r w:rsidRPr="00CC3BD8">
        <w:rPr>
          <w:szCs w:val="24"/>
        </w:rPr>
        <w:t xml:space="preserve">for each hour </w:t>
      </w:r>
      <w:r w:rsidRPr="00021FD9">
        <w:rPr>
          <w:szCs w:val="24"/>
        </w:rPr>
        <w:t xml:space="preserve">through an adjustment in the RUC Decommitment Payment </w:t>
      </w:r>
      <w:r w:rsidR="00D95AAD">
        <w:rPr>
          <w:szCs w:val="24"/>
        </w:rPr>
        <w:t xml:space="preserve">Amount </w:t>
      </w:r>
      <w:r w:rsidRPr="00021FD9">
        <w:rPr>
          <w:szCs w:val="24"/>
        </w:rPr>
        <w:t>as shown in paragraph (</w:t>
      </w:r>
      <w:r w:rsidR="001134B8">
        <w:rPr>
          <w:szCs w:val="24"/>
        </w:rPr>
        <w:t>8</w:t>
      </w:r>
      <w:r w:rsidRPr="00021FD9">
        <w:rPr>
          <w:szCs w:val="24"/>
        </w:rPr>
        <w:t>) below.</w:t>
      </w:r>
    </w:p>
    <w:p w14:paraId="3A0A5535" w14:textId="77777777" w:rsidR="00050FE9" w:rsidRDefault="00050FE9" w:rsidP="00736FA5">
      <w:pPr>
        <w:pStyle w:val="List2"/>
        <w:ind w:left="720"/>
      </w:pPr>
      <w:r>
        <w:t>(5)</w:t>
      </w:r>
      <w:r>
        <w:tab/>
      </w:r>
      <w:r w:rsidRPr="00021FD9">
        <w:t>ERCOT</w:t>
      </w:r>
      <w:r>
        <w:t xml:space="preserve"> shall produce a report each April that provides the percentage of the RUC Decommitment Payment</w:t>
      </w:r>
      <w:r w:rsidR="00D95AAD">
        <w:t xml:space="preserve"> Amount</w:t>
      </w:r>
      <w:r>
        <w:t xml:space="preserve">s that are a result of RUC cancellations during the 12 months of the previous calendar year.  The report shall be based on the Final Settlements.  ERCOT shall present the results of this study to the appropriate </w:t>
      </w:r>
      <w:r w:rsidR="00C84291">
        <w:t>Technical Advisory Committee (</w:t>
      </w:r>
      <w:r>
        <w:t>TAC</w:t>
      </w:r>
      <w:r w:rsidR="00C84291">
        <w:t>)</w:t>
      </w:r>
      <w:r>
        <w:t xml:space="preserve"> subcommittee.</w:t>
      </w:r>
      <w:r w:rsidR="0026394E" w:rsidRPr="0026394E">
        <w:rPr>
          <w:iCs/>
        </w:rPr>
        <w:t xml:space="preserve"> </w:t>
      </w:r>
      <w:r w:rsidR="0026394E">
        <w:rPr>
          <w:iCs/>
        </w:rPr>
        <w:t xml:space="preserve"> </w:t>
      </w:r>
      <w:r w:rsidR="0026394E" w:rsidRPr="00072678">
        <w:rPr>
          <w:iCs/>
        </w:rPr>
        <w:t xml:space="preserve">If there are no </w:t>
      </w:r>
      <w:r w:rsidR="0026394E">
        <w:t>RUC Decommitment Payment Amounts</w:t>
      </w:r>
      <w:r w:rsidR="0026394E" w:rsidRPr="00072678">
        <w:rPr>
          <w:iCs/>
        </w:rPr>
        <w:t xml:space="preserve"> for a given calendar year</w:t>
      </w:r>
      <w:r w:rsidR="0026394E">
        <w:rPr>
          <w:iCs/>
        </w:rPr>
        <w:t>,</w:t>
      </w:r>
      <w:r w:rsidR="0026394E" w:rsidRPr="00072678">
        <w:rPr>
          <w:iCs/>
        </w:rPr>
        <w:t xml:space="preserve"> then ERCOT </w:t>
      </w:r>
      <w:r w:rsidR="0026394E">
        <w:rPr>
          <w:iCs/>
        </w:rPr>
        <w:t xml:space="preserve">will not be required to </w:t>
      </w:r>
      <w:r w:rsidR="0026394E" w:rsidRPr="00072678">
        <w:rPr>
          <w:iCs/>
        </w:rPr>
        <w:t xml:space="preserve">produce the </w:t>
      </w:r>
      <w:r w:rsidR="0026394E">
        <w:rPr>
          <w:iCs/>
        </w:rPr>
        <w:t xml:space="preserve">annual </w:t>
      </w:r>
      <w:r w:rsidR="0026394E" w:rsidRPr="00072678">
        <w:rPr>
          <w:iCs/>
        </w:rPr>
        <w:t>report</w:t>
      </w:r>
      <w:r w:rsidR="0026394E">
        <w:rPr>
          <w:iCs/>
        </w:rPr>
        <w:t>.</w:t>
      </w:r>
      <w:r>
        <w:t xml:space="preserve"> </w:t>
      </w:r>
    </w:p>
    <w:p w14:paraId="3973AAE5" w14:textId="77777777" w:rsidR="00D95AAD" w:rsidRDefault="00D95AAD" w:rsidP="00736FA5">
      <w:pPr>
        <w:pStyle w:val="List2"/>
        <w:ind w:left="720"/>
      </w:pPr>
      <w:r>
        <w:t>(6)</w:t>
      </w:r>
      <w:r>
        <w:tab/>
        <w:t xml:space="preserve">The SUPR, MEPR and LSL used to calculate payment when ERCOT decommits a QSE-committed Combined Cycle Train is the SUPR, MEPR and LSL that corresponds to the Combined Cycle Generation Resource, within the Combined Cycle Train, that is RUC-decommitted in the first hour of a contiguous decommitted period. </w:t>
      </w:r>
    </w:p>
    <w:p w14:paraId="256FE876" w14:textId="77777777" w:rsidR="001A6D3F" w:rsidRDefault="001A6D3F" w:rsidP="00736FA5">
      <w:pPr>
        <w:pStyle w:val="List2"/>
        <w:ind w:left="720"/>
      </w:pPr>
      <w:r w:rsidRPr="009E5389">
        <w:t>(7)</w:t>
      </w:r>
      <w:r w:rsidRPr="009E5389">
        <w:tab/>
        <w:t xml:space="preserve">If the SUPR used to calculate payment when ERCOT decommits a QSE-committed AGR is based upon approved </w:t>
      </w:r>
      <w:r w:rsidR="00FE1692">
        <w:t>v</w:t>
      </w:r>
      <w:r w:rsidRPr="009E5389">
        <w:t xml:space="preserve">erifiable </w:t>
      </w:r>
      <w:r w:rsidR="00FE1692">
        <w:t>c</w:t>
      </w:r>
      <w:r w:rsidRPr="009E5389">
        <w:t xml:space="preserve">ost for </w:t>
      </w:r>
      <w:proofErr w:type="gramStart"/>
      <w:r w:rsidRPr="009E5389">
        <w:t>all of</w:t>
      </w:r>
      <w:proofErr w:type="gramEnd"/>
      <w:r w:rsidRPr="009E5389">
        <w:t xml:space="preserve"> the generators associated with the AGR, ERCOT shall scale the startup payment according to the number of generators of the AGR that started following the decommitment.  ERCOT shall make the adjustment no later than on Final Settlement.</w:t>
      </w:r>
    </w:p>
    <w:p w14:paraId="5135C577" w14:textId="77777777" w:rsidR="00F80C33" w:rsidRDefault="00723BFB" w:rsidP="00736FA5">
      <w:pPr>
        <w:pStyle w:val="List2"/>
        <w:ind w:left="720"/>
      </w:pPr>
      <w:r>
        <w:t>(</w:t>
      </w:r>
      <w:r w:rsidR="00326421">
        <w:t>8</w:t>
      </w:r>
      <w:r>
        <w:t>)</w:t>
      </w:r>
      <w:r>
        <w:tab/>
        <w:t>The payment for a RUC decommitment instruction for a Resource</w:t>
      </w:r>
      <w:r>
        <w:rPr>
          <w:rStyle w:val="CharCharCharChar"/>
          <w:iCs w:val="0"/>
        </w:rPr>
        <w:t xml:space="preserve">, including RMR </w:t>
      </w:r>
      <w:r w:rsidR="00D95AAD">
        <w:rPr>
          <w:rStyle w:val="CharCharCharChar"/>
          <w:iCs w:val="0"/>
        </w:rPr>
        <w:t>U</w:t>
      </w:r>
      <w:r>
        <w:rPr>
          <w:rStyle w:val="CharCharCharChar"/>
          <w:iCs w:val="0"/>
        </w:rPr>
        <w:t>nits,</w:t>
      </w:r>
      <w:r>
        <w:t xml:space="preserve"> is calculated for each hour as follows:</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291B10" w:rsidRPr="004B32CF" w14:paraId="6B946517" w14:textId="77777777" w:rsidTr="005314CE">
        <w:trPr>
          <w:trHeight w:val="1205"/>
        </w:trPr>
        <w:tc>
          <w:tcPr>
            <w:tcW w:w="9350" w:type="dxa"/>
            <w:shd w:val="pct12" w:color="auto" w:fill="auto"/>
          </w:tcPr>
          <w:p w14:paraId="7BDCD68A" w14:textId="46B1B1E0" w:rsidR="00291B10" w:rsidRPr="004B32CF" w:rsidRDefault="00291B10" w:rsidP="005314CE">
            <w:pPr>
              <w:spacing w:after="240"/>
              <w:rPr>
                <w:b/>
                <w:i/>
                <w:iCs/>
              </w:rPr>
            </w:pPr>
            <w:r>
              <w:rPr>
                <w:b/>
                <w:i/>
                <w:iCs/>
              </w:rPr>
              <w:t>[NPRR1014</w:t>
            </w:r>
            <w:r w:rsidRPr="004B32CF">
              <w:rPr>
                <w:b/>
                <w:i/>
                <w:iCs/>
              </w:rPr>
              <w:t xml:space="preserve">:  </w:t>
            </w:r>
            <w:r>
              <w:rPr>
                <w:b/>
                <w:i/>
                <w:iCs/>
              </w:rPr>
              <w:t>Replace paragraph (8</w:t>
            </w:r>
            <w:r w:rsidRPr="004B32CF">
              <w:rPr>
                <w:b/>
                <w:i/>
                <w:iCs/>
              </w:rPr>
              <w:t xml:space="preserve">) </w:t>
            </w:r>
            <w:r>
              <w:rPr>
                <w:b/>
                <w:i/>
                <w:iCs/>
              </w:rPr>
              <w:t>above with the following</w:t>
            </w:r>
            <w:r w:rsidRPr="004B32CF">
              <w:rPr>
                <w:b/>
                <w:i/>
                <w:iCs/>
              </w:rPr>
              <w:t xml:space="preserve"> upon system implementation:]</w:t>
            </w:r>
          </w:p>
          <w:p w14:paraId="621F733A" w14:textId="2ACE916F" w:rsidR="00291B10" w:rsidRPr="00291B10" w:rsidRDefault="00291B10" w:rsidP="00327CC5">
            <w:pPr>
              <w:spacing w:after="240"/>
              <w:ind w:left="720" w:hanging="720"/>
            </w:pPr>
            <w:r w:rsidRPr="00A552C3">
              <w:t>(8)</w:t>
            </w:r>
            <w:r w:rsidRPr="00A552C3">
              <w:tab/>
              <w:t>The payment for a RUC decommitment instruction for a Resource, including RMR Units and excluding ESRs, is calculated for each hour as follows:</w:t>
            </w:r>
          </w:p>
        </w:tc>
      </w:tr>
    </w:tbl>
    <w:p w14:paraId="16E554D4" w14:textId="77777777" w:rsidR="00F80C33" w:rsidRDefault="00723BFB" w:rsidP="00C078A2">
      <w:pPr>
        <w:pStyle w:val="FormulaBold"/>
      </w:pPr>
      <w:proofErr w:type="spellStart"/>
      <w:r>
        <w:t>RUCDCAMT</w:t>
      </w:r>
      <w:r>
        <w:rPr>
          <w:i/>
          <w:vertAlign w:val="subscript"/>
        </w:rPr>
        <w:t>q,r,h</w:t>
      </w:r>
      <w:proofErr w:type="spellEnd"/>
      <w:r>
        <w:tab/>
        <w:t>=</w:t>
      </w:r>
      <w:r>
        <w:tab/>
        <w:t>(-1) * Max (0, (</w:t>
      </w:r>
      <w:proofErr w:type="spellStart"/>
      <w:r>
        <w:t>SUPR</w:t>
      </w:r>
      <w:r>
        <w:rPr>
          <w:i/>
          <w:vertAlign w:val="subscript"/>
        </w:rPr>
        <w:t>q,r,s</w:t>
      </w:r>
      <w:proofErr w:type="spellEnd"/>
      <w:r>
        <w:t xml:space="preserve"> - </w:t>
      </w:r>
      <w:r w:rsidR="00F80C33" w:rsidRPr="00F80C33">
        <w:rPr>
          <w:position w:val="-20"/>
        </w:rPr>
        <w:object w:dxaOrig="220" w:dyaOrig="440" w14:anchorId="68EC06C0">
          <v:shape id="_x0000_i1038" type="#_x0000_t75" style="width:9.6pt;height:22.8pt" o:ole="">
            <v:imagedata r:id="rId30" o:title=""/>
          </v:shape>
          <o:OLEObject Type="Embed" ProgID="Equation.3" ShapeID="_x0000_i1038" DrawAspect="Content" ObjectID="_1775281568" r:id="rId37"/>
        </w:object>
      </w:r>
      <w:r>
        <w:t xml:space="preserve">(Max (0, </w:t>
      </w:r>
      <w:proofErr w:type="spellStart"/>
      <w:r>
        <w:t>MEPR</w:t>
      </w:r>
      <w:r>
        <w:rPr>
          <w:i/>
          <w:vertAlign w:val="subscript"/>
        </w:rPr>
        <w:t>q,r,i</w:t>
      </w:r>
      <w:proofErr w:type="spellEnd"/>
      <w:r>
        <w:t xml:space="preserve"> - </w:t>
      </w:r>
      <w:proofErr w:type="spellStart"/>
      <w:r>
        <w:t>RTSPP</w:t>
      </w:r>
      <w:r>
        <w:rPr>
          <w:i/>
          <w:vertAlign w:val="subscript"/>
        </w:rPr>
        <w:t>p,i</w:t>
      </w:r>
      <w:proofErr w:type="spellEnd"/>
      <w:r>
        <w:t>) * (</w:t>
      </w:r>
      <w:proofErr w:type="spellStart"/>
      <w:r>
        <w:t>LSL</w:t>
      </w:r>
      <w:r>
        <w:rPr>
          <w:i/>
          <w:vertAlign w:val="subscript"/>
        </w:rPr>
        <w:t>q,r,i</w:t>
      </w:r>
      <w:proofErr w:type="spellEnd"/>
      <w:r>
        <w:t xml:space="preserve"> * (¼))))) / </w:t>
      </w:r>
      <w:proofErr w:type="spellStart"/>
      <w:r>
        <w:t>NCDCHR</w:t>
      </w:r>
      <w:r>
        <w:rPr>
          <w:i/>
          <w:vertAlign w:val="subscript"/>
        </w:rPr>
        <w:t>q,r,h</w:t>
      </w:r>
      <w:proofErr w:type="spellEnd"/>
      <w:r>
        <w:t xml:space="preserve">  </w:t>
      </w:r>
    </w:p>
    <w:p w14:paraId="76F40062" w14:textId="77777777" w:rsidR="00E260F3" w:rsidRDefault="00723BFB">
      <w:pPr>
        <w:spacing w:after="240"/>
        <w:ind w:left="720"/>
      </w:pPr>
      <w:r>
        <w:t>Where:</w:t>
      </w:r>
    </w:p>
    <w:p w14:paraId="09BFB8B9" w14:textId="77777777" w:rsidR="00F80C33" w:rsidRDefault="00723BFB" w:rsidP="0063616C">
      <w:pPr>
        <w:pStyle w:val="Formula"/>
        <w:rPr>
          <w:i/>
        </w:rPr>
      </w:pPr>
      <w:r>
        <w:t>If the QSE submitted a validated Three-Part Supply Offer</w:t>
      </w:r>
      <w:r w:rsidR="0094334F">
        <w:t xml:space="preserve"> for the Resource</w:t>
      </w:r>
      <w:r>
        <w:rPr>
          <w:i/>
        </w:rPr>
        <w:t xml:space="preserve">, </w:t>
      </w:r>
    </w:p>
    <w:p w14:paraId="1B1E5445" w14:textId="77777777" w:rsidR="00F80C33" w:rsidRDefault="00723BFB">
      <w:pPr>
        <w:pStyle w:val="Formula"/>
      </w:pPr>
      <w:r>
        <w:lastRenderedPageBreak/>
        <w:t xml:space="preserve">Then, </w:t>
      </w:r>
      <w:r>
        <w:tab/>
      </w:r>
      <w:r>
        <w:tab/>
      </w:r>
      <w:proofErr w:type="spellStart"/>
      <w:r>
        <w:t>SUPR</w:t>
      </w:r>
      <w:r>
        <w:rPr>
          <w:i/>
          <w:vertAlign w:val="subscript"/>
        </w:rPr>
        <w:t>q,r,s</w:t>
      </w:r>
      <w:proofErr w:type="spellEnd"/>
      <w:r>
        <w:tab/>
        <w:t>=</w:t>
      </w:r>
      <w:r>
        <w:tab/>
      </w:r>
      <w:r w:rsidR="00610129" w:rsidRPr="006A7952">
        <w:t>Min</w:t>
      </w:r>
      <w:r w:rsidR="00216E76">
        <w:rPr>
          <w:lang w:val="en-US"/>
        </w:rPr>
        <w:t xml:space="preserve"> </w:t>
      </w:r>
      <w:r w:rsidR="00610129" w:rsidRPr="006A7952">
        <w:t>(</w:t>
      </w:r>
      <w:proofErr w:type="spellStart"/>
      <w:r>
        <w:t>SUO</w:t>
      </w:r>
      <w:r>
        <w:rPr>
          <w:i/>
          <w:vertAlign w:val="subscript"/>
        </w:rPr>
        <w:t>q,r,s</w:t>
      </w:r>
      <w:proofErr w:type="spellEnd"/>
      <w:r w:rsidR="00610129" w:rsidRPr="006A7952">
        <w:t xml:space="preserve">, SUCAP </w:t>
      </w:r>
      <w:proofErr w:type="spellStart"/>
      <w:r w:rsidR="00610129" w:rsidRPr="006A7952">
        <w:rPr>
          <w:i/>
          <w:vertAlign w:val="subscript"/>
        </w:rPr>
        <w:t>q,r,s</w:t>
      </w:r>
      <w:proofErr w:type="spellEnd"/>
      <w:r w:rsidR="00610129" w:rsidRPr="006A7952">
        <w:t>)</w:t>
      </w:r>
    </w:p>
    <w:p w14:paraId="7593A458" w14:textId="77777777" w:rsidR="00F80C33" w:rsidRDefault="00723BFB">
      <w:pPr>
        <w:pStyle w:val="Formula"/>
      </w:pPr>
      <w:r>
        <w:tab/>
      </w:r>
      <w:r>
        <w:tab/>
      </w:r>
      <w:proofErr w:type="spellStart"/>
      <w:r>
        <w:t>MEPR</w:t>
      </w:r>
      <w:r>
        <w:rPr>
          <w:i/>
          <w:vertAlign w:val="subscript"/>
        </w:rPr>
        <w:t>q,r,i</w:t>
      </w:r>
      <w:proofErr w:type="spellEnd"/>
      <w:r>
        <w:tab/>
        <w:t>=</w:t>
      </w:r>
      <w:r>
        <w:tab/>
      </w:r>
      <w:r w:rsidR="00610129" w:rsidRPr="006A7952">
        <w:t>Min</w:t>
      </w:r>
      <w:r w:rsidR="00216E76">
        <w:rPr>
          <w:lang w:val="en-US"/>
        </w:rPr>
        <w:t xml:space="preserve"> </w:t>
      </w:r>
      <w:r w:rsidR="00610129" w:rsidRPr="006A7952">
        <w:t>(</w:t>
      </w:r>
      <w:proofErr w:type="spellStart"/>
      <w:r>
        <w:t>MEO</w:t>
      </w:r>
      <w:r>
        <w:rPr>
          <w:i/>
          <w:vertAlign w:val="subscript"/>
        </w:rPr>
        <w:t>q,r,i</w:t>
      </w:r>
      <w:proofErr w:type="spellEnd"/>
      <w:r w:rsidR="00610129" w:rsidRPr="006A7952">
        <w:t xml:space="preserve">, MECAP </w:t>
      </w:r>
      <w:proofErr w:type="spellStart"/>
      <w:r w:rsidR="00610129" w:rsidRPr="006A7952">
        <w:rPr>
          <w:i/>
          <w:vertAlign w:val="subscript"/>
        </w:rPr>
        <w:t>q,r,i</w:t>
      </w:r>
      <w:proofErr w:type="spellEnd"/>
      <w:r w:rsidR="00610129" w:rsidRPr="006A7952">
        <w:t>)</w:t>
      </w:r>
    </w:p>
    <w:p w14:paraId="3C14B689" w14:textId="77777777" w:rsidR="00F80C33" w:rsidRDefault="00723BFB">
      <w:pPr>
        <w:pStyle w:val="Formula"/>
      </w:pPr>
      <w:r>
        <w:t xml:space="preserve">Otherwise, </w:t>
      </w:r>
      <w:r>
        <w:tab/>
      </w:r>
      <w:proofErr w:type="spellStart"/>
      <w:r>
        <w:t>SUPR</w:t>
      </w:r>
      <w:r>
        <w:rPr>
          <w:i/>
          <w:vertAlign w:val="subscript"/>
        </w:rPr>
        <w:t>q,r,s</w:t>
      </w:r>
      <w:proofErr w:type="spellEnd"/>
      <w:r>
        <w:t xml:space="preserve"> </w:t>
      </w:r>
      <w:r>
        <w:tab/>
        <w:t xml:space="preserve">= </w:t>
      </w:r>
      <w:r>
        <w:tab/>
      </w:r>
      <w:proofErr w:type="spellStart"/>
      <w:r>
        <w:t>SUCAP</w:t>
      </w:r>
      <w:r>
        <w:rPr>
          <w:i/>
          <w:vertAlign w:val="subscript"/>
        </w:rPr>
        <w:t>q,r,s</w:t>
      </w:r>
      <w:proofErr w:type="spellEnd"/>
    </w:p>
    <w:p w14:paraId="01AB7546" w14:textId="77777777" w:rsidR="00F80C33" w:rsidRDefault="00723BFB">
      <w:pPr>
        <w:pStyle w:val="Formula"/>
      </w:pPr>
      <w:r>
        <w:tab/>
      </w:r>
      <w:r>
        <w:tab/>
      </w:r>
      <w:proofErr w:type="spellStart"/>
      <w:r>
        <w:t>MEPR</w:t>
      </w:r>
      <w:r>
        <w:rPr>
          <w:i/>
          <w:vertAlign w:val="subscript"/>
        </w:rPr>
        <w:t>q,r,i</w:t>
      </w:r>
      <w:proofErr w:type="spellEnd"/>
      <w:r>
        <w:t xml:space="preserve"> </w:t>
      </w:r>
      <w:r>
        <w:tab/>
        <w:t xml:space="preserve">= </w:t>
      </w:r>
      <w:r>
        <w:tab/>
      </w:r>
      <w:proofErr w:type="spellStart"/>
      <w:r>
        <w:t>MECAP</w:t>
      </w:r>
      <w:r>
        <w:rPr>
          <w:i/>
          <w:vertAlign w:val="subscript"/>
        </w:rPr>
        <w:t>q,r,i</w:t>
      </w:r>
      <w:proofErr w:type="spellEnd"/>
    </w:p>
    <w:p w14:paraId="29BEA731" w14:textId="77777777" w:rsidR="00D95AAD" w:rsidRDefault="00D95AAD">
      <w:pPr>
        <w:pStyle w:val="Formula"/>
      </w:pPr>
      <w:r>
        <w:t>If ERCOT has approved verifiable Startup Costs and minimum-energy costs for the Resource,</w:t>
      </w:r>
    </w:p>
    <w:p w14:paraId="1220D574" w14:textId="77777777" w:rsidR="00F80C33" w:rsidRDefault="00723BFB">
      <w:pPr>
        <w:pStyle w:val="Formula"/>
      </w:pPr>
      <w:r>
        <w:t xml:space="preserve">Then, </w:t>
      </w:r>
      <w:r>
        <w:tab/>
      </w:r>
      <w:r>
        <w:tab/>
      </w:r>
      <w:proofErr w:type="spellStart"/>
      <w:r>
        <w:t>SUCAP</w:t>
      </w:r>
      <w:r>
        <w:rPr>
          <w:i/>
          <w:vertAlign w:val="subscript"/>
        </w:rPr>
        <w:t>q,r,s</w:t>
      </w:r>
      <w:proofErr w:type="spellEnd"/>
      <w:r>
        <w:tab/>
        <w:t>=</w:t>
      </w:r>
      <w:r>
        <w:tab/>
        <w:t xml:space="preserve">verifiable </w:t>
      </w:r>
      <w:r w:rsidR="00D95AAD">
        <w:t>S</w:t>
      </w:r>
      <w:r>
        <w:t xml:space="preserve">tartup </w:t>
      </w:r>
      <w:proofErr w:type="spellStart"/>
      <w:r w:rsidR="00D95AAD">
        <w:t>C</w:t>
      </w:r>
      <w:r>
        <w:t>osts</w:t>
      </w:r>
      <w:r>
        <w:rPr>
          <w:i/>
          <w:vertAlign w:val="subscript"/>
        </w:rPr>
        <w:t>q,r,s</w:t>
      </w:r>
      <w:proofErr w:type="spellEnd"/>
    </w:p>
    <w:p w14:paraId="10A974AC" w14:textId="77777777" w:rsidR="00F80C33" w:rsidRDefault="00723BFB">
      <w:pPr>
        <w:pStyle w:val="Formula"/>
      </w:pPr>
      <w:r>
        <w:tab/>
      </w:r>
      <w:r>
        <w:tab/>
      </w:r>
      <w:proofErr w:type="spellStart"/>
      <w:r>
        <w:t>MECAP</w:t>
      </w:r>
      <w:r>
        <w:rPr>
          <w:i/>
          <w:vertAlign w:val="subscript"/>
        </w:rPr>
        <w:t>q,r,i</w:t>
      </w:r>
      <w:proofErr w:type="spellEnd"/>
      <w:r>
        <w:tab/>
        <w:t>=</w:t>
      </w:r>
      <w:r>
        <w:tab/>
        <w:t xml:space="preserve">verifiable minimum-energy </w:t>
      </w:r>
      <w:proofErr w:type="spellStart"/>
      <w:r>
        <w:t>costs</w:t>
      </w:r>
      <w:r>
        <w:rPr>
          <w:i/>
          <w:vertAlign w:val="subscript"/>
        </w:rPr>
        <w:t>q,r,i</w:t>
      </w:r>
      <w:proofErr w:type="spellEnd"/>
    </w:p>
    <w:p w14:paraId="4FEDA06F" w14:textId="77777777" w:rsidR="00F80C33" w:rsidRDefault="00723BFB">
      <w:pPr>
        <w:pStyle w:val="Formula"/>
      </w:pPr>
      <w:r>
        <w:t xml:space="preserve">Otherwise, </w:t>
      </w:r>
      <w:r>
        <w:tab/>
      </w:r>
      <w:proofErr w:type="spellStart"/>
      <w:r>
        <w:t>SUCAP</w:t>
      </w:r>
      <w:r>
        <w:rPr>
          <w:i/>
          <w:vertAlign w:val="subscript"/>
        </w:rPr>
        <w:t>q,r,s</w:t>
      </w:r>
      <w:proofErr w:type="spellEnd"/>
      <w:r>
        <w:t xml:space="preserve"> </w:t>
      </w:r>
      <w:r>
        <w:tab/>
        <w:t xml:space="preserve">= </w:t>
      </w:r>
      <w:r>
        <w:tab/>
        <w:t>RCGSC</w:t>
      </w:r>
      <w:r>
        <w:rPr>
          <w:i/>
          <w:vertAlign w:val="subscript"/>
        </w:rPr>
        <w:t>s</w:t>
      </w:r>
    </w:p>
    <w:p w14:paraId="6A3093C5" w14:textId="77777777" w:rsidR="00F80C33" w:rsidRDefault="00723BFB">
      <w:pPr>
        <w:pStyle w:val="Formula"/>
      </w:pPr>
      <w:r>
        <w:tab/>
      </w:r>
      <w:r>
        <w:tab/>
      </w:r>
      <w:proofErr w:type="spellStart"/>
      <w:r>
        <w:t>MECAP</w:t>
      </w:r>
      <w:r>
        <w:rPr>
          <w:i/>
          <w:vertAlign w:val="subscript"/>
        </w:rPr>
        <w:t>q,r,i</w:t>
      </w:r>
      <w:proofErr w:type="spellEnd"/>
      <w:r>
        <w:tab/>
        <w:t xml:space="preserve">= </w:t>
      </w:r>
      <w:r>
        <w:tab/>
      </w:r>
      <w:proofErr w:type="spellStart"/>
      <w:r>
        <w:t>RCGMEC</w:t>
      </w:r>
      <w:r>
        <w:rPr>
          <w:i/>
          <w:vertAlign w:val="subscript"/>
        </w:rPr>
        <w:t>i</w:t>
      </w:r>
      <w:proofErr w:type="spellEnd"/>
    </w:p>
    <w:p w14:paraId="64A1D76A" w14:textId="77777777" w:rsidR="00E2667F" w:rsidRDefault="00723BFB">
      <w:pPr>
        <w:pStyle w:val="BodyText"/>
        <w:spacing w:after="0"/>
      </w:pPr>
      <w:r>
        <w:t>The above variables are defined as follows:</w:t>
      </w:r>
    </w:p>
    <w:tbl>
      <w:tblPr>
        <w:tblW w:w="95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990"/>
        <w:gridCol w:w="6953"/>
      </w:tblGrid>
      <w:tr w:rsidR="00F80C33" w14:paraId="00DA1A5F" w14:textId="77777777" w:rsidTr="00B35973">
        <w:trPr>
          <w:cantSplit/>
          <w:tblHeader/>
        </w:trPr>
        <w:tc>
          <w:tcPr>
            <w:tcW w:w="1638" w:type="dxa"/>
            <w:vAlign w:val="bottom"/>
          </w:tcPr>
          <w:p w14:paraId="2FD1D819" w14:textId="77777777" w:rsidR="00F80C33" w:rsidRDefault="00723BFB">
            <w:pPr>
              <w:pStyle w:val="TableHead"/>
            </w:pPr>
            <w:r>
              <w:t>Variable</w:t>
            </w:r>
          </w:p>
        </w:tc>
        <w:tc>
          <w:tcPr>
            <w:tcW w:w="990" w:type="dxa"/>
          </w:tcPr>
          <w:p w14:paraId="205C01B6" w14:textId="77777777" w:rsidR="00F80C33" w:rsidRDefault="00723BFB" w:rsidP="00B34C5D">
            <w:pPr>
              <w:pStyle w:val="TableHead"/>
              <w:jc w:val="center"/>
            </w:pPr>
            <w:r>
              <w:t>Unit</w:t>
            </w:r>
          </w:p>
        </w:tc>
        <w:tc>
          <w:tcPr>
            <w:tcW w:w="6953" w:type="dxa"/>
            <w:vAlign w:val="bottom"/>
          </w:tcPr>
          <w:p w14:paraId="04BA79AA" w14:textId="77777777" w:rsidR="00F80C33" w:rsidRDefault="00723BFB">
            <w:pPr>
              <w:pStyle w:val="TableHead"/>
            </w:pPr>
            <w:r>
              <w:t>Definition</w:t>
            </w:r>
          </w:p>
        </w:tc>
      </w:tr>
      <w:tr w:rsidR="00F80C33" w14:paraId="656FDC26" w14:textId="77777777" w:rsidTr="00B35973">
        <w:trPr>
          <w:cantSplit/>
        </w:trPr>
        <w:tc>
          <w:tcPr>
            <w:tcW w:w="1638" w:type="dxa"/>
          </w:tcPr>
          <w:p w14:paraId="4A32570C" w14:textId="77777777" w:rsidR="00F80C33" w:rsidRDefault="00723BFB">
            <w:pPr>
              <w:pStyle w:val="TableBody"/>
            </w:pPr>
            <w:proofErr w:type="spellStart"/>
            <w:r>
              <w:t>RUCDCAMT</w:t>
            </w:r>
            <w:r w:rsidRPr="00B34C5D">
              <w:rPr>
                <w:i/>
                <w:vertAlign w:val="subscript"/>
              </w:rPr>
              <w:t>q,r,h</w:t>
            </w:r>
            <w:proofErr w:type="spellEnd"/>
          </w:p>
        </w:tc>
        <w:tc>
          <w:tcPr>
            <w:tcW w:w="990" w:type="dxa"/>
          </w:tcPr>
          <w:p w14:paraId="08424B78" w14:textId="77777777" w:rsidR="00F80C33" w:rsidRDefault="00723BFB" w:rsidP="00B34C5D">
            <w:pPr>
              <w:pStyle w:val="TableBody"/>
              <w:jc w:val="center"/>
            </w:pPr>
            <w:r>
              <w:t>$</w:t>
            </w:r>
          </w:p>
        </w:tc>
        <w:tc>
          <w:tcPr>
            <w:tcW w:w="6953" w:type="dxa"/>
          </w:tcPr>
          <w:p w14:paraId="7255ECF1" w14:textId="77777777" w:rsidR="00F80C33" w:rsidRDefault="00723BFB" w:rsidP="00DB0205">
            <w:pPr>
              <w:pStyle w:val="TableBody"/>
            </w:pPr>
            <w:r w:rsidRPr="00B34C5D">
              <w:rPr>
                <w:i/>
              </w:rPr>
              <w:t>RUC Decommitment Payment Amount</w:t>
            </w:r>
            <w:r>
              <w:t>—The payment to the QSE for the Resource that was decommitted by ERCOT but that was not scheduled to shut down in the Operating Day, for each decommit</w:t>
            </w:r>
            <w:r w:rsidR="00DB0205">
              <w:t>t</w:t>
            </w:r>
            <w:r>
              <w:t>ed hour of the Operating Day.</w:t>
            </w:r>
            <w:r w:rsidR="00D95AAD">
              <w:t xml:space="preserve">  When one or more Combined Cycle Generation Resources are decommitted by RUC, payment is made to the Combined Cycle Train for all RUC-decommitted Combined Cycle Generation Resources.</w:t>
            </w:r>
          </w:p>
        </w:tc>
      </w:tr>
      <w:tr w:rsidR="00F80C33" w14:paraId="7948F846" w14:textId="77777777" w:rsidTr="00B35973">
        <w:trPr>
          <w:cantSplit/>
        </w:trPr>
        <w:tc>
          <w:tcPr>
            <w:tcW w:w="1638" w:type="dxa"/>
          </w:tcPr>
          <w:p w14:paraId="0F5D8EBA" w14:textId="77777777" w:rsidR="00F80C33" w:rsidRDefault="00723BFB">
            <w:pPr>
              <w:pStyle w:val="TableBody"/>
            </w:pPr>
            <w:proofErr w:type="spellStart"/>
            <w:r>
              <w:t>SUPR</w:t>
            </w:r>
            <w:r w:rsidRPr="00B34C5D">
              <w:rPr>
                <w:i/>
                <w:vertAlign w:val="subscript"/>
              </w:rPr>
              <w:t>q,r,s</w:t>
            </w:r>
            <w:proofErr w:type="spellEnd"/>
            <w:r>
              <w:t xml:space="preserve"> </w:t>
            </w:r>
          </w:p>
        </w:tc>
        <w:tc>
          <w:tcPr>
            <w:tcW w:w="990" w:type="dxa"/>
          </w:tcPr>
          <w:p w14:paraId="13391EC9" w14:textId="77777777" w:rsidR="00F80C33" w:rsidRDefault="00723BFB" w:rsidP="00B34C5D">
            <w:pPr>
              <w:pStyle w:val="TableBody"/>
              <w:jc w:val="center"/>
            </w:pPr>
            <w:r>
              <w:t>$/Start</w:t>
            </w:r>
          </w:p>
        </w:tc>
        <w:tc>
          <w:tcPr>
            <w:tcW w:w="6953" w:type="dxa"/>
          </w:tcPr>
          <w:p w14:paraId="115EB4C1" w14:textId="77777777" w:rsidR="00F80C33" w:rsidRPr="00B34C5D" w:rsidRDefault="00723BFB">
            <w:pPr>
              <w:pStyle w:val="TableBody"/>
              <w:rPr>
                <w:i/>
              </w:rPr>
            </w:pPr>
            <w:r w:rsidRPr="00B34C5D">
              <w:rPr>
                <w:i/>
              </w:rPr>
              <w:t>Startup Price per start</w:t>
            </w:r>
            <w:r>
              <w:t xml:space="preserve">—The </w:t>
            </w:r>
            <w:r w:rsidR="00C22096">
              <w:t>S</w:t>
            </w:r>
            <w:r>
              <w:t xml:space="preserve">ettlement price </w:t>
            </w:r>
            <w:r w:rsidR="00C403FA">
              <w:t xml:space="preserve">for Resource </w:t>
            </w:r>
            <w:r w:rsidR="00C403FA">
              <w:rPr>
                <w:i/>
              </w:rPr>
              <w:t xml:space="preserve">r </w:t>
            </w:r>
            <w:r>
              <w:t xml:space="preserve">for the start </w:t>
            </w:r>
            <w:r w:rsidRPr="00B34C5D">
              <w:rPr>
                <w:i/>
              </w:rPr>
              <w:t>s</w:t>
            </w:r>
            <w:r>
              <w:t>.</w:t>
            </w:r>
            <w:r w:rsidR="00C403FA">
              <w:t xml:space="preserve">  Where for a Combined Cycle Train, the Resource </w:t>
            </w:r>
            <w:r w:rsidR="00C403FA" w:rsidRPr="00B34C5D">
              <w:rPr>
                <w:i/>
              </w:rPr>
              <w:t>r</w:t>
            </w:r>
            <w:r w:rsidR="00C403FA">
              <w:rPr>
                <w:i/>
              </w:rPr>
              <w:t xml:space="preserve"> </w:t>
            </w:r>
            <w:r w:rsidR="00C403FA" w:rsidRPr="001C65E0">
              <w:t xml:space="preserve">is a </w:t>
            </w:r>
            <w:r w:rsidR="00C403FA">
              <w:t>Combined Cycle Generation Resource within the Combined Cycle Train.</w:t>
            </w:r>
          </w:p>
        </w:tc>
      </w:tr>
      <w:tr w:rsidR="00F80C33" w14:paraId="712C3F04" w14:textId="77777777" w:rsidTr="00B35973">
        <w:trPr>
          <w:cantSplit/>
        </w:trPr>
        <w:tc>
          <w:tcPr>
            <w:tcW w:w="1638" w:type="dxa"/>
          </w:tcPr>
          <w:p w14:paraId="7F697D0D" w14:textId="77777777" w:rsidR="00F80C33" w:rsidRDefault="00723BFB">
            <w:pPr>
              <w:pStyle w:val="TableBody"/>
            </w:pPr>
            <w:proofErr w:type="spellStart"/>
            <w:r>
              <w:t>SUO</w:t>
            </w:r>
            <w:r w:rsidRPr="00B34C5D">
              <w:rPr>
                <w:i/>
                <w:vertAlign w:val="subscript"/>
              </w:rPr>
              <w:t>q,r,s</w:t>
            </w:r>
            <w:proofErr w:type="spellEnd"/>
          </w:p>
        </w:tc>
        <w:tc>
          <w:tcPr>
            <w:tcW w:w="990" w:type="dxa"/>
          </w:tcPr>
          <w:p w14:paraId="0CEF6405" w14:textId="77777777" w:rsidR="00F80C33" w:rsidRDefault="00723BFB" w:rsidP="00B34C5D">
            <w:pPr>
              <w:pStyle w:val="TableBody"/>
              <w:jc w:val="center"/>
            </w:pPr>
            <w:r>
              <w:t>$/Start</w:t>
            </w:r>
          </w:p>
        </w:tc>
        <w:tc>
          <w:tcPr>
            <w:tcW w:w="6953" w:type="dxa"/>
          </w:tcPr>
          <w:p w14:paraId="56DCD6E0" w14:textId="77777777" w:rsidR="00F80C33" w:rsidRPr="00B34C5D" w:rsidRDefault="00723BFB" w:rsidP="00FE1692">
            <w:pPr>
              <w:pStyle w:val="TableBody"/>
              <w:rPr>
                <w:i/>
              </w:rPr>
            </w:pPr>
            <w:r w:rsidRPr="00B34C5D">
              <w:rPr>
                <w:i/>
              </w:rPr>
              <w:t>Startup Offer per start</w:t>
            </w:r>
            <w:r>
              <w:t xml:space="preserve">—Represents an offer for all costs incurred by Generation Resource </w:t>
            </w:r>
            <w:r w:rsidR="00C403FA">
              <w:rPr>
                <w:i/>
              </w:rPr>
              <w:t xml:space="preserve">r </w:t>
            </w:r>
            <w:r>
              <w:t xml:space="preserve">in starting up and reaching </w:t>
            </w:r>
            <w:r w:rsidR="00363660">
              <w:t>the Resource’s LSL.</w:t>
            </w:r>
            <w:r w:rsidR="00C403FA">
              <w:t xml:space="preserve">  Where for a Combined Cycle Train, the Resource </w:t>
            </w:r>
            <w:r w:rsidR="00C403FA" w:rsidRPr="00B34C5D">
              <w:rPr>
                <w:i/>
              </w:rPr>
              <w:t>r</w:t>
            </w:r>
            <w:r w:rsidR="00C403FA">
              <w:rPr>
                <w:i/>
              </w:rPr>
              <w:t xml:space="preserve"> </w:t>
            </w:r>
            <w:r w:rsidR="00C403FA" w:rsidRPr="001C65E0">
              <w:t xml:space="preserve">is a </w:t>
            </w:r>
            <w:r w:rsidR="00C403FA">
              <w:t>Combined Cycle Generation Resource within the Combined Cycle Train.</w:t>
            </w:r>
            <w:r w:rsidR="00363660">
              <w:t xml:space="preserve"> </w:t>
            </w:r>
            <w:r w:rsidR="00C403FA">
              <w:t xml:space="preserve"> </w:t>
            </w:r>
          </w:p>
        </w:tc>
      </w:tr>
      <w:tr w:rsidR="00F80C33" w14:paraId="2B724FDF" w14:textId="77777777" w:rsidTr="00B35973">
        <w:trPr>
          <w:cantSplit/>
        </w:trPr>
        <w:tc>
          <w:tcPr>
            <w:tcW w:w="1638" w:type="dxa"/>
          </w:tcPr>
          <w:p w14:paraId="497A6F05" w14:textId="77777777" w:rsidR="00F80C33" w:rsidRDefault="00723BFB">
            <w:pPr>
              <w:pStyle w:val="TableBody"/>
            </w:pPr>
            <w:proofErr w:type="spellStart"/>
            <w:r>
              <w:t>SUCAP</w:t>
            </w:r>
            <w:r w:rsidRPr="00B34C5D">
              <w:rPr>
                <w:i/>
                <w:vertAlign w:val="subscript"/>
              </w:rPr>
              <w:t>q,r,s</w:t>
            </w:r>
            <w:proofErr w:type="spellEnd"/>
          </w:p>
        </w:tc>
        <w:tc>
          <w:tcPr>
            <w:tcW w:w="990" w:type="dxa"/>
          </w:tcPr>
          <w:p w14:paraId="7901E250" w14:textId="77777777" w:rsidR="00F80C33" w:rsidRDefault="00723BFB" w:rsidP="00B34C5D">
            <w:pPr>
              <w:pStyle w:val="TableBody"/>
              <w:jc w:val="center"/>
            </w:pPr>
            <w:r>
              <w:t>$/Start</w:t>
            </w:r>
          </w:p>
        </w:tc>
        <w:tc>
          <w:tcPr>
            <w:tcW w:w="6953" w:type="dxa"/>
          </w:tcPr>
          <w:p w14:paraId="58540C8D" w14:textId="77777777" w:rsidR="00F80C33" w:rsidRPr="00B34C5D" w:rsidRDefault="00723BFB" w:rsidP="0061210F">
            <w:pPr>
              <w:pStyle w:val="TableBody"/>
              <w:rPr>
                <w:i/>
              </w:rPr>
            </w:pPr>
            <w:r w:rsidRPr="00B34C5D">
              <w:rPr>
                <w:i/>
              </w:rPr>
              <w:t>Startup Cap</w:t>
            </w:r>
            <w:r>
              <w:t xml:space="preserve">—The amount used </w:t>
            </w:r>
            <w:r w:rsidR="00C403FA">
              <w:t xml:space="preserve">for Resource </w:t>
            </w:r>
            <w:r w:rsidR="00C403FA">
              <w:rPr>
                <w:i/>
              </w:rPr>
              <w:t xml:space="preserve">r </w:t>
            </w:r>
            <w:r>
              <w:t xml:space="preserve">as </w:t>
            </w:r>
            <w:r w:rsidR="00C403FA">
              <w:t>S</w:t>
            </w:r>
            <w:r>
              <w:t xml:space="preserve">tartup </w:t>
            </w:r>
            <w:r w:rsidR="00C403FA">
              <w:t>C</w:t>
            </w:r>
            <w:r>
              <w:t xml:space="preserve">osts.  The cap is the </w:t>
            </w:r>
            <w:r w:rsidR="00C14A48">
              <w:rPr>
                <w:iCs w:val="0"/>
              </w:rPr>
              <w:t>Resource Category Startup Offer Generic Cap (</w:t>
            </w:r>
            <w:r>
              <w:t>RCGSC</w:t>
            </w:r>
            <w:r w:rsidR="00C14A48">
              <w:t>)</w:t>
            </w:r>
            <w:r>
              <w:t xml:space="preserve"> unless ERCOT has approved verifiable unit-specific </w:t>
            </w:r>
            <w:r w:rsidR="00C403FA">
              <w:t>S</w:t>
            </w:r>
            <w:r>
              <w:t xml:space="preserve">tartup </w:t>
            </w:r>
            <w:r w:rsidR="00C403FA">
              <w:t>C</w:t>
            </w:r>
            <w:r>
              <w:t xml:space="preserve">osts for that Resource, in which case the </w:t>
            </w:r>
            <w:r w:rsidR="00C403FA">
              <w:t>S</w:t>
            </w:r>
            <w:r>
              <w:t xml:space="preserve">tartup </w:t>
            </w:r>
            <w:r w:rsidR="00C403FA">
              <w:t>C</w:t>
            </w:r>
            <w:r>
              <w:t xml:space="preserve">ap is the verifiable unit-specific </w:t>
            </w:r>
            <w:r w:rsidR="00C403FA">
              <w:t>S</w:t>
            </w:r>
            <w:r>
              <w:t xml:space="preserve">tartup </w:t>
            </w:r>
            <w:r w:rsidR="00C403FA">
              <w:t>C</w:t>
            </w:r>
            <w:r>
              <w:t xml:space="preserve">ost.  </w:t>
            </w:r>
            <w:r w:rsidR="0061210F" w:rsidRPr="006977EA">
              <w:rPr>
                <w:iCs w:val="0"/>
              </w:rPr>
              <w:t xml:space="preserve">The verifiable unit-specific Startup Cost will be determined as described in Section 5.6.1, Verifiable Costs, minus the average energy produced during the </w:t>
            </w:r>
            <w:proofErr w:type="gramStart"/>
            <w:r w:rsidR="0061210F" w:rsidRPr="006977EA">
              <w:rPr>
                <w:iCs w:val="0"/>
              </w:rPr>
              <w:t>time period</w:t>
            </w:r>
            <w:proofErr w:type="gramEnd"/>
            <w:r w:rsidR="0061210F" w:rsidRPr="006977EA">
              <w:rPr>
                <w:iCs w:val="0"/>
              </w:rPr>
              <w:t xml:space="preserve"> between breaker close and LSL multiplied by the heat rate proxy “H” multiplied by the appropriate </w:t>
            </w:r>
            <w:r w:rsidR="0061210F">
              <w:rPr>
                <w:iCs w:val="0"/>
              </w:rPr>
              <w:t>FIP, FOP, or solid fuel price</w:t>
            </w:r>
            <w:r>
              <w:t>.</w:t>
            </w:r>
            <w:r w:rsidR="00C403FA">
              <w:t xml:space="preserve">  Where for a Combined Cycle Train, the Resource </w:t>
            </w:r>
            <w:r w:rsidR="00C403FA" w:rsidRPr="00B34C5D">
              <w:rPr>
                <w:i/>
              </w:rPr>
              <w:t>r</w:t>
            </w:r>
            <w:r w:rsidR="00C403FA">
              <w:rPr>
                <w:i/>
              </w:rPr>
              <w:t xml:space="preserve"> </w:t>
            </w:r>
            <w:r w:rsidR="00C403FA" w:rsidRPr="001C65E0">
              <w:t xml:space="preserve">is a </w:t>
            </w:r>
            <w:r w:rsidR="00C403FA">
              <w:t>Combined Cycle Generation Resource within the Combined Cycle Train.</w:t>
            </w:r>
          </w:p>
        </w:tc>
      </w:tr>
      <w:tr w:rsidR="00F80C33" w14:paraId="34101A48" w14:textId="77777777" w:rsidTr="00B35973">
        <w:trPr>
          <w:cantSplit/>
        </w:trPr>
        <w:tc>
          <w:tcPr>
            <w:tcW w:w="1638" w:type="dxa"/>
          </w:tcPr>
          <w:p w14:paraId="4C22D8E5" w14:textId="77777777" w:rsidR="00F80C33" w:rsidRDefault="00723BFB">
            <w:pPr>
              <w:pStyle w:val="TableBody"/>
            </w:pPr>
            <w:r>
              <w:t>RCGSC</w:t>
            </w:r>
            <w:r w:rsidRPr="00B34C5D">
              <w:rPr>
                <w:i/>
                <w:vertAlign w:val="subscript"/>
              </w:rPr>
              <w:t>s</w:t>
            </w:r>
          </w:p>
        </w:tc>
        <w:tc>
          <w:tcPr>
            <w:tcW w:w="990" w:type="dxa"/>
          </w:tcPr>
          <w:p w14:paraId="6FE7A9D9" w14:textId="77777777" w:rsidR="00F80C33" w:rsidRDefault="00723BFB" w:rsidP="00B34C5D">
            <w:pPr>
              <w:pStyle w:val="TableBody"/>
              <w:jc w:val="center"/>
            </w:pPr>
            <w:r>
              <w:t>$/Start</w:t>
            </w:r>
          </w:p>
        </w:tc>
        <w:tc>
          <w:tcPr>
            <w:tcW w:w="6953" w:type="dxa"/>
          </w:tcPr>
          <w:p w14:paraId="256BCFD0" w14:textId="77777777" w:rsidR="00F80C33" w:rsidRPr="00B34C5D" w:rsidRDefault="00723BFB">
            <w:pPr>
              <w:pStyle w:val="TableBody"/>
              <w:rPr>
                <w:i/>
              </w:rPr>
            </w:pPr>
            <w:r w:rsidRPr="00B34C5D">
              <w:rPr>
                <w:i/>
              </w:rPr>
              <w:t>Resource Category Generic Startup Cost</w:t>
            </w:r>
            <w:r>
              <w:t xml:space="preserve">—The </w:t>
            </w:r>
            <w:r w:rsidR="00C9426C">
              <w:t xml:space="preserve">Resource Category </w:t>
            </w:r>
            <w:r>
              <w:t xml:space="preserve">Startup </w:t>
            </w:r>
            <w:r w:rsidR="00C9426C">
              <w:t>Offer Generic C</w:t>
            </w:r>
            <w:r>
              <w:t>ap</w:t>
            </w:r>
            <w:r w:rsidR="00C9426C">
              <w:t xml:space="preserve"> cost</w:t>
            </w:r>
            <w:r>
              <w:t xml:space="preserve"> for the category of the Resource, according to Section 4.4.9.2.3, Startup Offer and Minimum-Energy Offer Generic Caps, for the Operating Day.</w:t>
            </w:r>
          </w:p>
        </w:tc>
      </w:tr>
      <w:tr w:rsidR="00F80C33" w14:paraId="28119974" w14:textId="77777777" w:rsidTr="00B35973">
        <w:trPr>
          <w:cantSplit/>
        </w:trPr>
        <w:tc>
          <w:tcPr>
            <w:tcW w:w="1638" w:type="dxa"/>
          </w:tcPr>
          <w:p w14:paraId="68CD0D14" w14:textId="77777777" w:rsidR="00F80C33" w:rsidRDefault="00723BFB">
            <w:pPr>
              <w:pStyle w:val="TableBody"/>
            </w:pPr>
            <w:proofErr w:type="spellStart"/>
            <w:r>
              <w:t>MEPR</w:t>
            </w:r>
            <w:r w:rsidRPr="00B34C5D">
              <w:rPr>
                <w:i/>
                <w:vertAlign w:val="subscript"/>
              </w:rPr>
              <w:t>q,r,</w:t>
            </w:r>
            <w:r w:rsidR="00C403FA">
              <w:rPr>
                <w:i/>
                <w:vertAlign w:val="subscript"/>
              </w:rPr>
              <w:t>i</w:t>
            </w:r>
            <w:proofErr w:type="spellEnd"/>
          </w:p>
        </w:tc>
        <w:tc>
          <w:tcPr>
            <w:tcW w:w="990" w:type="dxa"/>
          </w:tcPr>
          <w:p w14:paraId="1D7B98B3" w14:textId="77777777" w:rsidR="00F80C33" w:rsidRDefault="00723BFB" w:rsidP="00B34C5D">
            <w:pPr>
              <w:pStyle w:val="TableBody"/>
              <w:jc w:val="center"/>
            </w:pPr>
            <w:r>
              <w:t>$/MWh</w:t>
            </w:r>
          </w:p>
        </w:tc>
        <w:tc>
          <w:tcPr>
            <w:tcW w:w="6953" w:type="dxa"/>
          </w:tcPr>
          <w:p w14:paraId="299DDC1A" w14:textId="77777777" w:rsidR="00F80C33" w:rsidRPr="00B34C5D" w:rsidRDefault="00723BFB" w:rsidP="003F3155">
            <w:pPr>
              <w:pStyle w:val="TableBody"/>
              <w:rPr>
                <w:i/>
              </w:rPr>
            </w:pPr>
            <w:r w:rsidRPr="00B34C5D">
              <w:rPr>
                <w:i/>
              </w:rPr>
              <w:t>Minimum-Energy Price</w:t>
            </w:r>
            <w:r>
              <w:t xml:space="preserve">—The </w:t>
            </w:r>
            <w:r w:rsidR="003F3155">
              <w:t>S</w:t>
            </w:r>
            <w:r>
              <w:t xml:space="preserve">ettlement price </w:t>
            </w:r>
            <w:r w:rsidR="00C403FA">
              <w:t xml:space="preserve">for Resource </w:t>
            </w:r>
            <w:r w:rsidR="00C403FA">
              <w:rPr>
                <w:i/>
              </w:rPr>
              <w:t xml:space="preserve">r </w:t>
            </w:r>
            <w:r>
              <w:t xml:space="preserve">for minimum energy for the Settlement Interval </w:t>
            </w:r>
            <w:r w:rsidRPr="00B34C5D">
              <w:rPr>
                <w:i/>
              </w:rPr>
              <w:t>i</w:t>
            </w:r>
            <w:r>
              <w:t>.</w:t>
            </w:r>
            <w:r w:rsidR="00C403FA">
              <w:t xml:space="preserve">  Where for a Combined Cycle Train, the Resource </w:t>
            </w:r>
            <w:r w:rsidR="00C403FA" w:rsidRPr="00B34C5D">
              <w:rPr>
                <w:i/>
              </w:rPr>
              <w:t>r</w:t>
            </w:r>
            <w:r w:rsidR="00C403FA">
              <w:rPr>
                <w:i/>
              </w:rPr>
              <w:t xml:space="preserve"> </w:t>
            </w:r>
            <w:r w:rsidR="00C403FA" w:rsidRPr="001C65E0">
              <w:t xml:space="preserve">is a </w:t>
            </w:r>
            <w:r w:rsidR="00C403FA">
              <w:t>Combined Cycle Generation Resource within the Combined Cycle Train.</w:t>
            </w:r>
          </w:p>
        </w:tc>
      </w:tr>
      <w:tr w:rsidR="00F80C33" w14:paraId="2EC34A7A" w14:textId="77777777" w:rsidTr="00B35973">
        <w:trPr>
          <w:cantSplit/>
        </w:trPr>
        <w:tc>
          <w:tcPr>
            <w:tcW w:w="1638" w:type="dxa"/>
          </w:tcPr>
          <w:p w14:paraId="4638BFF9" w14:textId="77777777" w:rsidR="00F80C33" w:rsidRDefault="00723BFB">
            <w:pPr>
              <w:pStyle w:val="TableBody"/>
            </w:pPr>
            <w:proofErr w:type="spellStart"/>
            <w:r>
              <w:lastRenderedPageBreak/>
              <w:t>MEO</w:t>
            </w:r>
            <w:r w:rsidRPr="00B34C5D">
              <w:rPr>
                <w:i/>
                <w:vertAlign w:val="subscript"/>
              </w:rPr>
              <w:t>q,r,i</w:t>
            </w:r>
            <w:proofErr w:type="spellEnd"/>
          </w:p>
        </w:tc>
        <w:tc>
          <w:tcPr>
            <w:tcW w:w="990" w:type="dxa"/>
          </w:tcPr>
          <w:p w14:paraId="0A297C37" w14:textId="77777777" w:rsidR="00F80C33" w:rsidRDefault="00723BFB" w:rsidP="00B34C5D">
            <w:pPr>
              <w:pStyle w:val="TableBody"/>
              <w:jc w:val="center"/>
            </w:pPr>
            <w:r>
              <w:t>$/MWh</w:t>
            </w:r>
          </w:p>
        </w:tc>
        <w:tc>
          <w:tcPr>
            <w:tcW w:w="6953" w:type="dxa"/>
          </w:tcPr>
          <w:p w14:paraId="748F0BC4" w14:textId="77777777" w:rsidR="00F80C33" w:rsidRPr="00B34C5D" w:rsidRDefault="00723BFB">
            <w:pPr>
              <w:pStyle w:val="TableBody"/>
              <w:rPr>
                <w:i/>
              </w:rPr>
            </w:pPr>
            <w:r w:rsidRPr="00B34C5D">
              <w:rPr>
                <w:i/>
              </w:rPr>
              <w:t>Minimum-Energy Offer</w:t>
            </w:r>
            <w:r>
              <w:t>—Represents an offer for the costs incurred by Resource</w:t>
            </w:r>
            <w:r w:rsidR="00C403FA">
              <w:t xml:space="preserve"> </w:t>
            </w:r>
            <w:r w:rsidR="00C403FA">
              <w:rPr>
                <w:i/>
              </w:rPr>
              <w:t>r</w:t>
            </w:r>
            <w:r>
              <w:t xml:space="preserve"> in producing energy at the Resource’s LSL for the Settlement Interval </w:t>
            </w:r>
            <w:r w:rsidRPr="00B34C5D">
              <w:rPr>
                <w:i/>
              </w:rPr>
              <w:t>i</w:t>
            </w:r>
            <w:r>
              <w:t>.</w:t>
            </w:r>
            <w:r w:rsidR="00C403FA">
              <w:t xml:space="preserve">  Where for a Combined Cycle Train, the Resource </w:t>
            </w:r>
            <w:r w:rsidR="00C403FA" w:rsidRPr="00B34C5D">
              <w:rPr>
                <w:i/>
              </w:rPr>
              <w:t>r</w:t>
            </w:r>
            <w:r w:rsidR="00C403FA">
              <w:rPr>
                <w:i/>
              </w:rPr>
              <w:t xml:space="preserve"> </w:t>
            </w:r>
            <w:r w:rsidR="00C403FA" w:rsidRPr="001C65E0">
              <w:t xml:space="preserve">is a </w:t>
            </w:r>
            <w:r w:rsidR="00C403FA">
              <w:t>Combined Cycle Generation Resource within the Combined Cycle Train.</w:t>
            </w:r>
          </w:p>
        </w:tc>
      </w:tr>
      <w:tr w:rsidR="00F80C33" w14:paraId="49FCC1A7" w14:textId="77777777" w:rsidTr="00B35973">
        <w:trPr>
          <w:cantSplit/>
        </w:trPr>
        <w:tc>
          <w:tcPr>
            <w:tcW w:w="1638" w:type="dxa"/>
          </w:tcPr>
          <w:p w14:paraId="150CEFEF" w14:textId="77777777" w:rsidR="00F80C33" w:rsidRDefault="00723BFB">
            <w:pPr>
              <w:pStyle w:val="TableBody"/>
            </w:pPr>
            <w:proofErr w:type="spellStart"/>
            <w:r>
              <w:t>MECAP</w:t>
            </w:r>
            <w:r w:rsidRPr="00B34C5D">
              <w:rPr>
                <w:i/>
                <w:vertAlign w:val="subscript"/>
              </w:rPr>
              <w:t>q,r,i</w:t>
            </w:r>
            <w:proofErr w:type="spellEnd"/>
          </w:p>
        </w:tc>
        <w:tc>
          <w:tcPr>
            <w:tcW w:w="990" w:type="dxa"/>
          </w:tcPr>
          <w:p w14:paraId="2C5D4D7C" w14:textId="77777777" w:rsidR="00F80C33" w:rsidRDefault="00723BFB" w:rsidP="00B34C5D">
            <w:pPr>
              <w:pStyle w:val="TableBody"/>
              <w:jc w:val="center"/>
            </w:pPr>
            <w:r>
              <w:t>$/MWh</w:t>
            </w:r>
          </w:p>
        </w:tc>
        <w:tc>
          <w:tcPr>
            <w:tcW w:w="6953" w:type="dxa"/>
          </w:tcPr>
          <w:p w14:paraId="12726797" w14:textId="77777777" w:rsidR="00F80C33" w:rsidRPr="00B34C5D" w:rsidRDefault="00723BFB" w:rsidP="00C14A48">
            <w:pPr>
              <w:pStyle w:val="TableBody"/>
              <w:rPr>
                <w:i/>
              </w:rPr>
            </w:pPr>
            <w:r w:rsidRPr="00B34C5D">
              <w:rPr>
                <w:i/>
              </w:rPr>
              <w:t>Minimum</w:t>
            </w:r>
            <w:r w:rsidR="00C403FA">
              <w:rPr>
                <w:i/>
              </w:rPr>
              <w:t>-</w:t>
            </w:r>
            <w:r w:rsidRPr="00B34C5D">
              <w:rPr>
                <w:i/>
              </w:rPr>
              <w:t>Energy Cap</w:t>
            </w:r>
            <w:r>
              <w:t xml:space="preserve">—The amount used </w:t>
            </w:r>
            <w:r w:rsidR="00C403FA">
              <w:t xml:space="preserve">for Resource </w:t>
            </w:r>
            <w:r w:rsidR="00C403FA">
              <w:rPr>
                <w:i/>
              </w:rPr>
              <w:t xml:space="preserve">r </w:t>
            </w:r>
            <w:r>
              <w:t xml:space="preserve">for minimum-energy costs.  The </w:t>
            </w:r>
            <w:r w:rsidR="00C14A48">
              <w:rPr>
                <w:iCs w:val="0"/>
              </w:rPr>
              <w:t>minimum cost is the Resource Category Minimum-Energy Generic Cap (RCGMEC)</w:t>
            </w:r>
            <w:r>
              <w:t xml:space="preserve"> unless ERCOT has approved verifiable unit-specific minimum energy costs for that Resource, in which case the Minimum-Energy </w:t>
            </w:r>
            <w:r w:rsidR="00C84291">
              <w:t>C</w:t>
            </w:r>
            <w:r>
              <w:t xml:space="preserve">ap is the verifiable unit-specific minimum energy cost. </w:t>
            </w:r>
            <w:r w:rsidR="00C84291">
              <w:t xml:space="preserve"> </w:t>
            </w:r>
            <w:r>
              <w:t>See Section 5.6.1 for more information on verifiable costs.</w:t>
            </w:r>
            <w:r w:rsidR="00C403FA">
              <w:t xml:space="preserve">  Where for a Combined Cycle Train, the Resource </w:t>
            </w:r>
            <w:r w:rsidR="00C403FA" w:rsidRPr="00B34C5D">
              <w:rPr>
                <w:i/>
              </w:rPr>
              <w:t>r</w:t>
            </w:r>
            <w:r w:rsidR="00C403FA">
              <w:rPr>
                <w:i/>
              </w:rPr>
              <w:t xml:space="preserve"> </w:t>
            </w:r>
            <w:r w:rsidR="00C403FA" w:rsidRPr="001C65E0">
              <w:t xml:space="preserve">is a </w:t>
            </w:r>
            <w:r w:rsidR="00C403FA">
              <w:t>Combined Cycle Generation Resource within the Combined Cycle Train.</w:t>
            </w:r>
          </w:p>
        </w:tc>
      </w:tr>
      <w:tr w:rsidR="00F80C33" w14:paraId="1341D600" w14:textId="77777777" w:rsidTr="00B35973">
        <w:trPr>
          <w:cantSplit/>
        </w:trPr>
        <w:tc>
          <w:tcPr>
            <w:tcW w:w="1638" w:type="dxa"/>
          </w:tcPr>
          <w:p w14:paraId="009E0D8C" w14:textId="77777777" w:rsidR="00F80C33" w:rsidRDefault="00723BFB">
            <w:pPr>
              <w:pStyle w:val="TableBody"/>
            </w:pPr>
            <w:proofErr w:type="spellStart"/>
            <w:r>
              <w:t>RCGMEC</w:t>
            </w:r>
            <w:r w:rsidRPr="00B34C5D">
              <w:rPr>
                <w:i/>
                <w:vertAlign w:val="subscript"/>
              </w:rPr>
              <w:t>i</w:t>
            </w:r>
            <w:proofErr w:type="spellEnd"/>
          </w:p>
        </w:tc>
        <w:tc>
          <w:tcPr>
            <w:tcW w:w="990" w:type="dxa"/>
          </w:tcPr>
          <w:p w14:paraId="4A7A5A39" w14:textId="77777777" w:rsidR="00F80C33" w:rsidRDefault="00723BFB" w:rsidP="00B34C5D">
            <w:pPr>
              <w:pStyle w:val="TableBody"/>
              <w:jc w:val="center"/>
            </w:pPr>
            <w:r>
              <w:t>$/MWh</w:t>
            </w:r>
          </w:p>
        </w:tc>
        <w:tc>
          <w:tcPr>
            <w:tcW w:w="6953" w:type="dxa"/>
          </w:tcPr>
          <w:p w14:paraId="52E4168C" w14:textId="77777777" w:rsidR="00F80C33" w:rsidRPr="00B34C5D" w:rsidRDefault="00723BFB">
            <w:pPr>
              <w:pStyle w:val="TableBody"/>
              <w:rPr>
                <w:i/>
              </w:rPr>
            </w:pPr>
            <w:r w:rsidRPr="00B34C5D">
              <w:rPr>
                <w:i/>
              </w:rPr>
              <w:t>Resource Category Generic Minimum</w:t>
            </w:r>
            <w:r w:rsidR="00C403FA">
              <w:rPr>
                <w:i/>
              </w:rPr>
              <w:t>-</w:t>
            </w:r>
            <w:r w:rsidRPr="00B34C5D">
              <w:rPr>
                <w:i/>
              </w:rPr>
              <w:t>Energy Cost</w:t>
            </w:r>
            <w:r>
              <w:t xml:space="preserve">—The </w:t>
            </w:r>
            <w:r w:rsidR="00C9426C">
              <w:t xml:space="preserve">Resource Category </w:t>
            </w:r>
            <w:r>
              <w:t>Minimum</w:t>
            </w:r>
            <w:r w:rsidR="00C9426C">
              <w:t>-</w:t>
            </w:r>
            <w:r>
              <w:t xml:space="preserve">Energy </w:t>
            </w:r>
            <w:r w:rsidR="00C9426C">
              <w:t>Generic Cap c</w:t>
            </w:r>
            <w:r>
              <w:t>ost for the category of the Resource, according to Section 4.4.9.2.3.</w:t>
            </w:r>
          </w:p>
        </w:tc>
      </w:tr>
      <w:tr w:rsidR="00F80C33" w14:paraId="705C5C11" w14:textId="77777777" w:rsidTr="00B35973">
        <w:trPr>
          <w:cantSplit/>
        </w:trPr>
        <w:tc>
          <w:tcPr>
            <w:tcW w:w="1638" w:type="dxa"/>
          </w:tcPr>
          <w:p w14:paraId="5FBB6902" w14:textId="77777777" w:rsidR="00F80C33" w:rsidRDefault="00723BFB">
            <w:pPr>
              <w:pStyle w:val="TableBody"/>
            </w:pPr>
            <w:proofErr w:type="spellStart"/>
            <w:r>
              <w:t>LSL</w:t>
            </w:r>
            <w:r w:rsidRPr="00B34C5D">
              <w:rPr>
                <w:i/>
                <w:vertAlign w:val="subscript"/>
              </w:rPr>
              <w:t>q,r,i</w:t>
            </w:r>
            <w:proofErr w:type="spellEnd"/>
            <w:r>
              <w:t xml:space="preserve"> </w:t>
            </w:r>
          </w:p>
        </w:tc>
        <w:tc>
          <w:tcPr>
            <w:tcW w:w="990" w:type="dxa"/>
          </w:tcPr>
          <w:p w14:paraId="33B8559B" w14:textId="77777777" w:rsidR="00F80C33" w:rsidRDefault="00723BFB" w:rsidP="00B34C5D">
            <w:pPr>
              <w:pStyle w:val="TableBody"/>
              <w:jc w:val="center"/>
            </w:pPr>
            <w:r>
              <w:t>MW</w:t>
            </w:r>
          </w:p>
        </w:tc>
        <w:tc>
          <w:tcPr>
            <w:tcW w:w="6953" w:type="dxa"/>
          </w:tcPr>
          <w:p w14:paraId="41B8FA05" w14:textId="77777777" w:rsidR="00F80C33" w:rsidRDefault="00723BFB" w:rsidP="00C403FA">
            <w:pPr>
              <w:pStyle w:val="TableBody"/>
            </w:pPr>
            <w:r w:rsidRPr="00B34C5D">
              <w:rPr>
                <w:i/>
              </w:rPr>
              <w:t>Low Sustained Limit</w:t>
            </w:r>
            <w:r>
              <w:t xml:space="preserve">—The </w:t>
            </w:r>
            <w:r w:rsidR="00C403FA">
              <w:t>LSL</w:t>
            </w:r>
            <w:r>
              <w:t xml:space="preserve"> of Generation Resource </w:t>
            </w:r>
            <w:r w:rsidRPr="00B34C5D">
              <w:rPr>
                <w:i/>
              </w:rPr>
              <w:t>r</w:t>
            </w:r>
            <w:r>
              <w:t xml:space="preserve"> represented by QSE </w:t>
            </w:r>
            <w:r w:rsidRPr="00B34C5D">
              <w:rPr>
                <w:i/>
              </w:rPr>
              <w:t>q</w:t>
            </w:r>
            <w:r>
              <w:t xml:space="preserve"> for the hour that includes the Settlement Interval </w:t>
            </w:r>
            <w:r w:rsidRPr="00B34C5D">
              <w:rPr>
                <w:i/>
              </w:rPr>
              <w:t>i</w:t>
            </w:r>
            <w:r>
              <w:t>, as submitted in the COP.</w:t>
            </w:r>
            <w:r w:rsidR="00C403FA">
              <w:t xml:space="preserve">  Where for a Combined Cycle Train, the Resource </w:t>
            </w:r>
            <w:r w:rsidR="00C403FA" w:rsidRPr="00B34C5D">
              <w:rPr>
                <w:i/>
              </w:rPr>
              <w:t>r</w:t>
            </w:r>
            <w:r w:rsidR="00C403FA">
              <w:rPr>
                <w:i/>
              </w:rPr>
              <w:t xml:space="preserve"> </w:t>
            </w:r>
            <w:r w:rsidR="00C403FA" w:rsidRPr="001C65E0">
              <w:t xml:space="preserve">is a </w:t>
            </w:r>
            <w:r w:rsidR="00C403FA">
              <w:t>Combined Cycle Generation Resource within the Combined Cycle Train.</w:t>
            </w:r>
          </w:p>
        </w:tc>
      </w:tr>
      <w:tr w:rsidR="00F80C33" w14:paraId="0DF6A1E3" w14:textId="77777777" w:rsidTr="00B35973">
        <w:trPr>
          <w:cantSplit/>
        </w:trPr>
        <w:tc>
          <w:tcPr>
            <w:tcW w:w="1638" w:type="dxa"/>
          </w:tcPr>
          <w:p w14:paraId="2244F89B" w14:textId="77777777" w:rsidR="00F80C33" w:rsidRDefault="00723BFB">
            <w:pPr>
              <w:pStyle w:val="TableBody"/>
            </w:pPr>
            <w:proofErr w:type="spellStart"/>
            <w:r>
              <w:t>RTSPP</w:t>
            </w:r>
            <w:r w:rsidRPr="00B34C5D">
              <w:rPr>
                <w:i/>
                <w:vertAlign w:val="subscript"/>
              </w:rPr>
              <w:t>p,i</w:t>
            </w:r>
            <w:proofErr w:type="spellEnd"/>
          </w:p>
        </w:tc>
        <w:tc>
          <w:tcPr>
            <w:tcW w:w="990" w:type="dxa"/>
          </w:tcPr>
          <w:p w14:paraId="4B0212AC" w14:textId="77777777" w:rsidR="00F80C33" w:rsidRDefault="00723BFB" w:rsidP="00B34C5D">
            <w:pPr>
              <w:pStyle w:val="TableBody"/>
              <w:jc w:val="center"/>
            </w:pPr>
            <w:r>
              <w:t>$/MWh</w:t>
            </w:r>
          </w:p>
        </w:tc>
        <w:tc>
          <w:tcPr>
            <w:tcW w:w="6953" w:type="dxa"/>
          </w:tcPr>
          <w:p w14:paraId="29932B73" w14:textId="77777777" w:rsidR="00F80C33" w:rsidRPr="00B34C5D" w:rsidRDefault="00723BFB">
            <w:pPr>
              <w:pStyle w:val="TableBody"/>
              <w:rPr>
                <w:i/>
              </w:rPr>
            </w:pPr>
            <w:r w:rsidRPr="00B34C5D">
              <w:rPr>
                <w:i/>
              </w:rPr>
              <w:t>Real-Time Settlement Point Price</w:t>
            </w:r>
            <w:r>
              <w:t xml:space="preserve">—The Real-Time Settlement Point Price at the Resource’s Settlement Point for the Settlement Interval </w:t>
            </w:r>
            <w:r w:rsidRPr="00B34C5D">
              <w:rPr>
                <w:i/>
              </w:rPr>
              <w:t>i</w:t>
            </w:r>
            <w:r>
              <w:t>.</w:t>
            </w:r>
          </w:p>
        </w:tc>
      </w:tr>
      <w:tr w:rsidR="00F80C33" w14:paraId="03170372" w14:textId="77777777" w:rsidTr="00B35973">
        <w:trPr>
          <w:cantSplit/>
        </w:trPr>
        <w:tc>
          <w:tcPr>
            <w:tcW w:w="1638" w:type="dxa"/>
          </w:tcPr>
          <w:p w14:paraId="49AD4367" w14:textId="77777777" w:rsidR="00F80C33" w:rsidRDefault="00723BFB">
            <w:pPr>
              <w:pStyle w:val="TableBody"/>
            </w:pPr>
            <w:proofErr w:type="spellStart"/>
            <w:r>
              <w:t>NCDCHR</w:t>
            </w:r>
            <w:r w:rsidRPr="00B34C5D">
              <w:rPr>
                <w:i/>
                <w:vertAlign w:val="subscript"/>
              </w:rPr>
              <w:t>q,r,h</w:t>
            </w:r>
            <w:proofErr w:type="spellEnd"/>
          </w:p>
        </w:tc>
        <w:tc>
          <w:tcPr>
            <w:tcW w:w="990" w:type="dxa"/>
          </w:tcPr>
          <w:p w14:paraId="16FF9A44" w14:textId="77777777" w:rsidR="00F80C33" w:rsidRDefault="00723BFB" w:rsidP="00B34C5D">
            <w:pPr>
              <w:pStyle w:val="TableBody"/>
              <w:jc w:val="center"/>
            </w:pPr>
            <w:r>
              <w:t>none</w:t>
            </w:r>
          </w:p>
        </w:tc>
        <w:tc>
          <w:tcPr>
            <w:tcW w:w="6953" w:type="dxa"/>
          </w:tcPr>
          <w:p w14:paraId="66CDDFFE" w14:textId="77777777" w:rsidR="00F80C33" w:rsidRPr="00B34C5D" w:rsidRDefault="00723BFB">
            <w:pPr>
              <w:pStyle w:val="TableBody"/>
              <w:rPr>
                <w:i/>
              </w:rPr>
            </w:pPr>
            <w:r w:rsidRPr="00B34C5D">
              <w:rPr>
                <w:i/>
              </w:rPr>
              <w:t>Number of Continuous Decommitted Hours</w:t>
            </w:r>
            <w:r>
              <w:t xml:space="preserve">—The number of continuous decommitment hours </w:t>
            </w:r>
            <w:r w:rsidR="00C403FA">
              <w:t xml:space="preserve">for Resource </w:t>
            </w:r>
            <w:r w:rsidR="00C403FA">
              <w:rPr>
                <w:i/>
              </w:rPr>
              <w:t xml:space="preserve">r </w:t>
            </w:r>
            <w:r>
              <w:t>within an Operating Day.</w:t>
            </w:r>
            <w:r w:rsidR="00C403FA">
              <w:t xml:space="preserve">  When one or more Combined Cycle Generation Resources are decommitted by RUC, the Number of Continuous Decommitted Hours is calculated for the Combined Cycle Train for all RUC-decommitted Combined Cycle Generation Resources.</w:t>
            </w:r>
          </w:p>
        </w:tc>
      </w:tr>
      <w:tr w:rsidR="00F80C33" w14:paraId="043FBAA3" w14:textId="77777777" w:rsidTr="00B35973">
        <w:trPr>
          <w:cantSplit/>
        </w:trPr>
        <w:tc>
          <w:tcPr>
            <w:tcW w:w="1638" w:type="dxa"/>
          </w:tcPr>
          <w:p w14:paraId="24EBDCAB" w14:textId="77777777" w:rsidR="00F80C33" w:rsidRPr="00B34C5D" w:rsidRDefault="00723BFB">
            <w:pPr>
              <w:pStyle w:val="TableBody"/>
              <w:rPr>
                <w:i/>
              </w:rPr>
            </w:pPr>
            <w:r w:rsidRPr="00B34C5D">
              <w:rPr>
                <w:i/>
              </w:rPr>
              <w:t>q</w:t>
            </w:r>
          </w:p>
        </w:tc>
        <w:tc>
          <w:tcPr>
            <w:tcW w:w="990" w:type="dxa"/>
          </w:tcPr>
          <w:p w14:paraId="077D6511" w14:textId="77777777" w:rsidR="00F80C33" w:rsidRDefault="00723BFB" w:rsidP="00B34C5D">
            <w:pPr>
              <w:pStyle w:val="TableBody"/>
              <w:jc w:val="center"/>
            </w:pPr>
            <w:r>
              <w:t>none</w:t>
            </w:r>
          </w:p>
        </w:tc>
        <w:tc>
          <w:tcPr>
            <w:tcW w:w="6953" w:type="dxa"/>
          </w:tcPr>
          <w:p w14:paraId="709AF897" w14:textId="77777777" w:rsidR="00F80C33" w:rsidRDefault="00723BFB">
            <w:pPr>
              <w:pStyle w:val="TableBody"/>
            </w:pPr>
            <w:r>
              <w:t>A QSE.</w:t>
            </w:r>
          </w:p>
        </w:tc>
      </w:tr>
      <w:tr w:rsidR="00F80C33" w14:paraId="586117B1" w14:textId="77777777" w:rsidTr="00B35973">
        <w:trPr>
          <w:cantSplit/>
        </w:trPr>
        <w:tc>
          <w:tcPr>
            <w:tcW w:w="1638" w:type="dxa"/>
          </w:tcPr>
          <w:p w14:paraId="1BE7A368" w14:textId="77777777" w:rsidR="00F80C33" w:rsidRPr="00B34C5D" w:rsidRDefault="00723BFB">
            <w:pPr>
              <w:pStyle w:val="TableBody"/>
              <w:rPr>
                <w:i/>
              </w:rPr>
            </w:pPr>
            <w:r w:rsidRPr="00B34C5D">
              <w:rPr>
                <w:i/>
              </w:rPr>
              <w:t>r</w:t>
            </w:r>
          </w:p>
        </w:tc>
        <w:tc>
          <w:tcPr>
            <w:tcW w:w="990" w:type="dxa"/>
          </w:tcPr>
          <w:p w14:paraId="20749C5B" w14:textId="77777777" w:rsidR="00F80C33" w:rsidRDefault="00723BFB" w:rsidP="00B34C5D">
            <w:pPr>
              <w:pStyle w:val="TableBody"/>
              <w:jc w:val="center"/>
            </w:pPr>
            <w:r>
              <w:t>none</w:t>
            </w:r>
          </w:p>
        </w:tc>
        <w:tc>
          <w:tcPr>
            <w:tcW w:w="6953" w:type="dxa"/>
          </w:tcPr>
          <w:p w14:paraId="349F2527" w14:textId="77777777" w:rsidR="00F80C33" w:rsidRDefault="00723BFB">
            <w:pPr>
              <w:pStyle w:val="TableBody"/>
            </w:pPr>
            <w:r>
              <w:t>A  RUC-decommitted Generation Resource.</w:t>
            </w:r>
          </w:p>
        </w:tc>
      </w:tr>
      <w:tr w:rsidR="00F80C33" w14:paraId="0518A89E" w14:textId="77777777" w:rsidTr="00B35973">
        <w:trPr>
          <w:cantSplit/>
        </w:trPr>
        <w:tc>
          <w:tcPr>
            <w:tcW w:w="1638" w:type="dxa"/>
          </w:tcPr>
          <w:p w14:paraId="1FD6C8EE" w14:textId="77777777" w:rsidR="00F80C33" w:rsidRPr="00B34C5D" w:rsidRDefault="00723BFB">
            <w:pPr>
              <w:pStyle w:val="TableBody"/>
              <w:rPr>
                <w:i/>
              </w:rPr>
            </w:pPr>
            <w:r w:rsidRPr="00B34C5D">
              <w:rPr>
                <w:i/>
              </w:rPr>
              <w:t>h</w:t>
            </w:r>
          </w:p>
        </w:tc>
        <w:tc>
          <w:tcPr>
            <w:tcW w:w="990" w:type="dxa"/>
          </w:tcPr>
          <w:p w14:paraId="0DE70DF5" w14:textId="77777777" w:rsidR="00F80C33" w:rsidRDefault="00723BFB" w:rsidP="00B34C5D">
            <w:pPr>
              <w:pStyle w:val="TableBody"/>
              <w:jc w:val="center"/>
            </w:pPr>
            <w:r>
              <w:t>none</w:t>
            </w:r>
          </w:p>
        </w:tc>
        <w:tc>
          <w:tcPr>
            <w:tcW w:w="6953" w:type="dxa"/>
          </w:tcPr>
          <w:p w14:paraId="740F2C05" w14:textId="77777777" w:rsidR="00F80C33" w:rsidRDefault="00723BFB">
            <w:pPr>
              <w:pStyle w:val="TableBody"/>
            </w:pPr>
            <w:r>
              <w:t xml:space="preserve">An hour in the RUC </w:t>
            </w:r>
            <w:r w:rsidR="00C9426C">
              <w:t>d</w:t>
            </w:r>
            <w:r>
              <w:t>ecommitment period.</w:t>
            </w:r>
          </w:p>
        </w:tc>
      </w:tr>
      <w:tr w:rsidR="00F80C33" w14:paraId="0391ED37" w14:textId="77777777" w:rsidTr="00B35973">
        <w:trPr>
          <w:cantSplit/>
        </w:trPr>
        <w:tc>
          <w:tcPr>
            <w:tcW w:w="1638" w:type="dxa"/>
          </w:tcPr>
          <w:p w14:paraId="1E095EFC" w14:textId="77777777" w:rsidR="00F80C33" w:rsidRPr="00B34C5D" w:rsidRDefault="00723BFB">
            <w:pPr>
              <w:pStyle w:val="TableBody"/>
              <w:rPr>
                <w:i/>
              </w:rPr>
            </w:pPr>
            <w:r w:rsidRPr="00B34C5D">
              <w:rPr>
                <w:i/>
              </w:rPr>
              <w:t>p</w:t>
            </w:r>
          </w:p>
        </w:tc>
        <w:tc>
          <w:tcPr>
            <w:tcW w:w="990" w:type="dxa"/>
          </w:tcPr>
          <w:p w14:paraId="688DBC1E" w14:textId="77777777" w:rsidR="00F80C33" w:rsidRDefault="00723BFB" w:rsidP="00B34C5D">
            <w:pPr>
              <w:pStyle w:val="TableBody"/>
              <w:jc w:val="center"/>
            </w:pPr>
            <w:r>
              <w:t>none</w:t>
            </w:r>
          </w:p>
        </w:tc>
        <w:tc>
          <w:tcPr>
            <w:tcW w:w="6953" w:type="dxa"/>
          </w:tcPr>
          <w:p w14:paraId="2076AB2F" w14:textId="77777777" w:rsidR="00F80C33" w:rsidRDefault="00723BFB">
            <w:pPr>
              <w:pStyle w:val="TableBody"/>
            </w:pPr>
            <w:r>
              <w:t>A Resource Node Settlement Point.</w:t>
            </w:r>
          </w:p>
        </w:tc>
      </w:tr>
      <w:tr w:rsidR="00F80C33" w14:paraId="53FDBDEE" w14:textId="77777777" w:rsidTr="00B35973">
        <w:trPr>
          <w:cantSplit/>
        </w:trPr>
        <w:tc>
          <w:tcPr>
            <w:tcW w:w="1638" w:type="dxa"/>
          </w:tcPr>
          <w:p w14:paraId="104600DE" w14:textId="77777777" w:rsidR="00F80C33" w:rsidRPr="00B34C5D" w:rsidRDefault="0005054D">
            <w:pPr>
              <w:pStyle w:val="TableBody"/>
              <w:rPr>
                <w:i/>
              </w:rPr>
            </w:pPr>
            <w:r>
              <w:rPr>
                <w:i/>
              </w:rPr>
              <w:t>s</w:t>
            </w:r>
          </w:p>
        </w:tc>
        <w:tc>
          <w:tcPr>
            <w:tcW w:w="990" w:type="dxa"/>
          </w:tcPr>
          <w:p w14:paraId="689C0CBA" w14:textId="77777777" w:rsidR="00F80C33" w:rsidRDefault="00723BFB" w:rsidP="00B34C5D">
            <w:pPr>
              <w:pStyle w:val="TableBody"/>
              <w:jc w:val="center"/>
            </w:pPr>
            <w:r>
              <w:t>none</w:t>
            </w:r>
          </w:p>
        </w:tc>
        <w:tc>
          <w:tcPr>
            <w:tcW w:w="6953" w:type="dxa"/>
          </w:tcPr>
          <w:p w14:paraId="45A131BB" w14:textId="77777777" w:rsidR="00F80C33" w:rsidRDefault="00723BFB">
            <w:pPr>
              <w:pStyle w:val="TableBody"/>
            </w:pPr>
            <w:r>
              <w:t xml:space="preserve">A </w:t>
            </w:r>
            <w:r w:rsidR="00C403FA">
              <w:t>s</w:t>
            </w:r>
            <w:r>
              <w:t>tart.</w:t>
            </w:r>
          </w:p>
        </w:tc>
      </w:tr>
      <w:tr w:rsidR="00F80C33" w14:paraId="3C92ADEC" w14:textId="77777777" w:rsidTr="00B35973">
        <w:trPr>
          <w:cantSplit/>
        </w:trPr>
        <w:tc>
          <w:tcPr>
            <w:tcW w:w="1638" w:type="dxa"/>
          </w:tcPr>
          <w:p w14:paraId="486C3BFC" w14:textId="77777777" w:rsidR="00F80C33" w:rsidRPr="00B34C5D" w:rsidRDefault="0005054D" w:rsidP="0005054D">
            <w:pPr>
              <w:pStyle w:val="TableBody"/>
              <w:rPr>
                <w:i/>
              </w:rPr>
            </w:pPr>
            <w:r>
              <w:rPr>
                <w:i/>
              </w:rPr>
              <w:t>i</w:t>
            </w:r>
          </w:p>
        </w:tc>
        <w:tc>
          <w:tcPr>
            <w:tcW w:w="990" w:type="dxa"/>
          </w:tcPr>
          <w:p w14:paraId="7B461B4B" w14:textId="77777777" w:rsidR="00F80C33" w:rsidRDefault="00723BFB" w:rsidP="00B34C5D">
            <w:pPr>
              <w:pStyle w:val="TableBody"/>
              <w:jc w:val="center"/>
            </w:pPr>
            <w:r>
              <w:t>none</w:t>
            </w:r>
          </w:p>
        </w:tc>
        <w:tc>
          <w:tcPr>
            <w:tcW w:w="6953" w:type="dxa"/>
          </w:tcPr>
          <w:p w14:paraId="4B9209E7" w14:textId="77777777" w:rsidR="00F80C33" w:rsidRPr="00B34C5D" w:rsidRDefault="00723BFB" w:rsidP="00FE1692">
            <w:pPr>
              <w:pStyle w:val="TableBody"/>
              <w:rPr>
                <w:i/>
              </w:rPr>
            </w:pPr>
            <w:r>
              <w:t xml:space="preserve">A 15-minute Settlement Interval within the </w:t>
            </w:r>
            <w:r w:rsidR="00C403FA">
              <w:t>contiguous decommit</w:t>
            </w:r>
            <w:r w:rsidR="00FE1692">
              <w:t>t</w:t>
            </w:r>
            <w:r w:rsidR="00C403FA">
              <w:t>ed period</w:t>
            </w:r>
            <w:r>
              <w:t>.</w:t>
            </w:r>
          </w:p>
        </w:tc>
      </w:tr>
    </w:tbl>
    <w:p w14:paraId="622709C1" w14:textId="77777777" w:rsidR="00F80C33" w:rsidRPr="000B7479" w:rsidRDefault="00723BFB" w:rsidP="000B7479">
      <w:pPr>
        <w:pStyle w:val="H3"/>
        <w:spacing w:before="480"/>
        <w:rPr>
          <w:b/>
          <w:i/>
        </w:rPr>
      </w:pPr>
      <w:bookmarkStart w:id="272" w:name="_Toc72925597"/>
      <w:bookmarkStart w:id="273" w:name="_Toc74113622"/>
      <w:bookmarkStart w:id="274" w:name="_Toc88017254"/>
      <w:bookmarkStart w:id="275" w:name="_Toc101091058"/>
      <w:bookmarkStart w:id="276" w:name="_Toc400547193"/>
      <w:bookmarkStart w:id="277" w:name="_Toc405384298"/>
      <w:bookmarkStart w:id="278" w:name="_Toc405543565"/>
      <w:bookmarkStart w:id="279" w:name="_Toc428178074"/>
      <w:bookmarkStart w:id="280" w:name="_Toc440872705"/>
      <w:bookmarkStart w:id="281" w:name="_Toc458766250"/>
      <w:bookmarkStart w:id="282" w:name="_Toc459292655"/>
      <w:bookmarkStart w:id="283" w:name="_Toc60038362"/>
      <w:r w:rsidRPr="000B7479">
        <w:rPr>
          <w:b/>
          <w:i/>
        </w:rPr>
        <w:t>5.7.4</w:t>
      </w:r>
      <w:r w:rsidRPr="000B7479">
        <w:rPr>
          <w:b/>
          <w:i/>
        </w:rPr>
        <w:tab/>
      </w:r>
      <w:bookmarkEnd w:id="272"/>
      <w:bookmarkEnd w:id="273"/>
      <w:bookmarkEnd w:id="274"/>
      <w:bookmarkEnd w:id="275"/>
      <w:r w:rsidRPr="000B7479">
        <w:rPr>
          <w:b/>
          <w:i/>
        </w:rPr>
        <w:t>RUC Make-Whole Charges</w:t>
      </w:r>
      <w:bookmarkEnd w:id="276"/>
      <w:bookmarkEnd w:id="277"/>
      <w:bookmarkEnd w:id="278"/>
      <w:bookmarkEnd w:id="279"/>
      <w:bookmarkEnd w:id="280"/>
      <w:bookmarkEnd w:id="281"/>
      <w:bookmarkEnd w:id="282"/>
      <w:bookmarkEnd w:id="283"/>
      <w:r w:rsidRPr="000B7479">
        <w:rPr>
          <w:b/>
          <w:i/>
        </w:rPr>
        <w:t xml:space="preserve"> </w:t>
      </w:r>
    </w:p>
    <w:p w14:paraId="0EAE14D9" w14:textId="77777777" w:rsidR="00F80C33" w:rsidRDefault="00723BFB">
      <w:pPr>
        <w:pStyle w:val="BodyText"/>
        <w:ind w:left="720" w:hanging="720"/>
      </w:pPr>
      <w:r>
        <w:t>(1)</w:t>
      </w:r>
      <w:r>
        <w:tab/>
        <w:t xml:space="preserve">All QSEs that were capacity-short in each RUC will be charged for that shortage, as described in Section 5.7.4.1, RUC Capacity-Short Charge. </w:t>
      </w:r>
      <w:r w:rsidR="003A2727">
        <w:t xml:space="preserve"> </w:t>
      </w:r>
      <w:r>
        <w:t>If the revenues from the charges under Section 5.7.4.1 are not enough to cover all RUC Make-Whole Payments for a Settlement Interval, then the difference will be uplifted to all QSEs on a Load Ratio Share</w:t>
      </w:r>
      <w:r w:rsidR="00F21C1E">
        <w:t xml:space="preserve"> (LRS)</w:t>
      </w:r>
      <w:r>
        <w:t xml:space="preserve"> basis, as described in Section 5.7.4.2, RUC Make-Whole Uplift Charge.</w:t>
      </w:r>
    </w:p>
    <w:p w14:paraId="4762733E" w14:textId="77777777" w:rsidR="005151E0" w:rsidRDefault="00723BFB" w:rsidP="00D56FFD">
      <w:pPr>
        <w:pStyle w:val="BodyText"/>
        <w:ind w:left="720" w:hanging="720"/>
      </w:pPr>
      <w:r>
        <w:t>(</w:t>
      </w:r>
      <w:r w:rsidR="00C84810">
        <w:t>2</w:t>
      </w:r>
      <w:r>
        <w:t>)</w:t>
      </w:r>
      <w:r>
        <w:tab/>
        <w:t xml:space="preserve">On a monthly basis, within </w:t>
      </w:r>
      <w:r w:rsidR="004C75EF">
        <w:t>ten</w:t>
      </w:r>
      <w:r>
        <w:t xml:space="preserve"> days after the Initial Settlement of the last day of the month has been completed, ERCOT shall post on the </w:t>
      </w:r>
      <w:r w:rsidR="004C75EF">
        <w:t>Market Information System (</w:t>
      </w:r>
      <w:r>
        <w:t>MIS</w:t>
      </w:r>
      <w:r w:rsidR="004C75EF">
        <w:t>)</w:t>
      </w:r>
      <w:r>
        <w:t xml:space="preserve"> Secure Area the total RUC Make-Whole Charges and RUC </w:t>
      </w:r>
      <w:proofErr w:type="spellStart"/>
      <w:r>
        <w:t>Clawback</w:t>
      </w:r>
      <w:proofErr w:type="spellEnd"/>
      <w:r>
        <w:t xml:space="preserve"> Payment</w:t>
      </w:r>
      <w:r w:rsidR="00BD6F11">
        <w:t xml:space="preserve"> Amount</w:t>
      </w:r>
      <w:r>
        <w:t xml:space="preserve">s, by Settlement Interval, by QSE capacity-shortfall and by amount uplifted. </w:t>
      </w:r>
    </w:p>
    <w:p w14:paraId="26EBE405" w14:textId="77777777" w:rsidR="00F80C33" w:rsidRDefault="00723BFB" w:rsidP="00711553">
      <w:pPr>
        <w:pStyle w:val="H4"/>
        <w:ind w:left="1267" w:hanging="1267"/>
      </w:pPr>
      <w:bookmarkStart w:id="284" w:name="_Toc400547194"/>
      <w:bookmarkStart w:id="285" w:name="_Toc405384299"/>
      <w:bookmarkStart w:id="286" w:name="_Toc405543566"/>
      <w:bookmarkStart w:id="287" w:name="_Toc428178075"/>
      <w:bookmarkStart w:id="288" w:name="_Toc440872706"/>
      <w:bookmarkStart w:id="289" w:name="_Toc458766251"/>
      <w:bookmarkStart w:id="290" w:name="_Toc459292656"/>
      <w:bookmarkStart w:id="291" w:name="_Toc60038363"/>
      <w:r>
        <w:lastRenderedPageBreak/>
        <w:t>5.7.4.1</w:t>
      </w:r>
      <w:r>
        <w:tab/>
        <w:t>RUC Capacity-Short Charge</w:t>
      </w:r>
      <w:bookmarkEnd w:id="284"/>
      <w:bookmarkEnd w:id="285"/>
      <w:bookmarkEnd w:id="286"/>
      <w:bookmarkEnd w:id="287"/>
      <w:bookmarkEnd w:id="288"/>
      <w:bookmarkEnd w:id="289"/>
      <w:bookmarkEnd w:id="290"/>
      <w:bookmarkEnd w:id="291"/>
    </w:p>
    <w:p w14:paraId="42976D22" w14:textId="77777777" w:rsidR="00F80C33" w:rsidRDefault="001A6C1F" w:rsidP="00083F9B">
      <w:pPr>
        <w:pStyle w:val="BodyText"/>
        <w:ind w:left="720" w:hanging="720"/>
      </w:pPr>
      <w:r>
        <w:t>(1)</w:t>
      </w:r>
      <w:r>
        <w:tab/>
      </w:r>
      <w:r w:rsidR="00723BFB">
        <w:t xml:space="preserve">The dollar amount charged to each QSE, due to capacity shortfalls for a particular RUC, for a 15-minute Settlement Interval, is the QSE’s shortfall ratio share multiplied by the total RUC Make-Whole Payments, including amounts for RMR Units, to all QSEs for that RUC, subject to a cap. </w:t>
      </w:r>
      <w:r w:rsidR="007C60DD">
        <w:t xml:space="preserve"> </w:t>
      </w:r>
      <w:r w:rsidR="00723BFB">
        <w:t>The cap on the charge to each QSE is two multiplied by the total RUC Make-Whole Payments, including amounts for RMR Units, for all QSEs multiplied by that QSE’s capacity shortfall for that RUC process divided by the total capacity of all RUC-</w:t>
      </w:r>
      <w:r w:rsidR="00BD6F11">
        <w:t>c</w:t>
      </w:r>
      <w:r w:rsidR="00723BFB">
        <w:t xml:space="preserve">ommitted Resources during that Settlement Interval for the RUC process. </w:t>
      </w:r>
      <w:r w:rsidR="00BB4465">
        <w:t xml:space="preserve"> </w:t>
      </w:r>
      <w:r w:rsidR="00723BFB">
        <w:t>That dollar amount charged to each QSE is calculated as follows:</w:t>
      </w:r>
    </w:p>
    <w:p w14:paraId="4642789C" w14:textId="77777777" w:rsidR="00F80C33" w:rsidRDefault="00723BFB" w:rsidP="00C078A2">
      <w:pPr>
        <w:pStyle w:val="FormulaBold"/>
      </w:pPr>
      <w:r>
        <w:t>RUCCSAMT</w:t>
      </w:r>
      <w:r w:rsidR="00320A3F">
        <w:rPr>
          <w:lang w:val="en-US"/>
        </w:rPr>
        <w:t xml:space="preserve"> </w:t>
      </w:r>
      <w:proofErr w:type="spellStart"/>
      <w:r>
        <w:rPr>
          <w:i/>
          <w:vertAlign w:val="subscript"/>
        </w:rPr>
        <w:t>ruc</w:t>
      </w:r>
      <w:proofErr w:type="spellEnd"/>
      <w:r>
        <w:rPr>
          <w:i/>
          <w:vertAlign w:val="subscript"/>
        </w:rPr>
        <w:t>,</w:t>
      </w:r>
      <w:r w:rsidR="00320A3F">
        <w:rPr>
          <w:i/>
          <w:vertAlign w:val="subscript"/>
          <w:lang w:val="en-US"/>
        </w:rPr>
        <w:t xml:space="preserve"> </w:t>
      </w:r>
      <w:r>
        <w:rPr>
          <w:i/>
          <w:vertAlign w:val="subscript"/>
        </w:rPr>
        <w:t>i,</w:t>
      </w:r>
      <w:r w:rsidR="00320A3F">
        <w:rPr>
          <w:i/>
          <w:vertAlign w:val="subscript"/>
          <w:lang w:val="en-US"/>
        </w:rPr>
        <w:t xml:space="preserve"> </w:t>
      </w:r>
      <w:r>
        <w:rPr>
          <w:i/>
          <w:vertAlign w:val="subscript"/>
        </w:rPr>
        <w:t>q</w:t>
      </w:r>
      <w:r>
        <w:tab/>
        <w:t>=</w:t>
      </w:r>
      <w:r>
        <w:tab/>
        <w:t>(-1) * Max [(RUCSFRS</w:t>
      </w:r>
      <w:r w:rsidR="00320A3F">
        <w:rPr>
          <w:lang w:val="en-US"/>
        </w:rPr>
        <w:t xml:space="preserve"> </w:t>
      </w:r>
      <w:proofErr w:type="spellStart"/>
      <w:r>
        <w:rPr>
          <w:i/>
          <w:vertAlign w:val="subscript"/>
        </w:rPr>
        <w:t>ruc</w:t>
      </w:r>
      <w:proofErr w:type="spellEnd"/>
      <w:r>
        <w:rPr>
          <w:i/>
          <w:vertAlign w:val="subscript"/>
        </w:rPr>
        <w:t>,</w:t>
      </w:r>
      <w:r w:rsidR="00320A3F">
        <w:rPr>
          <w:i/>
          <w:vertAlign w:val="subscript"/>
          <w:lang w:val="en-US"/>
        </w:rPr>
        <w:t xml:space="preserve"> </w:t>
      </w:r>
      <w:r>
        <w:rPr>
          <w:i/>
          <w:vertAlign w:val="subscript"/>
        </w:rPr>
        <w:t>i,</w:t>
      </w:r>
      <w:r w:rsidR="00320A3F">
        <w:rPr>
          <w:i/>
          <w:vertAlign w:val="subscript"/>
          <w:lang w:val="en-US"/>
        </w:rPr>
        <w:t xml:space="preserve"> </w:t>
      </w:r>
      <w:r>
        <w:rPr>
          <w:i/>
          <w:vertAlign w:val="subscript"/>
        </w:rPr>
        <w:t>q</w:t>
      </w:r>
      <w:r>
        <w:t xml:space="preserve"> * RUCMWAMTRUCTOT</w:t>
      </w:r>
      <w:r w:rsidR="00320A3F">
        <w:rPr>
          <w:lang w:val="en-US"/>
        </w:rPr>
        <w:t xml:space="preserve"> </w:t>
      </w:r>
      <w:proofErr w:type="spellStart"/>
      <w:r>
        <w:rPr>
          <w:i/>
          <w:vertAlign w:val="subscript"/>
        </w:rPr>
        <w:t>ruc</w:t>
      </w:r>
      <w:proofErr w:type="spellEnd"/>
      <w:r>
        <w:rPr>
          <w:i/>
          <w:vertAlign w:val="subscript"/>
        </w:rPr>
        <w:t>,</w:t>
      </w:r>
      <w:r w:rsidR="00320A3F">
        <w:rPr>
          <w:i/>
          <w:vertAlign w:val="subscript"/>
          <w:lang w:val="en-US"/>
        </w:rPr>
        <w:t xml:space="preserve"> </w:t>
      </w:r>
      <w:r>
        <w:rPr>
          <w:i/>
          <w:vertAlign w:val="subscript"/>
        </w:rPr>
        <w:t>h</w:t>
      </w:r>
      <w:r>
        <w:t xml:space="preserve">), </w:t>
      </w:r>
      <w:r>
        <w:br/>
        <w:t>(2 * RUCSF</w:t>
      </w:r>
      <w:r w:rsidR="00320A3F">
        <w:rPr>
          <w:lang w:val="en-US"/>
        </w:rPr>
        <w:t xml:space="preserve"> </w:t>
      </w:r>
      <w:proofErr w:type="spellStart"/>
      <w:r>
        <w:rPr>
          <w:i/>
          <w:vertAlign w:val="subscript"/>
        </w:rPr>
        <w:t>ruc</w:t>
      </w:r>
      <w:proofErr w:type="spellEnd"/>
      <w:r>
        <w:rPr>
          <w:i/>
          <w:vertAlign w:val="subscript"/>
        </w:rPr>
        <w:t>,</w:t>
      </w:r>
      <w:r w:rsidR="00320A3F">
        <w:rPr>
          <w:i/>
          <w:vertAlign w:val="subscript"/>
          <w:lang w:val="en-US"/>
        </w:rPr>
        <w:t xml:space="preserve"> </w:t>
      </w:r>
      <w:r>
        <w:rPr>
          <w:i/>
          <w:vertAlign w:val="subscript"/>
        </w:rPr>
        <w:t>i,</w:t>
      </w:r>
      <w:r w:rsidR="00320A3F">
        <w:rPr>
          <w:i/>
          <w:vertAlign w:val="subscript"/>
          <w:lang w:val="en-US"/>
        </w:rPr>
        <w:t xml:space="preserve"> </w:t>
      </w:r>
      <w:r>
        <w:rPr>
          <w:i/>
          <w:vertAlign w:val="subscript"/>
        </w:rPr>
        <w:t>q</w:t>
      </w:r>
      <w:r>
        <w:t xml:space="preserve"> * RUCMWAMTRUCTOT</w:t>
      </w:r>
      <w:r w:rsidR="00320A3F">
        <w:rPr>
          <w:lang w:val="en-US"/>
        </w:rPr>
        <w:t xml:space="preserve"> </w:t>
      </w:r>
      <w:proofErr w:type="spellStart"/>
      <w:r>
        <w:rPr>
          <w:i/>
          <w:vertAlign w:val="subscript"/>
        </w:rPr>
        <w:t>ruc</w:t>
      </w:r>
      <w:proofErr w:type="spellEnd"/>
      <w:r>
        <w:rPr>
          <w:i/>
          <w:vertAlign w:val="subscript"/>
        </w:rPr>
        <w:t>,</w:t>
      </w:r>
      <w:r w:rsidR="00320A3F">
        <w:rPr>
          <w:i/>
          <w:vertAlign w:val="subscript"/>
          <w:lang w:val="en-US"/>
        </w:rPr>
        <w:t xml:space="preserve"> </w:t>
      </w:r>
      <w:r>
        <w:rPr>
          <w:i/>
          <w:vertAlign w:val="subscript"/>
        </w:rPr>
        <w:t>h</w:t>
      </w:r>
      <w:r>
        <w:t xml:space="preserve"> / RUCCAPTOT</w:t>
      </w:r>
      <w:r w:rsidR="00320A3F">
        <w:rPr>
          <w:lang w:val="en-US"/>
        </w:rPr>
        <w:t xml:space="preserve"> </w:t>
      </w:r>
      <w:proofErr w:type="spellStart"/>
      <w:r>
        <w:rPr>
          <w:i/>
          <w:vertAlign w:val="subscript"/>
        </w:rPr>
        <w:t>ruc</w:t>
      </w:r>
      <w:proofErr w:type="spellEnd"/>
      <w:r>
        <w:rPr>
          <w:i/>
          <w:vertAlign w:val="subscript"/>
        </w:rPr>
        <w:t>,</w:t>
      </w:r>
      <w:r w:rsidR="00320A3F">
        <w:rPr>
          <w:i/>
          <w:vertAlign w:val="subscript"/>
          <w:lang w:val="en-US"/>
        </w:rPr>
        <w:t xml:space="preserve"> </w:t>
      </w:r>
      <w:r>
        <w:rPr>
          <w:i/>
          <w:vertAlign w:val="subscript"/>
        </w:rPr>
        <w:t>h</w:t>
      </w:r>
      <w:r>
        <w:t>)] / 4</w:t>
      </w:r>
    </w:p>
    <w:p w14:paraId="7F19C88B" w14:textId="77777777" w:rsidR="00F80C33" w:rsidRDefault="00723BFB">
      <w:pPr>
        <w:pStyle w:val="BodyTextNumberedChar"/>
        <w:ind w:firstLine="0"/>
      </w:pPr>
      <w:r>
        <w:t>Where:</w:t>
      </w:r>
    </w:p>
    <w:p w14:paraId="1B2F6E77" w14:textId="77777777" w:rsidR="00F80C33" w:rsidRDefault="00723BFB" w:rsidP="0063616C">
      <w:pPr>
        <w:pStyle w:val="Formula"/>
        <w:rPr>
          <w:i/>
          <w:vertAlign w:val="subscript"/>
        </w:rPr>
      </w:pPr>
      <w:r>
        <w:t>RUCMWAMTRUCTOT</w:t>
      </w:r>
      <w:r w:rsidR="00320A3F">
        <w:rPr>
          <w:lang w:val="en-US"/>
        </w:rPr>
        <w:t xml:space="preserve"> </w:t>
      </w:r>
      <w:proofErr w:type="spellStart"/>
      <w:r>
        <w:rPr>
          <w:i/>
          <w:vertAlign w:val="subscript"/>
        </w:rPr>
        <w:t>ruc</w:t>
      </w:r>
      <w:proofErr w:type="spellEnd"/>
      <w:r>
        <w:rPr>
          <w:i/>
          <w:vertAlign w:val="subscript"/>
        </w:rPr>
        <w:t>,</w:t>
      </w:r>
      <w:r w:rsidR="00320A3F">
        <w:rPr>
          <w:i/>
          <w:vertAlign w:val="subscript"/>
          <w:lang w:val="en-US"/>
        </w:rPr>
        <w:t xml:space="preserve"> </w:t>
      </w:r>
      <w:r>
        <w:rPr>
          <w:i/>
          <w:vertAlign w:val="subscript"/>
        </w:rPr>
        <w:t xml:space="preserve">h </w:t>
      </w:r>
      <w:r>
        <w:tab/>
        <w:t>=</w:t>
      </w:r>
      <w:r>
        <w:tab/>
      </w:r>
      <w:r w:rsidR="00F80C33" w:rsidRPr="00F80C33">
        <w:rPr>
          <w:position w:val="-22"/>
        </w:rPr>
        <w:object w:dxaOrig="220" w:dyaOrig="460" w14:anchorId="41CBDD2D">
          <v:shape id="_x0000_i1039" type="#_x0000_t75" style="width:9.6pt;height:22.8pt" o:ole="">
            <v:imagedata r:id="rId38" o:title=""/>
          </v:shape>
          <o:OLEObject Type="Embed" ProgID="Equation.3" ShapeID="_x0000_i1039" DrawAspect="Content" ObjectID="_1775281569" r:id="rId39"/>
        </w:object>
      </w:r>
      <w:r w:rsidR="00F80C33" w:rsidRPr="00F80C33">
        <w:rPr>
          <w:position w:val="-18"/>
        </w:rPr>
        <w:object w:dxaOrig="220" w:dyaOrig="420" w14:anchorId="44F0D0A1">
          <v:shape id="_x0000_i1040" type="#_x0000_t75" style="width:9.6pt;height:21pt" o:ole="">
            <v:imagedata r:id="rId40" o:title=""/>
          </v:shape>
          <o:OLEObject Type="Embed" ProgID="Equation.3" ShapeID="_x0000_i1040" DrawAspect="Content" ObjectID="_1775281570" r:id="rId41"/>
        </w:object>
      </w:r>
      <w:r>
        <w:t>RUCMWAMT</w:t>
      </w:r>
      <w:r w:rsidR="00320A3F">
        <w:rPr>
          <w:lang w:val="en-US"/>
        </w:rPr>
        <w:t xml:space="preserve"> </w:t>
      </w:r>
      <w:proofErr w:type="spellStart"/>
      <w:r>
        <w:rPr>
          <w:i/>
          <w:vertAlign w:val="subscript"/>
        </w:rPr>
        <w:t>ruc</w:t>
      </w:r>
      <w:proofErr w:type="spellEnd"/>
      <w:r>
        <w:rPr>
          <w:i/>
          <w:vertAlign w:val="subscript"/>
        </w:rPr>
        <w:t>,</w:t>
      </w:r>
      <w:r w:rsidR="00320A3F">
        <w:rPr>
          <w:i/>
          <w:vertAlign w:val="subscript"/>
          <w:lang w:val="en-US"/>
        </w:rPr>
        <w:t xml:space="preserve"> </w:t>
      </w:r>
      <w:r>
        <w:rPr>
          <w:i/>
          <w:vertAlign w:val="subscript"/>
        </w:rPr>
        <w:t>q,</w:t>
      </w:r>
      <w:r w:rsidR="00320A3F">
        <w:rPr>
          <w:i/>
          <w:vertAlign w:val="subscript"/>
          <w:lang w:val="en-US"/>
        </w:rPr>
        <w:t xml:space="preserve"> </w:t>
      </w:r>
      <w:r>
        <w:rPr>
          <w:i/>
          <w:vertAlign w:val="subscript"/>
        </w:rPr>
        <w:t>r,</w:t>
      </w:r>
      <w:r w:rsidR="00320A3F">
        <w:rPr>
          <w:i/>
          <w:vertAlign w:val="subscript"/>
          <w:lang w:val="en-US"/>
        </w:rPr>
        <w:t xml:space="preserve"> </w:t>
      </w:r>
      <w:r>
        <w:rPr>
          <w:i/>
          <w:vertAlign w:val="subscript"/>
        </w:rPr>
        <w:t>h</w:t>
      </w:r>
    </w:p>
    <w:p w14:paraId="05AD895A" w14:textId="132CC858" w:rsidR="00F80C33" w:rsidRDefault="00723BFB">
      <w:pPr>
        <w:pStyle w:val="Formula"/>
      </w:pPr>
      <w:r>
        <w:t>RUCCAPTOT</w:t>
      </w:r>
      <w:r w:rsidR="00320A3F">
        <w:rPr>
          <w:lang w:val="en-US"/>
        </w:rPr>
        <w:t xml:space="preserve"> </w:t>
      </w:r>
      <w:proofErr w:type="spellStart"/>
      <w:r>
        <w:rPr>
          <w:i/>
          <w:vertAlign w:val="subscript"/>
        </w:rPr>
        <w:t>ruc</w:t>
      </w:r>
      <w:proofErr w:type="spellEnd"/>
      <w:r>
        <w:rPr>
          <w:i/>
          <w:vertAlign w:val="subscript"/>
        </w:rPr>
        <w:t>,</w:t>
      </w:r>
      <w:r w:rsidR="00320A3F">
        <w:rPr>
          <w:i/>
          <w:vertAlign w:val="subscript"/>
          <w:lang w:val="en-US"/>
        </w:rPr>
        <w:t xml:space="preserve"> </w:t>
      </w:r>
      <w:r>
        <w:rPr>
          <w:i/>
          <w:vertAlign w:val="subscript"/>
        </w:rPr>
        <w:t>h</w:t>
      </w:r>
      <w:r>
        <w:tab/>
        <w:t xml:space="preserve">    </w:t>
      </w:r>
      <w:r w:rsidR="00320A3F">
        <w:tab/>
      </w:r>
      <w:r w:rsidR="002944A8">
        <w:tab/>
      </w:r>
      <w:r>
        <w:t xml:space="preserve"> =</w:t>
      </w:r>
      <w:r>
        <w:tab/>
      </w:r>
      <w:r w:rsidR="00F80C33" w:rsidRPr="00F80C33">
        <w:rPr>
          <w:position w:val="-18"/>
        </w:rPr>
        <w:object w:dxaOrig="220" w:dyaOrig="420" w14:anchorId="65807CB0">
          <v:shape id="_x0000_i1041" type="#_x0000_t75" style="width:9.6pt;height:21pt" o:ole="">
            <v:imagedata r:id="rId42" o:title=""/>
          </v:shape>
          <o:OLEObject Type="Embed" ProgID="Equation.3" ShapeID="_x0000_i1041" DrawAspect="Content" ObjectID="_1775281571" r:id="rId43"/>
        </w:object>
      </w:r>
      <w:r w:rsidR="001D6962">
        <w:rPr>
          <w:lang w:val="en-US"/>
        </w:rPr>
        <w:t>(</w:t>
      </w:r>
      <w:r>
        <w:t>HSL</w:t>
      </w:r>
      <w:r w:rsidR="00320A3F">
        <w:rPr>
          <w:lang w:val="en-US"/>
        </w:rPr>
        <w:t xml:space="preserve"> </w:t>
      </w:r>
      <w:proofErr w:type="spellStart"/>
      <w:r>
        <w:rPr>
          <w:i/>
          <w:vertAlign w:val="subscript"/>
        </w:rPr>
        <w:t>ruc</w:t>
      </w:r>
      <w:proofErr w:type="spellEnd"/>
      <w:r>
        <w:rPr>
          <w:i/>
          <w:vertAlign w:val="subscript"/>
        </w:rPr>
        <w:t>,</w:t>
      </w:r>
      <w:r w:rsidR="00320A3F">
        <w:rPr>
          <w:i/>
          <w:vertAlign w:val="subscript"/>
          <w:lang w:val="en-US"/>
        </w:rPr>
        <w:t xml:space="preserve"> </w:t>
      </w:r>
      <w:r>
        <w:rPr>
          <w:i/>
          <w:vertAlign w:val="subscript"/>
        </w:rPr>
        <w:t>h,</w:t>
      </w:r>
      <w:r w:rsidR="00320A3F">
        <w:rPr>
          <w:i/>
          <w:vertAlign w:val="subscript"/>
          <w:lang w:val="en-US"/>
        </w:rPr>
        <w:t xml:space="preserve"> </w:t>
      </w:r>
      <w:r>
        <w:rPr>
          <w:i/>
          <w:vertAlign w:val="subscript"/>
        </w:rPr>
        <w:t>r</w:t>
      </w:r>
      <w:r w:rsidR="001D6962">
        <w:t xml:space="preserve"> – HSL</w:t>
      </w:r>
      <w:r w:rsidR="001D6962">
        <w:rPr>
          <w:lang w:val="en-US"/>
        </w:rPr>
        <w:t xml:space="preserve"> </w:t>
      </w:r>
      <w:proofErr w:type="spellStart"/>
      <w:r w:rsidR="001D6962">
        <w:rPr>
          <w:i/>
          <w:vertAlign w:val="subscript"/>
        </w:rPr>
        <w:t>ruc</w:t>
      </w:r>
      <w:proofErr w:type="spellEnd"/>
      <w:r w:rsidR="001D6962">
        <w:rPr>
          <w:i/>
          <w:vertAlign w:val="subscript"/>
        </w:rPr>
        <w:t>,</w:t>
      </w:r>
      <w:r w:rsidR="001D6962">
        <w:rPr>
          <w:i/>
          <w:vertAlign w:val="subscript"/>
          <w:lang w:val="en-US"/>
        </w:rPr>
        <w:t xml:space="preserve"> </w:t>
      </w:r>
      <w:r w:rsidR="001D6962">
        <w:rPr>
          <w:i/>
          <w:vertAlign w:val="subscript"/>
        </w:rPr>
        <w:t>h,</w:t>
      </w:r>
      <w:r w:rsidR="001D6962">
        <w:rPr>
          <w:i/>
          <w:vertAlign w:val="subscript"/>
          <w:lang w:val="en-US"/>
        </w:rPr>
        <w:t xml:space="preserve"> </w:t>
      </w:r>
      <w:proofErr w:type="spellStart"/>
      <w:r w:rsidR="001D6962" w:rsidRPr="007D41A5">
        <w:rPr>
          <w:i/>
          <w:vertAlign w:val="subscript"/>
        </w:rPr>
        <w:t>beforeCCGR</w:t>
      </w:r>
      <w:proofErr w:type="spellEnd"/>
      <w:r w:rsidR="001D6962">
        <w:t>)</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ED2152" w:rsidRPr="004B32CF" w14:paraId="2F8F7D19" w14:textId="77777777" w:rsidTr="008E5783">
        <w:trPr>
          <w:trHeight w:val="1205"/>
        </w:trPr>
        <w:tc>
          <w:tcPr>
            <w:tcW w:w="9350" w:type="dxa"/>
            <w:shd w:val="pct12" w:color="auto" w:fill="auto"/>
          </w:tcPr>
          <w:p w14:paraId="2EFE3AF5" w14:textId="3E4D2B56" w:rsidR="00ED2152" w:rsidRPr="004B32CF" w:rsidRDefault="00ED2152" w:rsidP="008E5783">
            <w:pPr>
              <w:spacing w:after="240"/>
              <w:rPr>
                <w:b/>
                <w:i/>
                <w:iCs/>
              </w:rPr>
            </w:pPr>
            <w:r w:rsidRPr="004B32CF">
              <w:rPr>
                <w:b/>
                <w:i/>
                <w:iCs/>
              </w:rPr>
              <w:t>[</w:t>
            </w:r>
            <w:r>
              <w:rPr>
                <w:b/>
                <w:i/>
                <w:iCs/>
              </w:rPr>
              <w:t>NPRR1139</w:t>
            </w:r>
            <w:r w:rsidRPr="004B32CF">
              <w:rPr>
                <w:b/>
                <w:i/>
                <w:iCs/>
              </w:rPr>
              <w:t>:  Replace</w:t>
            </w:r>
            <w:r>
              <w:rPr>
                <w:b/>
                <w:i/>
                <w:iCs/>
              </w:rPr>
              <w:t xml:space="preserve"> the formula “</w:t>
            </w:r>
            <w:r w:rsidRPr="00ED2152">
              <w:rPr>
                <w:b/>
                <w:i/>
                <w:iCs/>
              </w:rPr>
              <w:t>RUCCAPTOT</w:t>
            </w:r>
            <w:r w:rsidRPr="00ED2152">
              <w:rPr>
                <w:b/>
                <w:i/>
                <w:iCs/>
                <w:vertAlign w:val="subscript"/>
              </w:rPr>
              <w:t xml:space="preserve"> </w:t>
            </w:r>
            <w:proofErr w:type="spellStart"/>
            <w:r w:rsidRPr="00ED2152">
              <w:rPr>
                <w:b/>
                <w:i/>
                <w:iCs/>
                <w:vertAlign w:val="subscript"/>
              </w:rPr>
              <w:t>ruc</w:t>
            </w:r>
            <w:proofErr w:type="spellEnd"/>
            <w:r w:rsidRPr="00ED2152">
              <w:rPr>
                <w:b/>
                <w:i/>
                <w:iCs/>
                <w:vertAlign w:val="subscript"/>
              </w:rPr>
              <w:t>, h</w:t>
            </w:r>
            <w:r>
              <w:rPr>
                <w:b/>
                <w:i/>
                <w:iCs/>
              </w:rPr>
              <w:t>”</w:t>
            </w:r>
            <w:r w:rsidRPr="004B32CF">
              <w:rPr>
                <w:b/>
                <w:i/>
                <w:iCs/>
              </w:rPr>
              <w:t xml:space="preserve"> above with the following upon system implementation:]</w:t>
            </w:r>
          </w:p>
          <w:p w14:paraId="6A288552" w14:textId="663114B9" w:rsidR="00ED2152" w:rsidRPr="00ED2152" w:rsidRDefault="00ED2152" w:rsidP="00ED2152">
            <w:pPr>
              <w:tabs>
                <w:tab w:val="left" w:pos="2340"/>
                <w:tab w:val="left" w:pos="3420"/>
              </w:tabs>
              <w:spacing w:after="240"/>
              <w:ind w:left="3420" w:hanging="2700"/>
              <w:rPr>
                <w:bCs/>
              </w:rPr>
            </w:pPr>
            <w:r w:rsidRPr="004C674A">
              <w:rPr>
                <w:bCs/>
              </w:rPr>
              <w:t xml:space="preserve">RUCCAPTOT </w:t>
            </w:r>
            <w:proofErr w:type="spellStart"/>
            <w:r w:rsidRPr="004C674A">
              <w:rPr>
                <w:bCs/>
                <w:i/>
                <w:vertAlign w:val="subscript"/>
              </w:rPr>
              <w:t>ruc</w:t>
            </w:r>
            <w:proofErr w:type="spellEnd"/>
            <w:r w:rsidRPr="004C674A">
              <w:rPr>
                <w:bCs/>
                <w:i/>
                <w:vertAlign w:val="subscript"/>
              </w:rPr>
              <w:t>, h</w:t>
            </w:r>
            <w:r w:rsidRPr="004C674A">
              <w:rPr>
                <w:bCs/>
              </w:rPr>
              <w:tab/>
              <w:t xml:space="preserve">     =</w:t>
            </w:r>
            <w:r w:rsidRPr="004C674A">
              <w:rPr>
                <w:bCs/>
              </w:rPr>
              <w:tab/>
            </w:r>
            <w:r w:rsidRPr="004C674A">
              <w:rPr>
                <w:bCs/>
                <w:position w:val="-18"/>
              </w:rPr>
              <w:object w:dxaOrig="220" w:dyaOrig="420" w14:anchorId="63193EA3">
                <v:shape id="_x0000_i1042" type="#_x0000_t75" style="width:9.6pt;height:21.6pt" o:ole="">
                  <v:imagedata r:id="rId42" o:title=""/>
                </v:shape>
                <o:OLEObject Type="Embed" ProgID="Equation.3" ShapeID="_x0000_i1042" DrawAspect="Content" ObjectID="_1775281572" r:id="rId44"/>
              </w:object>
            </w:r>
            <w:r w:rsidRPr="004C674A">
              <w:rPr>
                <w:bCs/>
              </w:rPr>
              <w:t xml:space="preserve">(RUCHSL </w:t>
            </w:r>
            <w:proofErr w:type="spellStart"/>
            <w:r w:rsidRPr="004C674A">
              <w:rPr>
                <w:bCs/>
                <w:i/>
                <w:vertAlign w:val="subscript"/>
              </w:rPr>
              <w:t>ruc</w:t>
            </w:r>
            <w:proofErr w:type="spellEnd"/>
            <w:r w:rsidRPr="004C674A">
              <w:rPr>
                <w:bCs/>
                <w:i/>
                <w:vertAlign w:val="subscript"/>
              </w:rPr>
              <w:t>, h, r</w:t>
            </w:r>
            <w:r w:rsidRPr="004C674A">
              <w:rPr>
                <w:bCs/>
              </w:rPr>
              <w:t xml:space="preserve"> – RUCHSL </w:t>
            </w:r>
            <w:proofErr w:type="spellStart"/>
            <w:r w:rsidRPr="004C674A">
              <w:rPr>
                <w:bCs/>
                <w:i/>
                <w:vertAlign w:val="subscript"/>
              </w:rPr>
              <w:t>ruc</w:t>
            </w:r>
            <w:proofErr w:type="spellEnd"/>
            <w:r w:rsidRPr="004C674A">
              <w:rPr>
                <w:bCs/>
                <w:i/>
                <w:vertAlign w:val="subscript"/>
              </w:rPr>
              <w:t xml:space="preserve">, h, </w:t>
            </w:r>
            <w:proofErr w:type="spellStart"/>
            <w:r w:rsidRPr="004C674A">
              <w:rPr>
                <w:bCs/>
                <w:i/>
                <w:vertAlign w:val="subscript"/>
              </w:rPr>
              <w:t>beforeCCGR</w:t>
            </w:r>
            <w:proofErr w:type="spellEnd"/>
            <w:r w:rsidRPr="004C674A">
              <w:rPr>
                <w:bCs/>
              </w:rPr>
              <w:t>)</w:t>
            </w:r>
          </w:p>
        </w:tc>
      </w:tr>
    </w:tbl>
    <w:p w14:paraId="674DE9BC" w14:textId="77777777" w:rsidR="00E2667F" w:rsidRDefault="00723BFB" w:rsidP="00B71D08">
      <w:pPr>
        <w:pStyle w:val="BodyText"/>
        <w:spacing w:before="240" w:after="0"/>
      </w:pPr>
      <w:r>
        <w:t>The above variables are defined as follows:</w:t>
      </w:r>
    </w:p>
    <w:tbl>
      <w:tblPr>
        <w:tblW w:w="5001"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687"/>
        <w:gridCol w:w="640"/>
        <w:gridCol w:w="6025"/>
      </w:tblGrid>
      <w:tr w:rsidR="00F80C33" w14:paraId="26EAE675" w14:textId="77777777">
        <w:trPr>
          <w:tblHeader/>
        </w:trPr>
        <w:tc>
          <w:tcPr>
            <w:tcW w:w="1437" w:type="pct"/>
          </w:tcPr>
          <w:p w14:paraId="330CB52D" w14:textId="77777777" w:rsidR="00F80C33" w:rsidRDefault="00723BFB">
            <w:pPr>
              <w:pStyle w:val="TableHead"/>
            </w:pPr>
            <w:r>
              <w:t>Variable</w:t>
            </w:r>
          </w:p>
        </w:tc>
        <w:tc>
          <w:tcPr>
            <w:tcW w:w="342" w:type="pct"/>
          </w:tcPr>
          <w:p w14:paraId="098F5E10" w14:textId="77777777" w:rsidR="00F80C33" w:rsidRDefault="00723BFB">
            <w:pPr>
              <w:pStyle w:val="TableHead"/>
              <w:jc w:val="center"/>
            </w:pPr>
            <w:r>
              <w:t>Unit</w:t>
            </w:r>
          </w:p>
        </w:tc>
        <w:tc>
          <w:tcPr>
            <w:tcW w:w="3221" w:type="pct"/>
          </w:tcPr>
          <w:p w14:paraId="5C182FB4" w14:textId="77777777" w:rsidR="00F80C33" w:rsidRDefault="00723BFB">
            <w:pPr>
              <w:pStyle w:val="TableHead"/>
            </w:pPr>
            <w:r>
              <w:t>Definition</w:t>
            </w:r>
          </w:p>
        </w:tc>
      </w:tr>
      <w:tr w:rsidR="00F80C33" w14:paraId="697E87F8" w14:textId="77777777">
        <w:tc>
          <w:tcPr>
            <w:tcW w:w="1437" w:type="pct"/>
          </w:tcPr>
          <w:p w14:paraId="1C97D6B8" w14:textId="77777777" w:rsidR="00F80C33" w:rsidRDefault="00723BFB">
            <w:pPr>
              <w:pStyle w:val="TableBody"/>
            </w:pPr>
            <w:r>
              <w:t>RUCCSAMT</w:t>
            </w:r>
            <w:r w:rsidR="00320A3F">
              <w:t xml:space="preserve"> </w:t>
            </w:r>
            <w:proofErr w:type="spellStart"/>
            <w:r>
              <w:rPr>
                <w:i/>
                <w:vertAlign w:val="subscript"/>
              </w:rPr>
              <w:t>ruc</w:t>
            </w:r>
            <w:proofErr w:type="spellEnd"/>
            <w:r>
              <w:rPr>
                <w:i/>
                <w:vertAlign w:val="subscript"/>
              </w:rPr>
              <w:t>,</w:t>
            </w:r>
            <w:r w:rsidR="00320A3F">
              <w:rPr>
                <w:i/>
                <w:vertAlign w:val="subscript"/>
              </w:rPr>
              <w:t xml:space="preserve"> </w:t>
            </w:r>
            <w:r>
              <w:rPr>
                <w:i/>
                <w:vertAlign w:val="subscript"/>
              </w:rPr>
              <w:t>i,</w:t>
            </w:r>
            <w:r w:rsidR="00320A3F">
              <w:rPr>
                <w:i/>
                <w:vertAlign w:val="subscript"/>
              </w:rPr>
              <w:t xml:space="preserve"> </w:t>
            </w:r>
            <w:r>
              <w:rPr>
                <w:i/>
                <w:vertAlign w:val="subscript"/>
              </w:rPr>
              <w:t>q</w:t>
            </w:r>
          </w:p>
        </w:tc>
        <w:tc>
          <w:tcPr>
            <w:tcW w:w="342" w:type="pct"/>
          </w:tcPr>
          <w:p w14:paraId="08151DE0" w14:textId="77777777" w:rsidR="00F80C33" w:rsidRDefault="00723BFB">
            <w:pPr>
              <w:pStyle w:val="TableBody"/>
              <w:jc w:val="center"/>
            </w:pPr>
            <w:r>
              <w:t>$</w:t>
            </w:r>
          </w:p>
        </w:tc>
        <w:tc>
          <w:tcPr>
            <w:tcW w:w="3221" w:type="pct"/>
          </w:tcPr>
          <w:p w14:paraId="2D27C35D" w14:textId="77777777" w:rsidR="00F80C33" w:rsidRDefault="00723BFB">
            <w:pPr>
              <w:pStyle w:val="TableBody"/>
            </w:pPr>
            <w:r>
              <w:rPr>
                <w:i/>
              </w:rPr>
              <w:t>RUC Capacity-Short Amount</w:t>
            </w:r>
            <w:r>
              <w:t>—The charge to a QSE</w:t>
            </w:r>
            <w:r w:rsidR="00320A3F">
              <w:t xml:space="preserve"> </w:t>
            </w:r>
            <w:r w:rsidR="00320A3F">
              <w:rPr>
                <w:i/>
              </w:rPr>
              <w:t>q</w:t>
            </w:r>
            <w:r>
              <w:t>, due to capacity shortfall for a particular RUC process</w:t>
            </w:r>
            <w:r w:rsidR="00320A3F">
              <w:t xml:space="preserve"> </w:t>
            </w:r>
            <w:proofErr w:type="spellStart"/>
            <w:r w:rsidR="00320A3F">
              <w:rPr>
                <w:i/>
              </w:rPr>
              <w:t>ruc</w:t>
            </w:r>
            <w:proofErr w:type="spellEnd"/>
            <w:r>
              <w:t>, for the 15-minute Settlement Interval</w:t>
            </w:r>
            <w:r w:rsidR="00320A3F">
              <w:rPr>
                <w:i/>
              </w:rPr>
              <w:t xml:space="preserve"> i</w:t>
            </w:r>
            <w:r>
              <w:t>.</w:t>
            </w:r>
          </w:p>
        </w:tc>
      </w:tr>
      <w:tr w:rsidR="00F80C33" w14:paraId="12A108ED" w14:textId="77777777">
        <w:tc>
          <w:tcPr>
            <w:tcW w:w="1437" w:type="pct"/>
          </w:tcPr>
          <w:p w14:paraId="36333659" w14:textId="77777777" w:rsidR="00F80C33" w:rsidRDefault="00723BFB">
            <w:pPr>
              <w:pStyle w:val="TableBody"/>
            </w:pPr>
            <w:r>
              <w:t>RUCMWAMTRUCTOT</w:t>
            </w:r>
            <w:r w:rsidR="00320A3F">
              <w:t xml:space="preserve"> </w:t>
            </w:r>
            <w:proofErr w:type="spellStart"/>
            <w:r>
              <w:rPr>
                <w:i/>
                <w:vertAlign w:val="subscript"/>
              </w:rPr>
              <w:t>ruc</w:t>
            </w:r>
            <w:proofErr w:type="spellEnd"/>
            <w:r>
              <w:rPr>
                <w:i/>
                <w:vertAlign w:val="subscript"/>
              </w:rPr>
              <w:t>,</w:t>
            </w:r>
            <w:r w:rsidR="00320A3F">
              <w:rPr>
                <w:i/>
                <w:vertAlign w:val="subscript"/>
              </w:rPr>
              <w:t xml:space="preserve"> </w:t>
            </w:r>
            <w:r>
              <w:rPr>
                <w:i/>
                <w:vertAlign w:val="subscript"/>
              </w:rPr>
              <w:t>h</w:t>
            </w:r>
          </w:p>
        </w:tc>
        <w:tc>
          <w:tcPr>
            <w:tcW w:w="342" w:type="pct"/>
          </w:tcPr>
          <w:p w14:paraId="65B8B478" w14:textId="77777777" w:rsidR="00F80C33" w:rsidRDefault="00723BFB">
            <w:pPr>
              <w:pStyle w:val="TableBody"/>
              <w:jc w:val="center"/>
            </w:pPr>
            <w:r>
              <w:t>$</w:t>
            </w:r>
          </w:p>
        </w:tc>
        <w:tc>
          <w:tcPr>
            <w:tcW w:w="3221" w:type="pct"/>
          </w:tcPr>
          <w:p w14:paraId="79F04C03" w14:textId="77777777" w:rsidR="00F80C33" w:rsidRDefault="00723BFB">
            <w:pPr>
              <w:pStyle w:val="TableBody"/>
            </w:pPr>
            <w:r>
              <w:rPr>
                <w:i/>
              </w:rPr>
              <w:t>RUC Make-Whole Amount Total per RUC</w:t>
            </w:r>
            <w:r>
              <w:t>—The sum of RUC Make-Whole Payments for a particular RUC process</w:t>
            </w:r>
            <w:r w:rsidR="00320A3F">
              <w:rPr>
                <w:i/>
              </w:rPr>
              <w:t xml:space="preserve"> </w:t>
            </w:r>
            <w:proofErr w:type="spellStart"/>
            <w:r w:rsidR="00320A3F">
              <w:rPr>
                <w:i/>
              </w:rPr>
              <w:t>ruc</w:t>
            </w:r>
            <w:proofErr w:type="spellEnd"/>
            <w:r>
              <w:t xml:space="preserve">, including amounts for RMR Units, for the hour </w:t>
            </w:r>
            <w:r w:rsidR="00320A3F">
              <w:rPr>
                <w:i/>
              </w:rPr>
              <w:t>h</w:t>
            </w:r>
            <w:r w:rsidR="00320A3F">
              <w:t xml:space="preserve"> </w:t>
            </w:r>
            <w:r>
              <w:t>that includes the 15-minute Settlement Interval.</w:t>
            </w:r>
          </w:p>
        </w:tc>
      </w:tr>
      <w:tr w:rsidR="00F80C33" w14:paraId="0D0A15F9" w14:textId="77777777">
        <w:tc>
          <w:tcPr>
            <w:tcW w:w="1437" w:type="pct"/>
          </w:tcPr>
          <w:p w14:paraId="46E02D0F" w14:textId="77777777" w:rsidR="00F80C33" w:rsidRDefault="00723BFB">
            <w:pPr>
              <w:pStyle w:val="TableBody"/>
            </w:pPr>
            <w:r>
              <w:t>RUCMWAMT</w:t>
            </w:r>
            <w:r w:rsidR="00320A3F">
              <w:t xml:space="preserve"> </w:t>
            </w:r>
            <w:proofErr w:type="spellStart"/>
            <w:r>
              <w:rPr>
                <w:i/>
                <w:vertAlign w:val="subscript"/>
              </w:rPr>
              <w:t>ruc</w:t>
            </w:r>
            <w:proofErr w:type="spellEnd"/>
            <w:r>
              <w:rPr>
                <w:i/>
                <w:vertAlign w:val="subscript"/>
              </w:rPr>
              <w:t>,</w:t>
            </w:r>
            <w:r w:rsidR="00320A3F">
              <w:rPr>
                <w:i/>
                <w:vertAlign w:val="subscript"/>
              </w:rPr>
              <w:t xml:space="preserve"> </w:t>
            </w:r>
            <w:r>
              <w:rPr>
                <w:i/>
                <w:vertAlign w:val="subscript"/>
              </w:rPr>
              <w:t>q,</w:t>
            </w:r>
            <w:r w:rsidR="00320A3F">
              <w:rPr>
                <w:i/>
                <w:vertAlign w:val="subscript"/>
              </w:rPr>
              <w:t xml:space="preserve"> </w:t>
            </w:r>
            <w:r>
              <w:rPr>
                <w:i/>
                <w:vertAlign w:val="subscript"/>
              </w:rPr>
              <w:t>r,</w:t>
            </w:r>
            <w:r w:rsidR="00320A3F">
              <w:rPr>
                <w:i/>
                <w:vertAlign w:val="subscript"/>
              </w:rPr>
              <w:t xml:space="preserve"> </w:t>
            </w:r>
            <w:r>
              <w:rPr>
                <w:i/>
                <w:vertAlign w:val="subscript"/>
              </w:rPr>
              <w:t>h</w:t>
            </w:r>
          </w:p>
        </w:tc>
        <w:tc>
          <w:tcPr>
            <w:tcW w:w="342" w:type="pct"/>
          </w:tcPr>
          <w:p w14:paraId="212D84CC" w14:textId="77777777" w:rsidR="00F80C33" w:rsidRDefault="00723BFB">
            <w:pPr>
              <w:pStyle w:val="TableBody"/>
              <w:jc w:val="center"/>
            </w:pPr>
            <w:r>
              <w:t>$</w:t>
            </w:r>
          </w:p>
        </w:tc>
        <w:tc>
          <w:tcPr>
            <w:tcW w:w="3221" w:type="pct"/>
          </w:tcPr>
          <w:p w14:paraId="6A4C529C" w14:textId="77777777" w:rsidR="00F80C33" w:rsidRDefault="00723BFB">
            <w:pPr>
              <w:pStyle w:val="TableBody"/>
            </w:pPr>
            <w:r>
              <w:rPr>
                <w:i/>
              </w:rPr>
              <w:t>RUC Make-Whole Payment</w:t>
            </w:r>
            <w:r>
              <w:t xml:space="preserve">—The RUC Make-Whole Payment to the QSE </w:t>
            </w:r>
            <w:r w:rsidR="00320A3F">
              <w:rPr>
                <w:i/>
              </w:rPr>
              <w:t>q</w:t>
            </w:r>
            <w:r w:rsidR="00320A3F">
              <w:t xml:space="preserve"> </w:t>
            </w:r>
            <w:r>
              <w:t>for Resource</w:t>
            </w:r>
            <w:r w:rsidR="00BD6F11">
              <w:t xml:space="preserve"> </w:t>
            </w:r>
            <w:r w:rsidR="00BD6F11">
              <w:rPr>
                <w:i/>
              </w:rPr>
              <w:t>r</w:t>
            </w:r>
            <w:r>
              <w:t>, for a particular RUC process</w:t>
            </w:r>
            <w:r w:rsidR="00320A3F">
              <w:rPr>
                <w:i/>
              </w:rPr>
              <w:t xml:space="preserve"> </w:t>
            </w:r>
            <w:proofErr w:type="spellStart"/>
            <w:r w:rsidR="00320A3F">
              <w:rPr>
                <w:i/>
              </w:rPr>
              <w:t>ruc</w:t>
            </w:r>
            <w:proofErr w:type="spellEnd"/>
            <w:r>
              <w:t xml:space="preserve">, for the hour </w:t>
            </w:r>
            <w:r w:rsidR="00320A3F">
              <w:rPr>
                <w:i/>
              </w:rPr>
              <w:t>h</w:t>
            </w:r>
            <w:r w:rsidR="00320A3F">
              <w:t xml:space="preserve"> </w:t>
            </w:r>
            <w:r>
              <w:t>that includes the 15-minute Settlement Interval.  See Section 5.7.1, RUC Make-Whole Payment.</w:t>
            </w:r>
            <w:r w:rsidR="00BD6F11">
              <w:t xml:space="preserve">  When one or more Combined Cycle Generation Resources are committed by RUC, payment is made to the Combined Cycle Train for all RUC-committed Combined Cycle Generation Resources.</w:t>
            </w:r>
          </w:p>
        </w:tc>
      </w:tr>
      <w:tr w:rsidR="00F80C33" w14:paraId="6F96B79F" w14:textId="77777777">
        <w:tc>
          <w:tcPr>
            <w:tcW w:w="1437" w:type="pct"/>
          </w:tcPr>
          <w:p w14:paraId="56F9A921" w14:textId="77777777" w:rsidR="00F80C33" w:rsidRDefault="00723BFB">
            <w:pPr>
              <w:pStyle w:val="TableBody"/>
            </w:pPr>
            <w:r>
              <w:t>RUCSFRS</w:t>
            </w:r>
            <w:r w:rsidR="00D75181">
              <w:t xml:space="preserve"> </w:t>
            </w:r>
            <w:proofErr w:type="spellStart"/>
            <w:r>
              <w:rPr>
                <w:i/>
                <w:vertAlign w:val="subscript"/>
              </w:rPr>
              <w:t>ruc</w:t>
            </w:r>
            <w:proofErr w:type="spellEnd"/>
            <w:r>
              <w:rPr>
                <w:i/>
                <w:vertAlign w:val="subscript"/>
              </w:rPr>
              <w:t>,</w:t>
            </w:r>
            <w:r w:rsidR="00D75181">
              <w:rPr>
                <w:i/>
                <w:vertAlign w:val="subscript"/>
              </w:rPr>
              <w:t xml:space="preserve"> </w:t>
            </w:r>
            <w:r>
              <w:rPr>
                <w:i/>
                <w:vertAlign w:val="subscript"/>
              </w:rPr>
              <w:t>i,</w:t>
            </w:r>
            <w:r w:rsidR="00D75181">
              <w:rPr>
                <w:i/>
                <w:vertAlign w:val="subscript"/>
              </w:rPr>
              <w:t xml:space="preserve"> </w:t>
            </w:r>
            <w:r>
              <w:rPr>
                <w:i/>
                <w:vertAlign w:val="subscript"/>
              </w:rPr>
              <w:t>q</w:t>
            </w:r>
          </w:p>
        </w:tc>
        <w:tc>
          <w:tcPr>
            <w:tcW w:w="342" w:type="pct"/>
          </w:tcPr>
          <w:p w14:paraId="42DA2F41" w14:textId="77777777" w:rsidR="00F80C33" w:rsidRDefault="00723BFB">
            <w:pPr>
              <w:pStyle w:val="TableBody"/>
              <w:jc w:val="center"/>
            </w:pPr>
            <w:r>
              <w:t>none</w:t>
            </w:r>
          </w:p>
        </w:tc>
        <w:tc>
          <w:tcPr>
            <w:tcW w:w="3221" w:type="pct"/>
          </w:tcPr>
          <w:p w14:paraId="4753A967" w14:textId="77777777" w:rsidR="00F80C33" w:rsidRDefault="00723BFB">
            <w:pPr>
              <w:pStyle w:val="TableBody"/>
            </w:pPr>
            <w:r>
              <w:rPr>
                <w:i/>
              </w:rPr>
              <w:t>RUC Shortfall Ratio Share</w:t>
            </w:r>
            <w:r>
              <w:t>—The ratio of the QSE</w:t>
            </w:r>
            <w:r w:rsidR="00D75181">
              <w:rPr>
                <w:i/>
              </w:rPr>
              <w:t xml:space="preserve"> q</w:t>
            </w:r>
            <w:r>
              <w:t>’s capacity shortfall to the sum of all QSEs’ capacity shortfalls for a particular RUC process</w:t>
            </w:r>
            <w:r w:rsidR="00D75181">
              <w:rPr>
                <w:i/>
              </w:rPr>
              <w:t xml:space="preserve"> </w:t>
            </w:r>
            <w:proofErr w:type="spellStart"/>
            <w:r w:rsidR="00D75181">
              <w:rPr>
                <w:i/>
              </w:rPr>
              <w:lastRenderedPageBreak/>
              <w:t>ruc</w:t>
            </w:r>
            <w:proofErr w:type="spellEnd"/>
            <w:r>
              <w:t>, for the 15-minute Settlement Interval</w:t>
            </w:r>
            <w:r w:rsidR="00D75181">
              <w:rPr>
                <w:i/>
              </w:rPr>
              <w:t xml:space="preserve"> i</w:t>
            </w:r>
            <w:r>
              <w:t>.  See Section 5.7.4.1.1, Capacity Shortfall Ratio Share.</w:t>
            </w:r>
          </w:p>
        </w:tc>
      </w:tr>
      <w:tr w:rsidR="00F80C33" w14:paraId="1E84B399" w14:textId="77777777">
        <w:tc>
          <w:tcPr>
            <w:tcW w:w="1437" w:type="pct"/>
          </w:tcPr>
          <w:p w14:paraId="040F3B7D" w14:textId="77777777" w:rsidR="00F80C33" w:rsidRDefault="00723BFB">
            <w:pPr>
              <w:pStyle w:val="TableBody"/>
            </w:pPr>
            <w:r>
              <w:lastRenderedPageBreak/>
              <w:t>RUCSF</w:t>
            </w:r>
            <w:r w:rsidR="00D75181">
              <w:t xml:space="preserve"> </w:t>
            </w:r>
            <w:proofErr w:type="spellStart"/>
            <w:r>
              <w:rPr>
                <w:i/>
                <w:vertAlign w:val="subscript"/>
              </w:rPr>
              <w:t>ruc</w:t>
            </w:r>
            <w:proofErr w:type="spellEnd"/>
            <w:r>
              <w:rPr>
                <w:i/>
                <w:vertAlign w:val="subscript"/>
              </w:rPr>
              <w:t>,</w:t>
            </w:r>
            <w:r w:rsidR="00D75181">
              <w:rPr>
                <w:i/>
                <w:vertAlign w:val="subscript"/>
              </w:rPr>
              <w:t xml:space="preserve"> </w:t>
            </w:r>
            <w:r>
              <w:rPr>
                <w:i/>
                <w:vertAlign w:val="subscript"/>
              </w:rPr>
              <w:t>i,</w:t>
            </w:r>
            <w:r w:rsidR="00D75181">
              <w:rPr>
                <w:i/>
                <w:vertAlign w:val="subscript"/>
              </w:rPr>
              <w:t xml:space="preserve"> </w:t>
            </w:r>
            <w:r>
              <w:rPr>
                <w:i/>
                <w:vertAlign w:val="subscript"/>
              </w:rPr>
              <w:t>q</w:t>
            </w:r>
          </w:p>
        </w:tc>
        <w:tc>
          <w:tcPr>
            <w:tcW w:w="342" w:type="pct"/>
          </w:tcPr>
          <w:p w14:paraId="5769CD1A" w14:textId="77777777" w:rsidR="00F80C33" w:rsidRDefault="00723BFB">
            <w:pPr>
              <w:pStyle w:val="TableBody"/>
              <w:jc w:val="center"/>
            </w:pPr>
            <w:r>
              <w:t>MW</w:t>
            </w:r>
          </w:p>
        </w:tc>
        <w:tc>
          <w:tcPr>
            <w:tcW w:w="3221" w:type="pct"/>
          </w:tcPr>
          <w:p w14:paraId="10EE3C1C" w14:textId="77777777" w:rsidR="00F80C33" w:rsidRDefault="00723BFB" w:rsidP="00BD6F11">
            <w:pPr>
              <w:pStyle w:val="TableBody"/>
            </w:pPr>
            <w:r>
              <w:rPr>
                <w:i/>
              </w:rPr>
              <w:t>RUC Shortfall</w:t>
            </w:r>
            <w:r>
              <w:t>—The QSE</w:t>
            </w:r>
            <w:r w:rsidR="00D75181">
              <w:rPr>
                <w:i/>
              </w:rPr>
              <w:t xml:space="preserve"> q</w:t>
            </w:r>
            <w:r>
              <w:t xml:space="preserve">’s capacity shortfall for a particular RUC process </w:t>
            </w:r>
            <w:proofErr w:type="spellStart"/>
            <w:r w:rsidR="00D75181">
              <w:rPr>
                <w:i/>
              </w:rPr>
              <w:t>ruc</w:t>
            </w:r>
            <w:proofErr w:type="spellEnd"/>
            <w:r w:rsidR="00D75181">
              <w:t xml:space="preserve"> </w:t>
            </w:r>
            <w:r>
              <w:t>for the 15-minute Settlement Interval</w:t>
            </w:r>
            <w:r w:rsidR="00D75181">
              <w:rPr>
                <w:i/>
              </w:rPr>
              <w:t xml:space="preserve"> i</w:t>
            </w:r>
            <w:r>
              <w:t>.</w:t>
            </w:r>
            <w:r w:rsidR="00BD6F11">
              <w:t xml:space="preserve"> </w:t>
            </w:r>
            <w:r>
              <w:t xml:space="preserve"> See formula in Section 5.7.4.1.1.</w:t>
            </w:r>
          </w:p>
        </w:tc>
      </w:tr>
      <w:tr w:rsidR="00F80C33" w14:paraId="323900D1" w14:textId="77777777">
        <w:tc>
          <w:tcPr>
            <w:tcW w:w="1437" w:type="pct"/>
          </w:tcPr>
          <w:p w14:paraId="63EABB9D" w14:textId="77777777" w:rsidR="00F80C33" w:rsidRDefault="00723BFB">
            <w:pPr>
              <w:pStyle w:val="TableBody"/>
            </w:pPr>
            <w:r>
              <w:t>RUCCAPTOT</w:t>
            </w:r>
            <w:r w:rsidR="00D75181">
              <w:t xml:space="preserve"> </w:t>
            </w:r>
            <w:proofErr w:type="spellStart"/>
            <w:r>
              <w:rPr>
                <w:i/>
                <w:vertAlign w:val="subscript"/>
              </w:rPr>
              <w:t>ruc</w:t>
            </w:r>
            <w:proofErr w:type="spellEnd"/>
            <w:r>
              <w:rPr>
                <w:i/>
                <w:vertAlign w:val="subscript"/>
              </w:rPr>
              <w:t>,</w:t>
            </w:r>
            <w:r w:rsidR="00D75181">
              <w:rPr>
                <w:i/>
                <w:vertAlign w:val="subscript"/>
              </w:rPr>
              <w:t xml:space="preserve"> </w:t>
            </w:r>
            <w:r>
              <w:rPr>
                <w:i/>
                <w:vertAlign w:val="subscript"/>
              </w:rPr>
              <w:t>h</w:t>
            </w:r>
          </w:p>
        </w:tc>
        <w:tc>
          <w:tcPr>
            <w:tcW w:w="342" w:type="pct"/>
          </w:tcPr>
          <w:p w14:paraId="3F2C575E" w14:textId="77777777" w:rsidR="00F80C33" w:rsidRDefault="00723BFB">
            <w:pPr>
              <w:pStyle w:val="TableBody"/>
              <w:jc w:val="center"/>
            </w:pPr>
            <w:r>
              <w:t>MW</w:t>
            </w:r>
          </w:p>
        </w:tc>
        <w:tc>
          <w:tcPr>
            <w:tcW w:w="3221" w:type="pct"/>
          </w:tcPr>
          <w:p w14:paraId="2320891E" w14:textId="77777777" w:rsidR="00F80C33" w:rsidRDefault="00723BFB" w:rsidP="00BD6F11">
            <w:pPr>
              <w:pStyle w:val="TableBody"/>
            </w:pPr>
            <w:r>
              <w:rPr>
                <w:i/>
              </w:rPr>
              <w:t>RUC Capacity Total</w:t>
            </w:r>
            <w:r>
              <w:t xml:space="preserve">—The sum of the </w:t>
            </w:r>
            <w:r w:rsidR="00BD6F11">
              <w:t>High Sustained Limits (</w:t>
            </w:r>
            <w:r>
              <w:t>HSLs</w:t>
            </w:r>
            <w:r w:rsidR="00BD6F11">
              <w:t>)</w:t>
            </w:r>
            <w:r>
              <w:t xml:space="preserve"> of all RUC-committed Resources for a particular RUC process</w:t>
            </w:r>
            <w:r w:rsidR="00D75181">
              <w:rPr>
                <w:i/>
              </w:rPr>
              <w:t xml:space="preserve"> </w:t>
            </w:r>
            <w:proofErr w:type="spellStart"/>
            <w:r w:rsidR="00D75181">
              <w:rPr>
                <w:i/>
              </w:rPr>
              <w:t>ruc</w:t>
            </w:r>
            <w:proofErr w:type="spellEnd"/>
            <w:r>
              <w:t xml:space="preserve">, for the hour </w:t>
            </w:r>
            <w:r w:rsidR="00D75181">
              <w:rPr>
                <w:i/>
              </w:rPr>
              <w:t>h</w:t>
            </w:r>
            <w:r w:rsidR="00D75181">
              <w:t xml:space="preserve"> </w:t>
            </w:r>
            <w:r>
              <w:t xml:space="preserve">that includes the 15-minute Settlement Interval. </w:t>
            </w:r>
            <w:r w:rsidR="00BD6F11">
              <w:t xml:space="preserve"> </w:t>
            </w:r>
            <w:r>
              <w:t xml:space="preserve">See formula in Section 5.7.4.1.1. </w:t>
            </w:r>
          </w:p>
        </w:tc>
      </w:tr>
      <w:tr w:rsidR="00F80C33" w14:paraId="6B87E490" w14:textId="77777777">
        <w:tc>
          <w:tcPr>
            <w:tcW w:w="1437" w:type="pct"/>
          </w:tcPr>
          <w:p w14:paraId="4FE11F40" w14:textId="77777777" w:rsidR="00F80C33" w:rsidRDefault="00723BFB">
            <w:pPr>
              <w:pStyle w:val="TableBody"/>
            </w:pPr>
            <w:r>
              <w:t>HSL</w:t>
            </w:r>
            <w:r w:rsidR="00D75181">
              <w:t xml:space="preserve"> </w:t>
            </w:r>
            <w:proofErr w:type="spellStart"/>
            <w:r>
              <w:rPr>
                <w:i/>
                <w:vertAlign w:val="subscript"/>
              </w:rPr>
              <w:t>ruc</w:t>
            </w:r>
            <w:proofErr w:type="spellEnd"/>
            <w:r>
              <w:rPr>
                <w:i/>
                <w:vertAlign w:val="subscript"/>
              </w:rPr>
              <w:t>,</w:t>
            </w:r>
            <w:r w:rsidR="00D75181">
              <w:rPr>
                <w:i/>
                <w:vertAlign w:val="subscript"/>
              </w:rPr>
              <w:t xml:space="preserve"> </w:t>
            </w:r>
            <w:r>
              <w:rPr>
                <w:i/>
                <w:vertAlign w:val="subscript"/>
              </w:rPr>
              <w:t>h,</w:t>
            </w:r>
            <w:r w:rsidR="00D75181">
              <w:rPr>
                <w:i/>
                <w:vertAlign w:val="subscript"/>
              </w:rPr>
              <w:t xml:space="preserve"> </w:t>
            </w:r>
            <w:r>
              <w:rPr>
                <w:i/>
                <w:vertAlign w:val="subscript"/>
              </w:rPr>
              <w:t>r</w:t>
            </w:r>
          </w:p>
        </w:tc>
        <w:tc>
          <w:tcPr>
            <w:tcW w:w="342" w:type="pct"/>
          </w:tcPr>
          <w:p w14:paraId="0A78C57A" w14:textId="77777777" w:rsidR="00F80C33" w:rsidRDefault="00723BFB">
            <w:pPr>
              <w:pStyle w:val="TableBody"/>
              <w:jc w:val="center"/>
            </w:pPr>
            <w:r>
              <w:t>MW</w:t>
            </w:r>
          </w:p>
        </w:tc>
        <w:tc>
          <w:tcPr>
            <w:tcW w:w="3221" w:type="pct"/>
          </w:tcPr>
          <w:p w14:paraId="563C8A06" w14:textId="77777777" w:rsidR="00F80C33" w:rsidRDefault="00723BFB" w:rsidP="00006F4D">
            <w:pPr>
              <w:pStyle w:val="TableBody"/>
            </w:pPr>
            <w:r>
              <w:rPr>
                <w:i/>
              </w:rPr>
              <w:t>High Sustained Limit</w:t>
            </w:r>
            <w:r>
              <w:t>—</w:t>
            </w:r>
            <w:r w:rsidR="00BD6F11">
              <w:t>The HSL</w:t>
            </w:r>
            <w:r>
              <w:t xml:space="preserve"> of Generation Resource </w:t>
            </w:r>
            <w:r w:rsidR="00BD6F11">
              <w:rPr>
                <w:i/>
              </w:rPr>
              <w:t xml:space="preserve">r </w:t>
            </w:r>
            <w:r w:rsidR="00006F4D">
              <w:t xml:space="preserve">for a particular RUC process </w:t>
            </w:r>
            <w:proofErr w:type="spellStart"/>
            <w:r w:rsidR="00006F4D">
              <w:rPr>
                <w:i/>
              </w:rPr>
              <w:t>ruc</w:t>
            </w:r>
            <w:proofErr w:type="spellEnd"/>
            <w:r>
              <w:t xml:space="preserve">, for the hour </w:t>
            </w:r>
            <w:r w:rsidR="00006F4D">
              <w:rPr>
                <w:i/>
              </w:rPr>
              <w:t xml:space="preserve">h </w:t>
            </w:r>
            <w:r>
              <w:t xml:space="preserve">that includes the Settlement Interval </w:t>
            </w:r>
            <w:r>
              <w:rPr>
                <w:i/>
              </w:rPr>
              <w:t>i</w:t>
            </w:r>
            <w:r>
              <w:t>.</w:t>
            </w:r>
            <w:r w:rsidR="00BD6F11">
              <w:t xml:space="preserve">  Where for a Combined Cycle Train, the Resource </w:t>
            </w:r>
            <w:r w:rsidR="00BD6F11" w:rsidRPr="00B34C5D">
              <w:rPr>
                <w:i/>
              </w:rPr>
              <w:t>r</w:t>
            </w:r>
            <w:r w:rsidR="00BD6F11">
              <w:rPr>
                <w:i/>
              </w:rPr>
              <w:t xml:space="preserve"> </w:t>
            </w:r>
            <w:r w:rsidR="00BD6F11" w:rsidRPr="001C65E0">
              <w:t xml:space="preserve">is a </w:t>
            </w:r>
            <w:r w:rsidR="00BD6F11">
              <w:t>Combined Cycle Generation Resource within the Combined Cycle Train.</w:t>
            </w:r>
          </w:p>
        </w:tc>
      </w:tr>
      <w:tr w:rsidR="00ED2152" w14:paraId="619883BD" w14:textId="77777777" w:rsidTr="00ED2152">
        <w:tc>
          <w:tcPr>
            <w:tcW w:w="5000" w:type="pct"/>
            <w:gridSpan w:val="3"/>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126"/>
            </w:tblGrid>
            <w:tr w:rsidR="00ED2152" w:rsidRPr="004B32CF" w14:paraId="1C29E7C7" w14:textId="77777777" w:rsidTr="008E5783">
              <w:trPr>
                <w:trHeight w:val="1205"/>
              </w:trPr>
              <w:tc>
                <w:tcPr>
                  <w:tcW w:w="9350" w:type="dxa"/>
                  <w:shd w:val="pct12" w:color="auto" w:fill="auto"/>
                </w:tcPr>
                <w:p w14:paraId="33E243B2" w14:textId="0B5B32F9" w:rsidR="00ED2152" w:rsidRPr="004B32CF" w:rsidRDefault="00ED2152" w:rsidP="00ED2152">
                  <w:pPr>
                    <w:spacing w:after="240"/>
                    <w:rPr>
                      <w:b/>
                      <w:i/>
                      <w:iCs/>
                    </w:rPr>
                  </w:pPr>
                  <w:r w:rsidRPr="004B32CF">
                    <w:rPr>
                      <w:b/>
                      <w:i/>
                      <w:iCs/>
                    </w:rPr>
                    <w:t>[</w:t>
                  </w:r>
                  <w:r>
                    <w:rPr>
                      <w:b/>
                      <w:i/>
                      <w:iCs/>
                    </w:rPr>
                    <w:t>NPRR1139</w:t>
                  </w:r>
                  <w:r w:rsidRPr="004B32CF">
                    <w:rPr>
                      <w:b/>
                      <w:i/>
                      <w:iCs/>
                    </w:rPr>
                    <w:t>:  Replace</w:t>
                  </w:r>
                  <w:r>
                    <w:rPr>
                      <w:b/>
                      <w:i/>
                      <w:iCs/>
                    </w:rPr>
                    <w:t xml:space="preserve"> the variable “</w:t>
                  </w:r>
                  <w:r w:rsidRPr="00ED2152">
                    <w:rPr>
                      <w:b/>
                      <w:i/>
                      <w:iCs/>
                    </w:rPr>
                    <w:t>HSL</w:t>
                  </w:r>
                  <w:r w:rsidRPr="00ED2152">
                    <w:rPr>
                      <w:b/>
                      <w:i/>
                      <w:iCs/>
                      <w:vertAlign w:val="subscript"/>
                    </w:rPr>
                    <w:t xml:space="preserve"> </w:t>
                  </w:r>
                  <w:proofErr w:type="spellStart"/>
                  <w:r w:rsidRPr="00ED2152">
                    <w:rPr>
                      <w:b/>
                      <w:i/>
                      <w:iCs/>
                      <w:vertAlign w:val="subscript"/>
                    </w:rPr>
                    <w:t>ruc</w:t>
                  </w:r>
                  <w:proofErr w:type="spellEnd"/>
                  <w:r w:rsidRPr="00ED2152">
                    <w:rPr>
                      <w:b/>
                      <w:i/>
                      <w:iCs/>
                      <w:vertAlign w:val="subscript"/>
                    </w:rPr>
                    <w:t>, h, r</w:t>
                  </w:r>
                  <w:r>
                    <w:rPr>
                      <w:b/>
                      <w:i/>
                      <w:iCs/>
                    </w:rPr>
                    <w:t>”</w:t>
                  </w:r>
                  <w:r w:rsidRPr="004B32CF">
                    <w:rPr>
                      <w:b/>
                      <w:i/>
                      <w:iCs/>
                    </w:rPr>
                    <w:t xml:space="preserve"> above with the following upon system implementation:]</w:t>
                  </w:r>
                </w:p>
                <w:tbl>
                  <w:tblPr>
                    <w:tblW w:w="5002"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555"/>
                    <w:gridCol w:w="608"/>
                    <w:gridCol w:w="5727"/>
                  </w:tblGrid>
                  <w:tr w:rsidR="00260613" w:rsidRPr="004C674A" w14:paraId="40A704EE" w14:textId="77777777" w:rsidTr="008E5783">
                    <w:tc>
                      <w:tcPr>
                        <w:tcW w:w="1437" w:type="pct"/>
                      </w:tcPr>
                      <w:p w14:paraId="341A1842" w14:textId="77777777" w:rsidR="00260613" w:rsidRPr="004C674A" w:rsidRDefault="00260613" w:rsidP="00260613">
                        <w:pPr>
                          <w:spacing w:after="60"/>
                          <w:rPr>
                            <w:iCs/>
                            <w:sz w:val="20"/>
                          </w:rPr>
                        </w:pPr>
                        <w:r w:rsidRPr="004C674A">
                          <w:rPr>
                            <w:iCs/>
                            <w:sz w:val="20"/>
                          </w:rPr>
                          <w:t xml:space="preserve">RUCHSL </w:t>
                        </w:r>
                        <w:proofErr w:type="spellStart"/>
                        <w:r w:rsidRPr="004C674A">
                          <w:rPr>
                            <w:i/>
                            <w:iCs/>
                            <w:sz w:val="20"/>
                            <w:vertAlign w:val="subscript"/>
                          </w:rPr>
                          <w:t>ruc</w:t>
                        </w:r>
                        <w:proofErr w:type="spellEnd"/>
                        <w:r w:rsidRPr="004C674A">
                          <w:rPr>
                            <w:i/>
                            <w:iCs/>
                            <w:sz w:val="20"/>
                            <w:vertAlign w:val="subscript"/>
                          </w:rPr>
                          <w:t>, q, r, h</w:t>
                        </w:r>
                      </w:p>
                    </w:tc>
                    <w:tc>
                      <w:tcPr>
                        <w:tcW w:w="342" w:type="pct"/>
                      </w:tcPr>
                      <w:p w14:paraId="68216148" w14:textId="77777777" w:rsidR="00260613" w:rsidRPr="004C674A" w:rsidRDefault="00260613" w:rsidP="00260613">
                        <w:pPr>
                          <w:spacing w:after="60"/>
                          <w:jc w:val="center"/>
                          <w:rPr>
                            <w:iCs/>
                            <w:sz w:val="20"/>
                          </w:rPr>
                        </w:pPr>
                        <w:r w:rsidRPr="004C674A">
                          <w:rPr>
                            <w:iCs/>
                            <w:sz w:val="20"/>
                          </w:rPr>
                          <w:t>MW</w:t>
                        </w:r>
                      </w:p>
                    </w:tc>
                    <w:tc>
                      <w:tcPr>
                        <w:tcW w:w="3221" w:type="pct"/>
                      </w:tcPr>
                      <w:p w14:paraId="639E0808" w14:textId="77777777" w:rsidR="00260613" w:rsidRPr="004C674A" w:rsidRDefault="00260613" w:rsidP="00260613">
                        <w:pPr>
                          <w:spacing w:after="60"/>
                          <w:rPr>
                            <w:iCs/>
                            <w:sz w:val="20"/>
                          </w:rPr>
                        </w:pPr>
                        <w:r w:rsidRPr="004C674A">
                          <w:rPr>
                            <w:i/>
                            <w:iCs/>
                            <w:sz w:val="20"/>
                          </w:rPr>
                          <w:t>High Sustained Limit at RUC Snapshot</w:t>
                        </w:r>
                        <w:r w:rsidRPr="004C674A">
                          <w:rPr>
                            <w:iCs/>
                            <w:sz w:val="20"/>
                          </w:rPr>
                          <w:t xml:space="preserve">—The HSL of Generation Resource </w:t>
                        </w:r>
                        <w:r w:rsidRPr="004C674A">
                          <w:rPr>
                            <w:i/>
                            <w:iCs/>
                            <w:sz w:val="20"/>
                          </w:rPr>
                          <w:t xml:space="preserve">r </w:t>
                        </w:r>
                        <w:r w:rsidRPr="004C674A">
                          <w:rPr>
                            <w:sz w:val="20"/>
                          </w:rPr>
                          <w:t xml:space="preserve">represented by QSE </w:t>
                        </w:r>
                        <w:r w:rsidRPr="004C674A">
                          <w:rPr>
                            <w:i/>
                            <w:iCs/>
                            <w:sz w:val="20"/>
                          </w:rPr>
                          <w:t>q</w:t>
                        </w:r>
                        <w:r w:rsidRPr="004C674A">
                          <w:rPr>
                            <w:sz w:val="20"/>
                          </w:rPr>
                          <w:t xml:space="preserve"> for the hour </w:t>
                        </w:r>
                        <w:r w:rsidRPr="004C674A">
                          <w:rPr>
                            <w:i/>
                            <w:iCs/>
                            <w:sz w:val="20"/>
                          </w:rPr>
                          <w:t>h</w:t>
                        </w:r>
                        <w:r w:rsidRPr="004C674A">
                          <w:rPr>
                            <w:sz w:val="20"/>
                          </w:rPr>
                          <w:t xml:space="preserve">, according to the </w:t>
                        </w:r>
                        <w:r w:rsidRPr="004C674A">
                          <w:rPr>
                            <w:iCs/>
                            <w:sz w:val="20"/>
                          </w:rPr>
                          <w:t xml:space="preserve">COP and Trades Snapshot for the RUC process </w:t>
                        </w:r>
                        <w:proofErr w:type="spellStart"/>
                        <w:r w:rsidRPr="004C674A">
                          <w:rPr>
                            <w:i/>
                            <w:iCs/>
                            <w:sz w:val="20"/>
                          </w:rPr>
                          <w:t>ruc</w:t>
                        </w:r>
                        <w:proofErr w:type="spellEnd"/>
                        <w:r w:rsidRPr="004C674A">
                          <w:rPr>
                            <w:iCs/>
                            <w:sz w:val="20"/>
                          </w:rPr>
                          <w:t xml:space="preserve">.  Where for a Combined Cycle Train, the Resource </w:t>
                        </w:r>
                        <w:r w:rsidRPr="004C674A">
                          <w:rPr>
                            <w:i/>
                            <w:iCs/>
                            <w:sz w:val="20"/>
                          </w:rPr>
                          <w:t xml:space="preserve">r </w:t>
                        </w:r>
                        <w:r w:rsidRPr="004C674A">
                          <w:rPr>
                            <w:iCs/>
                            <w:sz w:val="20"/>
                          </w:rPr>
                          <w:t>is a Combined Cycle Generation Resource within the Combined Cycle Train.</w:t>
                        </w:r>
                      </w:p>
                    </w:tc>
                  </w:tr>
                </w:tbl>
                <w:p w14:paraId="0A4BE201" w14:textId="0768A709" w:rsidR="00ED2152" w:rsidRPr="00ED2152" w:rsidRDefault="00ED2152" w:rsidP="00ED2152">
                  <w:pPr>
                    <w:tabs>
                      <w:tab w:val="left" w:pos="2340"/>
                      <w:tab w:val="left" w:pos="3420"/>
                    </w:tabs>
                    <w:spacing w:after="240"/>
                    <w:rPr>
                      <w:bCs/>
                    </w:rPr>
                  </w:pPr>
                </w:p>
              </w:tc>
            </w:tr>
          </w:tbl>
          <w:p w14:paraId="48C25089" w14:textId="77777777" w:rsidR="00ED2152" w:rsidRDefault="00ED2152">
            <w:pPr>
              <w:pStyle w:val="TableBody"/>
            </w:pPr>
          </w:p>
        </w:tc>
      </w:tr>
      <w:tr w:rsidR="00F80C33" w14:paraId="32B0727A" w14:textId="77777777">
        <w:tc>
          <w:tcPr>
            <w:tcW w:w="1437" w:type="pct"/>
          </w:tcPr>
          <w:p w14:paraId="57586717" w14:textId="77777777" w:rsidR="00F80C33" w:rsidRDefault="00723BFB">
            <w:pPr>
              <w:pStyle w:val="TableBody"/>
              <w:rPr>
                <w:i/>
              </w:rPr>
            </w:pPr>
            <w:proofErr w:type="spellStart"/>
            <w:r>
              <w:rPr>
                <w:i/>
              </w:rPr>
              <w:t>ruc</w:t>
            </w:r>
            <w:proofErr w:type="spellEnd"/>
          </w:p>
        </w:tc>
        <w:tc>
          <w:tcPr>
            <w:tcW w:w="342" w:type="pct"/>
          </w:tcPr>
          <w:p w14:paraId="7577C414" w14:textId="77777777" w:rsidR="00F80C33" w:rsidRDefault="00723BFB">
            <w:pPr>
              <w:pStyle w:val="TableBody"/>
              <w:jc w:val="center"/>
            </w:pPr>
            <w:r>
              <w:t>none</w:t>
            </w:r>
          </w:p>
        </w:tc>
        <w:tc>
          <w:tcPr>
            <w:tcW w:w="3221" w:type="pct"/>
          </w:tcPr>
          <w:p w14:paraId="0EAA3498" w14:textId="77777777" w:rsidR="00F80C33" w:rsidRDefault="00723BFB">
            <w:pPr>
              <w:pStyle w:val="TableBody"/>
            </w:pPr>
            <w:r>
              <w:t>The RUC process for which the RUC Capacity-Short Charge is calculated.</w:t>
            </w:r>
          </w:p>
        </w:tc>
      </w:tr>
      <w:tr w:rsidR="00F80C33" w14:paraId="2D89556F" w14:textId="77777777">
        <w:tc>
          <w:tcPr>
            <w:tcW w:w="1437" w:type="pct"/>
          </w:tcPr>
          <w:p w14:paraId="36248232" w14:textId="77777777" w:rsidR="00F80C33" w:rsidRDefault="00723BFB">
            <w:pPr>
              <w:pStyle w:val="TableBody"/>
              <w:rPr>
                <w:i/>
                <w:highlight w:val="yellow"/>
              </w:rPr>
            </w:pPr>
            <w:r>
              <w:rPr>
                <w:i/>
              </w:rPr>
              <w:t>i</w:t>
            </w:r>
          </w:p>
        </w:tc>
        <w:tc>
          <w:tcPr>
            <w:tcW w:w="342" w:type="pct"/>
          </w:tcPr>
          <w:p w14:paraId="31A383C5" w14:textId="77777777" w:rsidR="00F80C33" w:rsidRDefault="00723BFB">
            <w:pPr>
              <w:pStyle w:val="TableBody"/>
              <w:jc w:val="center"/>
            </w:pPr>
            <w:r>
              <w:t>none</w:t>
            </w:r>
          </w:p>
        </w:tc>
        <w:tc>
          <w:tcPr>
            <w:tcW w:w="3221" w:type="pct"/>
          </w:tcPr>
          <w:p w14:paraId="6902DA9B" w14:textId="77777777" w:rsidR="00F80C33" w:rsidRDefault="00723BFB">
            <w:pPr>
              <w:pStyle w:val="TableBody"/>
            </w:pPr>
            <w:r>
              <w:t>A 15-minute Settlement Interval.</w:t>
            </w:r>
          </w:p>
        </w:tc>
      </w:tr>
      <w:tr w:rsidR="00F80C33" w14:paraId="388B7CFF" w14:textId="77777777">
        <w:tc>
          <w:tcPr>
            <w:tcW w:w="1437" w:type="pct"/>
          </w:tcPr>
          <w:p w14:paraId="089F5719" w14:textId="77777777" w:rsidR="00F80C33" w:rsidRDefault="00723BFB">
            <w:pPr>
              <w:pStyle w:val="TableBody"/>
              <w:rPr>
                <w:i/>
                <w:highlight w:val="yellow"/>
              </w:rPr>
            </w:pPr>
            <w:r>
              <w:rPr>
                <w:i/>
              </w:rPr>
              <w:t>q</w:t>
            </w:r>
          </w:p>
        </w:tc>
        <w:tc>
          <w:tcPr>
            <w:tcW w:w="342" w:type="pct"/>
          </w:tcPr>
          <w:p w14:paraId="63DD1067" w14:textId="77777777" w:rsidR="00F80C33" w:rsidRDefault="00723BFB">
            <w:pPr>
              <w:pStyle w:val="TableBody"/>
              <w:jc w:val="center"/>
            </w:pPr>
            <w:r>
              <w:t>none</w:t>
            </w:r>
          </w:p>
        </w:tc>
        <w:tc>
          <w:tcPr>
            <w:tcW w:w="3221" w:type="pct"/>
          </w:tcPr>
          <w:p w14:paraId="32CB33B5" w14:textId="77777777" w:rsidR="00F80C33" w:rsidRDefault="00723BFB">
            <w:pPr>
              <w:pStyle w:val="TableBody"/>
            </w:pPr>
            <w:r>
              <w:t>A QSE.</w:t>
            </w:r>
          </w:p>
        </w:tc>
      </w:tr>
      <w:tr w:rsidR="00F80C33" w14:paraId="4BCD1114" w14:textId="77777777">
        <w:tc>
          <w:tcPr>
            <w:tcW w:w="1437" w:type="pct"/>
          </w:tcPr>
          <w:p w14:paraId="5A471F19" w14:textId="77777777" w:rsidR="00F80C33" w:rsidRDefault="00723BFB">
            <w:pPr>
              <w:pStyle w:val="TableBody"/>
              <w:rPr>
                <w:i/>
                <w:highlight w:val="yellow"/>
              </w:rPr>
            </w:pPr>
            <w:r>
              <w:rPr>
                <w:i/>
              </w:rPr>
              <w:t>h</w:t>
            </w:r>
          </w:p>
        </w:tc>
        <w:tc>
          <w:tcPr>
            <w:tcW w:w="342" w:type="pct"/>
          </w:tcPr>
          <w:p w14:paraId="7580E176" w14:textId="77777777" w:rsidR="00F80C33" w:rsidRDefault="00723BFB">
            <w:pPr>
              <w:pStyle w:val="TableBody"/>
              <w:jc w:val="center"/>
            </w:pPr>
            <w:r>
              <w:t>none</w:t>
            </w:r>
          </w:p>
        </w:tc>
        <w:tc>
          <w:tcPr>
            <w:tcW w:w="3221" w:type="pct"/>
          </w:tcPr>
          <w:p w14:paraId="6C5674D5" w14:textId="77777777" w:rsidR="00F80C33" w:rsidRDefault="00723BFB">
            <w:pPr>
              <w:pStyle w:val="TableBody"/>
            </w:pPr>
            <w:r>
              <w:t xml:space="preserve">The hour that includes the Settlement Interval </w:t>
            </w:r>
            <w:r>
              <w:rPr>
                <w:i/>
              </w:rPr>
              <w:t>i</w:t>
            </w:r>
            <w:r>
              <w:t xml:space="preserve">. </w:t>
            </w:r>
          </w:p>
        </w:tc>
      </w:tr>
      <w:tr w:rsidR="00F80C33" w14:paraId="41001DED" w14:textId="77777777">
        <w:tc>
          <w:tcPr>
            <w:tcW w:w="1437" w:type="pct"/>
          </w:tcPr>
          <w:p w14:paraId="1515164B" w14:textId="77777777" w:rsidR="00F80C33" w:rsidRDefault="00723BFB">
            <w:pPr>
              <w:pStyle w:val="TableBody"/>
              <w:rPr>
                <w:i/>
              </w:rPr>
            </w:pPr>
            <w:r>
              <w:rPr>
                <w:i/>
              </w:rPr>
              <w:t>r</w:t>
            </w:r>
          </w:p>
        </w:tc>
        <w:tc>
          <w:tcPr>
            <w:tcW w:w="342" w:type="pct"/>
          </w:tcPr>
          <w:p w14:paraId="6504EF8B" w14:textId="77777777" w:rsidR="00F80C33" w:rsidRDefault="00723BFB">
            <w:pPr>
              <w:pStyle w:val="TableBody"/>
              <w:jc w:val="center"/>
            </w:pPr>
            <w:r>
              <w:t>none</w:t>
            </w:r>
          </w:p>
        </w:tc>
        <w:tc>
          <w:tcPr>
            <w:tcW w:w="3221" w:type="pct"/>
          </w:tcPr>
          <w:p w14:paraId="09669F76" w14:textId="77777777" w:rsidR="00F80C33" w:rsidRDefault="00723BFB">
            <w:pPr>
              <w:pStyle w:val="TableBody"/>
            </w:pPr>
            <w:r>
              <w:t xml:space="preserve">A Generation Resource that is RUC-committed for the hour that includes the Settlement Interval </w:t>
            </w:r>
            <w:r>
              <w:rPr>
                <w:i/>
              </w:rPr>
              <w:t>i</w:t>
            </w:r>
            <w:r>
              <w:t xml:space="preserve">, </w:t>
            </w:r>
            <w:proofErr w:type="gramStart"/>
            <w:r>
              <w:t>as a result of</w:t>
            </w:r>
            <w:proofErr w:type="gramEnd"/>
            <w:r>
              <w:t xml:space="preserve"> a particular RUC process.</w:t>
            </w:r>
          </w:p>
        </w:tc>
      </w:tr>
      <w:tr w:rsidR="001D6962" w14:paraId="40C53576" w14:textId="77777777">
        <w:tc>
          <w:tcPr>
            <w:tcW w:w="1437" w:type="pct"/>
          </w:tcPr>
          <w:p w14:paraId="3E7ED3CA" w14:textId="6357C503" w:rsidR="001D6962" w:rsidRDefault="001D6962" w:rsidP="001D6962">
            <w:pPr>
              <w:pStyle w:val="TableBody"/>
              <w:rPr>
                <w:i/>
              </w:rPr>
            </w:pPr>
            <w:proofErr w:type="spellStart"/>
            <w:r w:rsidRPr="005A03E7">
              <w:rPr>
                <w:i/>
              </w:rPr>
              <w:t>beforeCCGR</w:t>
            </w:r>
            <w:proofErr w:type="spellEnd"/>
          </w:p>
        </w:tc>
        <w:tc>
          <w:tcPr>
            <w:tcW w:w="342" w:type="pct"/>
          </w:tcPr>
          <w:p w14:paraId="228FD1FD" w14:textId="392DDD55" w:rsidR="001D6962" w:rsidRDefault="001D6962" w:rsidP="001D6962">
            <w:pPr>
              <w:pStyle w:val="TableBody"/>
              <w:jc w:val="center"/>
            </w:pPr>
            <w:r>
              <w:t>none</w:t>
            </w:r>
          </w:p>
        </w:tc>
        <w:tc>
          <w:tcPr>
            <w:tcW w:w="3221" w:type="pct"/>
          </w:tcPr>
          <w:p w14:paraId="02779614" w14:textId="2F90C62B" w:rsidR="001D6962" w:rsidRDefault="001D6962" w:rsidP="001D6962">
            <w:pPr>
              <w:pStyle w:val="TableBody"/>
            </w:pPr>
            <w:r>
              <w:t>The Combined Cycle Generation Resource that was QSE-committed in a RUCAC-Interval.</w:t>
            </w:r>
          </w:p>
        </w:tc>
      </w:tr>
    </w:tbl>
    <w:p w14:paraId="1489B853" w14:textId="77777777" w:rsidR="00F80C33" w:rsidRDefault="00723BFB" w:rsidP="000B7479">
      <w:pPr>
        <w:pStyle w:val="H5"/>
        <w:spacing w:before="480"/>
        <w:ind w:left="1627" w:hanging="1627"/>
      </w:pPr>
      <w:bookmarkStart w:id="292" w:name="_Toc400547195"/>
      <w:bookmarkStart w:id="293" w:name="_Toc405384300"/>
      <w:bookmarkStart w:id="294" w:name="_Toc405543567"/>
      <w:bookmarkStart w:id="295" w:name="_Toc428178076"/>
      <w:bookmarkStart w:id="296" w:name="_Toc440872707"/>
      <w:bookmarkStart w:id="297" w:name="_Toc458766252"/>
      <w:bookmarkStart w:id="298" w:name="_Toc459292657"/>
      <w:bookmarkStart w:id="299" w:name="_Toc60038364"/>
      <w:r>
        <w:t>5.7.4.1.1</w:t>
      </w:r>
      <w:r>
        <w:tab/>
        <w:t>Capacity Shortfall Ratio Share</w:t>
      </w:r>
      <w:bookmarkEnd w:id="292"/>
      <w:bookmarkEnd w:id="293"/>
      <w:bookmarkEnd w:id="294"/>
      <w:bookmarkEnd w:id="295"/>
      <w:bookmarkEnd w:id="296"/>
      <w:bookmarkEnd w:id="297"/>
      <w:bookmarkEnd w:id="298"/>
      <w:bookmarkEnd w:id="299"/>
    </w:p>
    <w:p w14:paraId="02710EAA" w14:textId="77777777" w:rsidR="00F80C33" w:rsidRDefault="00723BFB">
      <w:pPr>
        <w:pStyle w:val="BodyTextNumbered"/>
      </w:pPr>
      <w:r>
        <w:t>(1)</w:t>
      </w:r>
      <w:r>
        <w:tab/>
      </w:r>
      <w:r w:rsidR="00C84810">
        <w:t xml:space="preserve">In calculating the amount short for each QSE, </w:t>
      </w:r>
      <w:r w:rsidR="00C84810" w:rsidRPr="00293185">
        <w:t xml:space="preserve">the </w:t>
      </w:r>
      <w:r w:rsidR="00C84810" w:rsidRPr="002C11F8">
        <w:t>Wind-powered Generation Resource Production Potential (WGRPP), as described in Section 4.2.2</w:t>
      </w:r>
      <w:r w:rsidR="00C84810" w:rsidRPr="005B58BC">
        <w:t>, Wind-Powered Generation Resource Production Potential</w:t>
      </w:r>
      <w:r w:rsidR="00C84810" w:rsidRPr="00101205">
        <w:t>, for a Wind-</w:t>
      </w:r>
      <w:r w:rsidR="00C84810" w:rsidRPr="002C11F8">
        <w:t>powered G</w:t>
      </w:r>
      <w:r w:rsidR="00C84810" w:rsidRPr="00293185">
        <w:t>eneration Resource (WGR)</w:t>
      </w:r>
      <w:r w:rsidR="00C84810">
        <w:t>,</w:t>
      </w:r>
      <w:r w:rsidR="00C84810" w:rsidRPr="00293185">
        <w:t xml:space="preserve"> </w:t>
      </w:r>
      <w:r w:rsidR="00C84810">
        <w:t>or</w:t>
      </w:r>
      <w:r w:rsidR="00C84810" w:rsidRPr="00293185">
        <w:t xml:space="preserve"> the PhotoVoltaic Generation Resource Production Potential (PVGRPP), as described in Section 4.2.3</w:t>
      </w:r>
      <w:r w:rsidR="00C84810">
        <w:t xml:space="preserve">, </w:t>
      </w:r>
      <w:r w:rsidR="00C84810" w:rsidRPr="00C67FC9">
        <w:t>PhotoVoltaic Generation Resource Production Potential</w:t>
      </w:r>
      <w:r w:rsidR="00C84810">
        <w:t>,</w:t>
      </w:r>
      <w:r w:rsidR="00C84810" w:rsidRPr="00293185">
        <w:t xml:space="preserve"> for a PhotoVoltaic Generation Resource (PVGR), at the time of RUC execution, </w:t>
      </w:r>
      <w:r w:rsidR="00C84810">
        <w:t>shall be</w:t>
      </w:r>
      <w:r w:rsidR="00C84810" w:rsidRPr="00293185">
        <w:t xml:space="preserve"> considered the available </w:t>
      </w:r>
      <w:r w:rsidR="00C84810">
        <w:t>capacity</w:t>
      </w:r>
      <w:r w:rsidR="00C84810" w:rsidRPr="00293185">
        <w:t xml:space="preserve"> of the WGR </w:t>
      </w:r>
      <w:r w:rsidR="00C84810">
        <w:t>or</w:t>
      </w:r>
      <w:r w:rsidR="00C84810" w:rsidRPr="00293185">
        <w:t xml:space="preserve"> PVGR when determining responsibility for the corresponding RUC charges, regardless of the Real-Time output of the WGR</w:t>
      </w:r>
      <w:r w:rsidR="00C84810" w:rsidRPr="00320719">
        <w:t xml:space="preserve"> or PVGR</w:t>
      </w:r>
      <w:r w:rsidR="00C84810" w:rsidRPr="00293185">
        <w:t>.</w:t>
      </w:r>
      <w:r w:rsidR="00C84810">
        <w:t xml:space="preserve">  Therefore, the HASLSNAP variable used below shall be equal to the </w:t>
      </w:r>
      <w:r w:rsidR="00C84810" w:rsidRPr="00737369">
        <w:t>WGRPP and PVGRPP described above</w:t>
      </w:r>
      <w:r w:rsidR="00C84810">
        <w:t>.</w:t>
      </w:r>
      <w:r>
        <w:t xml:space="preserve"> </w:t>
      </w:r>
    </w:p>
    <w:p w14:paraId="464C4050" w14:textId="77777777" w:rsidR="00F80C33" w:rsidRDefault="00723BFB" w:rsidP="00D56FFD">
      <w:pPr>
        <w:pStyle w:val="BodyTextNumbered"/>
      </w:pPr>
      <w:r>
        <w:lastRenderedPageBreak/>
        <w:t>(2)</w:t>
      </w:r>
      <w:r>
        <w:tab/>
        <w:t>In calculating the amount short for each QSE, the QSE must be given a capacity credit for non-</w:t>
      </w:r>
      <w:r w:rsidR="00843161">
        <w:t>Intermittent Renewable Resources (</w:t>
      </w:r>
      <w:r w:rsidR="00A90740">
        <w:t>IRRs</w:t>
      </w:r>
      <w:r w:rsidR="00843161">
        <w:t>)</w:t>
      </w:r>
      <w:r>
        <w:t xml:space="preserve"> that were given notice of decommitment within the two hours before the Operating Hour </w:t>
      </w:r>
      <w:proofErr w:type="gramStart"/>
      <w:r>
        <w:t>as a result of</w:t>
      </w:r>
      <w:proofErr w:type="gramEnd"/>
      <w:r>
        <w:t xml:space="preserve"> the RUC process by setting the HASLSNAP and HASLADJ variables used below equal to the HASLSNAP value for the Resource immediately before the decommitment instruction was given.  </w:t>
      </w:r>
    </w:p>
    <w:p w14:paraId="764C0B83" w14:textId="77777777" w:rsidR="00F80C33" w:rsidRDefault="00723BFB">
      <w:pPr>
        <w:pStyle w:val="BodyTextNumbered"/>
      </w:pPr>
      <w:r>
        <w:t>(3)</w:t>
      </w:r>
      <w:r>
        <w:tab/>
        <w:t xml:space="preserve">In calculating the short amount for each QSE, if the </w:t>
      </w:r>
      <w:r w:rsidR="007B0091">
        <w:t>High Ancillary Service Limit (</w:t>
      </w:r>
      <w:r>
        <w:t>HASL</w:t>
      </w:r>
      <w:r w:rsidR="007B0091">
        <w:t>)</w:t>
      </w:r>
      <w:r>
        <w:t xml:space="preserve"> for a Resource was credited to the QSE during the RUC snapshot but the Resource experiences a Forced Outage within two hours before the start of the Settlement Interval, then the HASL for that Resource is also credited to the QSE in the HASLADJ.</w:t>
      </w:r>
    </w:p>
    <w:p w14:paraId="5E629840" w14:textId="77777777" w:rsidR="00F80C33" w:rsidRDefault="00723BFB">
      <w:pPr>
        <w:pStyle w:val="BodyTextNumbered"/>
      </w:pPr>
      <w:r>
        <w:t>(4)</w:t>
      </w:r>
      <w:r>
        <w:tab/>
        <w:t xml:space="preserve">In calculating the short amount for each QSE, if the DCIMPSNAP was credited to the QSE during the RUC snapshot but the entire </w:t>
      </w:r>
      <w:r w:rsidR="007B0091">
        <w:t xml:space="preserve">Direct Current </w:t>
      </w:r>
      <w:r>
        <w:t>Tie</w:t>
      </w:r>
      <w:r w:rsidR="00BD6F11">
        <w:t xml:space="preserve"> (DC Tie)</w:t>
      </w:r>
      <w:r>
        <w:t xml:space="preserve"> experiences a Forced Outage within two hours before the start of the Settlement Interval, then the DCIMPSNAP is also credited to the QSE in the DCIMPADJ.</w:t>
      </w:r>
    </w:p>
    <w:p w14:paraId="0777AC3D" w14:textId="77777777" w:rsidR="00BD6F11" w:rsidRDefault="00BD6F11" w:rsidP="00BD6F11">
      <w:pPr>
        <w:pStyle w:val="BodyTextNumbered"/>
      </w:pPr>
      <w:r>
        <w:t>(5)</w:t>
      </w:r>
      <w:r>
        <w:tab/>
        <w:t xml:space="preserve">For Combined Cycle </w:t>
      </w:r>
      <w:r w:rsidRPr="00997AD4">
        <w:t>Generation Resource</w:t>
      </w:r>
      <w:r>
        <w:t>s,</w:t>
      </w:r>
      <w:r w:rsidRPr="00997AD4">
        <w:t xml:space="preserve"> i</w:t>
      </w:r>
      <w:r>
        <w:t xml:space="preserve">f more than one Combined Cycle Generation Resource is shown </w:t>
      </w:r>
      <w:r w:rsidRPr="00997AD4">
        <w:t>On</w:t>
      </w:r>
      <w:r>
        <w:t>-L</w:t>
      </w:r>
      <w:r w:rsidRPr="00997AD4">
        <w:t xml:space="preserve">ine in its COP for the same </w:t>
      </w:r>
      <w:r>
        <w:t>S</w:t>
      </w:r>
      <w:r w:rsidRPr="00997AD4">
        <w:t xml:space="preserve">ettlement hour, then the </w:t>
      </w:r>
      <w:r>
        <w:t>provisions of paragraph (</w:t>
      </w:r>
      <w:r w:rsidR="0055195C">
        <w:t>6</w:t>
      </w:r>
      <w:r>
        <w:t>)(a) of Section 3.9.1, Current Operating Plan (COP) Criteria, apply in the determination of the On-Line Combined Cycle Generation Resource for that Settlement hour.</w:t>
      </w:r>
    </w:p>
    <w:p w14:paraId="15176399" w14:textId="77777777" w:rsidR="00F80C33" w:rsidRDefault="00723BFB">
      <w:pPr>
        <w:pStyle w:val="BodyTextNumbered"/>
      </w:pPr>
      <w:r>
        <w:t>(</w:t>
      </w:r>
      <w:r w:rsidR="00BD6F11">
        <w:t>6</w:t>
      </w:r>
      <w:r>
        <w:t>)</w:t>
      </w:r>
      <w:r>
        <w:tab/>
        <w:t>The capacity shortfall ratio share of a specific QSE for a particular RUC process is calculated, for a 15-minute Settlement Interval, as follows:</w:t>
      </w:r>
    </w:p>
    <w:p w14:paraId="3D54AA57" w14:textId="77777777" w:rsidR="00F80C33" w:rsidRDefault="00723BFB" w:rsidP="00C078A2">
      <w:pPr>
        <w:pStyle w:val="FormulaBold"/>
      </w:pPr>
      <w:r>
        <w:t>RUCSFRS</w:t>
      </w:r>
      <w:r w:rsidR="00FF64D5">
        <w:t xml:space="preserve"> </w:t>
      </w:r>
      <w:proofErr w:type="spellStart"/>
      <w:r>
        <w:rPr>
          <w:i/>
          <w:vertAlign w:val="subscript"/>
        </w:rPr>
        <w:t>ruc</w:t>
      </w:r>
      <w:proofErr w:type="spellEnd"/>
      <w:r>
        <w:rPr>
          <w:i/>
          <w:vertAlign w:val="subscript"/>
        </w:rPr>
        <w:t>,</w:t>
      </w:r>
      <w:r w:rsidR="00FF64D5">
        <w:rPr>
          <w:i/>
          <w:vertAlign w:val="subscript"/>
        </w:rPr>
        <w:t xml:space="preserve"> </w:t>
      </w:r>
      <w:r>
        <w:rPr>
          <w:i/>
          <w:vertAlign w:val="subscript"/>
        </w:rPr>
        <w:t>i,</w:t>
      </w:r>
      <w:r w:rsidR="00FF64D5">
        <w:rPr>
          <w:i/>
          <w:vertAlign w:val="subscript"/>
        </w:rPr>
        <w:t xml:space="preserve"> </w:t>
      </w:r>
      <w:r>
        <w:rPr>
          <w:i/>
          <w:vertAlign w:val="subscript"/>
        </w:rPr>
        <w:t>q</w:t>
      </w:r>
      <w:r>
        <w:tab/>
        <w:t>=</w:t>
      </w:r>
      <w:r>
        <w:tab/>
        <w:t>RUCSF</w:t>
      </w:r>
      <w:r w:rsidR="00FF64D5">
        <w:t xml:space="preserve"> </w:t>
      </w:r>
      <w:proofErr w:type="spellStart"/>
      <w:r>
        <w:rPr>
          <w:i/>
          <w:vertAlign w:val="subscript"/>
        </w:rPr>
        <w:t>ruc</w:t>
      </w:r>
      <w:proofErr w:type="spellEnd"/>
      <w:r>
        <w:rPr>
          <w:i/>
          <w:vertAlign w:val="subscript"/>
        </w:rPr>
        <w:t>,</w:t>
      </w:r>
      <w:r w:rsidR="00FF64D5">
        <w:rPr>
          <w:i/>
          <w:vertAlign w:val="subscript"/>
        </w:rPr>
        <w:t xml:space="preserve"> </w:t>
      </w:r>
      <w:r>
        <w:rPr>
          <w:i/>
          <w:vertAlign w:val="subscript"/>
        </w:rPr>
        <w:t>i,</w:t>
      </w:r>
      <w:r w:rsidR="00FF64D5">
        <w:rPr>
          <w:i/>
          <w:vertAlign w:val="subscript"/>
        </w:rPr>
        <w:t xml:space="preserve"> </w:t>
      </w:r>
      <w:r>
        <w:rPr>
          <w:i/>
          <w:vertAlign w:val="subscript"/>
        </w:rPr>
        <w:t>q</w:t>
      </w:r>
      <w:r>
        <w:t xml:space="preserve"> / RUCSFTOT</w:t>
      </w:r>
      <w:r w:rsidR="00FF64D5">
        <w:t xml:space="preserve"> </w:t>
      </w:r>
      <w:proofErr w:type="spellStart"/>
      <w:r>
        <w:rPr>
          <w:i/>
          <w:vertAlign w:val="subscript"/>
        </w:rPr>
        <w:t>ruc</w:t>
      </w:r>
      <w:proofErr w:type="spellEnd"/>
      <w:r>
        <w:rPr>
          <w:i/>
          <w:vertAlign w:val="subscript"/>
        </w:rPr>
        <w:t>,</w:t>
      </w:r>
      <w:r w:rsidR="00FF64D5">
        <w:rPr>
          <w:i/>
          <w:vertAlign w:val="subscript"/>
        </w:rPr>
        <w:t xml:space="preserve"> </w:t>
      </w:r>
      <w:r>
        <w:rPr>
          <w:i/>
          <w:vertAlign w:val="subscript"/>
        </w:rPr>
        <w:t>i</w:t>
      </w:r>
    </w:p>
    <w:p w14:paraId="7417A990" w14:textId="77777777" w:rsidR="00E2667F" w:rsidRDefault="00723BFB">
      <w:pPr>
        <w:spacing w:after="240"/>
        <w:ind w:firstLine="720"/>
      </w:pPr>
      <w:r>
        <w:t>Where:</w:t>
      </w:r>
    </w:p>
    <w:p w14:paraId="4AD0F0F9" w14:textId="77777777" w:rsidR="00E2667F" w:rsidRDefault="00723BFB" w:rsidP="00C078A2">
      <w:pPr>
        <w:pStyle w:val="FormulaBold"/>
        <w:rPr>
          <w:i/>
          <w:vertAlign w:val="subscript"/>
        </w:rPr>
      </w:pPr>
      <w:r w:rsidRPr="007C60DD">
        <w:t>RUCSFTOT</w:t>
      </w:r>
      <w:r w:rsidR="00FF64D5">
        <w:rPr>
          <w:lang w:val="en-US"/>
        </w:rPr>
        <w:t xml:space="preserve"> </w:t>
      </w:r>
      <w:proofErr w:type="spellStart"/>
      <w:r w:rsidRPr="007C60DD">
        <w:rPr>
          <w:i/>
          <w:vertAlign w:val="subscript"/>
        </w:rPr>
        <w:t>ruc</w:t>
      </w:r>
      <w:proofErr w:type="spellEnd"/>
      <w:r>
        <w:rPr>
          <w:i/>
          <w:vertAlign w:val="subscript"/>
        </w:rPr>
        <w:t>,</w:t>
      </w:r>
      <w:r w:rsidR="00FF64D5">
        <w:rPr>
          <w:i/>
          <w:vertAlign w:val="subscript"/>
          <w:lang w:val="en-US"/>
        </w:rPr>
        <w:t xml:space="preserve"> </w:t>
      </w:r>
      <w:r>
        <w:rPr>
          <w:i/>
          <w:vertAlign w:val="subscript"/>
        </w:rPr>
        <w:t>i</w:t>
      </w:r>
      <w:r>
        <w:tab/>
        <w:t>=</w:t>
      </w:r>
      <w:r>
        <w:tab/>
      </w:r>
      <w:r w:rsidR="00F80C33" w:rsidRPr="00F80C33">
        <w:rPr>
          <w:position w:val="-22"/>
        </w:rPr>
        <w:object w:dxaOrig="220" w:dyaOrig="460" w14:anchorId="607DE4B9">
          <v:shape id="_x0000_i1043" type="#_x0000_t75" style="width:9.6pt;height:22.8pt" o:ole="">
            <v:imagedata r:id="rId45" o:title=""/>
          </v:shape>
          <o:OLEObject Type="Embed" ProgID="Equation.3" ShapeID="_x0000_i1043" DrawAspect="Content" ObjectID="_1775281573" r:id="rId46"/>
        </w:object>
      </w:r>
      <w:r>
        <w:t>RUCSF</w:t>
      </w:r>
      <w:r w:rsidR="00FF64D5">
        <w:rPr>
          <w:lang w:val="en-US"/>
        </w:rPr>
        <w:t xml:space="preserve"> </w:t>
      </w:r>
      <w:proofErr w:type="spellStart"/>
      <w:r>
        <w:rPr>
          <w:i/>
          <w:vertAlign w:val="subscript"/>
        </w:rPr>
        <w:t>ruc</w:t>
      </w:r>
      <w:proofErr w:type="spellEnd"/>
      <w:r>
        <w:rPr>
          <w:i/>
          <w:vertAlign w:val="subscript"/>
        </w:rPr>
        <w:t>,</w:t>
      </w:r>
      <w:r w:rsidR="00FF64D5">
        <w:rPr>
          <w:i/>
          <w:vertAlign w:val="subscript"/>
          <w:lang w:val="en-US"/>
        </w:rPr>
        <w:t xml:space="preserve"> </w:t>
      </w:r>
      <w:r>
        <w:rPr>
          <w:i/>
          <w:vertAlign w:val="subscript"/>
        </w:rPr>
        <w:t>i,</w:t>
      </w:r>
      <w:r w:rsidR="00FF64D5">
        <w:rPr>
          <w:i/>
          <w:vertAlign w:val="subscript"/>
          <w:lang w:val="en-US"/>
        </w:rPr>
        <w:t xml:space="preserve"> </w:t>
      </w:r>
      <w:r>
        <w:rPr>
          <w:i/>
          <w:vertAlign w:val="subscript"/>
        </w:rPr>
        <w:t>q</w:t>
      </w:r>
    </w:p>
    <w:p w14:paraId="4CB95D71" w14:textId="77777777" w:rsidR="00F80C33" w:rsidRDefault="00723BFB">
      <w:pPr>
        <w:pStyle w:val="BodyTextNumbered"/>
      </w:pPr>
      <w:r>
        <w:t>(</w:t>
      </w:r>
      <w:r w:rsidR="003D22F1">
        <w:t>7</w:t>
      </w:r>
      <w:r>
        <w:t>)</w:t>
      </w:r>
      <w:r>
        <w:tab/>
        <w:t>The RUC Shortfall in MW for one QSE for one 15-minute Settlement Interval is:</w:t>
      </w:r>
    </w:p>
    <w:p w14:paraId="7E42A1D9" w14:textId="77777777" w:rsidR="00F80C33" w:rsidRDefault="00723BFB" w:rsidP="00C078A2">
      <w:pPr>
        <w:pStyle w:val="FormulaBold"/>
      </w:pPr>
      <w:r>
        <w:t>RUCSF</w:t>
      </w:r>
      <w:r w:rsidR="00FF64D5">
        <w:t xml:space="preserve"> </w:t>
      </w:r>
      <w:proofErr w:type="spellStart"/>
      <w:r>
        <w:rPr>
          <w:i/>
          <w:vertAlign w:val="subscript"/>
        </w:rPr>
        <w:t>ruc</w:t>
      </w:r>
      <w:proofErr w:type="spellEnd"/>
      <w:r>
        <w:rPr>
          <w:i/>
          <w:vertAlign w:val="subscript"/>
        </w:rPr>
        <w:t>,</w:t>
      </w:r>
      <w:r w:rsidR="00FF64D5">
        <w:rPr>
          <w:i/>
          <w:vertAlign w:val="subscript"/>
        </w:rPr>
        <w:t xml:space="preserve"> </w:t>
      </w:r>
      <w:r>
        <w:rPr>
          <w:i/>
          <w:vertAlign w:val="subscript"/>
        </w:rPr>
        <w:t>i,</w:t>
      </w:r>
      <w:r w:rsidR="00FF64D5">
        <w:rPr>
          <w:i/>
          <w:vertAlign w:val="subscript"/>
        </w:rPr>
        <w:t xml:space="preserve"> </w:t>
      </w:r>
      <w:r>
        <w:rPr>
          <w:i/>
          <w:vertAlign w:val="subscript"/>
        </w:rPr>
        <w:t>q</w:t>
      </w:r>
      <w:r>
        <w:tab/>
        <w:t>=</w:t>
      </w:r>
      <w:r>
        <w:tab/>
        <w:t>Max (0, Max (RUCSFSNAP</w:t>
      </w:r>
      <w:r w:rsidR="00CC2940">
        <w:t xml:space="preserve"> </w:t>
      </w:r>
      <w:proofErr w:type="spellStart"/>
      <w:r w:rsidR="00CC2940">
        <w:rPr>
          <w:i/>
          <w:vertAlign w:val="subscript"/>
        </w:rPr>
        <w:t>ruc</w:t>
      </w:r>
      <w:proofErr w:type="spellEnd"/>
      <w:r w:rsidR="00CC2940">
        <w:rPr>
          <w:i/>
          <w:vertAlign w:val="subscript"/>
        </w:rPr>
        <w:t>,</w:t>
      </w:r>
      <w:r w:rsidR="00FF64D5">
        <w:rPr>
          <w:i/>
          <w:vertAlign w:val="subscript"/>
        </w:rPr>
        <w:t xml:space="preserve"> </w:t>
      </w:r>
      <w:r>
        <w:rPr>
          <w:i/>
          <w:vertAlign w:val="subscript"/>
        </w:rPr>
        <w:t>q,</w:t>
      </w:r>
      <w:r w:rsidR="00FF64D5">
        <w:rPr>
          <w:i/>
          <w:vertAlign w:val="subscript"/>
        </w:rPr>
        <w:t xml:space="preserve"> </w:t>
      </w:r>
      <w:r>
        <w:rPr>
          <w:i/>
          <w:vertAlign w:val="subscript"/>
        </w:rPr>
        <w:t>i</w:t>
      </w:r>
      <w:r>
        <w:t>, RUCSFADJ</w:t>
      </w:r>
      <w:r w:rsidR="00CC2940">
        <w:t xml:space="preserve"> </w:t>
      </w:r>
      <w:proofErr w:type="spellStart"/>
      <w:r w:rsidR="00CC2940">
        <w:rPr>
          <w:i/>
          <w:vertAlign w:val="subscript"/>
        </w:rPr>
        <w:t>ruc</w:t>
      </w:r>
      <w:proofErr w:type="spellEnd"/>
      <w:r w:rsidR="00CC2940">
        <w:rPr>
          <w:i/>
          <w:vertAlign w:val="subscript"/>
        </w:rPr>
        <w:t>,</w:t>
      </w:r>
      <w:r w:rsidR="00FF64D5">
        <w:rPr>
          <w:i/>
          <w:vertAlign w:val="subscript"/>
        </w:rPr>
        <w:t xml:space="preserve"> </w:t>
      </w:r>
      <w:r>
        <w:rPr>
          <w:i/>
          <w:vertAlign w:val="subscript"/>
        </w:rPr>
        <w:t>q,</w:t>
      </w:r>
      <w:r w:rsidR="00FF64D5">
        <w:rPr>
          <w:i/>
          <w:vertAlign w:val="subscript"/>
        </w:rPr>
        <w:t xml:space="preserve"> </w:t>
      </w:r>
      <w:r>
        <w:rPr>
          <w:i/>
          <w:vertAlign w:val="subscript"/>
        </w:rPr>
        <w:t>i</w:t>
      </w:r>
      <w:r>
        <w:t xml:space="preserve">) – </w:t>
      </w:r>
      <w:r w:rsidR="00F80C33" w:rsidRPr="00F80C33">
        <w:rPr>
          <w:position w:val="-22"/>
        </w:rPr>
        <w:object w:dxaOrig="980" w:dyaOrig="460" w14:anchorId="58BC8A56">
          <v:shape id="_x0000_i1044" type="#_x0000_t75" style="width:49.2pt;height:22.8pt" o:ole="">
            <v:imagedata r:id="rId47" o:title=""/>
          </v:shape>
          <o:OLEObject Type="Embed" ProgID="Equation.3" ShapeID="_x0000_i1044" DrawAspect="Content" ObjectID="_1775281574" r:id="rId48"/>
        </w:object>
      </w:r>
      <w:r>
        <w:t>RUCCAPCREDIT</w:t>
      </w:r>
      <w:r w:rsidR="00CC2940">
        <w:t xml:space="preserve"> </w:t>
      </w:r>
      <w:r>
        <w:rPr>
          <w:i/>
          <w:vertAlign w:val="subscript"/>
        </w:rPr>
        <w:t>q,</w:t>
      </w:r>
      <w:r w:rsidR="00FF64D5">
        <w:rPr>
          <w:i/>
          <w:vertAlign w:val="subscript"/>
        </w:rPr>
        <w:t xml:space="preserve"> </w:t>
      </w:r>
      <w:r>
        <w:rPr>
          <w:i/>
          <w:vertAlign w:val="subscript"/>
        </w:rPr>
        <w:t>i,</w:t>
      </w:r>
      <w:r w:rsidR="00FF64D5">
        <w:rPr>
          <w:i/>
          <w:vertAlign w:val="subscript"/>
        </w:rPr>
        <w:t xml:space="preserve"> </w:t>
      </w:r>
      <w:r>
        <w:rPr>
          <w:i/>
          <w:vertAlign w:val="subscript"/>
        </w:rPr>
        <w:t>z</w:t>
      </w:r>
      <w:r>
        <w:t>)</w:t>
      </w:r>
    </w:p>
    <w:p w14:paraId="5D47EDF4" w14:textId="77777777" w:rsidR="00F80C33" w:rsidRDefault="00723BFB">
      <w:pPr>
        <w:pStyle w:val="BodyTextNumbered"/>
      </w:pPr>
      <w:r>
        <w:t>(</w:t>
      </w:r>
      <w:r w:rsidR="003D22F1">
        <w:t>8</w:t>
      </w:r>
      <w:r>
        <w:t>)</w:t>
      </w:r>
      <w:r>
        <w:tab/>
        <w:t>The RUC Shortfall in MW for one QSE for one 15-minute Settlement Interval, as measured at the snapshot, is:</w:t>
      </w:r>
    </w:p>
    <w:p w14:paraId="2B8087AD" w14:textId="31A6E34C" w:rsidR="00F80C33" w:rsidRDefault="00723BFB" w:rsidP="00C078A2">
      <w:pPr>
        <w:pStyle w:val="FormulaBold"/>
      </w:pPr>
      <w:r>
        <w:t>RUCSFSNAP</w:t>
      </w:r>
      <w:r w:rsidR="00CC2940">
        <w:t xml:space="preserve"> </w:t>
      </w:r>
      <w:proofErr w:type="spellStart"/>
      <w:r w:rsidR="00CC2940">
        <w:rPr>
          <w:i/>
          <w:vertAlign w:val="subscript"/>
        </w:rPr>
        <w:t>ruc</w:t>
      </w:r>
      <w:proofErr w:type="spellEnd"/>
      <w:r w:rsidR="00FF64D5">
        <w:rPr>
          <w:i/>
          <w:vertAlign w:val="subscript"/>
        </w:rPr>
        <w:t xml:space="preserve"> </w:t>
      </w:r>
      <w:r w:rsidR="00CC2940">
        <w:rPr>
          <w:i/>
          <w:vertAlign w:val="subscript"/>
        </w:rPr>
        <w:t>,</w:t>
      </w:r>
      <w:r>
        <w:rPr>
          <w:i/>
          <w:vertAlign w:val="subscript"/>
        </w:rPr>
        <w:t>q</w:t>
      </w:r>
      <w:r w:rsidR="00FF64D5">
        <w:rPr>
          <w:i/>
          <w:vertAlign w:val="subscript"/>
        </w:rPr>
        <w:t xml:space="preserve"> </w:t>
      </w:r>
      <w:r>
        <w:rPr>
          <w:i/>
          <w:vertAlign w:val="subscript"/>
        </w:rPr>
        <w:t>,i</w:t>
      </w:r>
      <w:r>
        <w:tab/>
        <w:t>=</w:t>
      </w:r>
      <w:r>
        <w:tab/>
        <w:t>Max (0, ((</w:t>
      </w:r>
      <w:r w:rsidR="00F80C33" w:rsidRPr="00F80C33">
        <w:rPr>
          <w:position w:val="-22"/>
        </w:rPr>
        <w:object w:dxaOrig="220" w:dyaOrig="460" w14:anchorId="5413EC1E">
          <v:shape id="_x0000_i1045" type="#_x0000_t75" style="width:9.6pt;height:22.8pt" o:ole="">
            <v:imagedata r:id="rId49" o:title=""/>
          </v:shape>
          <o:OLEObject Type="Embed" ProgID="Equation.3" ShapeID="_x0000_i1045" DrawAspect="Content" ObjectID="_1775281575" r:id="rId50"/>
        </w:object>
      </w:r>
      <w:r>
        <w:t>RTAML</w:t>
      </w:r>
      <w:r w:rsidR="00CC2940">
        <w:t xml:space="preserve"> </w:t>
      </w:r>
      <w:r>
        <w:rPr>
          <w:i/>
          <w:vertAlign w:val="subscript"/>
        </w:rPr>
        <w:t>q,</w:t>
      </w:r>
      <w:r w:rsidR="00FF64D5">
        <w:rPr>
          <w:i/>
          <w:vertAlign w:val="subscript"/>
        </w:rPr>
        <w:t xml:space="preserve"> </w:t>
      </w:r>
      <w:r>
        <w:rPr>
          <w:i/>
          <w:vertAlign w:val="subscript"/>
        </w:rPr>
        <w:t>p,</w:t>
      </w:r>
      <w:r w:rsidR="00FF64D5">
        <w:rPr>
          <w:i/>
          <w:vertAlign w:val="subscript"/>
        </w:rPr>
        <w:t xml:space="preserve"> </w:t>
      </w:r>
      <w:r>
        <w:rPr>
          <w:i/>
          <w:vertAlign w:val="subscript"/>
        </w:rPr>
        <w:t xml:space="preserve">i </w:t>
      </w:r>
      <w:r>
        <w:t>* 4) – RUCCAPSNAP</w:t>
      </w:r>
      <w:r w:rsidR="00CC2940">
        <w:t xml:space="preserve"> </w:t>
      </w:r>
      <w:proofErr w:type="spellStart"/>
      <w:r w:rsidR="00CC2940">
        <w:rPr>
          <w:i/>
          <w:vertAlign w:val="subscript"/>
        </w:rPr>
        <w:t>ruc</w:t>
      </w:r>
      <w:proofErr w:type="spellEnd"/>
      <w:r w:rsidR="00CC2940">
        <w:rPr>
          <w:i/>
          <w:vertAlign w:val="subscript"/>
        </w:rPr>
        <w:t>,</w:t>
      </w:r>
      <w:r w:rsidR="00FF64D5">
        <w:rPr>
          <w:i/>
          <w:vertAlign w:val="subscript"/>
        </w:rPr>
        <w:t xml:space="preserve"> </w:t>
      </w:r>
      <w:r>
        <w:rPr>
          <w:i/>
          <w:vertAlign w:val="subscript"/>
        </w:rPr>
        <w:t>q,</w:t>
      </w:r>
      <w:r w:rsidR="00FF64D5">
        <w:rPr>
          <w:i/>
          <w:vertAlign w:val="subscript"/>
        </w:rPr>
        <w:t xml:space="preserve"> </w:t>
      </w:r>
      <w:r>
        <w:rPr>
          <w:i/>
          <w:vertAlign w:val="subscript"/>
        </w:rPr>
        <w:t>i</w:t>
      </w:r>
      <w:r>
        <w:t>))</w:t>
      </w:r>
    </w:p>
    <w:p w14:paraId="7CE1D01C" w14:textId="77777777" w:rsidR="00F80C33" w:rsidRDefault="00723BFB">
      <w:pPr>
        <w:pStyle w:val="BodyTextNumbered"/>
      </w:pPr>
      <w:r>
        <w:t>(</w:t>
      </w:r>
      <w:r w:rsidR="003D22F1">
        <w:t>9</w:t>
      </w:r>
      <w:r>
        <w:t>)</w:t>
      </w:r>
      <w:r>
        <w:tab/>
        <w:t>The amount of capacity that a QSE had according to the RUC snapshot for a 15-minute Settlement Interval</w:t>
      </w:r>
      <w:r w:rsidR="003D22F1">
        <w:t xml:space="preserve"> is:</w:t>
      </w:r>
    </w:p>
    <w:p w14:paraId="7DF9C152" w14:textId="77777777" w:rsidR="00E2667F" w:rsidRDefault="00723BFB" w:rsidP="00C078A2">
      <w:pPr>
        <w:pStyle w:val="FormulaBold"/>
      </w:pPr>
      <w:r>
        <w:lastRenderedPageBreak/>
        <w:t>RUCCAPSNAP</w:t>
      </w:r>
      <w:r w:rsidR="00CC2940">
        <w:t xml:space="preserve"> </w:t>
      </w:r>
      <w:proofErr w:type="spellStart"/>
      <w:r w:rsidR="00CC2940">
        <w:rPr>
          <w:i/>
          <w:vertAlign w:val="subscript"/>
        </w:rPr>
        <w:t>ruc</w:t>
      </w:r>
      <w:proofErr w:type="spellEnd"/>
      <w:r w:rsidR="00CC2940">
        <w:rPr>
          <w:i/>
          <w:vertAlign w:val="subscript"/>
        </w:rPr>
        <w:t>,</w:t>
      </w:r>
      <w:r w:rsidR="00FF64D5">
        <w:rPr>
          <w:i/>
          <w:vertAlign w:val="subscript"/>
          <w:lang w:val="en-US"/>
        </w:rPr>
        <w:t xml:space="preserve"> </w:t>
      </w:r>
      <w:r>
        <w:rPr>
          <w:i/>
          <w:vertAlign w:val="subscript"/>
        </w:rPr>
        <w:t>q,</w:t>
      </w:r>
      <w:r w:rsidR="00FF64D5">
        <w:rPr>
          <w:i/>
          <w:vertAlign w:val="subscript"/>
          <w:lang w:val="en-US"/>
        </w:rPr>
        <w:t xml:space="preserve"> </w:t>
      </w:r>
      <w:r>
        <w:rPr>
          <w:i/>
          <w:vertAlign w:val="subscript"/>
        </w:rPr>
        <w:t>i</w:t>
      </w:r>
      <w:r>
        <w:t xml:space="preserve"> =</w:t>
      </w:r>
      <w:r>
        <w:tab/>
      </w:r>
      <w:r w:rsidR="00F80C33" w:rsidRPr="00F80C33">
        <w:rPr>
          <w:position w:val="-18"/>
        </w:rPr>
        <w:object w:dxaOrig="220" w:dyaOrig="420" w14:anchorId="52A82E56">
          <v:shape id="_x0000_i1046" type="#_x0000_t75" style="width:9.6pt;height:21pt" o:ole="">
            <v:imagedata r:id="rId51" o:title=""/>
          </v:shape>
          <o:OLEObject Type="Embed" ProgID="Equation.3" ShapeID="_x0000_i1046" DrawAspect="Content" ObjectID="_1775281576" r:id="rId52"/>
        </w:object>
      </w:r>
      <w:r>
        <w:t>HASLSNAP</w:t>
      </w:r>
      <w:r w:rsidR="00FF64D5">
        <w:rPr>
          <w:lang w:val="en-US"/>
        </w:rPr>
        <w:t xml:space="preserve"> </w:t>
      </w:r>
      <w:r>
        <w:rPr>
          <w:i/>
          <w:vertAlign w:val="subscript"/>
        </w:rPr>
        <w:t>q,</w:t>
      </w:r>
      <w:r w:rsidR="00FF64D5">
        <w:rPr>
          <w:i/>
          <w:vertAlign w:val="subscript"/>
          <w:lang w:val="en-US"/>
        </w:rPr>
        <w:t xml:space="preserve"> </w:t>
      </w:r>
      <w:r>
        <w:rPr>
          <w:i/>
          <w:vertAlign w:val="subscript"/>
        </w:rPr>
        <w:t>r,</w:t>
      </w:r>
      <w:r w:rsidR="00FF64D5">
        <w:rPr>
          <w:i/>
          <w:vertAlign w:val="subscript"/>
          <w:lang w:val="en-US"/>
        </w:rPr>
        <w:t xml:space="preserve"> </w:t>
      </w:r>
      <w:r>
        <w:rPr>
          <w:i/>
          <w:vertAlign w:val="subscript"/>
        </w:rPr>
        <w:t>h</w:t>
      </w:r>
      <w:r>
        <w:t xml:space="preserve"> + (RUCCPSNAP</w:t>
      </w:r>
      <w:r w:rsidR="00FF64D5">
        <w:rPr>
          <w:lang w:val="en-US"/>
        </w:rPr>
        <w:t xml:space="preserve"> </w:t>
      </w:r>
      <w:r>
        <w:rPr>
          <w:i/>
          <w:vertAlign w:val="subscript"/>
        </w:rPr>
        <w:t>q,</w:t>
      </w:r>
      <w:r w:rsidR="00FF64D5">
        <w:rPr>
          <w:i/>
          <w:vertAlign w:val="subscript"/>
          <w:lang w:val="en-US"/>
        </w:rPr>
        <w:t xml:space="preserve"> </w:t>
      </w:r>
      <w:r>
        <w:rPr>
          <w:i/>
          <w:vertAlign w:val="subscript"/>
        </w:rPr>
        <w:t>h</w:t>
      </w:r>
      <w:r>
        <w:t xml:space="preserve"> –</w:t>
      </w:r>
      <w:r w:rsidR="002944A8">
        <w:t xml:space="preserve"> </w:t>
      </w:r>
      <w:r>
        <w:t>RUCCSSNAP</w:t>
      </w:r>
      <w:r w:rsidR="00FF64D5">
        <w:rPr>
          <w:lang w:val="en-US"/>
        </w:rPr>
        <w:t xml:space="preserve"> </w:t>
      </w:r>
      <w:r>
        <w:rPr>
          <w:i/>
          <w:vertAlign w:val="subscript"/>
        </w:rPr>
        <w:t>q,</w:t>
      </w:r>
      <w:r w:rsidR="00FF64D5">
        <w:rPr>
          <w:i/>
          <w:vertAlign w:val="subscript"/>
          <w:lang w:val="en-US"/>
        </w:rPr>
        <w:t xml:space="preserve"> </w:t>
      </w:r>
      <w:r>
        <w:rPr>
          <w:i/>
          <w:vertAlign w:val="subscript"/>
        </w:rPr>
        <w:t>h</w:t>
      </w:r>
      <w:r>
        <w:t>) + (</w:t>
      </w:r>
      <w:r w:rsidR="00F80C33" w:rsidRPr="00F80C33">
        <w:rPr>
          <w:position w:val="-22"/>
        </w:rPr>
        <w:object w:dxaOrig="220" w:dyaOrig="460" w14:anchorId="1906824B">
          <v:shape id="_x0000_i1047" type="#_x0000_t75" style="width:9.6pt;height:22.8pt" o:ole="">
            <v:imagedata r:id="rId53" o:title=""/>
          </v:shape>
          <o:OLEObject Type="Embed" ProgID="Equation.3" ShapeID="_x0000_i1047" DrawAspect="Content" ObjectID="_1775281577" r:id="rId54"/>
        </w:object>
      </w:r>
      <w:r>
        <w:t>DAEP</w:t>
      </w:r>
      <w:r w:rsidR="00FF64D5">
        <w:rPr>
          <w:lang w:val="en-US"/>
        </w:rPr>
        <w:t xml:space="preserve"> </w:t>
      </w:r>
      <w:r>
        <w:rPr>
          <w:i/>
          <w:vertAlign w:val="subscript"/>
        </w:rPr>
        <w:t>q,</w:t>
      </w:r>
      <w:r w:rsidR="00FF64D5">
        <w:rPr>
          <w:i/>
          <w:vertAlign w:val="subscript"/>
          <w:lang w:val="en-US"/>
        </w:rPr>
        <w:t xml:space="preserve"> </w:t>
      </w:r>
      <w:r>
        <w:rPr>
          <w:i/>
          <w:vertAlign w:val="subscript"/>
        </w:rPr>
        <w:t>p,</w:t>
      </w:r>
      <w:r w:rsidR="00FF64D5">
        <w:rPr>
          <w:i/>
          <w:vertAlign w:val="subscript"/>
          <w:lang w:val="en-US"/>
        </w:rPr>
        <w:t xml:space="preserve"> </w:t>
      </w:r>
      <w:r>
        <w:rPr>
          <w:i/>
          <w:vertAlign w:val="subscript"/>
        </w:rPr>
        <w:t>h</w:t>
      </w:r>
      <w:r>
        <w:t xml:space="preserve"> –</w:t>
      </w:r>
      <w:r w:rsidR="00F80C33" w:rsidRPr="00F80C33">
        <w:rPr>
          <w:position w:val="-22"/>
        </w:rPr>
        <w:object w:dxaOrig="220" w:dyaOrig="460" w14:anchorId="29C1440D">
          <v:shape id="_x0000_i1048" type="#_x0000_t75" style="width:9.6pt;height:22.8pt" o:ole="">
            <v:imagedata r:id="rId55" o:title=""/>
          </v:shape>
          <o:OLEObject Type="Embed" ProgID="Equation.3" ShapeID="_x0000_i1048" DrawAspect="Content" ObjectID="_1775281578" r:id="rId56"/>
        </w:object>
      </w:r>
      <w:r>
        <w:t>DAES</w:t>
      </w:r>
      <w:r w:rsidR="00FF64D5">
        <w:rPr>
          <w:lang w:val="en-US"/>
        </w:rPr>
        <w:t xml:space="preserve"> </w:t>
      </w:r>
      <w:r>
        <w:rPr>
          <w:i/>
          <w:vertAlign w:val="subscript"/>
        </w:rPr>
        <w:t>q,</w:t>
      </w:r>
      <w:r w:rsidR="00FF64D5">
        <w:rPr>
          <w:i/>
          <w:vertAlign w:val="subscript"/>
          <w:lang w:val="en-US"/>
        </w:rPr>
        <w:t xml:space="preserve"> </w:t>
      </w:r>
      <w:r>
        <w:rPr>
          <w:i/>
          <w:vertAlign w:val="subscript"/>
        </w:rPr>
        <w:t>p,</w:t>
      </w:r>
      <w:r w:rsidR="00FF64D5">
        <w:rPr>
          <w:i/>
          <w:vertAlign w:val="subscript"/>
          <w:lang w:val="en-US"/>
        </w:rPr>
        <w:t xml:space="preserve"> </w:t>
      </w:r>
      <w:r>
        <w:rPr>
          <w:i/>
          <w:vertAlign w:val="subscript"/>
        </w:rPr>
        <w:t>h</w:t>
      </w:r>
      <w:r>
        <w:t>) + (</w:t>
      </w:r>
      <w:r w:rsidR="00F80C33" w:rsidRPr="00F80C33">
        <w:rPr>
          <w:position w:val="-22"/>
        </w:rPr>
        <w:object w:dxaOrig="220" w:dyaOrig="460" w14:anchorId="765C612A">
          <v:shape id="_x0000_i1049" type="#_x0000_t75" style="width:9.6pt;height:22.8pt" o:ole="">
            <v:imagedata r:id="rId57" o:title=""/>
          </v:shape>
          <o:OLEObject Type="Embed" ProgID="Equation.3" ShapeID="_x0000_i1049" DrawAspect="Content" ObjectID="_1775281579" r:id="rId58"/>
        </w:object>
      </w:r>
      <w:r>
        <w:t>RTQQEPSNAP</w:t>
      </w:r>
      <w:r w:rsidR="00FF64D5">
        <w:rPr>
          <w:lang w:val="en-US"/>
        </w:rPr>
        <w:t xml:space="preserve"> </w:t>
      </w:r>
      <w:r>
        <w:rPr>
          <w:i/>
          <w:vertAlign w:val="subscript"/>
        </w:rPr>
        <w:t>q,</w:t>
      </w:r>
      <w:r w:rsidR="00FF64D5">
        <w:rPr>
          <w:i/>
          <w:vertAlign w:val="subscript"/>
          <w:lang w:val="en-US"/>
        </w:rPr>
        <w:t xml:space="preserve"> </w:t>
      </w:r>
      <w:r>
        <w:rPr>
          <w:i/>
          <w:vertAlign w:val="subscript"/>
        </w:rPr>
        <w:t>p,</w:t>
      </w:r>
      <w:r w:rsidR="00FF64D5">
        <w:rPr>
          <w:i/>
          <w:vertAlign w:val="subscript"/>
          <w:lang w:val="en-US"/>
        </w:rPr>
        <w:t xml:space="preserve"> </w:t>
      </w:r>
      <w:r>
        <w:rPr>
          <w:i/>
          <w:vertAlign w:val="subscript"/>
        </w:rPr>
        <w:t>i</w:t>
      </w:r>
      <w:r>
        <w:t xml:space="preserve"> – </w:t>
      </w:r>
      <w:r w:rsidR="00F80C33" w:rsidRPr="00F80C33">
        <w:rPr>
          <w:position w:val="-22"/>
        </w:rPr>
        <w:object w:dxaOrig="220" w:dyaOrig="460" w14:anchorId="51087C2C">
          <v:shape id="_x0000_i1050" type="#_x0000_t75" style="width:9.6pt;height:22.8pt" o:ole="">
            <v:imagedata r:id="rId59" o:title=""/>
          </v:shape>
          <o:OLEObject Type="Embed" ProgID="Equation.3" ShapeID="_x0000_i1050" DrawAspect="Content" ObjectID="_1775281580" r:id="rId60"/>
        </w:object>
      </w:r>
      <w:r>
        <w:t>RTQQESSNAP</w:t>
      </w:r>
      <w:r w:rsidR="00FF64D5">
        <w:rPr>
          <w:lang w:val="en-US"/>
        </w:rPr>
        <w:t xml:space="preserve"> </w:t>
      </w:r>
      <w:r>
        <w:rPr>
          <w:i/>
          <w:vertAlign w:val="subscript"/>
        </w:rPr>
        <w:t>q,</w:t>
      </w:r>
      <w:r w:rsidR="00FF64D5">
        <w:rPr>
          <w:i/>
          <w:vertAlign w:val="subscript"/>
          <w:lang w:val="en-US"/>
        </w:rPr>
        <w:t xml:space="preserve"> </w:t>
      </w:r>
      <w:r>
        <w:rPr>
          <w:i/>
          <w:vertAlign w:val="subscript"/>
        </w:rPr>
        <w:t>p,</w:t>
      </w:r>
      <w:r w:rsidR="00FF64D5">
        <w:rPr>
          <w:i/>
          <w:vertAlign w:val="subscript"/>
          <w:lang w:val="en-US"/>
        </w:rPr>
        <w:t xml:space="preserve"> </w:t>
      </w:r>
      <w:r>
        <w:rPr>
          <w:i/>
          <w:vertAlign w:val="subscript"/>
        </w:rPr>
        <w:t>i</w:t>
      </w:r>
      <w:r>
        <w:t xml:space="preserve">) + </w:t>
      </w:r>
      <w:r>
        <w:rPr>
          <w:position w:val="-22"/>
        </w:rPr>
        <w:t xml:space="preserve"> </w:t>
      </w:r>
      <w:r w:rsidR="00F80C33" w:rsidRPr="00F80C33">
        <w:rPr>
          <w:position w:val="-22"/>
        </w:rPr>
        <w:object w:dxaOrig="220" w:dyaOrig="460" w14:anchorId="4D907DD3">
          <v:shape id="_x0000_i1051" type="#_x0000_t75" style="width:7.8pt;height:22.8pt" o:ole="">
            <v:imagedata r:id="rId53" o:title=""/>
          </v:shape>
          <o:OLEObject Type="Embed" ProgID="Equation.3" ShapeID="_x0000_i1051" DrawAspect="Content" ObjectID="_1775281581" r:id="rId61"/>
        </w:object>
      </w:r>
      <w:r>
        <w:rPr>
          <w:position w:val="-22"/>
        </w:rPr>
        <w:t xml:space="preserve"> </w:t>
      </w:r>
      <w:r>
        <w:t xml:space="preserve">DCIMPSNAP </w:t>
      </w:r>
      <w:r>
        <w:rPr>
          <w:i/>
          <w:vertAlign w:val="subscript"/>
        </w:rPr>
        <w:t>q, p, i</w:t>
      </w:r>
    </w:p>
    <w:p w14:paraId="717A706E" w14:textId="77777777" w:rsidR="00F80C33" w:rsidRDefault="00723BFB">
      <w:pPr>
        <w:pStyle w:val="BodyTextNumbered"/>
      </w:pPr>
      <w:r>
        <w:t>(</w:t>
      </w:r>
      <w:r w:rsidR="003D22F1">
        <w:t>10</w:t>
      </w:r>
      <w:r>
        <w:t>)</w:t>
      </w:r>
      <w:r>
        <w:tab/>
        <w:t>The RUC Shortfall in MW for one QSE for one 15-minute Settlement Interval, as measured at Real</w:t>
      </w:r>
      <w:r w:rsidR="003D22F1">
        <w:t>-</w:t>
      </w:r>
      <w:r>
        <w:t xml:space="preserve">Time, </w:t>
      </w:r>
      <w:r w:rsidR="00CC2940" w:rsidRPr="002944A8">
        <w:t xml:space="preserve">but including capacity from </w:t>
      </w:r>
      <w:r w:rsidR="00A90740">
        <w:t>IRRs</w:t>
      </w:r>
      <w:r w:rsidR="00CC2940" w:rsidRPr="002944A8">
        <w:t xml:space="preserve"> as seen in the RUC snapshot,</w:t>
      </w:r>
      <w:r w:rsidR="00CC2940">
        <w:t xml:space="preserve"> </w:t>
      </w:r>
      <w:r>
        <w:t>is:</w:t>
      </w:r>
    </w:p>
    <w:p w14:paraId="01381FBB" w14:textId="6DED37C6" w:rsidR="00F80C33" w:rsidRDefault="00723BFB" w:rsidP="00C078A2">
      <w:pPr>
        <w:pStyle w:val="FormulaBold"/>
      </w:pPr>
      <w:r>
        <w:t>RUCSFADJ</w:t>
      </w:r>
      <w:r w:rsidR="00CC2940">
        <w:t xml:space="preserve"> </w:t>
      </w:r>
      <w:r w:rsidR="00CC2940">
        <w:rPr>
          <w:i/>
          <w:vertAlign w:val="subscript"/>
        </w:rPr>
        <w:t>ruc,</w:t>
      </w:r>
      <w:r w:rsidR="00FF64D5">
        <w:rPr>
          <w:i/>
          <w:vertAlign w:val="subscript"/>
        </w:rPr>
        <w:t xml:space="preserve"> </w:t>
      </w:r>
      <w:r>
        <w:rPr>
          <w:i/>
          <w:vertAlign w:val="subscript"/>
        </w:rPr>
        <w:t>q,</w:t>
      </w:r>
      <w:r w:rsidR="00FF64D5">
        <w:rPr>
          <w:i/>
          <w:vertAlign w:val="subscript"/>
        </w:rPr>
        <w:t xml:space="preserve"> </w:t>
      </w:r>
      <w:r>
        <w:rPr>
          <w:i/>
          <w:vertAlign w:val="subscript"/>
        </w:rPr>
        <w:t>i</w:t>
      </w:r>
      <w:r>
        <w:tab/>
        <w:t>=</w:t>
      </w:r>
      <w:r>
        <w:tab/>
        <w:t>Max (0, ((</w:t>
      </w:r>
      <w:r w:rsidR="00F80C33" w:rsidRPr="00F80C33">
        <w:rPr>
          <w:position w:val="-22"/>
        </w:rPr>
        <w:object w:dxaOrig="220" w:dyaOrig="460" w14:anchorId="3B37D953">
          <v:shape id="_x0000_i1052" type="#_x0000_t75" style="width:9.6pt;height:22.8pt" o:ole="">
            <v:imagedata r:id="rId49" o:title=""/>
          </v:shape>
          <o:OLEObject Type="Embed" ProgID="Equation.3" ShapeID="_x0000_i1052" DrawAspect="Content" ObjectID="_1775281582" r:id="rId62"/>
        </w:object>
      </w:r>
      <w:r>
        <w:t>RTAML</w:t>
      </w:r>
      <w:r w:rsidR="00FF64D5">
        <w:t xml:space="preserve"> </w:t>
      </w:r>
      <w:r>
        <w:rPr>
          <w:i/>
          <w:vertAlign w:val="subscript"/>
        </w:rPr>
        <w:t>q,</w:t>
      </w:r>
      <w:r w:rsidR="00FF64D5">
        <w:rPr>
          <w:i/>
          <w:vertAlign w:val="subscript"/>
        </w:rPr>
        <w:t xml:space="preserve"> </w:t>
      </w:r>
      <w:r>
        <w:rPr>
          <w:i/>
          <w:vertAlign w:val="subscript"/>
        </w:rPr>
        <w:t>p,</w:t>
      </w:r>
      <w:r w:rsidR="00FF64D5">
        <w:rPr>
          <w:i/>
          <w:vertAlign w:val="subscript"/>
        </w:rPr>
        <w:t xml:space="preserve"> </w:t>
      </w:r>
      <w:r>
        <w:rPr>
          <w:i/>
          <w:vertAlign w:val="subscript"/>
        </w:rPr>
        <w:t>i</w:t>
      </w:r>
      <w:r>
        <w:t xml:space="preserve">) *4) – </w:t>
      </w:r>
      <w:r w:rsidR="00CC2940">
        <w:t>(</w:t>
      </w:r>
      <w:r w:rsidR="001A6C1F" w:rsidRPr="003D2259">
        <w:rPr>
          <w:position w:val="-22"/>
        </w:rPr>
        <w:object w:dxaOrig="780" w:dyaOrig="460" w14:anchorId="553588B8">
          <v:shape id="_x0000_i1053" type="#_x0000_t75" style="width:37.8pt;height:22.8pt" o:ole="">
            <v:imagedata r:id="rId63" o:title=""/>
          </v:shape>
          <o:OLEObject Type="Embed" ProgID="Equation.3" ShapeID="_x0000_i1053" DrawAspect="Content" ObjectID="_1775281583" r:id="rId64"/>
        </w:object>
      </w:r>
      <w:r w:rsidR="00CC2940">
        <w:t>HASLSNAP</w:t>
      </w:r>
      <w:r w:rsidR="00CC2940" w:rsidRPr="007B55D6">
        <w:rPr>
          <w:i/>
          <w:vertAlign w:val="subscript"/>
        </w:rPr>
        <w:t xml:space="preserve"> </w:t>
      </w:r>
      <w:proofErr w:type="spellStart"/>
      <w:r w:rsidR="00CC2940" w:rsidRPr="007B55D6">
        <w:rPr>
          <w:i/>
          <w:vertAlign w:val="subscript"/>
        </w:rPr>
        <w:t>ruc</w:t>
      </w:r>
      <w:proofErr w:type="spellEnd"/>
      <w:r w:rsidR="00CC2940">
        <w:rPr>
          <w:i/>
          <w:vertAlign w:val="subscript"/>
        </w:rPr>
        <w:t>, q, r, h</w:t>
      </w:r>
      <w:r w:rsidR="00CC2940">
        <w:t xml:space="preserve"> + </w:t>
      </w:r>
      <w:r>
        <w:t>RUCCAPADJ</w:t>
      </w:r>
      <w:r w:rsidR="00FF64D5">
        <w:t xml:space="preserve"> </w:t>
      </w:r>
      <w:r>
        <w:rPr>
          <w:i/>
          <w:vertAlign w:val="subscript"/>
        </w:rPr>
        <w:t>q,</w:t>
      </w:r>
      <w:r w:rsidR="00FF64D5">
        <w:rPr>
          <w:i/>
          <w:vertAlign w:val="subscript"/>
        </w:rPr>
        <w:t xml:space="preserve"> </w:t>
      </w:r>
      <w:r>
        <w:rPr>
          <w:i/>
          <w:vertAlign w:val="subscript"/>
        </w:rPr>
        <w:t>i</w:t>
      </w:r>
      <w:r>
        <w:t>)</w:t>
      </w:r>
      <w:r w:rsidR="00CC2940">
        <w:t>)</w:t>
      </w:r>
    </w:p>
    <w:p w14:paraId="6125EE79" w14:textId="77777777" w:rsidR="00F80C33" w:rsidRDefault="00723BFB">
      <w:pPr>
        <w:pStyle w:val="BodyTextNumbered"/>
      </w:pPr>
      <w:r>
        <w:t>(1</w:t>
      </w:r>
      <w:r w:rsidR="003D22F1">
        <w:t>1</w:t>
      </w:r>
      <w:r>
        <w:t>)</w:t>
      </w:r>
      <w:r>
        <w:tab/>
        <w:t>The amount of capacity that a QSE had in Real</w:t>
      </w:r>
      <w:r w:rsidR="003D22F1">
        <w:t>-</w:t>
      </w:r>
      <w:r>
        <w:t>Time for a 15-minute Settlement Interval</w:t>
      </w:r>
      <w:r w:rsidR="00CC2940">
        <w:t xml:space="preserve">, excluding capacity from </w:t>
      </w:r>
      <w:r w:rsidR="00A90740">
        <w:t>IRRs</w:t>
      </w:r>
      <w:r w:rsidR="00CC2940">
        <w:t>, is:</w:t>
      </w:r>
    </w:p>
    <w:p w14:paraId="073A71E0" w14:textId="77777777" w:rsidR="003D22F1" w:rsidRDefault="00723BFB" w:rsidP="00C078A2">
      <w:pPr>
        <w:pStyle w:val="FormulaBold"/>
      </w:pPr>
      <w:r>
        <w:t>RUCCAPADJ</w:t>
      </w:r>
      <w:r w:rsidR="00FF64D5">
        <w:rPr>
          <w:lang w:val="en-US"/>
        </w:rPr>
        <w:t xml:space="preserve"> </w:t>
      </w:r>
      <w:r>
        <w:rPr>
          <w:i/>
          <w:vertAlign w:val="subscript"/>
        </w:rPr>
        <w:t>q,</w:t>
      </w:r>
      <w:r w:rsidR="00FF64D5">
        <w:rPr>
          <w:i/>
          <w:vertAlign w:val="subscript"/>
          <w:lang w:val="en-US"/>
        </w:rPr>
        <w:t xml:space="preserve"> </w:t>
      </w:r>
      <w:r>
        <w:rPr>
          <w:i/>
          <w:vertAlign w:val="subscript"/>
        </w:rPr>
        <w:t>i</w:t>
      </w:r>
      <w:r>
        <w:t xml:space="preserve"> =</w:t>
      </w:r>
      <w:r>
        <w:tab/>
      </w:r>
      <w:r w:rsidR="00F80C33" w:rsidRPr="00F80C33">
        <w:rPr>
          <w:position w:val="-18"/>
        </w:rPr>
        <w:object w:dxaOrig="220" w:dyaOrig="420" w14:anchorId="01CAECF7">
          <v:shape id="_x0000_i1054" type="#_x0000_t75" style="width:9.6pt;height:21pt" o:ole="">
            <v:imagedata r:id="rId65" o:title=""/>
          </v:shape>
          <o:OLEObject Type="Embed" ProgID="Equation.3" ShapeID="_x0000_i1054" DrawAspect="Content" ObjectID="_1775281584" r:id="rId66"/>
        </w:object>
      </w:r>
      <w:r>
        <w:t>HASLADJ</w:t>
      </w:r>
      <w:r w:rsidR="00FF64D5">
        <w:rPr>
          <w:lang w:val="en-US"/>
        </w:rPr>
        <w:t xml:space="preserve"> </w:t>
      </w:r>
      <w:r>
        <w:rPr>
          <w:i/>
          <w:vertAlign w:val="subscript"/>
        </w:rPr>
        <w:t>q,</w:t>
      </w:r>
      <w:r w:rsidR="00FF64D5">
        <w:rPr>
          <w:i/>
          <w:vertAlign w:val="subscript"/>
          <w:lang w:val="en-US"/>
        </w:rPr>
        <w:t xml:space="preserve"> </w:t>
      </w:r>
      <w:r>
        <w:rPr>
          <w:i/>
          <w:vertAlign w:val="subscript"/>
        </w:rPr>
        <w:t>r,</w:t>
      </w:r>
      <w:r w:rsidR="00FF64D5">
        <w:rPr>
          <w:i/>
          <w:vertAlign w:val="subscript"/>
          <w:lang w:val="en-US"/>
        </w:rPr>
        <w:t xml:space="preserve"> </w:t>
      </w:r>
      <w:r>
        <w:rPr>
          <w:i/>
          <w:vertAlign w:val="subscript"/>
        </w:rPr>
        <w:t>h</w:t>
      </w:r>
      <w:r>
        <w:t xml:space="preserve"> + (RUCCPADJ</w:t>
      </w:r>
      <w:r w:rsidR="00FF64D5">
        <w:rPr>
          <w:lang w:val="en-US"/>
        </w:rPr>
        <w:t xml:space="preserve"> </w:t>
      </w:r>
      <w:r>
        <w:rPr>
          <w:i/>
          <w:vertAlign w:val="subscript"/>
        </w:rPr>
        <w:t>q,</w:t>
      </w:r>
      <w:r w:rsidR="00FF64D5">
        <w:rPr>
          <w:i/>
          <w:vertAlign w:val="subscript"/>
          <w:lang w:val="en-US"/>
        </w:rPr>
        <w:t xml:space="preserve"> </w:t>
      </w:r>
      <w:r>
        <w:rPr>
          <w:i/>
          <w:vertAlign w:val="subscript"/>
        </w:rPr>
        <w:t>h</w:t>
      </w:r>
      <w:r>
        <w:t xml:space="preserve"> – RUCCSADJ</w:t>
      </w:r>
      <w:r w:rsidR="00FF64D5">
        <w:rPr>
          <w:lang w:val="en-US"/>
        </w:rPr>
        <w:t xml:space="preserve"> </w:t>
      </w:r>
      <w:r>
        <w:rPr>
          <w:i/>
          <w:vertAlign w:val="subscript"/>
        </w:rPr>
        <w:t>q,</w:t>
      </w:r>
      <w:r w:rsidR="00FF64D5">
        <w:rPr>
          <w:i/>
          <w:vertAlign w:val="subscript"/>
          <w:lang w:val="en-US"/>
        </w:rPr>
        <w:t xml:space="preserve"> </w:t>
      </w:r>
      <w:r>
        <w:rPr>
          <w:i/>
          <w:vertAlign w:val="subscript"/>
        </w:rPr>
        <w:t>h</w:t>
      </w:r>
      <w:r>
        <w:t>) + (</w:t>
      </w:r>
      <w:r w:rsidR="00F80C33" w:rsidRPr="00F80C33">
        <w:rPr>
          <w:position w:val="-22"/>
        </w:rPr>
        <w:object w:dxaOrig="220" w:dyaOrig="460" w14:anchorId="60F16558">
          <v:shape id="_x0000_i1055" type="#_x0000_t75" style="width:7.8pt;height:22.8pt" o:ole="">
            <v:imagedata r:id="rId53" o:title=""/>
          </v:shape>
          <o:OLEObject Type="Embed" ProgID="Equation.3" ShapeID="_x0000_i1055" DrawAspect="Content" ObjectID="_1775281585" r:id="rId67"/>
        </w:object>
      </w:r>
      <w:r>
        <w:t>DAEP</w:t>
      </w:r>
      <w:r w:rsidR="00FF64D5">
        <w:rPr>
          <w:lang w:val="en-US"/>
        </w:rPr>
        <w:t xml:space="preserve"> </w:t>
      </w:r>
      <w:r>
        <w:rPr>
          <w:i/>
          <w:vertAlign w:val="subscript"/>
        </w:rPr>
        <w:t>q,</w:t>
      </w:r>
      <w:r w:rsidR="00FF64D5">
        <w:rPr>
          <w:i/>
          <w:vertAlign w:val="subscript"/>
          <w:lang w:val="en-US"/>
        </w:rPr>
        <w:t xml:space="preserve"> </w:t>
      </w:r>
      <w:r>
        <w:rPr>
          <w:i/>
          <w:vertAlign w:val="subscript"/>
        </w:rPr>
        <w:t>p,</w:t>
      </w:r>
      <w:r w:rsidR="00FF64D5">
        <w:rPr>
          <w:i/>
          <w:vertAlign w:val="subscript"/>
          <w:lang w:val="en-US"/>
        </w:rPr>
        <w:t xml:space="preserve"> </w:t>
      </w:r>
      <w:r>
        <w:rPr>
          <w:i/>
          <w:vertAlign w:val="subscript"/>
        </w:rPr>
        <w:t>h</w:t>
      </w:r>
      <w:r>
        <w:t xml:space="preserve"> – </w:t>
      </w:r>
      <w:r w:rsidR="00F80C33" w:rsidRPr="00F80C33">
        <w:rPr>
          <w:position w:val="-22"/>
        </w:rPr>
        <w:object w:dxaOrig="220" w:dyaOrig="460" w14:anchorId="27C9C1DB">
          <v:shape id="_x0000_i1056" type="#_x0000_t75" style="width:9.6pt;height:22.8pt" o:ole="">
            <v:imagedata r:id="rId55" o:title=""/>
          </v:shape>
          <o:OLEObject Type="Embed" ProgID="Equation.3" ShapeID="_x0000_i1056" DrawAspect="Content" ObjectID="_1775281586" r:id="rId68"/>
        </w:object>
      </w:r>
      <w:r>
        <w:t>DAES</w:t>
      </w:r>
      <w:r w:rsidR="00FF64D5">
        <w:rPr>
          <w:lang w:val="en-US"/>
        </w:rPr>
        <w:t xml:space="preserve"> </w:t>
      </w:r>
      <w:r>
        <w:rPr>
          <w:i/>
          <w:vertAlign w:val="subscript"/>
        </w:rPr>
        <w:t>q,</w:t>
      </w:r>
      <w:r w:rsidR="00FF64D5">
        <w:rPr>
          <w:i/>
          <w:vertAlign w:val="subscript"/>
          <w:lang w:val="en-US"/>
        </w:rPr>
        <w:t xml:space="preserve"> </w:t>
      </w:r>
      <w:r>
        <w:rPr>
          <w:i/>
          <w:vertAlign w:val="subscript"/>
        </w:rPr>
        <w:t>p,</w:t>
      </w:r>
      <w:r w:rsidR="00FF64D5">
        <w:rPr>
          <w:i/>
          <w:vertAlign w:val="subscript"/>
          <w:lang w:val="en-US"/>
        </w:rPr>
        <w:t xml:space="preserve"> </w:t>
      </w:r>
      <w:r>
        <w:rPr>
          <w:i/>
          <w:vertAlign w:val="subscript"/>
        </w:rPr>
        <w:t>h</w:t>
      </w:r>
      <w:r>
        <w:t>) + (</w:t>
      </w:r>
      <w:r w:rsidR="00F80C33" w:rsidRPr="00F80C33">
        <w:rPr>
          <w:position w:val="-22"/>
        </w:rPr>
        <w:object w:dxaOrig="220" w:dyaOrig="460" w14:anchorId="021EB3B9">
          <v:shape id="_x0000_i1057" type="#_x0000_t75" style="width:9.6pt;height:22.8pt" o:ole="">
            <v:imagedata r:id="rId53" o:title=""/>
          </v:shape>
          <o:OLEObject Type="Embed" ProgID="Equation.3" ShapeID="_x0000_i1057" DrawAspect="Content" ObjectID="_1775281587" r:id="rId69"/>
        </w:object>
      </w:r>
      <w:r>
        <w:t>RTQQEPADJ</w:t>
      </w:r>
      <w:r w:rsidR="00FF64D5">
        <w:rPr>
          <w:lang w:val="en-US"/>
        </w:rPr>
        <w:t xml:space="preserve"> </w:t>
      </w:r>
      <w:r>
        <w:rPr>
          <w:i/>
          <w:vertAlign w:val="subscript"/>
        </w:rPr>
        <w:t>q,</w:t>
      </w:r>
      <w:r w:rsidR="00FF64D5">
        <w:rPr>
          <w:i/>
          <w:vertAlign w:val="subscript"/>
          <w:lang w:val="en-US"/>
        </w:rPr>
        <w:t xml:space="preserve"> </w:t>
      </w:r>
      <w:r>
        <w:rPr>
          <w:i/>
          <w:vertAlign w:val="subscript"/>
        </w:rPr>
        <w:t>p,</w:t>
      </w:r>
      <w:r w:rsidR="00FF64D5">
        <w:rPr>
          <w:i/>
          <w:vertAlign w:val="subscript"/>
          <w:lang w:val="en-US"/>
        </w:rPr>
        <w:t xml:space="preserve"> </w:t>
      </w:r>
      <w:r>
        <w:rPr>
          <w:i/>
          <w:vertAlign w:val="subscript"/>
        </w:rPr>
        <w:t>i</w:t>
      </w:r>
      <w:r w:rsidR="00237270">
        <w:t xml:space="preserve"> </w:t>
      </w:r>
      <w:r>
        <w:t xml:space="preserve">– </w:t>
      </w:r>
      <w:r w:rsidR="00F80C33" w:rsidRPr="00F80C33">
        <w:rPr>
          <w:position w:val="-22"/>
        </w:rPr>
        <w:object w:dxaOrig="220" w:dyaOrig="460" w14:anchorId="6EE1666B">
          <v:shape id="_x0000_i1058" type="#_x0000_t75" style="width:9.6pt;height:22.8pt" o:ole="">
            <v:imagedata r:id="rId53" o:title=""/>
          </v:shape>
          <o:OLEObject Type="Embed" ProgID="Equation.3" ShapeID="_x0000_i1058" DrawAspect="Content" ObjectID="_1775281588" r:id="rId70"/>
        </w:object>
      </w:r>
      <w:r>
        <w:t>RTQQESADJ</w:t>
      </w:r>
      <w:r w:rsidR="00FF64D5">
        <w:rPr>
          <w:lang w:val="en-US"/>
        </w:rPr>
        <w:t xml:space="preserve"> </w:t>
      </w:r>
      <w:r>
        <w:rPr>
          <w:i/>
          <w:vertAlign w:val="subscript"/>
        </w:rPr>
        <w:t>q,</w:t>
      </w:r>
      <w:r w:rsidR="00FF64D5">
        <w:rPr>
          <w:i/>
          <w:vertAlign w:val="subscript"/>
          <w:lang w:val="en-US"/>
        </w:rPr>
        <w:t xml:space="preserve"> </w:t>
      </w:r>
      <w:r>
        <w:rPr>
          <w:i/>
          <w:vertAlign w:val="subscript"/>
        </w:rPr>
        <w:t>p,</w:t>
      </w:r>
      <w:r w:rsidR="00FF64D5">
        <w:rPr>
          <w:i/>
          <w:vertAlign w:val="subscript"/>
          <w:lang w:val="en-US"/>
        </w:rPr>
        <w:t xml:space="preserve"> </w:t>
      </w:r>
      <w:r>
        <w:rPr>
          <w:i/>
          <w:vertAlign w:val="subscript"/>
        </w:rPr>
        <w:t>i</w:t>
      </w:r>
      <w:r>
        <w:t xml:space="preserve">) + </w:t>
      </w:r>
      <w:r w:rsidR="00F80C33" w:rsidRPr="00F80C33">
        <w:rPr>
          <w:position w:val="-22"/>
        </w:rPr>
        <w:object w:dxaOrig="220" w:dyaOrig="460" w14:anchorId="58230923">
          <v:shape id="_x0000_i1059" type="#_x0000_t75" style="width:7.8pt;height:22.8pt" o:ole="">
            <v:imagedata r:id="rId53" o:title=""/>
          </v:shape>
          <o:OLEObject Type="Embed" ProgID="Equation.3" ShapeID="_x0000_i1059" DrawAspect="Content" ObjectID="_1775281589" r:id="rId71"/>
        </w:object>
      </w:r>
      <w:r>
        <w:rPr>
          <w:position w:val="-22"/>
        </w:rPr>
        <w:t xml:space="preserve"> </w:t>
      </w:r>
      <w:r>
        <w:t xml:space="preserve">DCIMPADJ </w:t>
      </w:r>
      <w:r>
        <w:rPr>
          <w:i/>
          <w:vertAlign w:val="subscript"/>
        </w:rPr>
        <w:t>q, p, i</w:t>
      </w:r>
    </w:p>
    <w:p w14:paraId="682F5C1D" w14:textId="77777777" w:rsidR="00E2667F" w:rsidRPr="00656C5C" w:rsidRDefault="00723BFB" w:rsidP="00C078A2">
      <w:pPr>
        <w:pStyle w:val="FormulaBold"/>
      </w:pPr>
      <w:r w:rsidRPr="00656C5C">
        <w:t>The above variables are defined as follows:</w:t>
      </w:r>
    </w:p>
    <w:tbl>
      <w:tblPr>
        <w:tblW w:w="504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066"/>
        <w:gridCol w:w="722"/>
        <w:gridCol w:w="6637"/>
      </w:tblGrid>
      <w:tr w:rsidR="00F80C33" w14:paraId="5D3DD8F7" w14:textId="77777777" w:rsidTr="00E766A8">
        <w:trPr>
          <w:cantSplit/>
          <w:tblHeader/>
        </w:trPr>
        <w:tc>
          <w:tcPr>
            <w:tcW w:w="1096" w:type="pct"/>
          </w:tcPr>
          <w:p w14:paraId="7BEDB825" w14:textId="77777777" w:rsidR="00F80C33" w:rsidRDefault="00723BFB">
            <w:pPr>
              <w:pStyle w:val="TableHead"/>
            </w:pPr>
            <w:r>
              <w:t>Variable</w:t>
            </w:r>
          </w:p>
        </w:tc>
        <w:tc>
          <w:tcPr>
            <w:tcW w:w="383" w:type="pct"/>
          </w:tcPr>
          <w:p w14:paraId="69BE6E0E" w14:textId="77777777" w:rsidR="00F80C33" w:rsidRDefault="00723BFB">
            <w:pPr>
              <w:pStyle w:val="TableHead"/>
              <w:jc w:val="center"/>
            </w:pPr>
            <w:r>
              <w:t>Unit</w:t>
            </w:r>
          </w:p>
        </w:tc>
        <w:tc>
          <w:tcPr>
            <w:tcW w:w="3521" w:type="pct"/>
          </w:tcPr>
          <w:p w14:paraId="499110C9" w14:textId="77777777" w:rsidR="00F80C33" w:rsidRDefault="00723BFB">
            <w:pPr>
              <w:pStyle w:val="TableHead"/>
            </w:pPr>
            <w:r>
              <w:t>Definition</w:t>
            </w:r>
          </w:p>
        </w:tc>
      </w:tr>
      <w:tr w:rsidR="00F80C33" w14:paraId="562AAEB7" w14:textId="77777777" w:rsidTr="00E766A8">
        <w:trPr>
          <w:cantSplit/>
        </w:trPr>
        <w:tc>
          <w:tcPr>
            <w:tcW w:w="1096" w:type="pct"/>
          </w:tcPr>
          <w:p w14:paraId="28B975CA" w14:textId="77777777" w:rsidR="00F80C33" w:rsidRDefault="00723BFB">
            <w:pPr>
              <w:pStyle w:val="TableBody"/>
            </w:pPr>
            <w:r>
              <w:t>RUCSFRS</w:t>
            </w:r>
            <w:r w:rsidR="00FF64D5">
              <w:t xml:space="preserve"> </w:t>
            </w:r>
            <w:proofErr w:type="spellStart"/>
            <w:r>
              <w:rPr>
                <w:i/>
                <w:vertAlign w:val="subscript"/>
              </w:rPr>
              <w:t>ruc</w:t>
            </w:r>
            <w:proofErr w:type="spellEnd"/>
            <w:r>
              <w:rPr>
                <w:i/>
                <w:vertAlign w:val="subscript"/>
              </w:rPr>
              <w:t>,</w:t>
            </w:r>
            <w:r w:rsidR="00FF64D5">
              <w:rPr>
                <w:i/>
                <w:vertAlign w:val="subscript"/>
              </w:rPr>
              <w:t xml:space="preserve"> </w:t>
            </w:r>
            <w:r>
              <w:rPr>
                <w:i/>
                <w:vertAlign w:val="subscript"/>
              </w:rPr>
              <w:t>i,</w:t>
            </w:r>
            <w:r w:rsidR="00FF64D5">
              <w:rPr>
                <w:i/>
                <w:vertAlign w:val="subscript"/>
              </w:rPr>
              <w:t xml:space="preserve"> </w:t>
            </w:r>
            <w:r>
              <w:rPr>
                <w:i/>
                <w:vertAlign w:val="subscript"/>
              </w:rPr>
              <w:t>q</w:t>
            </w:r>
          </w:p>
        </w:tc>
        <w:tc>
          <w:tcPr>
            <w:tcW w:w="383" w:type="pct"/>
          </w:tcPr>
          <w:p w14:paraId="6DE89C19" w14:textId="77777777" w:rsidR="00F80C33" w:rsidRDefault="00723BFB">
            <w:pPr>
              <w:pStyle w:val="TableBody"/>
              <w:jc w:val="center"/>
            </w:pPr>
            <w:r>
              <w:t>none</w:t>
            </w:r>
          </w:p>
        </w:tc>
        <w:tc>
          <w:tcPr>
            <w:tcW w:w="3521" w:type="pct"/>
          </w:tcPr>
          <w:p w14:paraId="0FB9637F" w14:textId="77777777" w:rsidR="00F80C33" w:rsidRDefault="00723BFB">
            <w:pPr>
              <w:pStyle w:val="TableBody"/>
            </w:pPr>
            <w:r>
              <w:rPr>
                <w:i/>
              </w:rPr>
              <w:t>RUC Shortfall Ratio Share</w:t>
            </w:r>
            <w:r>
              <w:t>—The ratio of the QSE</w:t>
            </w:r>
            <w:r w:rsidR="00FF64D5" w:rsidRPr="00A577B9">
              <w:rPr>
                <w:i/>
              </w:rPr>
              <w:t xml:space="preserve"> q</w:t>
            </w:r>
            <w:r>
              <w:t>’s capacity shortfall to the sum of all QSEs’ capacity shortfalls, for the RUC process</w:t>
            </w:r>
            <w:r w:rsidR="00FF64D5" w:rsidRPr="00A577B9">
              <w:rPr>
                <w:i/>
              </w:rPr>
              <w:t xml:space="preserve"> </w:t>
            </w:r>
            <w:proofErr w:type="spellStart"/>
            <w:r w:rsidR="00FF64D5" w:rsidRPr="00A577B9">
              <w:rPr>
                <w:i/>
              </w:rPr>
              <w:t>ruc</w:t>
            </w:r>
            <w:proofErr w:type="spellEnd"/>
            <w:r>
              <w:t>, for the 15-minute Settlement Interval</w:t>
            </w:r>
            <w:r w:rsidR="00FF64D5">
              <w:t xml:space="preserve"> </w:t>
            </w:r>
            <w:r w:rsidR="00FF64D5" w:rsidRPr="00921E96">
              <w:rPr>
                <w:i/>
              </w:rPr>
              <w:t>i</w:t>
            </w:r>
            <w:r>
              <w:t>.</w:t>
            </w:r>
          </w:p>
        </w:tc>
      </w:tr>
      <w:tr w:rsidR="00F80C33" w14:paraId="28818CB0" w14:textId="77777777" w:rsidTr="00E766A8">
        <w:trPr>
          <w:cantSplit/>
        </w:trPr>
        <w:tc>
          <w:tcPr>
            <w:tcW w:w="1096" w:type="pct"/>
          </w:tcPr>
          <w:p w14:paraId="3E7D896F" w14:textId="77777777" w:rsidR="00F80C33" w:rsidRDefault="00723BFB">
            <w:pPr>
              <w:pStyle w:val="TableBody"/>
            </w:pPr>
            <w:r>
              <w:t>RUCSF</w:t>
            </w:r>
            <w:r w:rsidR="00FF64D5">
              <w:t xml:space="preserve"> </w:t>
            </w:r>
            <w:proofErr w:type="spellStart"/>
            <w:r>
              <w:rPr>
                <w:i/>
                <w:vertAlign w:val="subscript"/>
              </w:rPr>
              <w:t>ruc</w:t>
            </w:r>
            <w:proofErr w:type="spellEnd"/>
            <w:r>
              <w:rPr>
                <w:i/>
                <w:vertAlign w:val="subscript"/>
              </w:rPr>
              <w:t>,</w:t>
            </w:r>
            <w:r w:rsidR="00FF64D5">
              <w:rPr>
                <w:i/>
                <w:vertAlign w:val="subscript"/>
              </w:rPr>
              <w:t xml:space="preserve"> </w:t>
            </w:r>
            <w:r>
              <w:rPr>
                <w:i/>
                <w:vertAlign w:val="subscript"/>
              </w:rPr>
              <w:t>i,</w:t>
            </w:r>
            <w:r w:rsidR="00FF64D5">
              <w:rPr>
                <w:i/>
                <w:vertAlign w:val="subscript"/>
              </w:rPr>
              <w:t xml:space="preserve"> </w:t>
            </w:r>
            <w:r>
              <w:rPr>
                <w:i/>
                <w:vertAlign w:val="subscript"/>
              </w:rPr>
              <w:t>q</w:t>
            </w:r>
          </w:p>
        </w:tc>
        <w:tc>
          <w:tcPr>
            <w:tcW w:w="383" w:type="pct"/>
          </w:tcPr>
          <w:p w14:paraId="710E30D4" w14:textId="77777777" w:rsidR="00F80C33" w:rsidRDefault="00723BFB">
            <w:pPr>
              <w:pStyle w:val="TableBody"/>
              <w:jc w:val="center"/>
            </w:pPr>
            <w:r>
              <w:t>MW</w:t>
            </w:r>
          </w:p>
        </w:tc>
        <w:tc>
          <w:tcPr>
            <w:tcW w:w="3521" w:type="pct"/>
          </w:tcPr>
          <w:p w14:paraId="4874161F" w14:textId="77777777" w:rsidR="00F80C33" w:rsidRDefault="00723BFB">
            <w:pPr>
              <w:pStyle w:val="TableBody"/>
            </w:pPr>
            <w:r>
              <w:rPr>
                <w:i/>
              </w:rPr>
              <w:t>RUC Shortfall</w:t>
            </w:r>
            <w:r>
              <w:t xml:space="preserve">—The QSE </w:t>
            </w:r>
            <w:r>
              <w:rPr>
                <w:i/>
              </w:rPr>
              <w:t>q</w:t>
            </w:r>
            <w:r>
              <w:t xml:space="preserve">’s capacity shortfall for the RUC process </w:t>
            </w:r>
            <w:proofErr w:type="spellStart"/>
            <w:r w:rsidR="00FF64D5" w:rsidRPr="00A577B9">
              <w:rPr>
                <w:i/>
              </w:rPr>
              <w:t>ruc</w:t>
            </w:r>
            <w:proofErr w:type="spellEnd"/>
            <w:r w:rsidR="00FF64D5">
              <w:t xml:space="preserve"> </w:t>
            </w:r>
            <w:r>
              <w:t>for the 15-minute Settlement Interval</w:t>
            </w:r>
            <w:r w:rsidR="00FF64D5" w:rsidRPr="00921E96">
              <w:rPr>
                <w:i/>
              </w:rPr>
              <w:t xml:space="preserve"> i</w:t>
            </w:r>
            <w:r>
              <w:t>.</w:t>
            </w:r>
          </w:p>
        </w:tc>
      </w:tr>
      <w:tr w:rsidR="00F80C33" w14:paraId="4E4FE3AD" w14:textId="77777777" w:rsidTr="00E766A8">
        <w:trPr>
          <w:cantSplit/>
        </w:trPr>
        <w:tc>
          <w:tcPr>
            <w:tcW w:w="1096" w:type="pct"/>
          </w:tcPr>
          <w:p w14:paraId="0CFF0539" w14:textId="77777777" w:rsidR="00F80C33" w:rsidRDefault="00723BFB">
            <w:pPr>
              <w:pStyle w:val="TableBody"/>
            </w:pPr>
            <w:r>
              <w:t>RUCSFTOT</w:t>
            </w:r>
            <w:r w:rsidR="00FF64D5">
              <w:t xml:space="preserve"> </w:t>
            </w:r>
            <w:proofErr w:type="spellStart"/>
            <w:r>
              <w:rPr>
                <w:i/>
                <w:vertAlign w:val="subscript"/>
              </w:rPr>
              <w:t>ruc</w:t>
            </w:r>
            <w:proofErr w:type="spellEnd"/>
            <w:r>
              <w:rPr>
                <w:i/>
                <w:vertAlign w:val="subscript"/>
              </w:rPr>
              <w:t>,</w:t>
            </w:r>
            <w:r w:rsidR="00FF64D5">
              <w:rPr>
                <w:i/>
                <w:vertAlign w:val="subscript"/>
              </w:rPr>
              <w:t xml:space="preserve"> </w:t>
            </w:r>
            <w:r>
              <w:rPr>
                <w:i/>
                <w:vertAlign w:val="subscript"/>
              </w:rPr>
              <w:t>i</w:t>
            </w:r>
          </w:p>
        </w:tc>
        <w:tc>
          <w:tcPr>
            <w:tcW w:w="383" w:type="pct"/>
          </w:tcPr>
          <w:p w14:paraId="2E78018C" w14:textId="77777777" w:rsidR="00F80C33" w:rsidRDefault="00723BFB">
            <w:pPr>
              <w:pStyle w:val="TableBody"/>
              <w:jc w:val="center"/>
            </w:pPr>
            <w:r>
              <w:t>MW</w:t>
            </w:r>
          </w:p>
        </w:tc>
        <w:tc>
          <w:tcPr>
            <w:tcW w:w="3521" w:type="pct"/>
          </w:tcPr>
          <w:p w14:paraId="4CE02748" w14:textId="77777777" w:rsidR="00F80C33" w:rsidRDefault="00723BFB">
            <w:pPr>
              <w:pStyle w:val="TableBody"/>
              <w:rPr>
                <w:i/>
              </w:rPr>
            </w:pPr>
            <w:r>
              <w:rPr>
                <w:i/>
              </w:rPr>
              <w:t>RUC Shortfall Tota</w:t>
            </w:r>
            <w:r w:rsidR="00CC2940">
              <w:rPr>
                <w:i/>
              </w:rPr>
              <w:t>l</w:t>
            </w:r>
            <w:r w:rsidR="00030CE9">
              <w:t>—</w:t>
            </w:r>
            <w:r w:rsidRPr="00030CE9">
              <w:t>The sum of all QSEs’ capacity shortfalls, for a RUC process</w:t>
            </w:r>
            <w:r w:rsidR="00FF64D5" w:rsidRPr="00A577B9">
              <w:rPr>
                <w:i/>
              </w:rPr>
              <w:t xml:space="preserve"> </w:t>
            </w:r>
            <w:proofErr w:type="spellStart"/>
            <w:r w:rsidR="00FF64D5" w:rsidRPr="00A577B9">
              <w:rPr>
                <w:i/>
              </w:rPr>
              <w:t>ruc</w:t>
            </w:r>
            <w:proofErr w:type="spellEnd"/>
            <w:r w:rsidRPr="00030CE9">
              <w:t>, for a 15-minute Settlement Interval</w:t>
            </w:r>
            <w:r w:rsidR="00FF64D5" w:rsidRPr="00921E96">
              <w:rPr>
                <w:i/>
              </w:rPr>
              <w:t xml:space="preserve"> i</w:t>
            </w:r>
            <w:r w:rsidRPr="00030CE9">
              <w:t>.</w:t>
            </w:r>
          </w:p>
        </w:tc>
      </w:tr>
      <w:tr w:rsidR="00F80C33" w14:paraId="188D17BA" w14:textId="77777777" w:rsidTr="00E766A8">
        <w:trPr>
          <w:cantSplit/>
        </w:trPr>
        <w:tc>
          <w:tcPr>
            <w:tcW w:w="1096" w:type="pct"/>
          </w:tcPr>
          <w:p w14:paraId="69DE3A9D" w14:textId="77777777" w:rsidR="00F80C33" w:rsidRDefault="005A03E7">
            <w:pPr>
              <w:pStyle w:val="TableBody"/>
            </w:pPr>
            <w:r w:rsidRPr="005A03E7">
              <w:t>RUCSFSNAP</w:t>
            </w:r>
            <w:r w:rsidR="00FF64D5">
              <w:t xml:space="preserve"> </w:t>
            </w:r>
            <w:proofErr w:type="spellStart"/>
            <w:r w:rsidR="00CC2940">
              <w:rPr>
                <w:i/>
                <w:vertAlign w:val="subscript"/>
              </w:rPr>
              <w:t>ruc</w:t>
            </w:r>
            <w:proofErr w:type="spellEnd"/>
            <w:r w:rsidR="00CC2940">
              <w:rPr>
                <w:i/>
                <w:vertAlign w:val="subscript"/>
              </w:rPr>
              <w:t>,</w:t>
            </w:r>
            <w:r w:rsidR="00FF64D5">
              <w:rPr>
                <w:i/>
                <w:vertAlign w:val="subscript"/>
              </w:rPr>
              <w:t xml:space="preserve"> </w:t>
            </w:r>
            <w:r w:rsidRPr="00E67D2A">
              <w:rPr>
                <w:i/>
                <w:vertAlign w:val="subscript"/>
              </w:rPr>
              <w:t>q</w:t>
            </w:r>
            <w:r w:rsidR="00723BFB">
              <w:rPr>
                <w:i/>
                <w:vertAlign w:val="subscript"/>
              </w:rPr>
              <w:t>,</w:t>
            </w:r>
            <w:r w:rsidR="00FF64D5">
              <w:rPr>
                <w:i/>
                <w:vertAlign w:val="subscript"/>
              </w:rPr>
              <w:t xml:space="preserve"> </w:t>
            </w:r>
            <w:r w:rsidR="00723BFB">
              <w:rPr>
                <w:i/>
                <w:vertAlign w:val="subscript"/>
              </w:rPr>
              <w:t>i</w:t>
            </w:r>
          </w:p>
        </w:tc>
        <w:tc>
          <w:tcPr>
            <w:tcW w:w="383" w:type="pct"/>
          </w:tcPr>
          <w:p w14:paraId="0D7B7FEA" w14:textId="77777777" w:rsidR="00F80C33" w:rsidRDefault="00723BFB">
            <w:pPr>
              <w:pStyle w:val="TableBody"/>
              <w:jc w:val="center"/>
            </w:pPr>
            <w:r>
              <w:t>MW</w:t>
            </w:r>
          </w:p>
        </w:tc>
        <w:tc>
          <w:tcPr>
            <w:tcW w:w="3521" w:type="pct"/>
          </w:tcPr>
          <w:p w14:paraId="55E6F68B" w14:textId="77777777" w:rsidR="00F80C33" w:rsidRDefault="00723BFB">
            <w:pPr>
              <w:pStyle w:val="TableBody"/>
            </w:pPr>
            <w:r>
              <w:rPr>
                <w:i/>
              </w:rPr>
              <w:t>RUC Shortfall at Snapshot</w:t>
            </w:r>
            <w:r>
              <w:t xml:space="preserve">—The QSE </w:t>
            </w:r>
            <w:r>
              <w:rPr>
                <w:i/>
              </w:rPr>
              <w:t>q</w:t>
            </w:r>
            <w:r>
              <w:t xml:space="preserve">’s capacity shortfall according to the snapshot for the RUC process </w:t>
            </w:r>
            <w:proofErr w:type="spellStart"/>
            <w:r w:rsidR="00FF64D5" w:rsidRPr="00A577B9">
              <w:rPr>
                <w:i/>
              </w:rPr>
              <w:t>ruc</w:t>
            </w:r>
            <w:proofErr w:type="spellEnd"/>
            <w:r w:rsidR="00FF64D5">
              <w:t xml:space="preserve"> </w:t>
            </w:r>
            <w:r>
              <w:t>for the 15-minute Settlement Interval</w:t>
            </w:r>
            <w:r w:rsidR="00FF64D5" w:rsidRPr="00921E96">
              <w:rPr>
                <w:i/>
              </w:rPr>
              <w:t xml:space="preserve"> i</w:t>
            </w:r>
            <w:r>
              <w:t>.</w:t>
            </w:r>
          </w:p>
        </w:tc>
      </w:tr>
      <w:tr w:rsidR="00F80C33" w14:paraId="20B4BADE" w14:textId="77777777" w:rsidTr="00E766A8">
        <w:trPr>
          <w:cantSplit/>
        </w:trPr>
        <w:tc>
          <w:tcPr>
            <w:tcW w:w="1096" w:type="pct"/>
          </w:tcPr>
          <w:p w14:paraId="77D3FD41" w14:textId="77777777" w:rsidR="00F80C33" w:rsidRDefault="00723BFB">
            <w:pPr>
              <w:pStyle w:val="TableBody"/>
            </w:pPr>
            <w:r>
              <w:t>RUCSFADJ</w:t>
            </w:r>
            <w:r w:rsidR="00FF64D5">
              <w:t xml:space="preserve"> </w:t>
            </w:r>
            <w:proofErr w:type="spellStart"/>
            <w:r w:rsidR="00CC2940">
              <w:rPr>
                <w:i/>
                <w:vertAlign w:val="subscript"/>
              </w:rPr>
              <w:t>ruc</w:t>
            </w:r>
            <w:proofErr w:type="spellEnd"/>
            <w:r w:rsidR="00CC2940">
              <w:rPr>
                <w:i/>
                <w:vertAlign w:val="subscript"/>
              </w:rPr>
              <w:t>,</w:t>
            </w:r>
            <w:r w:rsidR="00FF64D5">
              <w:rPr>
                <w:i/>
                <w:vertAlign w:val="subscript"/>
              </w:rPr>
              <w:t xml:space="preserve"> </w:t>
            </w:r>
            <w:r>
              <w:rPr>
                <w:i/>
                <w:vertAlign w:val="subscript"/>
              </w:rPr>
              <w:t>q,</w:t>
            </w:r>
            <w:r w:rsidR="00FF64D5">
              <w:rPr>
                <w:i/>
                <w:vertAlign w:val="subscript"/>
              </w:rPr>
              <w:t xml:space="preserve"> </w:t>
            </w:r>
            <w:r>
              <w:rPr>
                <w:i/>
                <w:vertAlign w:val="subscript"/>
              </w:rPr>
              <w:t>i</w:t>
            </w:r>
          </w:p>
        </w:tc>
        <w:tc>
          <w:tcPr>
            <w:tcW w:w="383" w:type="pct"/>
          </w:tcPr>
          <w:p w14:paraId="1AA799C8" w14:textId="77777777" w:rsidR="00F80C33" w:rsidRDefault="00723BFB">
            <w:pPr>
              <w:pStyle w:val="TableBody"/>
              <w:jc w:val="center"/>
            </w:pPr>
            <w:r>
              <w:t>MW</w:t>
            </w:r>
          </w:p>
        </w:tc>
        <w:tc>
          <w:tcPr>
            <w:tcW w:w="3521" w:type="pct"/>
          </w:tcPr>
          <w:p w14:paraId="2AC3482D" w14:textId="77777777" w:rsidR="00F80C33" w:rsidRDefault="00723BFB" w:rsidP="00A90740">
            <w:pPr>
              <w:pStyle w:val="TableBody"/>
            </w:pPr>
            <w:r>
              <w:rPr>
                <w:i/>
              </w:rPr>
              <w:t>RUC Shortfall at Adjustment Period</w:t>
            </w:r>
            <w:r>
              <w:t xml:space="preserve">—The QSE </w:t>
            </w:r>
            <w:r>
              <w:rPr>
                <w:i/>
              </w:rPr>
              <w:t>q</w:t>
            </w:r>
            <w:r>
              <w:t xml:space="preserve">’s </w:t>
            </w:r>
            <w:r w:rsidR="003D22F1">
              <w:t>A</w:t>
            </w:r>
            <w:r>
              <w:t xml:space="preserve">djustment </w:t>
            </w:r>
            <w:r w:rsidR="003D22F1">
              <w:t>P</w:t>
            </w:r>
            <w:r>
              <w:t>eriod capacity shortfall</w:t>
            </w:r>
            <w:r w:rsidR="00CC2940">
              <w:t xml:space="preserve">, including capacity from </w:t>
            </w:r>
            <w:r w:rsidR="00A90740">
              <w:t>IRRs</w:t>
            </w:r>
            <w:r w:rsidR="00CC2940">
              <w:t xml:space="preserve"> as seen in the snapshot for the RUC process</w:t>
            </w:r>
            <w:r w:rsidR="00FF64D5" w:rsidRPr="00A577B9">
              <w:rPr>
                <w:i/>
              </w:rPr>
              <w:t xml:space="preserve"> </w:t>
            </w:r>
            <w:proofErr w:type="spellStart"/>
            <w:r w:rsidR="00FF64D5" w:rsidRPr="00A577B9">
              <w:rPr>
                <w:i/>
              </w:rPr>
              <w:t>ruc</w:t>
            </w:r>
            <w:proofErr w:type="spellEnd"/>
            <w:r w:rsidR="00CC2940">
              <w:t>,</w:t>
            </w:r>
            <w:r>
              <w:t xml:space="preserve"> for the 15-minute Settlement Interval</w:t>
            </w:r>
            <w:r w:rsidR="00FF64D5" w:rsidRPr="00921E96">
              <w:rPr>
                <w:i/>
              </w:rPr>
              <w:t xml:space="preserve"> i</w:t>
            </w:r>
            <w:r>
              <w:t>.</w:t>
            </w:r>
          </w:p>
        </w:tc>
      </w:tr>
      <w:tr w:rsidR="00F80C33" w14:paraId="549CCAB0" w14:textId="77777777" w:rsidTr="00E766A8">
        <w:trPr>
          <w:cantSplit/>
        </w:trPr>
        <w:tc>
          <w:tcPr>
            <w:tcW w:w="1096" w:type="pct"/>
          </w:tcPr>
          <w:p w14:paraId="5071AC4A" w14:textId="77777777" w:rsidR="00F80C33" w:rsidRDefault="00723BFB">
            <w:pPr>
              <w:pStyle w:val="TableBody"/>
            </w:pPr>
            <w:r>
              <w:t>RUCCAPCREDIT</w:t>
            </w:r>
            <w:r w:rsidR="00FF64D5">
              <w:t xml:space="preserve"> </w:t>
            </w:r>
            <w:r>
              <w:rPr>
                <w:i/>
                <w:vertAlign w:val="subscript"/>
              </w:rPr>
              <w:t>q,</w:t>
            </w:r>
            <w:r w:rsidR="00FF64D5">
              <w:rPr>
                <w:i/>
                <w:vertAlign w:val="subscript"/>
              </w:rPr>
              <w:t xml:space="preserve"> </w:t>
            </w:r>
            <w:r>
              <w:rPr>
                <w:i/>
                <w:vertAlign w:val="subscript"/>
              </w:rPr>
              <w:t>i,</w:t>
            </w:r>
            <w:r w:rsidR="00FF64D5">
              <w:rPr>
                <w:i/>
                <w:vertAlign w:val="subscript"/>
              </w:rPr>
              <w:t xml:space="preserve"> </w:t>
            </w:r>
            <w:r>
              <w:rPr>
                <w:i/>
                <w:vertAlign w:val="subscript"/>
              </w:rPr>
              <w:t>z</w:t>
            </w:r>
          </w:p>
        </w:tc>
        <w:tc>
          <w:tcPr>
            <w:tcW w:w="383" w:type="pct"/>
          </w:tcPr>
          <w:p w14:paraId="33EB8453" w14:textId="77777777" w:rsidR="00F80C33" w:rsidRDefault="00723BFB">
            <w:pPr>
              <w:pStyle w:val="TableBody"/>
              <w:jc w:val="center"/>
            </w:pPr>
            <w:r>
              <w:t>MW</w:t>
            </w:r>
          </w:p>
        </w:tc>
        <w:tc>
          <w:tcPr>
            <w:tcW w:w="3521" w:type="pct"/>
          </w:tcPr>
          <w:p w14:paraId="6D403E24" w14:textId="77777777" w:rsidR="00F80C33" w:rsidRDefault="00723BFB" w:rsidP="003D22F1">
            <w:pPr>
              <w:pStyle w:val="TableBody"/>
              <w:rPr>
                <w:i/>
              </w:rPr>
            </w:pPr>
            <w:r>
              <w:rPr>
                <w:i/>
              </w:rPr>
              <w:t>RUC Capacity Credit by QSE</w:t>
            </w:r>
            <w:r>
              <w:t xml:space="preserve">—The </w:t>
            </w:r>
            <w:r w:rsidR="00FF64D5">
              <w:t xml:space="preserve">QSE </w:t>
            </w:r>
            <w:r w:rsidR="00FF64D5">
              <w:rPr>
                <w:i/>
              </w:rPr>
              <w:t>q</w:t>
            </w:r>
            <w:r w:rsidR="00FF64D5">
              <w:t xml:space="preserve">’s </w:t>
            </w:r>
            <w:r>
              <w:t xml:space="preserve">capacity credit resulting from capacity paid through the RUC Capacity-Short </w:t>
            </w:r>
            <w:r w:rsidR="003D22F1" w:rsidRPr="00E766A8">
              <w:t>Amount</w:t>
            </w:r>
            <w:r w:rsidR="003D22F1">
              <w:t xml:space="preserve"> </w:t>
            </w:r>
            <w:r w:rsidR="00FF64D5">
              <w:t xml:space="preserve">for RUC process </w:t>
            </w:r>
            <w:r w:rsidR="00FF64D5" w:rsidRPr="0074109A">
              <w:rPr>
                <w:i/>
              </w:rPr>
              <w:t>z</w:t>
            </w:r>
            <w:r w:rsidR="00FF64D5">
              <w:t xml:space="preserve"> </w:t>
            </w:r>
            <w:r>
              <w:t>for the 15-minute Settlement Interval</w:t>
            </w:r>
            <w:r w:rsidR="00FF64D5" w:rsidRPr="00921E96">
              <w:rPr>
                <w:i/>
              </w:rPr>
              <w:t xml:space="preserve"> i</w:t>
            </w:r>
            <w:r>
              <w:t>.</w:t>
            </w:r>
          </w:p>
        </w:tc>
      </w:tr>
      <w:tr w:rsidR="00F80C33" w14:paraId="60CC66F7" w14:textId="77777777" w:rsidTr="00E766A8">
        <w:trPr>
          <w:cantSplit/>
        </w:trPr>
        <w:tc>
          <w:tcPr>
            <w:tcW w:w="1096" w:type="pct"/>
          </w:tcPr>
          <w:p w14:paraId="1E189316" w14:textId="77777777" w:rsidR="00F80C33" w:rsidRDefault="00723BFB">
            <w:pPr>
              <w:pStyle w:val="TableBody"/>
            </w:pPr>
            <w:r>
              <w:t>RTAML</w:t>
            </w:r>
            <w:r w:rsidR="00FF64D5">
              <w:t xml:space="preserve"> </w:t>
            </w:r>
            <w:r>
              <w:rPr>
                <w:i/>
                <w:vertAlign w:val="subscript"/>
              </w:rPr>
              <w:t>q,</w:t>
            </w:r>
            <w:r w:rsidR="00FF64D5">
              <w:rPr>
                <w:i/>
                <w:vertAlign w:val="subscript"/>
              </w:rPr>
              <w:t xml:space="preserve"> </w:t>
            </w:r>
            <w:r>
              <w:rPr>
                <w:i/>
                <w:vertAlign w:val="subscript"/>
              </w:rPr>
              <w:t>p,</w:t>
            </w:r>
            <w:r w:rsidR="00FF64D5">
              <w:rPr>
                <w:i/>
                <w:vertAlign w:val="subscript"/>
              </w:rPr>
              <w:t xml:space="preserve"> </w:t>
            </w:r>
            <w:r>
              <w:rPr>
                <w:i/>
                <w:vertAlign w:val="subscript"/>
              </w:rPr>
              <w:t>i</w:t>
            </w:r>
          </w:p>
        </w:tc>
        <w:tc>
          <w:tcPr>
            <w:tcW w:w="383" w:type="pct"/>
          </w:tcPr>
          <w:p w14:paraId="2FCF81F8" w14:textId="77777777" w:rsidR="00F80C33" w:rsidRDefault="00723BFB">
            <w:pPr>
              <w:pStyle w:val="TableBody"/>
              <w:jc w:val="center"/>
            </w:pPr>
            <w:r>
              <w:t>MWh</w:t>
            </w:r>
          </w:p>
        </w:tc>
        <w:tc>
          <w:tcPr>
            <w:tcW w:w="3521" w:type="pct"/>
          </w:tcPr>
          <w:p w14:paraId="46B9CBCE" w14:textId="77777777" w:rsidR="00F80C33" w:rsidRDefault="00723BFB">
            <w:pPr>
              <w:pStyle w:val="TableBody"/>
              <w:rPr>
                <w:i/>
              </w:rPr>
            </w:pPr>
            <w:r>
              <w:rPr>
                <w:i/>
              </w:rPr>
              <w:t>Real-Time Adjusted Metered Load</w:t>
            </w:r>
            <w:r>
              <w:t xml:space="preserve">—The QSE </w:t>
            </w:r>
            <w:r>
              <w:rPr>
                <w:i/>
              </w:rPr>
              <w:t>q</w:t>
            </w:r>
            <w:r>
              <w:t>’s Adjusted Metered Load</w:t>
            </w:r>
            <w:r w:rsidR="003D22F1">
              <w:t xml:space="preserve"> (AML)</w:t>
            </w:r>
            <w:r>
              <w:t xml:space="preserve"> at the Settlement Point </w:t>
            </w:r>
            <w:r>
              <w:rPr>
                <w:i/>
              </w:rPr>
              <w:t>p</w:t>
            </w:r>
            <w:r>
              <w:t xml:space="preserve"> for the 15-minute Settlement Interval</w:t>
            </w:r>
            <w:r w:rsidR="00FF64D5" w:rsidRPr="00921E96">
              <w:rPr>
                <w:i/>
              </w:rPr>
              <w:t xml:space="preserve"> i</w:t>
            </w:r>
            <w:r>
              <w:t>.</w:t>
            </w:r>
          </w:p>
        </w:tc>
      </w:tr>
      <w:tr w:rsidR="00F80C33" w14:paraId="296D02A7" w14:textId="77777777" w:rsidTr="00E766A8">
        <w:trPr>
          <w:cantSplit/>
        </w:trPr>
        <w:tc>
          <w:tcPr>
            <w:tcW w:w="1096" w:type="pct"/>
          </w:tcPr>
          <w:p w14:paraId="1C96F65D" w14:textId="77777777" w:rsidR="00F80C33" w:rsidRDefault="00723BFB">
            <w:pPr>
              <w:pStyle w:val="TableBody"/>
            </w:pPr>
            <w:r>
              <w:t>RUCCAPSNAP</w:t>
            </w:r>
            <w:r w:rsidR="00FF64D5">
              <w:t xml:space="preserve"> </w:t>
            </w:r>
            <w:proofErr w:type="spellStart"/>
            <w:r w:rsidR="00CC2940">
              <w:rPr>
                <w:i/>
                <w:vertAlign w:val="subscript"/>
              </w:rPr>
              <w:t>ruc</w:t>
            </w:r>
            <w:proofErr w:type="spellEnd"/>
            <w:r w:rsidR="00CC2940">
              <w:rPr>
                <w:i/>
                <w:vertAlign w:val="subscript"/>
              </w:rPr>
              <w:t>,</w:t>
            </w:r>
            <w:r w:rsidR="00FF64D5">
              <w:rPr>
                <w:i/>
                <w:vertAlign w:val="subscript"/>
              </w:rPr>
              <w:t xml:space="preserve"> </w:t>
            </w:r>
            <w:r>
              <w:rPr>
                <w:i/>
                <w:vertAlign w:val="subscript"/>
              </w:rPr>
              <w:t>q,</w:t>
            </w:r>
            <w:r w:rsidR="00FF64D5">
              <w:rPr>
                <w:i/>
                <w:vertAlign w:val="subscript"/>
              </w:rPr>
              <w:t xml:space="preserve"> </w:t>
            </w:r>
            <w:r>
              <w:rPr>
                <w:i/>
                <w:vertAlign w:val="subscript"/>
              </w:rPr>
              <w:t>i</w:t>
            </w:r>
          </w:p>
        </w:tc>
        <w:tc>
          <w:tcPr>
            <w:tcW w:w="383" w:type="pct"/>
          </w:tcPr>
          <w:p w14:paraId="6675FF16" w14:textId="77777777" w:rsidR="00F80C33" w:rsidRDefault="00723BFB">
            <w:pPr>
              <w:pStyle w:val="TableBody"/>
              <w:jc w:val="center"/>
            </w:pPr>
            <w:r>
              <w:t>MW</w:t>
            </w:r>
          </w:p>
        </w:tc>
        <w:tc>
          <w:tcPr>
            <w:tcW w:w="3521" w:type="pct"/>
          </w:tcPr>
          <w:p w14:paraId="57C7DCC3" w14:textId="77777777" w:rsidR="00F80C33" w:rsidRDefault="00723BFB">
            <w:pPr>
              <w:pStyle w:val="TableBody"/>
              <w:rPr>
                <w:i/>
              </w:rPr>
            </w:pPr>
            <w:r>
              <w:rPr>
                <w:i/>
              </w:rPr>
              <w:t>RUC Capacity Snapshot at time of RUC</w:t>
            </w:r>
            <w:r w:rsidR="00030CE9">
              <w:t>—</w:t>
            </w:r>
            <w:r>
              <w:t>The amount of the QSE</w:t>
            </w:r>
            <w:r w:rsidR="00FF64D5">
              <w:rPr>
                <w:i/>
              </w:rPr>
              <w:t xml:space="preserve"> q</w:t>
            </w:r>
            <w:r>
              <w:t>’s calculated capacity in the COP and Trades Snapshot</w:t>
            </w:r>
            <w:r w:rsidR="00FF64D5">
              <w:t xml:space="preserve"> for the RUC process </w:t>
            </w:r>
            <w:proofErr w:type="spellStart"/>
            <w:r w:rsidR="00FF64D5" w:rsidRPr="00A577B9">
              <w:rPr>
                <w:i/>
              </w:rPr>
              <w:t>ruc</w:t>
            </w:r>
            <w:proofErr w:type="spellEnd"/>
            <w:r>
              <w:t xml:space="preserve"> for a 15-minute Settlement Interval</w:t>
            </w:r>
            <w:r w:rsidR="00FF64D5" w:rsidRPr="00921E96">
              <w:rPr>
                <w:i/>
              </w:rPr>
              <w:t xml:space="preserve"> i</w:t>
            </w:r>
            <w:r>
              <w:t>.</w:t>
            </w:r>
            <w:r w:rsidR="003D22F1">
              <w:t xml:space="preserve">  </w:t>
            </w:r>
          </w:p>
        </w:tc>
      </w:tr>
      <w:tr w:rsidR="00F80C33" w14:paraId="28D4D350" w14:textId="77777777" w:rsidTr="00E766A8">
        <w:trPr>
          <w:cantSplit/>
        </w:trPr>
        <w:tc>
          <w:tcPr>
            <w:tcW w:w="1096" w:type="pct"/>
          </w:tcPr>
          <w:p w14:paraId="560B8407" w14:textId="77777777" w:rsidR="00F80C33" w:rsidRDefault="00723BFB">
            <w:pPr>
              <w:pStyle w:val="TableBody"/>
            </w:pPr>
            <w:r>
              <w:lastRenderedPageBreak/>
              <w:t>HASLSNAP</w:t>
            </w:r>
            <w:r w:rsidR="00FF64D5">
              <w:t xml:space="preserve"> </w:t>
            </w:r>
            <w:r>
              <w:rPr>
                <w:i/>
                <w:vertAlign w:val="subscript"/>
              </w:rPr>
              <w:t>q,</w:t>
            </w:r>
            <w:r w:rsidR="00FF64D5">
              <w:rPr>
                <w:i/>
                <w:vertAlign w:val="subscript"/>
              </w:rPr>
              <w:t xml:space="preserve"> </w:t>
            </w:r>
            <w:r>
              <w:rPr>
                <w:i/>
                <w:vertAlign w:val="subscript"/>
              </w:rPr>
              <w:t>r,</w:t>
            </w:r>
            <w:r w:rsidR="00FF64D5">
              <w:rPr>
                <w:i/>
                <w:vertAlign w:val="subscript"/>
              </w:rPr>
              <w:t xml:space="preserve"> </w:t>
            </w:r>
            <w:r>
              <w:rPr>
                <w:i/>
                <w:vertAlign w:val="subscript"/>
              </w:rPr>
              <w:t>h</w:t>
            </w:r>
          </w:p>
        </w:tc>
        <w:tc>
          <w:tcPr>
            <w:tcW w:w="383" w:type="pct"/>
          </w:tcPr>
          <w:p w14:paraId="12D4E5B3" w14:textId="77777777" w:rsidR="00F80C33" w:rsidRDefault="00723BFB">
            <w:pPr>
              <w:pStyle w:val="TableBody"/>
              <w:jc w:val="center"/>
            </w:pPr>
            <w:r>
              <w:t>MW</w:t>
            </w:r>
          </w:p>
        </w:tc>
        <w:tc>
          <w:tcPr>
            <w:tcW w:w="3521" w:type="pct"/>
          </w:tcPr>
          <w:p w14:paraId="0C7CBFC0" w14:textId="77777777" w:rsidR="00F80C33" w:rsidRDefault="00723BFB" w:rsidP="003D22F1">
            <w:pPr>
              <w:pStyle w:val="TableBody"/>
              <w:rPr>
                <w:i/>
              </w:rPr>
            </w:pPr>
            <w:r>
              <w:rPr>
                <w:i/>
              </w:rPr>
              <w:t>High Ancillary Services Limit at Snapshot</w:t>
            </w:r>
            <w:r>
              <w:t xml:space="preserve">—The </w:t>
            </w:r>
            <w:r w:rsidR="003D22F1">
              <w:t>HASL</w:t>
            </w:r>
            <w:r>
              <w:t xml:space="preserve"> of the Resource </w:t>
            </w:r>
            <w:r>
              <w:rPr>
                <w:i/>
              </w:rPr>
              <w:t>r</w:t>
            </w:r>
            <w:r>
              <w:t xml:space="preserve"> represented by the QSE </w:t>
            </w:r>
            <w:r>
              <w:rPr>
                <w:i/>
              </w:rPr>
              <w:t>q</w:t>
            </w:r>
            <w:r>
              <w:t xml:space="preserve">, according to the COP and Trades Snapshot for the RUC process for the hour </w:t>
            </w:r>
            <w:r w:rsidR="00FF64D5" w:rsidRPr="0074109A">
              <w:rPr>
                <w:i/>
              </w:rPr>
              <w:t>h</w:t>
            </w:r>
            <w:r w:rsidR="00FF64D5">
              <w:t xml:space="preserve"> </w:t>
            </w:r>
            <w:r>
              <w:t>that includes the 15-minute Settlement Interval.</w:t>
            </w:r>
            <w:r w:rsidR="003D22F1">
              <w:t xml:space="preserve">  </w:t>
            </w:r>
            <w:r w:rsidR="003D22F1" w:rsidRPr="00E766A8">
              <w:t xml:space="preserve">Where for a Combined Cycle Train, the Resource </w:t>
            </w:r>
            <w:r w:rsidR="003D22F1" w:rsidRPr="00E766A8">
              <w:rPr>
                <w:i/>
              </w:rPr>
              <w:t xml:space="preserve">r </w:t>
            </w:r>
            <w:r w:rsidR="003D22F1" w:rsidRPr="00E766A8">
              <w:t>is a Combined Cycle Generation Resource within the Combined Cycle Train.</w:t>
            </w:r>
          </w:p>
        </w:tc>
      </w:tr>
      <w:tr w:rsidR="00F80C33" w14:paraId="78B562F5" w14:textId="77777777" w:rsidTr="00E766A8">
        <w:trPr>
          <w:cantSplit/>
        </w:trPr>
        <w:tc>
          <w:tcPr>
            <w:tcW w:w="1096" w:type="pct"/>
          </w:tcPr>
          <w:p w14:paraId="3E0954D5" w14:textId="77777777" w:rsidR="00F80C33" w:rsidRDefault="00723BFB">
            <w:pPr>
              <w:pStyle w:val="TableBody"/>
            </w:pPr>
            <w:r>
              <w:t>DCIMPADJ</w:t>
            </w:r>
            <w:r w:rsidRPr="008342E2">
              <w:rPr>
                <w:i/>
              </w:rPr>
              <w:t xml:space="preserve"> </w:t>
            </w:r>
            <w:r w:rsidRPr="008342E2">
              <w:rPr>
                <w:i/>
                <w:vertAlign w:val="subscript"/>
              </w:rPr>
              <w:t>q, p</w:t>
            </w:r>
            <w:r w:rsidR="00FF64D5">
              <w:rPr>
                <w:i/>
                <w:vertAlign w:val="subscript"/>
              </w:rPr>
              <w:t>, i</w:t>
            </w:r>
          </w:p>
        </w:tc>
        <w:tc>
          <w:tcPr>
            <w:tcW w:w="383" w:type="pct"/>
          </w:tcPr>
          <w:p w14:paraId="07085788" w14:textId="77777777" w:rsidR="00E2667F" w:rsidRDefault="00723BFB">
            <w:pPr>
              <w:pStyle w:val="TableBody"/>
              <w:jc w:val="center"/>
            </w:pPr>
            <w:r>
              <w:t>MW</w:t>
            </w:r>
          </w:p>
        </w:tc>
        <w:tc>
          <w:tcPr>
            <w:tcW w:w="3521" w:type="pct"/>
          </w:tcPr>
          <w:p w14:paraId="6612C250" w14:textId="77777777" w:rsidR="00F80C33" w:rsidRDefault="00723BFB">
            <w:pPr>
              <w:pStyle w:val="TableBody"/>
              <w:rPr>
                <w:i/>
              </w:rPr>
            </w:pPr>
            <w:r>
              <w:rPr>
                <w:i/>
              </w:rPr>
              <w:t>DC Import per QSE per Settlement Point</w:t>
            </w:r>
            <w:r>
              <w:t xml:space="preserve">—The approved aggregated DC Tie Schedule submitted by QSE </w:t>
            </w:r>
            <w:r>
              <w:rPr>
                <w:i/>
              </w:rPr>
              <w:t>q</w:t>
            </w:r>
            <w:r>
              <w:t xml:space="preserve"> as an importer into the ERCOT System through DC Tie </w:t>
            </w:r>
            <w:r>
              <w:rPr>
                <w:i/>
              </w:rPr>
              <w:t>p</w:t>
            </w:r>
            <w:r>
              <w:t xml:space="preserve"> according to the </w:t>
            </w:r>
            <w:r w:rsidR="003D22F1">
              <w:t>A</w:t>
            </w:r>
            <w:r>
              <w:t xml:space="preserve">djustment </w:t>
            </w:r>
            <w:r w:rsidR="003D22F1">
              <w:t>P</w:t>
            </w:r>
            <w:r>
              <w:t xml:space="preserve">eriod </w:t>
            </w:r>
            <w:r w:rsidR="003D22F1">
              <w:t>s</w:t>
            </w:r>
            <w:r>
              <w:t>napshot, for the 15-minute Settlement Interval</w:t>
            </w:r>
            <w:r w:rsidR="00FF64D5" w:rsidRPr="00921E96">
              <w:rPr>
                <w:i/>
              </w:rPr>
              <w:t xml:space="preserve"> i</w:t>
            </w:r>
            <w:r>
              <w:t>.</w:t>
            </w:r>
          </w:p>
        </w:tc>
      </w:tr>
      <w:tr w:rsidR="00F80C33" w14:paraId="03F9761C" w14:textId="77777777" w:rsidTr="00E766A8">
        <w:trPr>
          <w:cantSplit/>
        </w:trPr>
        <w:tc>
          <w:tcPr>
            <w:tcW w:w="1096" w:type="pct"/>
          </w:tcPr>
          <w:p w14:paraId="61A2406C" w14:textId="77777777" w:rsidR="00F80C33" w:rsidRDefault="00723BFB">
            <w:pPr>
              <w:pStyle w:val="TableBody"/>
            </w:pPr>
            <w:r>
              <w:t xml:space="preserve">DCIMPSNAP </w:t>
            </w:r>
            <w:r w:rsidRPr="008342E2">
              <w:rPr>
                <w:i/>
                <w:vertAlign w:val="subscript"/>
              </w:rPr>
              <w:t>q, p</w:t>
            </w:r>
            <w:r w:rsidR="00FF64D5">
              <w:rPr>
                <w:i/>
                <w:vertAlign w:val="subscript"/>
              </w:rPr>
              <w:t>, i</w:t>
            </w:r>
          </w:p>
        </w:tc>
        <w:tc>
          <w:tcPr>
            <w:tcW w:w="383" w:type="pct"/>
          </w:tcPr>
          <w:p w14:paraId="288E4CF9" w14:textId="77777777" w:rsidR="00F80C33" w:rsidRDefault="00723BFB">
            <w:pPr>
              <w:pStyle w:val="TableBody"/>
              <w:jc w:val="center"/>
            </w:pPr>
            <w:r>
              <w:t>MW</w:t>
            </w:r>
          </w:p>
        </w:tc>
        <w:tc>
          <w:tcPr>
            <w:tcW w:w="3521" w:type="pct"/>
          </w:tcPr>
          <w:p w14:paraId="762BA8D9" w14:textId="77777777" w:rsidR="00F80C33" w:rsidRDefault="00723BFB">
            <w:pPr>
              <w:pStyle w:val="TableBody"/>
              <w:rPr>
                <w:i/>
              </w:rPr>
            </w:pPr>
            <w:r>
              <w:rPr>
                <w:i/>
              </w:rPr>
              <w:t>DC Import per QSE per Settlement Point</w:t>
            </w:r>
            <w:r>
              <w:t xml:space="preserve">—The approved aggregated DC Tie Schedule submitted by QSE </w:t>
            </w:r>
            <w:r>
              <w:rPr>
                <w:i/>
              </w:rPr>
              <w:t>q</w:t>
            </w:r>
            <w:r>
              <w:t xml:space="preserve"> as an importer into the ERCOT System through DC Tie </w:t>
            </w:r>
            <w:r>
              <w:rPr>
                <w:i/>
              </w:rPr>
              <w:t>p</w:t>
            </w:r>
            <w:r>
              <w:t xml:space="preserve">, according to the </w:t>
            </w:r>
            <w:r w:rsidR="003D22F1">
              <w:t>s</w:t>
            </w:r>
            <w:r>
              <w:t>napshot for the RUC process for the hour that includes the 15-minute Settlement Interval</w:t>
            </w:r>
            <w:r w:rsidR="00FF64D5" w:rsidRPr="00921E96">
              <w:rPr>
                <w:i/>
              </w:rPr>
              <w:t xml:space="preserve"> i</w:t>
            </w:r>
            <w:r>
              <w:t>.</w:t>
            </w:r>
          </w:p>
        </w:tc>
      </w:tr>
      <w:tr w:rsidR="00F80C33" w14:paraId="5B79F356" w14:textId="77777777" w:rsidTr="00E766A8">
        <w:trPr>
          <w:cantSplit/>
        </w:trPr>
        <w:tc>
          <w:tcPr>
            <w:tcW w:w="1096" w:type="pct"/>
          </w:tcPr>
          <w:p w14:paraId="1434CB98" w14:textId="77777777" w:rsidR="00386F27" w:rsidRDefault="00723BFB">
            <w:pPr>
              <w:pStyle w:val="TableBody"/>
            </w:pPr>
            <w:r>
              <w:t>RUCCPSNAP</w:t>
            </w:r>
            <w:r w:rsidR="00FF64D5">
              <w:t xml:space="preserve"> </w:t>
            </w:r>
            <w:r>
              <w:rPr>
                <w:i/>
                <w:vertAlign w:val="subscript"/>
              </w:rPr>
              <w:t>q,</w:t>
            </w:r>
            <w:r w:rsidR="00FF64D5">
              <w:rPr>
                <w:i/>
                <w:vertAlign w:val="subscript"/>
              </w:rPr>
              <w:t xml:space="preserve"> </w:t>
            </w:r>
            <w:r>
              <w:rPr>
                <w:i/>
                <w:vertAlign w:val="subscript"/>
              </w:rPr>
              <w:t>h</w:t>
            </w:r>
          </w:p>
        </w:tc>
        <w:tc>
          <w:tcPr>
            <w:tcW w:w="383" w:type="pct"/>
          </w:tcPr>
          <w:p w14:paraId="48733B45" w14:textId="77777777" w:rsidR="00F80C33" w:rsidRDefault="00723BFB">
            <w:pPr>
              <w:pStyle w:val="TableBody"/>
              <w:jc w:val="center"/>
            </w:pPr>
            <w:r>
              <w:t>MW</w:t>
            </w:r>
          </w:p>
        </w:tc>
        <w:tc>
          <w:tcPr>
            <w:tcW w:w="3521" w:type="pct"/>
          </w:tcPr>
          <w:p w14:paraId="07B590A0" w14:textId="77777777" w:rsidR="00F80C33" w:rsidRDefault="00723BFB">
            <w:pPr>
              <w:pStyle w:val="TableBody"/>
              <w:rPr>
                <w:i/>
              </w:rPr>
            </w:pPr>
            <w:r>
              <w:rPr>
                <w:i/>
              </w:rPr>
              <w:t>RUC Capacity Purchase at Snapshot</w:t>
            </w:r>
            <w:r>
              <w:t xml:space="preserve">—The QSE </w:t>
            </w:r>
            <w:r>
              <w:rPr>
                <w:i/>
              </w:rPr>
              <w:t>q</w:t>
            </w:r>
            <w:r>
              <w:t xml:space="preserve">’s </w:t>
            </w:r>
            <w:r w:rsidR="00030CE9">
              <w:t>c</w:t>
            </w:r>
            <w:r>
              <w:t>apacity purchase, according to the COP and Trades Snapshot for the RUC process for the hour</w:t>
            </w:r>
            <w:r w:rsidR="00FF64D5" w:rsidRPr="0074109A">
              <w:rPr>
                <w:i/>
              </w:rPr>
              <w:t xml:space="preserve"> h</w:t>
            </w:r>
            <w:r>
              <w:t xml:space="preserve"> that includes the 15-minute Settlement Interval.</w:t>
            </w:r>
          </w:p>
        </w:tc>
      </w:tr>
      <w:tr w:rsidR="00F80C33" w14:paraId="48220DF2" w14:textId="77777777" w:rsidTr="00E766A8">
        <w:trPr>
          <w:cantSplit/>
        </w:trPr>
        <w:tc>
          <w:tcPr>
            <w:tcW w:w="1096" w:type="pct"/>
          </w:tcPr>
          <w:p w14:paraId="70790055" w14:textId="77777777" w:rsidR="00F80C33" w:rsidRDefault="00723BFB">
            <w:pPr>
              <w:pStyle w:val="TableBody"/>
            </w:pPr>
            <w:r>
              <w:t>RUCCSSNAP</w:t>
            </w:r>
            <w:r w:rsidR="00FF64D5">
              <w:t xml:space="preserve"> </w:t>
            </w:r>
            <w:r>
              <w:rPr>
                <w:i/>
                <w:vertAlign w:val="subscript"/>
              </w:rPr>
              <w:t>q,</w:t>
            </w:r>
            <w:r w:rsidR="00FF64D5">
              <w:rPr>
                <w:i/>
                <w:vertAlign w:val="subscript"/>
              </w:rPr>
              <w:t xml:space="preserve"> </w:t>
            </w:r>
            <w:r>
              <w:rPr>
                <w:i/>
                <w:vertAlign w:val="subscript"/>
              </w:rPr>
              <w:t>h</w:t>
            </w:r>
          </w:p>
        </w:tc>
        <w:tc>
          <w:tcPr>
            <w:tcW w:w="383" w:type="pct"/>
          </w:tcPr>
          <w:p w14:paraId="6D0EB1C4" w14:textId="77777777" w:rsidR="00F80C33" w:rsidRDefault="00723BFB">
            <w:pPr>
              <w:pStyle w:val="TableBody"/>
              <w:jc w:val="center"/>
            </w:pPr>
            <w:r>
              <w:t>MW</w:t>
            </w:r>
          </w:p>
        </w:tc>
        <w:tc>
          <w:tcPr>
            <w:tcW w:w="3521" w:type="pct"/>
          </w:tcPr>
          <w:p w14:paraId="67C693D4" w14:textId="77777777" w:rsidR="00F80C33" w:rsidRDefault="00723BFB">
            <w:pPr>
              <w:pStyle w:val="TableBody"/>
              <w:rPr>
                <w:i/>
              </w:rPr>
            </w:pPr>
            <w:r>
              <w:rPr>
                <w:i/>
              </w:rPr>
              <w:t>RUC Capacity Sale at Snapshot</w:t>
            </w:r>
            <w:r>
              <w:t xml:space="preserve">—The QSE </w:t>
            </w:r>
            <w:r>
              <w:rPr>
                <w:i/>
              </w:rPr>
              <w:t>q</w:t>
            </w:r>
            <w:r>
              <w:t>’s capacity sale, according to the COP and Trades Snapshot for the RUC process for the hour</w:t>
            </w:r>
            <w:r w:rsidR="00FF64D5" w:rsidRPr="0074109A">
              <w:rPr>
                <w:i/>
              </w:rPr>
              <w:t xml:space="preserve"> h</w:t>
            </w:r>
            <w:r>
              <w:t xml:space="preserve"> that includes the 15-minute Settlement Interval.</w:t>
            </w:r>
          </w:p>
        </w:tc>
      </w:tr>
      <w:tr w:rsidR="00F80C33" w14:paraId="31310F58" w14:textId="77777777" w:rsidTr="00E766A8">
        <w:trPr>
          <w:cantSplit/>
        </w:trPr>
        <w:tc>
          <w:tcPr>
            <w:tcW w:w="1096" w:type="pct"/>
          </w:tcPr>
          <w:p w14:paraId="5D7DE643" w14:textId="77777777" w:rsidR="00F80C33" w:rsidRDefault="00723BFB">
            <w:pPr>
              <w:pStyle w:val="TableBody"/>
            </w:pPr>
            <w:r>
              <w:t>RUCCAPADJ</w:t>
            </w:r>
            <w:r w:rsidR="00FF64D5">
              <w:t xml:space="preserve"> </w:t>
            </w:r>
            <w:r>
              <w:rPr>
                <w:i/>
                <w:vertAlign w:val="subscript"/>
              </w:rPr>
              <w:t>q,</w:t>
            </w:r>
            <w:r w:rsidR="00FF64D5">
              <w:rPr>
                <w:i/>
                <w:vertAlign w:val="subscript"/>
              </w:rPr>
              <w:t xml:space="preserve"> </w:t>
            </w:r>
            <w:r>
              <w:rPr>
                <w:i/>
                <w:vertAlign w:val="subscript"/>
              </w:rPr>
              <w:t>i</w:t>
            </w:r>
          </w:p>
        </w:tc>
        <w:tc>
          <w:tcPr>
            <w:tcW w:w="383" w:type="pct"/>
          </w:tcPr>
          <w:p w14:paraId="41F78104" w14:textId="77777777" w:rsidR="00F80C33" w:rsidRDefault="00723BFB">
            <w:pPr>
              <w:pStyle w:val="TableBody"/>
              <w:jc w:val="center"/>
            </w:pPr>
            <w:r>
              <w:t>MW</w:t>
            </w:r>
          </w:p>
        </w:tc>
        <w:tc>
          <w:tcPr>
            <w:tcW w:w="3521" w:type="pct"/>
          </w:tcPr>
          <w:p w14:paraId="4F1D46C7" w14:textId="77777777" w:rsidR="00F80C33" w:rsidRDefault="00723BFB" w:rsidP="00A90740">
            <w:pPr>
              <w:pStyle w:val="TableBody"/>
              <w:rPr>
                <w:i/>
              </w:rPr>
            </w:pPr>
            <w:r>
              <w:rPr>
                <w:i/>
              </w:rPr>
              <w:t>RUC Capacity Snapshot during Adjustment Period</w:t>
            </w:r>
            <w:r w:rsidR="003D22F1">
              <w:t>—</w:t>
            </w:r>
            <w:r>
              <w:t>The amount of the QSE</w:t>
            </w:r>
            <w:r w:rsidR="00FF64D5">
              <w:rPr>
                <w:i/>
              </w:rPr>
              <w:t xml:space="preserve"> q</w:t>
            </w:r>
            <w:r>
              <w:t>’s calculated capacity in the RUC according to the COP and Trades Snapshot</w:t>
            </w:r>
            <w:r w:rsidR="006C45CE">
              <w:t xml:space="preserve">, excluding capacity for </w:t>
            </w:r>
            <w:r w:rsidR="00A90740">
              <w:t>IRRs</w:t>
            </w:r>
            <w:r w:rsidR="006C45CE">
              <w:t>,</w:t>
            </w:r>
            <w:r>
              <w:t xml:space="preserve"> at the end of the Adjustment Period for a 15-minute Settlement Interval</w:t>
            </w:r>
            <w:r w:rsidR="00FF64D5" w:rsidRPr="0074109A">
              <w:rPr>
                <w:i/>
              </w:rPr>
              <w:t xml:space="preserve"> i</w:t>
            </w:r>
            <w:r w:rsidR="00FF64D5">
              <w:rPr>
                <w:i/>
              </w:rPr>
              <w:t>.</w:t>
            </w:r>
          </w:p>
        </w:tc>
      </w:tr>
      <w:tr w:rsidR="00F80C33" w14:paraId="55B52D52" w14:textId="77777777" w:rsidTr="00E766A8">
        <w:trPr>
          <w:cantSplit/>
        </w:trPr>
        <w:tc>
          <w:tcPr>
            <w:tcW w:w="1096" w:type="pct"/>
          </w:tcPr>
          <w:p w14:paraId="42266EA6" w14:textId="77777777" w:rsidR="00F80C33" w:rsidRDefault="00723BFB">
            <w:pPr>
              <w:pStyle w:val="TableBody"/>
            </w:pPr>
            <w:r>
              <w:t>HASLADJ</w:t>
            </w:r>
            <w:r w:rsidR="00FF64D5">
              <w:t xml:space="preserve"> </w:t>
            </w:r>
            <w:r>
              <w:rPr>
                <w:i/>
                <w:vertAlign w:val="subscript"/>
              </w:rPr>
              <w:t>q,</w:t>
            </w:r>
            <w:r w:rsidR="00FF64D5">
              <w:rPr>
                <w:i/>
                <w:vertAlign w:val="subscript"/>
              </w:rPr>
              <w:t xml:space="preserve"> </w:t>
            </w:r>
            <w:r>
              <w:rPr>
                <w:i/>
                <w:vertAlign w:val="subscript"/>
              </w:rPr>
              <w:t>r,</w:t>
            </w:r>
            <w:r w:rsidR="00FF64D5">
              <w:rPr>
                <w:i/>
                <w:vertAlign w:val="subscript"/>
              </w:rPr>
              <w:t xml:space="preserve"> </w:t>
            </w:r>
            <w:r>
              <w:rPr>
                <w:i/>
                <w:vertAlign w:val="subscript"/>
              </w:rPr>
              <w:t>h</w:t>
            </w:r>
          </w:p>
        </w:tc>
        <w:tc>
          <w:tcPr>
            <w:tcW w:w="383" w:type="pct"/>
          </w:tcPr>
          <w:p w14:paraId="576F9B50" w14:textId="77777777" w:rsidR="00F80C33" w:rsidRDefault="00723BFB">
            <w:pPr>
              <w:pStyle w:val="TableBody"/>
              <w:jc w:val="center"/>
            </w:pPr>
            <w:r>
              <w:t>MW</w:t>
            </w:r>
          </w:p>
        </w:tc>
        <w:tc>
          <w:tcPr>
            <w:tcW w:w="3521" w:type="pct"/>
          </w:tcPr>
          <w:p w14:paraId="6FA63110" w14:textId="77777777" w:rsidR="00386F27" w:rsidRDefault="00723BFB" w:rsidP="00A90740">
            <w:pPr>
              <w:pStyle w:val="TableBody"/>
              <w:rPr>
                <w:i/>
              </w:rPr>
            </w:pPr>
            <w:r>
              <w:rPr>
                <w:i/>
              </w:rPr>
              <w:t>High Ancillary Services Limit at Adjustment Period</w:t>
            </w:r>
            <w:r w:rsidR="003D22F1">
              <w:t>—</w:t>
            </w:r>
            <w:r>
              <w:t xml:space="preserve">The </w:t>
            </w:r>
            <w:r w:rsidR="008C3552">
              <w:t>HASL</w:t>
            </w:r>
            <w:r>
              <w:t xml:space="preserve"> of </w:t>
            </w:r>
            <w:r w:rsidR="006C45CE">
              <w:t>a non-</w:t>
            </w:r>
            <w:r w:rsidR="00A90740">
              <w:t>IRR</w:t>
            </w:r>
            <w:r>
              <w:t xml:space="preserve"> </w:t>
            </w:r>
            <w:r>
              <w:rPr>
                <w:i/>
              </w:rPr>
              <w:t>r</w:t>
            </w:r>
            <w:r>
              <w:t xml:space="preserve"> represented by the QSE </w:t>
            </w:r>
            <w:r>
              <w:rPr>
                <w:i/>
              </w:rPr>
              <w:t>q</w:t>
            </w:r>
            <w:r>
              <w:t xml:space="preserve">, according to the </w:t>
            </w:r>
            <w:r w:rsidR="003667DB">
              <w:t>A</w:t>
            </w:r>
            <w:r>
              <w:t xml:space="preserve">djustment </w:t>
            </w:r>
            <w:r w:rsidR="003667DB">
              <w:t>P</w:t>
            </w:r>
            <w:r>
              <w:t xml:space="preserve">eriod snapshot, for the hour </w:t>
            </w:r>
            <w:r w:rsidR="00FF64D5" w:rsidRPr="0074109A">
              <w:rPr>
                <w:i/>
              </w:rPr>
              <w:t>h</w:t>
            </w:r>
            <w:r w:rsidR="00FF64D5">
              <w:t xml:space="preserve"> </w:t>
            </w:r>
            <w:r>
              <w:t>that includes the 15-minute Settlement Interval.</w:t>
            </w:r>
            <w:r w:rsidR="003667DB">
              <w:t xml:space="preserve">  Where for a Combined Cycle Train, the Resource </w:t>
            </w:r>
            <w:r w:rsidR="003667DB" w:rsidRPr="00B34C5D">
              <w:rPr>
                <w:i/>
              </w:rPr>
              <w:t>r</w:t>
            </w:r>
            <w:r w:rsidR="003667DB">
              <w:rPr>
                <w:i/>
              </w:rPr>
              <w:t xml:space="preserve"> </w:t>
            </w:r>
            <w:r w:rsidR="003667DB" w:rsidRPr="001C65E0">
              <w:t xml:space="preserve">is a </w:t>
            </w:r>
            <w:r w:rsidR="003667DB">
              <w:t>Combined Cycle Generation Resource within the Combined Cycle Train.</w:t>
            </w:r>
            <w:r>
              <w:t xml:space="preserve">  </w:t>
            </w:r>
          </w:p>
        </w:tc>
      </w:tr>
      <w:tr w:rsidR="00F80C33" w14:paraId="4ED5F11F" w14:textId="77777777" w:rsidTr="00E766A8">
        <w:trPr>
          <w:cantSplit/>
        </w:trPr>
        <w:tc>
          <w:tcPr>
            <w:tcW w:w="1096" w:type="pct"/>
          </w:tcPr>
          <w:p w14:paraId="22987C08" w14:textId="77777777" w:rsidR="00F80C33" w:rsidRDefault="00723BFB">
            <w:pPr>
              <w:pStyle w:val="TableBody"/>
            </w:pPr>
            <w:r>
              <w:t>RUCCPADJ</w:t>
            </w:r>
            <w:r w:rsidR="00FF64D5">
              <w:t xml:space="preserve"> </w:t>
            </w:r>
            <w:r>
              <w:rPr>
                <w:i/>
                <w:vertAlign w:val="subscript"/>
              </w:rPr>
              <w:t>q,</w:t>
            </w:r>
            <w:r w:rsidR="00FF64D5">
              <w:rPr>
                <w:i/>
                <w:vertAlign w:val="subscript"/>
              </w:rPr>
              <w:t xml:space="preserve"> </w:t>
            </w:r>
            <w:r>
              <w:rPr>
                <w:i/>
                <w:vertAlign w:val="subscript"/>
              </w:rPr>
              <w:t>h</w:t>
            </w:r>
          </w:p>
        </w:tc>
        <w:tc>
          <w:tcPr>
            <w:tcW w:w="383" w:type="pct"/>
          </w:tcPr>
          <w:p w14:paraId="4EDAFF32" w14:textId="77777777" w:rsidR="00F80C33" w:rsidRDefault="00723BFB">
            <w:pPr>
              <w:pStyle w:val="TableBody"/>
              <w:jc w:val="center"/>
            </w:pPr>
            <w:r>
              <w:t>MW</w:t>
            </w:r>
          </w:p>
        </w:tc>
        <w:tc>
          <w:tcPr>
            <w:tcW w:w="3521" w:type="pct"/>
          </w:tcPr>
          <w:p w14:paraId="427CF529" w14:textId="77777777" w:rsidR="00F80C33" w:rsidRDefault="00723BFB">
            <w:pPr>
              <w:pStyle w:val="TableBody"/>
              <w:rPr>
                <w:i/>
              </w:rPr>
            </w:pPr>
            <w:r>
              <w:rPr>
                <w:i/>
              </w:rPr>
              <w:t>RUC Capacity Purchase at Adjustment Period</w:t>
            </w:r>
            <w:r>
              <w:t xml:space="preserve">—The QSE </w:t>
            </w:r>
            <w:r>
              <w:rPr>
                <w:i/>
              </w:rPr>
              <w:t>q</w:t>
            </w:r>
            <w:r>
              <w:t xml:space="preserve">’s capacity purchase, according to the Adjustment Period COP and Trades Snapshot for the hour </w:t>
            </w:r>
            <w:r w:rsidR="0099260E" w:rsidRPr="0074109A">
              <w:rPr>
                <w:i/>
              </w:rPr>
              <w:t>h</w:t>
            </w:r>
            <w:r w:rsidR="0099260E">
              <w:t xml:space="preserve"> </w:t>
            </w:r>
            <w:r>
              <w:t>that includes the 15-minute Settlement Interval.</w:t>
            </w:r>
          </w:p>
        </w:tc>
      </w:tr>
      <w:tr w:rsidR="00F80C33" w14:paraId="7FEAB9BA" w14:textId="77777777" w:rsidTr="00E766A8">
        <w:trPr>
          <w:cantSplit/>
        </w:trPr>
        <w:tc>
          <w:tcPr>
            <w:tcW w:w="1096" w:type="pct"/>
          </w:tcPr>
          <w:p w14:paraId="00901A31" w14:textId="77777777" w:rsidR="00F80C33" w:rsidRDefault="00723BFB">
            <w:pPr>
              <w:pStyle w:val="TableBody"/>
            </w:pPr>
            <w:r>
              <w:t>RUCCSADJ</w:t>
            </w:r>
            <w:r w:rsidR="00FF64D5">
              <w:t xml:space="preserve"> </w:t>
            </w:r>
            <w:r>
              <w:rPr>
                <w:i/>
                <w:vertAlign w:val="subscript"/>
              </w:rPr>
              <w:t>q,</w:t>
            </w:r>
            <w:r w:rsidR="00FF64D5">
              <w:rPr>
                <w:i/>
                <w:vertAlign w:val="subscript"/>
              </w:rPr>
              <w:t xml:space="preserve"> </w:t>
            </w:r>
            <w:r>
              <w:rPr>
                <w:i/>
                <w:vertAlign w:val="subscript"/>
              </w:rPr>
              <w:t>h</w:t>
            </w:r>
          </w:p>
        </w:tc>
        <w:tc>
          <w:tcPr>
            <w:tcW w:w="383" w:type="pct"/>
          </w:tcPr>
          <w:p w14:paraId="33497ACE" w14:textId="77777777" w:rsidR="00F80C33" w:rsidRDefault="00723BFB">
            <w:pPr>
              <w:pStyle w:val="TableBody"/>
              <w:jc w:val="center"/>
            </w:pPr>
            <w:r>
              <w:t>MW</w:t>
            </w:r>
          </w:p>
        </w:tc>
        <w:tc>
          <w:tcPr>
            <w:tcW w:w="3521" w:type="pct"/>
          </w:tcPr>
          <w:p w14:paraId="24F902BC" w14:textId="77777777" w:rsidR="00F80C33" w:rsidRDefault="00723BFB">
            <w:pPr>
              <w:pStyle w:val="TableBody"/>
              <w:rPr>
                <w:i/>
              </w:rPr>
            </w:pPr>
            <w:r>
              <w:rPr>
                <w:i/>
              </w:rPr>
              <w:t>RUC Capacity Sale at Adjustment Period</w:t>
            </w:r>
            <w:r>
              <w:t xml:space="preserve">—The QSE </w:t>
            </w:r>
            <w:r>
              <w:rPr>
                <w:i/>
              </w:rPr>
              <w:t>q</w:t>
            </w:r>
            <w:r>
              <w:t xml:space="preserve">’s capacity sale, according to the Adjustment Period COP and Trades Snapshot for the hour </w:t>
            </w:r>
            <w:r w:rsidR="0099260E" w:rsidRPr="0074109A">
              <w:rPr>
                <w:i/>
              </w:rPr>
              <w:t>h</w:t>
            </w:r>
            <w:r w:rsidR="0099260E">
              <w:t xml:space="preserve"> </w:t>
            </w:r>
            <w:r>
              <w:t>that includes the 15-minute Settlement Interval.</w:t>
            </w:r>
          </w:p>
        </w:tc>
      </w:tr>
      <w:tr w:rsidR="00F80C33" w14:paraId="4EDDD0EE" w14:textId="77777777" w:rsidTr="00E766A8">
        <w:trPr>
          <w:cantSplit/>
        </w:trPr>
        <w:tc>
          <w:tcPr>
            <w:tcW w:w="1096" w:type="pct"/>
          </w:tcPr>
          <w:p w14:paraId="6AE40B71" w14:textId="77777777" w:rsidR="00F80C33" w:rsidRDefault="00723BFB">
            <w:pPr>
              <w:pStyle w:val="TableBody"/>
            </w:pPr>
            <w:r>
              <w:t>DAEP</w:t>
            </w:r>
            <w:r w:rsidR="00FF64D5">
              <w:t xml:space="preserve"> </w:t>
            </w:r>
            <w:r>
              <w:rPr>
                <w:i/>
                <w:vertAlign w:val="subscript"/>
              </w:rPr>
              <w:t>q,</w:t>
            </w:r>
            <w:r w:rsidR="00FF64D5">
              <w:rPr>
                <w:i/>
                <w:vertAlign w:val="subscript"/>
              </w:rPr>
              <w:t xml:space="preserve"> </w:t>
            </w:r>
            <w:r>
              <w:rPr>
                <w:i/>
                <w:vertAlign w:val="subscript"/>
              </w:rPr>
              <w:t>p,</w:t>
            </w:r>
            <w:r w:rsidR="00FF64D5">
              <w:rPr>
                <w:i/>
                <w:vertAlign w:val="subscript"/>
              </w:rPr>
              <w:t xml:space="preserve"> </w:t>
            </w:r>
            <w:r>
              <w:rPr>
                <w:i/>
                <w:vertAlign w:val="subscript"/>
              </w:rPr>
              <w:t>h</w:t>
            </w:r>
          </w:p>
        </w:tc>
        <w:tc>
          <w:tcPr>
            <w:tcW w:w="383" w:type="pct"/>
          </w:tcPr>
          <w:p w14:paraId="4997E1D1" w14:textId="77777777" w:rsidR="00F80C33" w:rsidRDefault="00723BFB">
            <w:pPr>
              <w:pStyle w:val="TableBody"/>
              <w:jc w:val="center"/>
            </w:pPr>
            <w:r>
              <w:t>MW</w:t>
            </w:r>
          </w:p>
        </w:tc>
        <w:tc>
          <w:tcPr>
            <w:tcW w:w="3521" w:type="pct"/>
          </w:tcPr>
          <w:p w14:paraId="62BEDAD4" w14:textId="77777777" w:rsidR="00F80C33" w:rsidRDefault="00723BFB">
            <w:pPr>
              <w:pStyle w:val="TableBody"/>
            </w:pPr>
            <w:r>
              <w:rPr>
                <w:i/>
              </w:rPr>
              <w:t>Day-Ahead Energy Purchase</w:t>
            </w:r>
            <w:r>
              <w:t xml:space="preserve">—The QSE </w:t>
            </w:r>
            <w:r>
              <w:rPr>
                <w:i/>
              </w:rPr>
              <w:t>q</w:t>
            </w:r>
            <w:r>
              <w:t xml:space="preserve">’s energy purchased in the DAM at the Settlement Point </w:t>
            </w:r>
            <w:r>
              <w:rPr>
                <w:i/>
              </w:rPr>
              <w:t>p</w:t>
            </w:r>
            <w:r>
              <w:t xml:space="preserve"> for the hour</w:t>
            </w:r>
            <w:r w:rsidR="0099260E" w:rsidRPr="0074109A">
              <w:rPr>
                <w:i/>
              </w:rPr>
              <w:t xml:space="preserve"> h</w:t>
            </w:r>
            <w:r>
              <w:t xml:space="preserve"> that includes the 15-minute Settlement Interval.</w:t>
            </w:r>
          </w:p>
        </w:tc>
      </w:tr>
      <w:tr w:rsidR="00F80C33" w14:paraId="59F4C5DC" w14:textId="77777777" w:rsidTr="00E766A8">
        <w:trPr>
          <w:cantSplit/>
        </w:trPr>
        <w:tc>
          <w:tcPr>
            <w:tcW w:w="1096" w:type="pct"/>
          </w:tcPr>
          <w:p w14:paraId="2EA5131A" w14:textId="77777777" w:rsidR="00F80C33" w:rsidRDefault="00723BFB">
            <w:pPr>
              <w:pStyle w:val="TableBody"/>
            </w:pPr>
            <w:r>
              <w:t>DAES</w:t>
            </w:r>
            <w:r w:rsidR="00FF64D5">
              <w:t xml:space="preserve"> </w:t>
            </w:r>
            <w:r>
              <w:rPr>
                <w:i/>
                <w:vertAlign w:val="subscript"/>
              </w:rPr>
              <w:t>q,</w:t>
            </w:r>
            <w:r w:rsidR="00FF64D5">
              <w:rPr>
                <w:i/>
                <w:vertAlign w:val="subscript"/>
              </w:rPr>
              <w:t xml:space="preserve"> </w:t>
            </w:r>
            <w:r>
              <w:rPr>
                <w:i/>
                <w:vertAlign w:val="subscript"/>
              </w:rPr>
              <w:t>p,</w:t>
            </w:r>
            <w:r w:rsidR="00FF64D5">
              <w:rPr>
                <w:i/>
                <w:vertAlign w:val="subscript"/>
              </w:rPr>
              <w:t xml:space="preserve"> </w:t>
            </w:r>
            <w:r>
              <w:rPr>
                <w:i/>
                <w:vertAlign w:val="subscript"/>
              </w:rPr>
              <w:t>h</w:t>
            </w:r>
          </w:p>
        </w:tc>
        <w:tc>
          <w:tcPr>
            <w:tcW w:w="383" w:type="pct"/>
          </w:tcPr>
          <w:p w14:paraId="0DDAA1B8" w14:textId="77777777" w:rsidR="00F80C33" w:rsidRDefault="00723BFB">
            <w:pPr>
              <w:pStyle w:val="TableBody"/>
              <w:jc w:val="center"/>
            </w:pPr>
            <w:r>
              <w:t>MW</w:t>
            </w:r>
          </w:p>
        </w:tc>
        <w:tc>
          <w:tcPr>
            <w:tcW w:w="3521" w:type="pct"/>
          </w:tcPr>
          <w:p w14:paraId="177AB815" w14:textId="77777777" w:rsidR="00F80C33" w:rsidRDefault="00723BFB">
            <w:pPr>
              <w:pStyle w:val="TableBody"/>
            </w:pPr>
            <w:r>
              <w:rPr>
                <w:i/>
              </w:rPr>
              <w:t>Day-Ahead Energy Sale</w:t>
            </w:r>
            <w:r>
              <w:t xml:space="preserve">—The QSE </w:t>
            </w:r>
            <w:r>
              <w:rPr>
                <w:i/>
              </w:rPr>
              <w:t>q</w:t>
            </w:r>
            <w:r>
              <w:t xml:space="preserve">’s energy sold in the DAM at the Settlement Point </w:t>
            </w:r>
            <w:r>
              <w:rPr>
                <w:i/>
              </w:rPr>
              <w:t>p</w:t>
            </w:r>
            <w:r>
              <w:t xml:space="preserve"> for the hour</w:t>
            </w:r>
            <w:r w:rsidR="0099260E" w:rsidRPr="0074109A">
              <w:rPr>
                <w:i/>
              </w:rPr>
              <w:t xml:space="preserve"> h</w:t>
            </w:r>
            <w:r>
              <w:t xml:space="preserve"> that includes the 15-minute Settlement Interval.</w:t>
            </w:r>
          </w:p>
        </w:tc>
      </w:tr>
      <w:tr w:rsidR="00F80C33" w14:paraId="6943CBF3" w14:textId="77777777" w:rsidTr="00E766A8">
        <w:trPr>
          <w:cantSplit/>
        </w:trPr>
        <w:tc>
          <w:tcPr>
            <w:tcW w:w="1096" w:type="pct"/>
          </w:tcPr>
          <w:p w14:paraId="1E5766A9" w14:textId="77777777" w:rsidR="00F80C33" w:rsidRDefault="00723BFB">
            <w:pPr>
              <w:pStyle w:val="TableBody"/>
            </w:pPr>
            <w:r>
              <w:t>RTQQEPSNAP</w:t>
            </w:r>
            <w:r w:rsidR="00FF64D5">
              <w:t xml:space="preserve"> </w:t>
            </w:r>
            <w:r>
              <w:rPr>
                <w:i/>
                <w:vertAlign w:val="subscript"/>
              </w:rPr>
              <w:t>q,</w:t>
            </w:r>
            <w:r w:rsidR="00FF64D5">
              <w:rPr>
                <w:i/>
                <w:vertAlign w:val="subscript"/>
              </w:rPr>
              <w:t xml:space="preserve"> </w:t>
            </w:r>
            <w:r>
              <w:rPr>
                <w:i/>
                <w:vertAlign w:val="subscript"/>
              </w:rPr>
              <w:t>p,</w:t>
            </w:r>
            <w:r w:rsidR="00FF64D5">
              <w:rPr>
                <w:i/>
                <w:vertAlign w:val="subscript"/>
              </w:rPr>
              <w:t xml:space="preserve"> </w:t>
            </w:r>
            <w:r>
              <w:rPr>
                <w:i/>
                <w:vertAlign w:val="subscript"/>
              </w:rPr>
              <w:t>i</w:t>
            </w:r>
          </w:p>
        </w:tc>
        <w:tc>
          <w:tcPr>
            <w:tcW w:w="383" w:type="pct"/>
          </w:tcPr>
          <w:p w14:paraId="1A0A1DCA" w14:textId="77777777" w:rsidR="00F80C33" w:rsidRDefault="00723BFB">
            <w:pPr>
              <w:pStyle w:val="TableBody"/>
              <w:jc w:val="center"/>
            </w:pPr>
            <w:r>
              <w:t>MW</w:t>
            </w:r>
          </w:p>
        </w:tc>
        <w:tc>
          <w:tcPr>
            <w:tcW w:w="3521" w:type="pct"/>
          </w:tcPr>
          <w:p w14:paraId="1125914C" w14:textId="77777777" w:rsidR="00F80C33" w:rsidRDefault="00723BFB">
            <w:pPr>
              <w:pStyle w:val="TableBody"/>
              <w:rPr>
                <w:i/>
              </w:rPr>
            </w:pPr>
            <w:r>
              <w:rPr>
                <w:i/>
              </w:rPr>
              <w:t>QSE-to-QSE Energy Purchase by QSE by point</w:t>
            </w:r>
            <w:r>
              <w:t xml:space="preserve">—The QSE </w:t>
            </w:r>
            <w:r>
              <w:rPr>
                <w:i/>
              </w:rPr>
              <w:t>q</w:t>
            </w:r>
            <w:r>
              <w:t xml:space="preserve">’s Energy Trades in which the QSE is the buyer at the delivery Settlement Point </w:t>
            </w:r>
            <w:r>
              <w:rPr>
                <w:i/>
              </w:rPr>
              <w:t>p</w:t>
            </w:r>
            <w:r>
              <w:t xml:space="preserve"> for the 15-minute Settlement Interval</w:t>
            </w:r>
            <w:r w:rsidR="0099260E" w:rsidRPr="0074109A">
              <w:rPr>
                <w:i/>
              </w:rPr>
              <w:t xml:space="preserve"> i</w:t>
            </w:r>
            <w:r>
              <w:t>, in the COP and Trades Snapshot.</w:t>
            </w:r>
          </w:p>
        </w:tc>
      </w:tr>
      <w:tr w:rsidR="00F80C33" w14:paraId="2A44947B" w14:textId="77777777" w:rsidTr="00E766A8">
        <w:trPr>
          <w:cantSplit/>
        </w:trPr>
        <w:tc>
          <w:tcPr>
            <w:tcW w:w="1096" w:type="pct"/>
          </w:tcPr>
          <w:p w14:paraId="68F42415" w14:textId="77777777" w:rsidR="00F80C33" w:rsidRDefault="00723BFB">
            <w:pPr>
              <w:pStyle w:val="TableBody"/>
            </w:pPr>
            <w:r>
              <w:t>RTQQESSNAP</w:t>
            </w:r>
            <w:r w:rsidR="00FF64D5">
              <w:t xml:space="preserve"> </w:t>
            </w:r>
            <w:r>
              <w:rPr>
                <w:i/>
                <w:vertAlign w:val="subscript"/>
              </w:rPr>
              <w:t>q,</w:t>
            </w:r>
            <w:r w:rsidR="00FF64D5">
              <w:rPr>
                <w:i/>
                <w:vertAlign w:val="subscript"/>
              </w:rPr>
              <w:t xml:space="preserve"> </w:t>
            </w:r>
            <w:r>
              <w:rPr>
                <w:i/>
                <w:vertAlign w:val="subscript"/>
              </w:rPr>
              <w:t>p,</w:t>
            </w:r>
            <w:r w:rsidR="00FF64D5">
              <w:rPr>
                <w:i/>
                <w:vertAlign w:val="subscript"/>
              </w:rPr>
              <w:t xml:space="preserve"> </w:t>
            </w:r>
            <w:r>
              <w:rPr>
                <w:i/>
                <w:vertAlign w:val="subscript"/>
              </w:rPr>
              <w:t>i</w:t>
            </w:r>
          </w:p>
        </w:tc>
        <w:tc>
          <w:tcPr>
            <w:tcW w:w="383" w:type="pct"/>
          </w:tcPr>
          <w:p w14:paraId="79192EAA" w14:textId="77777777" w:rsidR="00F80C33" w:rsidRDefault="00723BFB">
            <w:pPr>
              <w:pStyle w:val="TableBody"/>
              <w:jc w:val="center"/>
            </w:pPr>
            <w:r>
              <w:t>MW</w:t>
            </w:r>
          </w:p>
        </w:tc>
        <w:tc>
          <w:tcPr>
            <w:tcW w:w="3521" w:type="pct"/>
          </w:tcPr>
          <w:p w14:paraId="56202552" w14:textId="77777777" w:rsidR="00F80C33" w:rsidRDefault="00723BFB">
            <w:pPr>
              <w:pStyle w:val="TableBody"/>
              <w:rPr>
                <w:i/>
              </w:rPr>
            </w:pPr>
            <w:r>
              <w:rPr>
                <w:i/>
              </w:rPr>
              <w:t>QSE-to-QSE Energy Sale by QSE by point</w:t>
            </w:r>
            <w:r>
              <w:t xml:space="preserve">—The QSE </w:t>
            </w:r>
            <w:r>
              <w:rPr>
                <w:i/>
              </w:rPr>
              <w:t>q</w:t>
            </w:r>
            <w:r>
              <w:t xml:space="preserve">’s Energy Trades in which the QSE is the seller at the delivery Settlement Point </w:t>
            </w:r>
            <w:r>
              <w:rPr>
                <w:i/>
              </w:rPr>
              <w:t>p</w:t>
            </w:r>
            <w:r>
              <w:t xml:space="preserve"> for the 15-minute Settlement Interval</w:t>
            </w:r>
            <w:r w:rsidR="0099260E" w:rsidRPr="0074109A">
              <w:rPr>
                <w:i/>
              </w:rPr>
              <w:t xml:space="preserve"> i</w:t>
            </w:r>
            <w:r>
              <w:t>, in the COP and Trades Snapshot.</w:t>
            </w:r>
          </w:p>
        </w:tc>
      </w:tr>
      <w:tr w:rsidR="00F80C33" w14:paraId="297CBE67" w14:textId="77777777" w:rsidTr="00E766A8">
        <w:trPr>
          <w:cantSplit/>
        </w:trPr>
        <w:tc>
          <w:tcPr>
            <w:tcW w:w="1096" w:type="pct"/>
          </w:tcPr>
          <w:p w14:paraId="2400F66C" w14:textId="77777777" w:rsidR="00F80C33" w:rsidRDefault="00723BFB">
            <w:pPr>
              <w:pStyle w:val="TableBody"/>
            </w:pPr>
            <w:r>
              <w:t>RTQQEPADJ</w:t>
            </w:r>
            <w:r w:rsidR="00FF64D5">
              <w:t xml:space="preserve"> </w:t>
            </w:r>
            <w:r>
              <w:rPr>
                <w:i/>
                <w:vertAlign w:val="subscript"/>
              </w:rPr>
              <w:t>q,</w:t>
            </w:r>
            <w:r w:rsidR="00FF64D5">
              <w:rPr>
                <w:i/>
                <w:vertAlign w:val="subscript"/>
              </w:rPr>
              <w:t xml:space="preserve"> </w:t>
            </w:r>
            <w:r>
              <w:rPr>
                <w:i/>
                <w:vertAlign w:val="subscript"/>
              </w:rPr>
              <w:t>p,</w:t>
            </w:r>
            <w:r w:rsidR="00FF64D5">
              <w:rPr>
                <w:i/>
                <w:vertAlign w:val="subscript"/>
              </w:rPr>
              <w:t xml:space="preserve"> </w:t>
            </w:r>
            <w:r>
              <w:rPr>
                <w:i/>
                <w:vertAlign w:val="subscript"/>
              </w:rPr>
              <w:t>i</w:t>
            </w:r>
          </w:p>
        </w:tc>
        <w:tc>
          <w:tcPr>
            <w:tcW w:w="383" w:type="pct"/>
          </w:tcPr>
          <w:p w14:paraId="53FA4880" w14:textId="77777777" w:rsidR="00F80C33" w:rsidRDefault="00723BFB">
            <w:pPr>
              <w:pStyle w:val="TableBody"/>
              <w:jc w:val="center"/>
            </w:pPr>
            <w:r>
              <w:t>MW</w:t>
            </w:r>
          </w:p>
        </w:tc>
        <w:tc>
          <w:tcPr>
            <w:tcW w:w="3521" w:type="pct"/>
          </w:tcPr>
          <w:p w14:paraId="43BC4A57" w14:textId="77777777" w:rsidR="00F80C33" w:rsidRDefault="00723BFB">
            <w:pPr>
              <w:pStyle w:val="TableBody"/>
              <w:rPr>
                <w:i/>
              </w:rPr>
            </w:pPr>
            <w:r>
              <w:rPr>
                <w:i/>
              </w:rPr>
              <w:t>QSE-to-QSE Energy Purchase by QSE by point</w:t>
            </w:r>
            <w:r>
              <w:t xml:space="preserve">—The QSE </w:t>
            </w:r>
            <w:r>
              <w:rPr>
                <w:i/>
              </w:rPr>
              <w:t>q</w:t>
            </w:r>
            <w:r>
              <w:t xml:space="preserve">’s Energy Trades in which the QSE is the buyer at the delivery Settlement Point </w:t>
            </w:r>
            <w:r>
              <w:rPr>
                <w:i/>
              </w:rPr>
              <w:t>p</w:t>
            </w:r>
            <w:r>
              <w:t xml:space="preserve"> for the 15-minute Settlement Interval</w:t>
            </w:r>
            <w:r w:rsidR="0099260E" w:rsidRPr="0074109A">
              <w:rPr>
                <w:i/>
              </w:rPr>
              <w:t xml:space="preserve"> i</w:t>
            </w:r>
            <w:r>
              <w:t>, in the last COP and Trades Snapshot at the end of the Adjustment Period for that Settlement Interval.</w:t>
            </w:r>
          </w:p>
        </w:tc>
      </w:tr>
      <w:tr w:rsidR="00F80C33" w14:paraId="5AD34A15" w14:textId="77777777" w:rsidTr="00E766A8">
        <w:trPr>
          <w:cantSplit/>
        </w:trPr>
        <w:tc>
          <w:tcPr>
            <w:tcW w:w="1096" w:type="pct"/>
          </w:tcPr>
          <w:p w14:paraId="31A1443E" w14:textId="77777777" w:rsidR="00F80C33" w:rsidRDefault="00723BFB">
            <w:pPr>
              <w:pStyle w:val="TableBody"/>
            </w:pPr>
            <w:r>
              <w:lastRenderedPageBreak/>
              <w:t>RTQQESADJ</w:t>
            </w:r>
            <w:r w:rsidR="00FF64D5">
              <w:t xml:space="preserve"> </w:t>
            </w:r>
            <w:r>
              <w:rPr>
                <w:i/>
                <w:vertAlign w:val="subscript"/>
              </w:rPr>
              <w:t>q,</w:t>
            </w:r>
            <w:r w:rsidR="00FF64D5">
              <w:rPr>
                <w:i/>
                <w:vertAlign w:val="subscript"/>
              </w:rPr>
              <w:t xml:space="preserve"> </w:t>
            </w:r>
            <w:r>
              <w:rPr>
                <w:i/>
                <w:vertAlign w:val="subscript"/>
              </w:rPr>
              <w:t>p,</w:t>
            </w:r>
            <w:r w:rsidR="00FF64D5">
              <w:rPr>
                <w:i/>
                <w:vertAlign w:val="subscript"/>
              </w:rPr>
              <w:t xml:space="preserve"> </w:t>
            </w:r>
            <w:r>
              <w:rPr>
                <w:i/>
                <w:vertAlign w:val="subscript"/>
              </w:rPr>
              <w:t>i</w:t>
            </w:r>
          </w:p>
        </w:tc>
        <w:tc>
          <w:tcPr>
            <w:tcW w:w="383" w:type="pct"/>
          </w:tcPr>
          <w:p w14:paraId="12C3DBAA" w14:textId="77777777" w:rsidR="00F80C33" w:rsidRDefault="00723BFB">
            <w:pPr>
              <w:pStyle w:val="TableBody"/>
              <w:jc w:val="center"/>
            </w:pPr>
            <w:r>
              <w:t>MW</w:t>
            </w:r>
          </w:p>
        </w:tc>
        <w:tc>
          <w:tcPr>
            <w:tcW w:w="3521" w:type="pct"/>
          </w:tcPr>
          <w:p w14:paraId="7ECEB3C3" w14:textId="77777777" w:rsidR="00F80C33" w:rsidRDefault="00723BFB">
            <w:pPr>
              <w:pStyle w:val="TableBody"/>
              <w:rPr>
                <w:i/>
              </w:rPr>
            </w:pPr>
            <w:r>
              <w:rPr>
                <w:i/>
              </w:rPr>
              <w:t>QSE-to-QSE Energy Sale by QSE by point</w:t>
            </w:r>
            <w:r>
              <w:t xml:space="preserve">—The QSE </w:t>
            </w:r>
            <w:r>
              <w:rPr>
                <w:i/>
              </w:rPr>
              <w:t>q</w:t>
            </w:r>
            <w:r>
              <w:t xml:space="preserve">’s Energy Trades in which the QSE is the seller at the delivery Settlement Point </w:t>
            </w:r>
            <w:r>
              <w:rPr>
                <w:i/>
              </w:rPr>
              <w:t>p</w:t>
            </w:r>
            <w:r>
              <w:t xml:space="preserve"> for the 15-minute Settlement Interval</w:t>
            </w:r>
            <w:r w:rsidR="0099260E" w:rsidRPr="0074109A">
              <w:rPr>
                <w:i/>
              </w:rPr>
              <w:t xml:space="preserve"> i</w:t>
            </w:r>
            <w:r>
              <w:t>, in the last COP and Trades Snapshot at the end of the Adjustment Period for that Settlement Interval.</w:t>
            </w:r>
          </w:p>
        </w:tc>
      </w:tr>
      <w:tr w:rsidR="00F80C33" w14:paraId="4FED1053" w14:textId="77777777" w:rsidTr="00E766A8">
        <w:trPr>
          <w:cantSplit/>
        </w:trPr>
        <w:tc>
          <w:tcPr>
            <w:tcW w:w="1096" w:type="pct"/>
          </w:tcPr>
          <w:p w14:paraId="76CDE669" w14:textId="77777777" w:rsidR="00F80C33" w:rsidRDefault="00723BFB">
            <w:pPr>
              <w:pStyle w:val="TableBody"/>
              <w:rPr>
                <w:i/>
              </w:rPr>
            </w:pPr>
            <w:r>
              <w:rPr>
                <w:i/>
              </w:rPr>
              <w:t>q</w:t>
            </w:r>
          </w:p>
        </w:tc>
        <w:tc>
          <w:tcPr>
            <w:tcW w:w="383" w:type="pct"/>
          </w:tcPr>
          <w:p w14:paraId="540D41BB" w14:textId="77777777" w:rsidR="00F80C33" w:rsidRDefault="00723BFB">
            <w:pPr>
              <w:pStyle w:val="TableBody"/>
              <w:jc w:val="center"/>
            </w:pPr>
            <w:r>
              <w:t>none</w:t>
            </w:r>
          </w:p>
        </w:tc>
        <w:tc>
          <w:tcPr>
            <w:tcW w:w="3521" w:type="pct"/>
          </w:tcPr>
          <w:p w14:paraId="1B9F78E1" w14:textId="77777777" w:rsidR="00F80C33" w:rsidRDefault="00723BFB">
            <w:pPr>
              <w:pStyle w:val="TableBody"/>
            </w:pPr>
            <w:r>
              <w:t>A QSE.</w:t>
            </w:r>
          </w:p>
        </w:tc>
      </w:tr>
      <w:tr w:rsidR="00F80C33" w14:paraId="6F72493F" w14:textId="77777777" w:rsidTr="00E766A8">
        <w:trPr>
          <w:cantSplit/>
        </w:trPr>
        <w:tc>
          <w:tcPr>
            <w:tcW w:w="1096" w:type="pct"/>
          </w:tcPr>
          <w:p w14:paraId="54983005" w14:textId="77777777" w:rsidR="00F80C33" w:rsidRDefault="00723BFB">
            <w:pPr>
              <w:pStyle w:val="TableBody"/>
              <w:rPr>
                <w:i/>
              </w:rPr>
            </w:pPr>
            <w:r>
              <w:rPr>
                <w:i/>
              </w:rPr>
              <w:t>p</w:t>
            </w:r>
          </w:p>
        </w:tc>
        <w:tc>
          <w:tcPr>
            <w:tcW w:w="383" w:type="pct"/>
          </w:tcPr>
          <w:p w14:paraId="6D7710EC" w14:textId="77777777" w:rsidR="00F80C33" w:rsidRDefault="00723BFB">
            <w:pPr>
              <w:pStyle w:val="TableBody"/>
              <w:jc w:val="center"/>
            </w:pPr>
            <w:r>
              <w:t>none</w:t>
            </w:r>
          </w:p>
        </w:tc>
        <w:tc>
          <w:tcPr>
            <w:tcW w:w="3521" w:type="pct"/>
          </w:tcPr>
          <w:p w14:paraId="0BD11729" w14:textId="77777777" w:rsidR="00F80C33" w:rsidRDefault="00723BFB">
            <w:pPr>
              <w:pStyle w:val="TableBody"/>
            </w:pPr>
            <w:r>
              <w:t>A Settlement Point.</w:t>
            </w:r>
          </w:p>
        </w:tc>
      </w:tr>
      <w:tr w:rsidR="00F80C33" w14:paraId="7D5BD871" w14:textId="77777777" w:rsidTr="00E766A8">
        <w:trPr>
          <w:cantSplit/>
        </w:trPr>
        <w:tc>
          <w:tcPr>
            <w:tcW w:w="1096" w:type="pct"/>
          </w:tcPr>
          <w:p w14:paraId="0E70EF6C" w14:textId="77777777" w:rsidR="00F80C33" w:rsidRDefault="00723BFB">
            <w:pPr>
              <w:pStyle w:val="TableBody"/>
              <w:rPr>
                <w:i/>
              </w:rPr>
            </w:pPr>
            <w:r>
              <w:rPr>
                <w:i/>
              </w:rPr>
              <w:t>r</w:t>
            </w:r>
          </w:p>
        </w:tc>
        <w:tc>
          <w:tcPr>
            <w:tcW w:w="383" w:type="pct"/>
          </w:tcPr>
          <w:p w14:paraId="1D9DCDB1" w14:textId="77777777" w:rsidR="00F80C33" w:rsidRDefault="00723BFB">
            <w:pPr>
              <w:pStyle w:val="TableBody"/>
              <w:jc w:val="center"/>
            </w:pPr>
            <w:r>
              <w:t>none</w:t>
            </w:r>
          </w:p>
        </w:tc>
        <w:tc>
          <w:tcPr>
            <w:tcW w:w="3521" w:type="pct"/>
          </w:tcPr>
          <w:p w14:paraId="5156788F" w14:textId="2ACC8BCE" w:rsidR="00F80C33" w:rsidRDefault="001D6962" w:rsidP="00B970B6">
            <w:pPr>
              <w:pStyle w:val="TableBody"/>
            </w:pPr>
            <w:r w:rsidRPr="007C1298">
              <w:t>A Generation Resource that is QSE-committed or planning to operate as a Quick Start Generation Resource (QSGR) for the Settlement Interval as shown by the Resource Status of OFFQS in the COP and Trades Snapshot and/or Adjustment Period snapshot; or RUC-decommitted for the Settlement Interval (subject to paragraphs (1) and (2) above)</w:t>
            </w:r>
            <w:r>
              <w:t>; or a Switchable Generation Resource (SWGR) released by a non-ERCOT Control Area Operator (CAO) to operate in the ERCOT Control Area due to an ERCOT RUC instruction for an actual or anticipated EEA condition</w:t>
            </w:r>
            <w:r w:rsidRPr="007C1298">
              <w:t>.</w:t>
            </w:r>
            <w:r>
              <w:t xml:space="preserve">  If the Settlement Interval is a RUCAC-Interval, </w:t>
            </w:r>
            <w:r w:rsidRPr="009F395F">
              <w:rPr>
                <w:i/>
              </w:rPr>
              <w:t>r</w:t>
            </w:r>
            <w:r>
              <w:t xml:space="preserve"> represents the Combined Cycle Generation Resource that was QSE-committed at the time the RUCAC was issued.</w:t>
            </w:r>
          </w:p>
        </w:tc>
      </w:tr>
      <w:tr w:rsidR="00F80C33" w14:paraId="340DD674" w14:textId="77777777" w:rsidTr="00E766A8">
        <w:trPr>
          <w:cantSplit/>
        </w:trPr>
        <w:tc>
          <w:tcPr>
            <w:tcW w:w="1096" w:type="pct"/>
          </w:tcPr>
          <w:p w14:paraId="478B66BA" w14:textId="77777777" w:rsidR="00F80C33" w:rsidRDefault="00723BFB">
            <w:pPr>
              <w:pStyle w:val="TableBody"/>
              <w:rPr>
                <w:i/>
              </w:rPr>
            </w:pPr>
            <w:r>
              <w:rPr>
                <w:i/>
              </w:rPr>
              <w:t>z</w:t>
            </w:r>
          </w:p>
        </w:tc>
        <w:tc>
          <w:tcPr>
            <w:tcW w:w="383" w:type="pct"/>
          </w:tcPr>
          <w:p w14:paraId="49F0DB31" w14:textId="77777777" w:rsidR="00F80C33" w:rsidRDefault="00723BFB">
            <w:pPr>
              <w:pStyle w:val="TableBody"/>
              <w:jc w:val="center"/>
            </w:pPr>
            <w:r>
              <w:t>none</w:t>
            </w:r>
          </w:p>
        </w:tc>
        <w:tc>
          <w:tcPr>
            <w:tcW w:w="3521" w:type="pct"/>
          </w:tcPr>
          <w:p w14:paraId="3815B6AD" w14:textId="77777777" w:rsidR="00F80C33" w:rsidRDefault="00723BFB">
            <w:pPr>
              <w:pStyle w:val="TableBody"/>
            </w:pPr>
            <w:r>
              <w:t>A previous RUC process for the Operating Day.</w:t>
            </w:r>
          </w:p>
        </w:tc>
      </w:tr>
      <w:tr w:rsidR="00F80C33" w14:paraId="394EFA47" w14:textId="77777777" w:rsidTr="00E766A8">
        <w:trPr>
          <w:cantSplit/>
        </w:trPr>
        <w:tc>
          <w:tcPr>
            <w:tcW w:w="1096" w:type="pct"/>
          </w:tcPr>
          <w:p w14:paraId="11E8DE2F" w14:textId="77777777" w:rsidR="00F80C33" w:rsidRDefault="00723BFB">
            <w:pPr>
              <w:pStyle w:val="TableBody"/>
              <w:rPr>
                <w:i/>
              </w:rPr>
            </w:pPr>
            <w:r>
              <w:rPr>
                <w:i/>
              </w:rPr>
              <w:t>i</w:t>
            </w:r>
          </w:p>
        </w:tc>
        <w:tc>
          <w:tcPr>
            <w:tcW w:w="383" w:type="pct"/>
          </w:tcPr>
          <w:p w14:paraId="2DA073D6" w14:textId="77777777" w:rsidR="00F80C33" w:rsidRDefault="00723BFB">
            <w:pPr>
              <w:pStyle w:val="TableBody"/>
              <w:jc w:val="center"/>
            </w:pPr>
            <w:r>
              <w:t>none</w:t>
            </w:r>
          </w:p>
        </w:tc>
        <w:tc>
          <w:tcPr>
            <w:tcW w:w="3521" w:type="pct"/>
          </w:tcPr>
          <w:p w14:paraId="7F88AC82" w14:textId="77777777" w:rsidR="00F80C33" w:rsidRDefault="00723BFB">
            <w:pPr>
              <w:pStyle w:val="TableBody"/>
            </w:pPr>
            <w:r>
              <w:t>A 15-minute Settlement Interval.</w:t>
            </w:r>
          </w:p>
        </w:tc>
      </w:tr>
      <w:tr w:rsidR="00F80C33" w14:paraId="2345D9BB" w14:textId="77777777" w:rsidTr="00E766A8">
        <w:trPr>
          <w:cantSplit/>
        </w:trPr>
        <w:tc>
          <w:tcPr>
            <w:tcW w:w="1096" w:type="pct"/>
          </w:tcPr>
          <w:p w14:paraId="25E443CC" w14:textId="77777777" w:rsidR="00F80C33" w:rsidRDefault="00723BFB">
            <w:pPr>
              <w:pStyle w:val="TableBody"/>
              <w:rPr>
                <w:i/>
              </w:rPr>
            </w:pPr>
            <w:r>
              <w:rPr>
                <w:i/>
              </w:rPr>
              <w:t>h</w:t>
            </w:r>
          </w:p>
        </w:tc>
        <w:tc>
          <w:tcPr>
            <w:tcW w:w="383" w:type="pct"/>
          </w:tcPr>
          <w:p w14:paraId="41099FF5" w14:textId="77777777" w:rsidR="00F80C33" w:rsidRDefault="00723BFB">
            <w:pPr>
              <w:pStyle w:val="TableBody"/>
              <w:jc w:val="center"/>
            </w:pPr>
            <w:r>
              <w:t>none</w:t>
            </w:r>
          </w:p>
        </w:tc>
        <w:tc>
          <w:tcPr>
            <w:tcW w:w="3521" w:type="pct"/>
          </w:tcPr>
          <w:p w14:paraId="294A5259" w14:textId="77777777" w:rsidR="00F80C33" w:rsidRDefault="00723BFB">
            <w:pPr>
              <w:pStyle w:val="TableBody"/>
            </w:pPr>
            <w:r>
              <w:t xml:space="preserve">The hour that includes the Settlement Interval </w:t>
            </w:r>
            <w:r>
              <w:rPr>
                <w:i/>
              </w:rPr>
              <w:t>i</w:t>
            </w:r>
            <w:r>
              <w:t xml:space="preserve">. </w:t>
            </w:r>
          </w:p>
        </w:tc>
      </w:tr>
      <w:tr w:rsidR="00F80C33" w14:paraId="5990F9D8" w14:textId="77777777" w:rsidTr="00E766A8">
        <w:trPr>
          <w:cantSplit/>
        </w:trPr>
        <w:tc>
          <w:tcPr>
            <w:tcW w:w="1096" w:type="pct"/>
          </w:tcPr>
          <w:p w14:paraId="49BE93A7" w14:textId="77777777" w:rsidR="00F80C33" w:rsidRDefault="00723BFB">
            <w:pPr>
              <w:pStyle w:val="TableBody"/>
              <w:rPr>
                <w:i/>
              </w:rPr>
            </w:pPr>
            <w:proofErr w:type="spellStart"/>
            <w:r>
              <w:rPr>
                <w:i/>
              </w:rPr>
              <w:t>ruc</w:t>
            </w:r>
            <w:proofErr w:type="spellEnd"/>
          </w:p>
        </w:tc>
        <w:tc>
          <w:tcPr>
            <w:tcW w:w="383" w:type="pct"/>
          </w:tcPr>
          <w:p w14:paraId="2F335AC4" w14:textId="77777777" w:rsidR="00F80C33" w:rsidRDefault="00723BFB">
            <w:pPr>
              <w:pStyle w:val="TableBody"/>
              <w:jc w:val="center"/>
            </w:pPr>
            <w:r>
              <w:t>none</w:t>
            </w:r>
          </w:p>
        </w:tc>
        <w:tc>
          <w:tcPr>
            <w:tcW w:w="3521" w:type="pct"/>
          </w:tcPr>
          <w:p w14:paraId="602DD6A9" w14:textId="77777777" w:rsidR="00F80C33" w:rsidRDefault="00723BFB" w:rsidP="003667DB">
            <w:pPr>
              <w:pStyle w:val="TableBody"/>
            </w:pPr>
            <w:r>
              <w:t xml:space="preserve">The RUC process for which this </w:t>
            </w:r>
            <w:r w:rsidR="003667DB">
              <w:t xml:space="preserve">RUC </w:t>
            </w:r>
            <w:r>
              <w:t>Shortfall Ratio Share is calculated.</w:t>
            </w:r>
          </w:p>
        </w:tc>
      </w:tr>
    </w:tbl>
    <w:p w14:paraId="39E8EB62" w14:textId="77777777" w:rsidR="00786898" w:rsidRPr="00786898" w:rsidRDefault="00786898" w:rsidP="00786898">
      <w:pPr>
        <w:pStyle w:val="BodyText"/>
        <w:spacing w:after="0"/>
      </w:pPr>
      <w:bookmarkStart w:id="300" w:name="_Toc400547197"/>
      <w:bookmarkStart w:id="301" w:name="_Toc405384302"/>
      <w:bookmarkStart w:id="302" w:name="_Toc405543569"/>
      <w:bookmarkStart w:id="303" w:name="_Toc428178078"/>
      <w:bookmarkStart w:id="304" w:name="_Toc440872708"/>
      <w:bookmarkStart w:id="305" w:name="_Toc458766253"/>
      <w:bookmarkStart w:id="306" w:name="_Toc459292658"/>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423"/>
      </w:tblGrid>
      <w:tr w:rsidR="00786898" w:rsidRPr="004B32CF" w14:paraId="3B39F7EC" w14:textId="77777777" w:rsidTr="00FD6A54">
        <w:trPr>
          <w:trHeight w:val="566"/>
        </w:trPr>
        <w:tc>
          <w:tcPr>
            <w:tcW w:w="9350" w:type="dxa"/>
            <w:shd w:val="pct12" w:color="auto" w:fill="auto"/>
          </w:tcPr>
          <w:p w14:paraId="7B777E99" w14:textId="445D25CF" w:rsidR="00B6124C" w:rsidRDefault="00786898" w:rsidP="00B6124C">
            <w:pPr>
              <w:spacing w:after="240"/>
              <w:rPr>
                <w:b/>
                <w:i/>
                <w:iCs/>
              </w:rPr>
            </w:pPr>
            <w:r w:rsidRPr="004B32CF">
              <w:rPr>
                <w:b/>
                <w:i/>
                <w:iCs/>
              </w:rPr>
              <w:t>[NPR</w:t>
            </w:r>
            <w:r>
              <w:rPr>
                <w:b/>
                <w:i/>
                <w:iCs/>
              </w:rPr>
              <w:t>R1009</w:t>
            </w:r>
            <w:r w:rsidR="002B1894">
              <w:rPr>
                <w:b/>
                <w:i/>
                <w:iCs/>
              </w:rPr>
              <w:t xml:space="preserve">, </w:t>
            </w:r>
            <w:r w:rsidR="00291B10">
              <w:rPr>
                <w:b/>
                <w:i/>
                <w:iCs/>
              </w:rPr>
              <w:t>NPRR1014</w:t>
            </w:r>
            <w:r w:rsidR="00417783">
              <w:rPr>
                <w:b/>
                <w:i/>
                <w:iCs/>
              </w:rPr>
              <w:t xml:space="preserve">, </w:t>
            </w:r>
            <w:r w:rsidR="002B1894">
              <w:rPr>
                <w:b/>
                <w:i/>
                <w:iCs/>
              </w:rPr>
              <w:t>NPRR1029</w:t>
            </w:r>
            <w:r w:rsidR="00417783">
              <w:rPr>
                <w:b/>
                <w:i/>
                <w:iCs/>
              </w:rPr>
              <w:t>, NPRR1032</w:t>
            </w:r>
            <w:r w:rsidR="00260613">
              <w:rPr>
                <w:b/>
                <w:i/>
                <w:iCs/>
              </w:rPr>
              <w:t>, and NPRR1139</w:t>
            </w:r>
            <w:r w:rsidRPr="004B32CF">
              <w:rPr>
                <w:b/>
                <w:i/>
                <w:iCs/>
              </w:rPr>
              <w:t xml:space="preserve">:  </w:t>
            </w:r>
            <w:r>
              <w:rPr>
                <w:b/>
                <w:i/>
                <w:iCs/>
              </w:rPr>
              <w:t xml:space="preserve">Replace </w:t>
            </w:r>
            <w:r w:rsidR="00291B10">
              <w:rPr>
                <w:b/>
                <w:i/>
                <w:iCs/>
              </w:rPr>
              <w:t xml:space="preserve">applicable portions of </w:t>
            </w:r>
            <w:r>
              <w:rPr>
                <w:b/>
                <w:i/>
                <w:iCs/>
              </w:rPr>
              <w:t>Section 5.7.4.1.1 above with the following</w:t>
            </w:r>
            <w:r w:rsidRPr="004B32CF">
              <w:rPr>
                <w:b/>
                <w:i/>
                <w:iCs/>
              </w:rPr>
              <w:t xml:space="preserve"> upon system implementation</w:t>
            </w:r>
            <w:r>
              <w:rPr>
                <w:b/>
                <w:i/>
                <w:iCs/>
              </w:rPr>
              <w:t xml:space="preserve"> of the Real-Time Co-Optimization (RTC) project</w:t>
            </w:r>
            <w:r w:rsidR="00291B10">
              <w:rPr>
                <w:b/>
                <w:i/>
                <w:iCs/>
              </w:rPr>
              <w:t xml:space="preserve"> for NPRR1009; or upon system implementation </w:t>
            </w:r>
            <w:r w:rsidR="003E2880">
              <w:rPr>
                <w:b/>
                <w:i/>
                <w:iCs/>
              </w:rPr>
              <w:t>for NPRR1014</w:t>
            </w:r>
            <w:r w:rsidR="00417783">
              <w:rPr>
                <w:b/>
                <w:i/>
                <w:iCs/>
              </w:rPr>
              <w:t>,</w:t>
            </w:r>
            <w:r w:rsidR="002B1894">
              <w:rPr>
                <w:b/>
                <w:i/>
                <w:iCs/>
              </w:rPr>
              <w:t xml:space="preserve"> NPRR1029</w:t>
            </w:r>
            <w:r w:rsidR="00417783">
              <w:rPr>
                <w:b/>
                <w:i/>
                <w:iCs/>
              </w:rPr>
              <w:t>, NPRR1032</w:t>
            </w:r>
            <w:r w:rsidR="00260613">
              <w:rPr>
                <w:b/>
                <w:i/>
                <w:iCs/>
              </w:rPr>
              <w:t>, or NPRR1139</w:t>
            </w:r>
            <w:r w:rsidRPr="004B32CF">
              <w:rPr>
                <w:b/>
                <w:i/>
                <w:iCs/>
              </w:rPr>
              <w:t>:]</w:t>
            </w:r>
          </w:p>
          <w:p w14:paraId="3240AF11" w14:textId="77777777" w:rsidR="00B6124C" w:rsidRPr="00195F7A" w:rsidRDefault="00B6124C" w:rsidP="00B6124C">
            <w:pPr>
              <w:pStyle w:val="H5"/>
              <w:spacing w:before="0"/>
              <w:ind w:left="1627" w:hanging="1627"/>
            </w:pPr>
            <w:r>
              <w:t>5.7.4.1.1</w:t>
            </w:r>
            <w:r>
              <w:tab/>
              <w:t>Capacity Shortfall Ratio Share</w:t>
            </w:r>
          </w:p>
          <w:p w14:paraId="4FF8C134" w14:textId="2791E8A5" w:rsidR="004B6091" w:rsidRPr="004B6091" w:rsidRDefault="004B6091" w:rsidP="004B6091">
            <w:pPr>
              <w:spacing w:after="240"/>
              <w:ind w:left="720" w:hanging="720"/>
              <w:rPr>
                <w:szCs w:val="24"/>
              </w:rPr>
            </w:pPr>
            <w:r w:rsidRPr="004B6091">
              <w:t>(1)</w:t>
            </w:r>
            <w:r w:rsidRPr="004B6091">
              <w:tab/>
              <w:t>In calculating the shortfall amount for each QSE, the Resource capacity</w:t>
            </w:r>
            <w:r w:rsidR="00B970B6" w:rsidRPr="004B6091">
              <w:t xml:space="preserve"> </w:t>
            </w:r>
            <w:r w:rsidR="00B970B6">
              <w:t>shall be</w:t>
            </w:r>
            <w:r w:rsidR="00B970B6" w:rsidRPr="004B6091">
              <w:t xml:space="preserve"> </w:t>
            </w:r>
            <w:r w:rsidR="00B970B6" w:rsidRPr="004B6091">
              <w:rPr>
                <w:szCs w:val="24"/>
              </w:rPr>
              <w:t xml:space="preserve">calculated for a Generation Resource </w:t>
            </w:r>
            <w:r w:rsidR="00B970B6" w:rsidRPr="004B6091">
              <w:t>or ESR</w:t>
            </w:r>
            <w:r w:rsidRPr="004B6091">
              <w:rPr>
                <w:szCs w:val="24"/>
              </w:rPr>
              <w:t xml:space="preserve"> that meets any of the following conditions: </w:t>
            </w:r>
          </w:p>
          <w:p w14:paraId="1518BF8F" w14:textId="77777777" w:rsidR="004B6091" w:rsidRPr="004B6091" w:rsidRDefault="004B6091" w:rsidP="004B6091">
            <w:pPr>
              <w:spacing w:after="240"/>
              <w:ind w:firstLine="720"/>
              <w:rPr>
                <w:iCs/>
                <w:szCs w:val="24"/>
              </w:rPr>
            </w:pPr>
            <w:r w:rsidRPr="004B6091">
              <w:rPr>
                <w:iCs/>
                <w:szCs w:val="24"/>
              </w:rPr>
              <w:t>(a)</w:t>
            </w:r>
            <w:r w:rsidRPr="004B6091">
              <w:rPr>
                <w:iCs/>
                <w:szCs w:val="24"/>
              </w:rPr>
              <w:tab/>
              <w:t xml:space="preserve">QSE-committed;  </w:t>
            </w:r>
          </w:p>
          <w:p w14:paraId="7179985A" w14:textId="77777777" w:rsidR="004B6091" w:rsidRPr="004B6091" w:rsidRDefault="004B6091" w:rsidP="004B6091">
            <w:pPr>
              <w:spacing w:after="240"/>
              <w:ind w:left="1440" w:hanging="720"/>
              <w:rPr>
                <w:iCs/>
                <w:szCs w:val="24"/>
              </w:rPr>
            </w:pPr>
            <w:r w:rsidRPr="004B6091">
              <w:rPr>
                <w:iCs/>
                <w:szCs w:val="24"/>
              </w:rPr>
              <w:t>(b)</w:t>
            </w:r>
            <w:r w:rsidRPr="004B6091">
              <w:rPr>
                <w:iCs/>
                <w:szCs w:val="24"/>
              </w:rPr>
              <w:tab/>
              <w:t>Planning to operate as a Quick Start Generation Resource (QSGR) for the Settlement Interval as shown by the COP Status of OFFQS in the RUC Snapshot for the RUC Process and/or Adjustment Period; or</w:t>
            </w:r>
          </w:p>
          <w:p w14:paraId="60D6B8DE" w14:textId="77777777" w:rsidR="004B6091" w:rsidRPr="004B6091" w:rsidRDefault="004B6091" w:rsidP="004B6091">
            <w:pPr>
              <w:spacing w:after="240"/>
              <w:ind w:left="1440" w:hanging="720"/>
              <w:rPr>
                <w:iCs/>
                <w:szCs w:val="24"/>
              </w:rPr>
            </w:pPr>
            <w:r w:rsidRPr="004B6091">
              <w:rPr>
                <w:iCs/>
                <w:szCs w:val="24"/>
              </w:rPr>
              <w:t>(c)</w:t>
            </w:r>
            <w:r w:rsidRPr="004B6091">
              <w:rPr>
                <w:iCs/>
                <w:szCs w:val="24"/>
              </w:rPr>
              <w:tab/>
              <w:t xml:space="preserve">A Switchable Generation Resource (SWGR) that is released by a non-ERCOT Control Area Operator (CAO) to operate in the ERCOT Control Area due to an ERCOT RUC instruction for an actual or anticipated EEA condition and that is shown as On-Line in its COP; or </w:t>
            </w:r>
          </w:p>
          <w:p w14:paraId="287F0660" w14:textId="77777777" w:rsidR="004B6091" w:rsidRPr="004B6091" w:rsidRDefault="004B6091" w:rsidP="004B6091">
            <w:pPr>
              <w:spacing w:after="240"/>
              <w:ind w:left="1440" w:hanging="720"/>
              <w:rPr>
                <w:iCs/>
                <w:szCs w:val="24"/>
              </w:rPr>
            </w:pPr>
            <w:r w:rsidRPr="004B6091">
              <w:rPr>
                <w:iCs/>
                <w:szCs w:val="24"/>
              </w:rPr>
              <w:t>(d)</w:t>
            </w:r>
            <w:r w:rsidRPr="004B6091">
              <w:rPr>
                <w:iCs/>
                <w:szCs w:val="24"/>
              </w:rPr>
              <w:tab/>
              <w:t>If the Settlement Interval is a RUCAC-Interval, the Combined Cycle Generation Resource that was QSE-committed at the time the RUCAC was issued, excluding the condition for SWGRs as describe in paragraph (c) above.</w:t>
            </w:r>
          </w:p>
          <w:p w14:paraId="0CBFBE46" w14:textId="78F7F7FF" w:rsidR="004B6091" w:rsidRPr="004B6091" w:rsidRDefault="004B6091" w:rsidP="00B71D08">
            <w:pPr>
              <w:spacing w:after="240"/>
              <w:ind w:left="720" w:hanging="720"/>
            </w:pPr>
            <w:r w:rsidRPr="004B6091">
              <w:lastRenderedPageBreak/>
              <w:t>(</w:t>
            </w:r>
            <w:r w:rsidR="00260613">
              <w:t>2</w:t>
            </w:r>
            <w:r w:rsidRPr="004B6091">
              <w:t>)</w:t>
            </w:r>
            <w:r w:rsidRPr="004B6091">
              <w:tab/>
              <w:t xml:space="preserve">In calculating the amount short for each QSE, the </w:t>
            </w:r>
            <w:r w:rsidR="00260613" w:rsidRPr="004C674A">
              <w:t>available capacity of an IRR when determining responsibility for the corresponding RUC charges shall be the lessor of the HSL value, as reflected in the COP, and the Wind-powered Generation Resource Production Potential (WGRPP), as described in Section 4.2.2, Wind-Powered Generation Resource Production Potential, for a Wind-powered Generation Resource (WGR), or the PhotoVoltaic Generation Resource Production Potential (PVGRPP), as described in Section 4.2.3, PhotoVoltaic Generation Resource Production Potential, for a PhotoVoltaic Generation Resource (PVGR)</w:t>
            </w:r>
            <w:r w:rsidRPr="004B6091">
              <w:t xml:space="preserve">, at the time of RUC execution.  </w:t>
            </w:r>
            <w:r w:rsidR="00260613">
              <w:t>For an IRR</w:t>
            </w:r>
            <w:r w:rsidRPr="004B6091">
              <w:t xml:space="preserve">, the RCAPSNAP variable used below shall be equal to the </w:t>
            </w:r>
            <w:r w:rsidR="00260613" w:rsidRPr="004C674A">
              <w:t>minimum of the WGRPP or PVGRPP described above and the HSL value as reflected in the QSE’s COP, at the time of the RUC execution</w:t>
            </w:r>
            <w:r w:rsidRPr="004B6091">
              <w:t xml:space="preserve">. </w:t>
            </w:r>
          </w:p>
          <w:p w14:paraId="59A54153" w14:textId="1A5E8462" w:rsidR="004B6091" w:rsidRPr="004B6091" w:rsidRDefault="004B6091" w:rsidP="00B71D08">
            <w:pPr>
              <w:spacing w:after="240"/>
              <w:ind w:left="720" w:hanging="720"/>
            </w:pPr>
            <w:r w:rsidRPr="004B6091">
              <w:t>(</w:t>
            </w:r>
            <w:r w:rsidR="00260613">
              <w:t>3</w:t>
            </w:r>
            <w:r w:rsidRPr="004B6091">
              <w:t>)</w:t>
            </w:r>
            <w:r w:rsidRPr="004B6091">
              <w:tab/>
              <w:t xml:space="preserve">In calculating the amount short for each QSE, the QSE must be given a capacity credit </w:t>
            </w:r>
            <w:r w:rsidR="00260613" w:rsidRPr="004C674A">
              <w:t>for non-Intermittent Renewable Resources (IRRs) that were</w:t>
            </w:r>
            <w:r w:rsidRPr="004B6091">
              <w:t xml:space="preserve"> given notice of decommitment within the two hours before the Operating Hour </w:t>
            </w:r>
            <w:proofErr w:type="gramStart"/>
            <w:r w:rsidRPr="004B6091">
              <w:t>as a result of</w:t>
            </w:r>
            <w:proofErr w:type="gramEnd"/>
            <w:r w:rsidRPr="004B6091">
              <w:t xml:space="preserve"> the RUC process </w:t>
            </w:r>
            <w:r w:rsidR="00260613">
              <w:t>by setting</w:t>
            </w:r>
            <w:r w:rsidRPr="004B6091">
              <w:t xml:space="preserve"> the RCAPSNAP and RCAPADJ variables used below set equal to the RCAPSNAP value for the Resource immediately before the decommitment instruction was given</w:t>
            </w:r>
            <w:r w:rsidR="00260613">
              <w:t>.</w:t>
            </w:r>
          </w:p>
          <w:p w14:paraId="33C7F9E0" w14:textId="66B4D5F1" w:rsidR="004B6091" w:rsidRPr="004B6091" w:rsidRDefault="004B6091" w:rsidP="004B6091">
            <w:pPr>
              <w:spacing w:after="240"/>
              <w:ind w:left="720" w:hanging="720"/>
            </w:pPr>
            <w:r w:rsidRPr="004B6091">
              <w:t>(</w:t>
            </w:r>
            <w:r w:rsidR="004F4D57">
              <w:t>4</w:t>
            </w:r>
            <w:r w:rsidRPr="004B6091">
              <w:t>)</w:t>
            </w:r>
            <w:r w:rsidRPr="004B6091">
              <w:tab/>
              <w:t>In calculating the short amount for each QSE, if the RCAPSNAP for a non-IRR was credited to the QSE during the RUC Snapshot but the Resource experiences a Forced Outage within two hours before the start of the Settlement Interval, then the RCAPSNAP for that Resource is also credited to the QSE in the RCAPADJ.</w:t>
            </w:r>
          </w:p>
          <w:p w14:paraId="19C9CF5C" w14:textId="42805BFD" w:rsidR="004B6091" w:rsidRPr="004B6091" w:rsidRDefault="004B6091" w:rsidP="004B6091">
            <w:pPr>
              <w:spacing w:after="240"/>
              <w:ind w:left="720" w:hanging="720"/>
            </w:pPr>
            <w:r w:rsidRPr="004B6091">
              <w:t>(</w:t>
            </w:r>
            <w:r w:rsidR="004F4D57">
              <w:t>5</w:t>
            </w:r>
            <w:r w:rsidRPr="004B6091">
              <w:t>)</w:t>
            </w:r>
            <w:r w:rsidRPr="004B6091">
              <w:tab/>
              <w:t xml:space="preserve">In calculating the short amount for each QSE, if the DCIMPSNAP was credited to the QSE during the RUC Snapshot but the entire Direct Current Tie (DC Tie) experiences a Forced Outage within two hours before the start of the Settlement Interval, then the DCIMPSNAP is also credited to the QSE in the </w:t>
            </w:r>
            <w:r w:rsidR="00417783">
              <w:t>RTDCIMP</w:t>
            </w:r>
            <w:r w:rsidRPr="004B6091">
              <w:t>.</w:t>
            </w:r>
          </w:p>
          <w:p w14:paraId="6E24ACC0" w14:textId="5155BFCB" w:rsidR="004B6091" w:rsidRPr="004B6091" w:rsidRDefault="004B6091" w:rsidP="004B6091">
            <w:pPr>
              <w:spacing w:after="240"/>
              <w:ind w:left="720" w:hanging="720"/>
            </w:pPr>
            <w:r w:rsidRPr="004B6091">
              <w:t>(</w:t>
            </w:r>
            <w:r w:rsidR="004F4D57">
              <w:t>6</w:t>
            </w:r>
            <w:r w:rsidRPr="004B6091">
              <w:t>)</w:t>
            </w:r>
            <w:r w:rsidRPr="004B6091">
              <w:tab/>
              <w:t>For Combined Cycle Generation Resources, if more than one Combined Cycle Generation Resource is shown On-Line in its COP for the same Settlement hour, then the provisions of paragraph (6)(a) of Section 3.9.1, Current Operating Plan (COP) Criteria, apply in the determination of the On-Line Combined Cycle Generation Resource for that Settlement hour.</w:t>
            </w:r>
          </w:p>
          <w:p w14:paraId="100421A9" w14:textId="61ABA224" w:rsidR="004B6091" w:rsidRPr="004B6091" w:rsidRDefault="004B6091" w:rsidP="004B6091">
            <w:pPr>
              <w:spacing w:after="240"/>
              <w:ind w:left="720" w:hanging="720"/>
            </w:pPr>
            <w:r w:rsidRPr="004B6091">
              <w:t>(</w:t>
            </w:r>
            <w:r w:rsidR="004F4D57">
              <w:t>7</w:t>
            </w:r>
            <w:r w:rsidRPr="004B6091">
              <w:t>)</w:t>
            </w:r>
            <w:r w:rsidRPr="004B6091">
              <w:tab/>
              <w:t>The capacity shortfall ratio share of a specific QSE for a particular RUC process is calculated, for a 15-minute Settlement Interval, as follows:</w:t>
            </w:r>
          </w:p>
          <w:p w14:paraId="098C170E" w14:textId="77777777" w:rsidR="004B6091" w:rsidRPr="0093076E" w:rsidRDefault="004B6091" w:rsidP="004B6091">
            <w:pPr>
              <w:tabs>
                <w:tab w:val="left" w:pos="2340"/>
                <w:tab w:val="left" w:pos="3420"/>
              </w:tabs>
              <w:spacing w:after="240"/>
              <w:ind w:left="3420" w:hanging="2700"/>
              <w:rPr>
                <w:b/>
                <w:bCs/>
                <w:szCs w:val="24"/>
              </w:rPr>
            </w:pPr>
            <w:r w:rsidRPr="0093076E">
              <w:rPr>
                <w:b/>
                <w:bCs/>
                <w:szCs w:val="24"/>
              </w:rPr>
              <w:t xml:space="preserve">RUCSFRS </w:t>
            </w:r>
            <w:proofErr w:type="spellStart"/>
            <w:r w:rsidRPr="0093076E">
              <w:rPr>
                <w:b/>
                <w:bCs/>
                <w:i/>
                <w:szCs w:val="24"/>
                <w:vertAlign w:val="subscript"/>
              </w:rPr>
              <w:t>ruc</w:t>
            </w:r>
            <w:proofErr w:type="spellEnd"/>
            <w:r w:rsidRPr="0093076E">
              <w:rPr>
                <w:b/>
                <w:bCs/>
                <w:i/>
                <w:szCs w:val="24"/>
                <w:vertAlign w:val="subscript"/>
              </w:rPr>
              <w:t>, i, q</w:t>
            </w:r>
            <w:r w:rsidRPr="0093076E">
              <w:rPr>
                <w:b/>
                <w:bCs/>
                <w:szCs w:val="24"/>
              </w:rPr>
              <w:tab/>
              <w:t>=</w:t>
            </w:r>
            <w:r w:rsidRPr="0093076E">
              <w:rPr>
                <w:b/>
                <w:bCs/>
                <w:szCs w:val="24"/>
              </w:rPr>
              <w:tab/>
              <w:t xml:space="preserve">RUCSF </w:t>
            </w:r>
            <w:proofErr w:type="spellStart"/>
            <w:r w:rsidRPr="0093076E">
              <w:rPr>
                <w:b/>
                <w:bCs/>
                <w:i/>
                <w:szCs w:val="24"/>
                <w:vertAlign w:val="subscript"/>
              </w:rPr>
              <w:t>ruc</w:t>
            </w:r>
            <w:proofErr w:type="spellEnd"/>
            <w:r w:rsidRPr="0093076E">
              <w:rPr>
                <w:b/>
                <w:bCs/>
                <w:i/>
                <w:szCs w:val="24"/>
                <w:vertAlign w:val="subscript"/>
              </w:rPr>
              <w:t>, i, q</w:t>
            </w:r>
            <w:r w:rsidRPr="0093076E">
              <w:rPr>
                <w:b/>
                <w:bCs/>
                <w:szCs w:val="24"/>
              </w:rPr>
              <w:t xml:space="preserve"> / RUCSFTOT </w:t>
            </w:r>
            <w:proofErr w:type="spellStart"/>
            <w:r w:rsidRPr="0093076E">
              <w:rPr>
                <w:b/>
                <w:bCs/>
                <w:i/>
                <w:szCs w:val="24"/>
                <w:vertAlign w:val="subscript"/>
              </w:rPr>
              <w:t>ruc</w:t>
            </w:r>
            <w:proofErr w:type="spellEnd"/>
            <w:r w:rsidRPr="0093076E">
              <w:rPr>
                <w:b/>
                <w:bCs/>
                <w:i/>
                <w:szCs w:val="24"/>
                <w:vertAlign w:val="subscript"/>
              </w:rPr>
              <w:t>, i</w:t>
            </w:r>
          </w:p>
          <w:p w14:paraId="5E5D3293" w14:textId="77777777" w:rsidR="004B6091" w:rsidRPr="004B6091" w:rsidRDefault="004B6091" w:rsidP="004B6091">
            <w:pPr>
              <w:spacing w:after="240"/>
              <w:ind w:firstLine="720"/>
              <w:rPr>
                <w:szCs w:val="24"/>
              </w:rPr>
            </w:pPr>
            <w:r w:rsidRPr="004B6091">
              <w:rPr>
                <w:szCs w:val="24"/>
              </w:rPr>
              <w:t>Where:</w:t>
            </w:r>
          </w:p>
          <w:p w14:paraId="386A1DF9" w14:textId="77777777" w:rsidR="004B6091" w:rsidRPr="004B6091" w:rsidRDefault="004B6091" w:rsidP="004B6091">
            <w:pPr>
              <w:tabs>
                <w:tab w:val="left" w:pos="2340"/>
                <w:tab w:val="left" w:pos="3420"/>
              </w:tabs>
              <w:spacing w:after="240"/>
              <w:ind w:left="3420" w:hanging="2700"/>
              <w:rPr>
                <w:bCs/>
                <w:i/>
                <w:szCs w:val="24"/>
                <w:vertAlign w:val="subscript"/>
              </w:rPr>
            </w:pPr>
            <w:r w:rsidRPr="004B6091">
              <w:rPr>
                <w:bCs/>
                <w:szCs w:val="24"/>
              </w:rPr>
              <w:t xml:space="preserve">RUCSFTOT </w:t>
            </w:r>
            <w:proofErr w:type="spellStart"/>
            <w:r w:rsidRPr="004B6091">
              <w:rPr>
                <w:bCs/>
                <w:i/>
                <w:szCs w:val="24"/>
                <w:vertAlign w:val="subscript"/>
              </w:rPr>
              <w:t>ruc</w:t>
            </w:r>
            <w:proofErr w:type="spellEnd"/>
            <w:r w:rsidRPr="004B6091">
              <w:rPr>
                <w:bCs/>
                <w:i/>
                <w:szCs w:val="24"/>
                <w:vertAlign w:val="subscript"/>
              </w:rPr>
              <w:t>, i</w:t>
            </w:r>
            <w:r w:rsidRPr="004B6091">
              <w:rPr>
                <w:bCs/>
                <w:szCs w:val="24"/>
              </w:rPr>
              <w:tab/>
              <w:t>=</w:t>
            </w:r>
            <w:r w:rsidRPr="004B6091">
              <w:rPr>
                <w:bCs/>
                <w:szCs w:val="24"/>
              </w:rPr>
              <w:tab/>
            </w:r>
            <w:r w:rsidRPr="004B6091">
              <w:rPr>
                <w:bCs/>
                <w:position w:val="-22"/>
                <w:szCs w:val="24"/>
              </w:rPr>
              <w:object w:dxaOrig="220" w:dyaOrig="460" w14:anchorId="7385C685">
                <v:shape id="_x0000_i1060" type="#_x0000_t75" style="width:7.8pt;height:21pt" o:ole="">
                  <v:imagedata r:id="rId45" o:title=""/>
                </v:shape>
                <o:OLEObject Type="Embed" ProgID="Equation.3" ShapeID="_x0000_i1060" DrawAspect="Content" ObjectID="_1775281590" r:id="rId72"/>
              </w:object>
            </w:r>
            <w:r w:rsidRPr="004B6091">
              <w:rPr>
                <w:bCs/>
                <w:szCs w:val="24"/>
              </w:rPr>
              <w:t xml:space="preserve">RUCSF </w:t>
            </w:r>
            <w:proofErr w:type="spellStart"/>
            <w:r w:rsidRPr="004B6091">
              <w:rPr>
                <w:bCs/>
                <w:i/>
                <w:szCs w:val="24"/>
                <w:vertAlign w:val="subscript"/>
              </w:rPr>
              <w:t>ruc</w:t>
            </w:r>
            <w:proofErr w:type="spellEnd"/>
            <w:r w:rsidRPr="004B6091">
              <w:rPr>
                <w:bCs/>
                <w:i/>
                <w:szCs w:val="24"/>
                <w:vertAlign w:val="subscript"/>
              </w:rPr>
              <w:t>, i, q</w:t>
            </w:r>
          </w:p>
          <w:p w14:paraId="5A0CBADD" w14:textId="10781F4A" w:rsidR="004B6091" w:rsidRPr="004B6091" w:rsidRDefault="004B6091" w:rsidP="004B6091">
            <w:pPr>
              <w:spacing w:after="240"/>
              <w:ind w:left="720" w:hanging="720"/>
            </w:pPr>
            <w:r w:rsidRPr="004B6091">
              <w:t>(</w:t>
            </w:r>
            <w:r w:rsidR="004F4D57">
              <w:t>8</w:t>
            </w:r>
            <w:r w:rsidRPr="004B6091">
              <w:t>)</w:t>
            </w:r>
            <w:r w:rsidRPr="004B6091">
              <w:tab/>
              <w:t>The RUC Shortfall in MW for one QSE for one 15-minute Settlement Interval is:</w:t>
            </w:r>
          </w:p>
          <w:p w14:paraId="35698F38" w14:textId="77777777" w:rsidR="004B6091" w:rsidRPr="00A50280" w:rsidRDefault="004B6091" w:rsidP="004B6091">
            <w:pPr>
              <w:tabs>
                <w:tab w:val="left" w:pos="2340"/>
                <w:tab w:val="left" w:pos="3420"/>
              </w:tabs>
              <w:spacing w:after="240"/>
              <w:ind w:left="3420" w:hanging="2700"/>
              <w:rPr>
                <w:b/>
                <w:bCs/>
                <w:szCs w:val="24"/>
              </w:rPr>
            </w:pPr>
            <w:r w:rsidRPr="00A50280">
              <w:rPr>
                <w:b/>
                <w:bCs/>
                <w:szCs w:val="24"/>
              </w:rPr>
              <w:lastRenderedPageBreak/>
              <w:t xml:space="preserve">RUCSF </w:t>
            </w:r>
            <w:proofErr w:type="spellStart"/>
            <w:r w:rsidRPr="00A50280">
              <w:rPr>
                <w:b/>
                <w:bCs/>
                <w:i/>
                <w:szCs w:val="24"/>
                <w:vertAlign w:val="subscript"/>
              </w:rPr>
              <w:t>ruc</w:t>
            </w:r>
            <w:proofErr w:type="spellEnd"/>
            <w:r w:rsidRPr="00A50280">
              <w:rPr>
                <w:b/>
                <w:bCs/>
                <w:i/>
                <w:szCs w:val="24"/>
                <w:vertAlign w:val="subscript"/>
              </w:rPr>
              <w:t>, i, q</w:t>
            </w:r>
            <w:r w:rsidRPr="00A50280">
              <w:rPr>
                <w:b/>
                <w:bCs/>
                <w:szCs w:val="24"/>
              </w:rPr>
              <w:tab/>
              <w:t>=</w:t>
            </w:r>
            <w:r w:rsidRPr="00A50280">
              <w:rPr>
                <w:b/>
                <w:bCs/>
                <w:szCs w:val="24"/>
              </w:rPr>
              <w:tab/>
              <w:t xml:space="preserve">Max (0, Max (RUCSFSNAP </w:t>
            </w:r>
            <w:proofErr w:type="spellStart"/>
            <w:r w:rsidRPr="00A50280">
              <w:rPr>
                <w:b/>
                <w:bCs/>
                <w:i/>
                <w:szCs w:val="24"/>
                <w:vertAlign w:val="subscript"/>
              </w:rPr>
              <w:t>ruc</w:t>
            </w:r>
            <w:proofErr w:type="spellEnd"/>
            <w:r w:rsidRPr="00A50280">
              <w:rPr>
                <w:b/>
                <w:bCs/>
                <w:i/>
                <w:szCs w:val="24"/>
                <w:vertAlign w:val="subscript"/>
              </w:rPr>
              <w:t>, q, i</w:t>
            </w:r>
            <w:r w:rsidRPr="00A50280">
              <w:rPr>
                <w:b/>
                <w:bCs/>
                <w:szCs w:val="24"/>
              </w:rPr>
              <w:t xml:space="preserve">, RUCSFADJ </w:t>
            </w:r>
            <w:proofErr w:type="spellStart"/>
            <w:r w:rsidRPr="00A50280">
              <w:rPr>
                <w:b/>
                <w:bCs/>
                <w:i/>
                <w:szCs w:val="24"/>
                <w:vertAlign w:val="subscript"/>
              </w:rPr>
              <w:t>ruc</w:t>
            </w:r>
            <w:proofErr w:type="spellEnd"/>
            <w:r w:rsidRPr="00A50280">
              <w:rPr>
                <w:b/>
                <w:bCs/>
                <w:i/>
                <w:szCs w:val="24"/>
                <w:vertAlign w:val="subscript"/>
              </w:rPr>
              <w:t>, q, i</w:t>
            </w:r>
            <w:r w:rsidRPr="00A50280">
              <w:rPr>
                <w:b/>
                <w:bCs/>
                <w:szCs w:val="24"/>
              </w:rPr>
              <w:t xml:space="preserve">) – </w:t>
            </w:r>
            <w:r w:rsidRPr="00A50280">
              <w:rPr>
                <w:b/>
                <w:bCs/>
                <w:position w:val="-22"/>
                <w:szCs w:val="24"/>
              </w:rPr>
              <w:object w:dxaOrig="980" w:dyaOrig="460" w14:anchorId="6E1DDD0A">
                <v:shape id="_x0000_i1061" type="#_x0000_t75" style="width:51pt;height:21pt" o:ole="">
                  <v:imagedata r:id="rId47" o:title=""/>
                </v:shape>
                <o:OLEObject Type="Embed" ProgID="Equation.3" ShapeID="_x0000_i1061" DrawAspect="Content" ObjectID="_1775281591" r:id="rId73"/>
              </w:object>
            </w:r>
            <w:r w:rsidRPr="00A50280">
              <w:rPr>
                <w:b/>
                <w:bCs/>
                <w:szCs w:val="24"/>
              </w:rPr>
              <w:t xml:space="preserve">RUCCAPCREDIT </w:t>
            </w:r>
            <w:r w:rsidRPr="00A50280">
              <w:rPr>
                <w:b/>
                <w:bCs/>
                <w:i/>
                <w:szCs w:val="24"/>
                <w:vertAlign w:val="subscript"/>
              </w:rPr>
              <w:t>q, i, z</w:t>
            </w:r>
            <w:r w:rsidRPr="00A50280">
              <w:rPr>
                <w:b/>
                <w:bCs/>
                <w:szCs w:val="24"/>
              </w:rPr>
              <w:t>)</w:t>
            </w:r>
          </w:p>
          <w:p w14:paraId="2DA83681" w14:textId="6B55160C" w:rsidR="004B6091" w:rsidRPr="004B6091" w:rsidRDefault="004B6091" w:rsidP="004B6091">
            <w:pPr>
              <w:spacing w:after="240"/>
              <w:ind w:left="720" w:hanging="720"/>
            </w:pPr>
            <w:r w:rsidRPr="004B6091">
              <w:t>(</w:t>
            </w:r>
            <w:r w:rsidR="004F4D57">
              <w:t>9</w:t>
            </w:r>
            <w:r w:rsidRPr="004B6091">
              <w:t>)</w:t>
            </w:r>
            <w:r w:rsidRPr="004B6091">
              <w:tab/>
              <w:t>The RUC Shortfall in MW for one QSE for one 15-minute Settlement Interval, as measured at the RUC Snapshot, is:</w:t>
            </w:r>
          </w:p>
          <w:p w14:paraId="293FC091" w14:textId="77777777" w:rsidR="004B6091" w:rsidRPr="00A50280" w:rsidRDefault="004B6091" w:rsidP="004B6091">
            <w:pPr>
              <w:tabs>
                <w:tab w:val="left" w:pos="2340"/>
                <w:tab w:val="left" w:pos="3420"/>
              </w:tabs>
              <w:spacing w:after="240"/>
              <w:ind w:left="3420" w:hanging="2700"/>
              <w:rPr>
                <w:b/>
                <w:bCs/>
                <w:szCs w:val="24"/>
              </w:rPr>
            </w:pPr>
            <w:r w:rsidRPr="00A50280">
              <w:rPr>
                <w:b/>
                <w:bCs/>
                <w:szCs w:val="24"/>
              </w:rPr>
              <w:t xml:space="preserve">RUCSFSNAP </w:t>
            </w:r>
            <w:proofErr w:type="spellStart"/>
            <w:r w:rsidRPr="00A50280">
              <w:rPr>
                <w:b/>
                <w:bCs/>
                <w:i/>
                <w:szCs w:val="24"/>
                <w:vertAlign w:val="subscript"/>
              </w:rPr>
              <w:t>ruc</w:t>
            </w:r>
            <w:proofErr w:type="spellEnd"/>
            <w:r w:rsidRPr="00A50280">
              <w:rPr>
                <w:b/>
                <w:bCs/>
                <w:i/>
                <w:szCs w:val="24"/>
                <w:vertAlign w:val="subscript"/>
              </w:rPr>
              <w:t xml:space="preserve"> ,q ,i</w:t>
            </w:r>
            <w:r w:rsidRPr="00A50280">
              <w:rPr>
                <w:b/>
                <w:bCs/>
                <w:szCs w:val="24"/>
              </w:rPr>
              <w:tab/>
              <w:t>=</w:t>
            </w:r>
            <w:r w:rsidRPr="00A50280">
              <w:rPr>
                <w:b/>
                <w:bCs/>
                <w:szCs w:val="24"/>
              </w:rPr>
              <w:tab/>
              <w:t xml:space="preserve">Max (RUCOSFSNAP </w:t>
            </w:r>
            <w:proofErr w:type="spellStart"/>
            <w:r w:rsidRPr="00A50280">
              <w:rPr>
                <w:b/>
                <w:bCs/>
                <w:i/>
                <w:szCs w:val="24"/>
                <w:vertAlign w:val="subscript"/>
              </w:rPr>
              <w:t>ruc</w:t>
            </w:r>
            <w:proofErr w:type="spellEnd"/>
            <w:r w:rsidRPr="00A50280">
              <w:rPr>
                <w:b/>
                <w:bCs/>
                <w:i/>
                <w:szCs w:val="24"/>
                <w:vertAlign w:val="subscript"/>
              </w:rPr>
              <w:t xml:space="preserve">, q, i </w:t>
            </w:r>
            <w:r w:rsidRPr="00A50280">
              <w:rPr>
                <w:b/>
                <w:bCs/>
                <w:szCs w:val="24"/>
              </w:rPr>
              <w:t xml:space="preserve">, RUCASFSNAP </w:t>
            </w:r>
            <w:proofErr w:type="spellStart"/>
            <w:r w:rsidRPr="00A50280">
              <w:rPr>
                <w:b/>
                <w:bCs/>
                <w:i/>
                <w:szCs w:val="24"/>
                <w:vertAlign w:val="subscript"/>
              </w:rPr>
              <w:t>ruc</w:t>
            </w:r>
            <w:proofErr w:type="spellEnd"/>
            <w:r w:rsidRPr="00A50280">
              <w:rPr>
                <w:b/>
                <w:bCs/>
                <w:i/>
                <w:szCs w:val="24"/>
                <w:vertAlign w:val="subscript"/>
              </w:rPr>
              <w:t>, q, i</w:t>
            </w:r>
            <w:r w:rsidRPr="00A50280">
              <w:rPr>
                <w:b/>
                <w:bCs/>
                <w:szCs w:val="24"/>
              </w:rPr>
              <w:t>)</w:t>
            </w:r>
          </w:p>
          <w:p w14:paraId="0DCB3C04" w14:textId="3A3BC518" w:rsidR="004B6091" w:rsidRPr="004B6091" w:rsidRDefault="004B6091" w:rsidP="004B6091">
            <w:pPr>
              <w:spacing w:after="240"/>
              <w:ind w:left="720" w:hanging="720"/>
            </w:pPr>
            <w:r w:rsidRPr="004B6091">
              <w:t>(1</w:t>
            </w:r>
            <w:r w:rsidR="004F4D57">
              <w:t>0</w:t>
            </w:r>
            <w:r w:rsidRPr="004B6091">
              <w:t>)</w:t>
            </w:r>
            <w:r w:rsidRPr="004B6091">
              <w:tab/>
              <w:t>The overall shortfall in MW that a QSE had according to the RUC Snapshot for a 15-minute Settlement Interval is:</w:t>
            </w:r>
          </w:p>
          <w:p w14:paraId="48CA27EA" w14:textId="22471754" w:rsidR="004B6091" w:rsidRPr="004B6091" w:rsidRDefault="004B6091" w:rsidP="004B6091">
            <w:pPr>
              <w:spacing w:before="240" w:after="240"/>
              <w:ind w:left="3240" w:hanging="2520"/>
              <w:rPr>
                <w:b/>
              </w:rPr>
            </w:pPr>
            <w:r w:rsidRPr="004B6091">
              <w:rPr>
                <w:b/>
              </w:rPr>
              <w:t xml:space="preserve">RUCOSFSNAP </w:t>
            </w:r>
            <w:proofErr w:type="spellStart"/>
            <w:r w:rsidRPr="004B6091">
              <w:rPr>
                <w:b/>
                <w:i/>
                <w:vertAlign w:val="subscript"/>
              </w:rPr>
              <w:t>ruc</w:t>
            </w:r>
            <w:proofErr w:type="spellEnd"/>
            <w:r w:rsidRPr="004B6091">
              <w:rPr>
                <w:b/>
                <w:i/>
                <w:vertAlign w:val="subscript"/>
              </w:rPr>
              <w:t xml:space="preserve">, q, i   </w:t>
            </w:r>
            <w:r w:rsidRPr="004B6091">
              <w:rPr>
                <w:b/>
              </w:rPr>
              <w:t>=  Max (0, ((</w:t>
            </w:r>
            <w:r w:rsidRPr="004B6091">
              <w:rPr>
                <w:b/>
                <w:position w:val="-22"/>
              </w:rPr>
              <w:object w:dxaOrig="220" w:dyaOrig="460" w14:anchorId="0AB5CB3D">
                <v:shape id="_x0000_i1062" type="#_x0000_t75" style="width:9.6pt;height:22.8pt" o:ole="">
                  <v:imagedata r:id="rId49" o:title=""/>
                </v:shape>
                <o:OLEObject Type="Embed" ProgID="Equation.3" ShapeID="_x0000_i1062" DrawAspect="Content" ObjectID="_1775281592" r:id="rId74"/>
              </w:object>
            </w:r>
            <w:r w:rsidRPr="004B6091">
              <w:rPr>
                <w:b/>
              </w:rPr>
              <w:t xml:space="preserve">RTAML </w:t>
            </w:r>
            <w:r w:rsidRPr="004B6091">
              <w:rPr>
                <w:b/>
                <w:i/>
                <w:vertAlign w:val="subscript"/>
              </w:rPr>
              <w:t xml:space="preserve">q, p, i </w:t>
            </w:r>
            <w:r w:rsidRPr="004B6091">
              <w:rPr>
                <w:b/>
              </w:rPr>
              <w:t xml:space="preserve">* 4) + ASONPOSSNAP </w:t>
            </w:r>
            <w:proofErr w:type="spellStart"/>
            <w:r w:rsidRPr="004B6091">
              <w:rPr>
                <w:b/>
                <w:i/>
                <w:vertAlign w:val="subscript"/>
              </w:rPr>
              <w:t>ruc</w:t>
            </w:r>
            <w:proofErr w:type="spellEnd"/>
            <w:r w:rsidRPr="004B6091">
              <w:rPr>
                <w:b/>
                <w:i/>
                <w:vertAlign w:val="subscript"/>
              </w:rPr>
              <w:t>, q, i</w:t>
            </w:r>
            <w:r w:rsidRPr="004B6091" w:rsidDel="00375840">
              <w:rPr>
                <w:b/>
              </w:rPr>
              <w:t xml:space="preserve"> </w:t>
            </w:r>
            <w:r w:rsidRPr="004B6091">
              <w:rPr>
                <w:b/>
              </w:rPr>
              <w:t xml:space="preserve"> – RUCCAPSNAP </w:t>
            </w:r>
            <w:proofErr w:type="spellStart"/>
            <w:r w:rsidRPr="004B6091">
              <w:rPr>
                <w:b/>
                <w:i/>
                <w:vertAlign w:val="subscript"/>
              </w:rPr>
              <w:t>ruc</w:t>
            </w:r>
            <w:proofErr w:type="spellEnd"/>
            <w:r w:rsidRPr="004B6091">
              <w:rPr>
                <w:b/>
                <w:i/>
                <w:vertAlign w:val="subscript"/>
              </w:rPr>
              <w:t>, q, i</w:t>
            </w:r>
            <w:r w:rsidRPr="004B6091">
              <w:rPr>
                <w:b/>
              </w:rPr>
              <w:t>))</w:t>
            </w:r>
          </w:p>
          <w:p w14:paraId="0E6A1A45" w14:textId="18764871" w:rsidR="004B6091" w:rsidRPr="004B6091" w:rsidRDefault="004B6091" w:rsidP="004B6091">
            <w:pPr>
              <w:spacing w:after="240"/>
              <w:ind w:left="720"/>
            </w:pPr>
            <w:r w:rsidRPr="004B6091">
              <w:t>The QSE’s On-Line Ancillary Service Position according to the RUC Snapshot for a 15</w:t>
            </w:r>
            <w:r w:rsidR="0093076E">
              <w:t>-</w:t>
            </w:r>
            <w:r w:rsidRPr="004B6091">
              <w:t>minute Settlement Interval is:</w:t>
            </w:r>
          </w:p>
          <w:p w14:paraId="177E8FE0" w14:textId="77777777" w:rsidR="004B6091" w:rsidRPr="0093076E" w:rsidRDefault="004B6091" w:rsidP="004B6091">
            <w:pPr>
              <w:spacing w:after="240"/>
              <w:ind w:left="3420" w:hanging="2700"/>
              <w:rPr>
                <w:b/>
              </w:rPr>
            </w:pPr>
            <w:r w:rsidRPr="0093076E">
              <w:rPr>
                <w:b/>
              </w:rPr>
              <w:t xml:space="preserve">ASONPOSSNAP </w:t>
            </w:r>
            <w:proofErr w:type="spellStart"/>
            <w:r w:rsidRPr="0057451E">
              <w:rPr>
                <w:b/>
                <w:i/>
                <w:vertAlign w:val="subscript"/>
              </w:rPr>
              <w:t>ruc</w:t>
            </w:r>
            <w:proofErr w:type="spellEnd"/>
            <w:r w:rsidRPr="0057451E">
              <w:rPr>
                <w:b/>
                <w:i/>
                <w:vertAlign w:val="subscript"/>
              </w:rPr>
              <w:t>, q, i</w:t>
            </w:r>
            <w:r w:rsidRPr="0093076E">
              <w:rPr>
                <w:b/>
                <w:i/>
                <w:vertAlign w:val="subscript"/>
              </w:rPr>
              <w:t xml:space="preserve">   </w:t>
            </w:r>
            <w:r w:rsidRPr="0093076E">
              <w:rPr>
                <w:b/>
              </w:rPr>
              <w:t xml:space="preserve">=  RUPOSSNAP </w:t>
            </w:r>
            <w:proofErr w:type="spellStart"/>
            <w:r w:rsidRPr="0093076E">
              <w:rPr>
                <w:b/>
                <w:i/>
                <w:vertAlign w:val="subscript"/>
              </w:rPr>
              <w:t>ruc</w:t>
            </w:r>
            <w:proofErr w:type="spellEnd"/>
            <w:r w:rsidRPr="0093076E">
              <w:rPr>
                <w:b/>
                <w:i/>
                <w:vertAlign w:val="subscript"/>
              </w:rPr>
              <w:t>, q, h</w:t>
            </w:r>
            <w:r w:rsidRPr="0093076E">
              <w:rPr>
                <w:b/>
              </w:rPr>
              <w:t xml:space="preserve">  + RRPOSSNAP </w:t>
            </w:r>
            <w:proofErr w:type="spellStart"/>
            <w:r w:rsidRPr="0093076E">
              <w:rPr>
                <w:b/>
                <w:i/>
                <w:vertAlign w:val="subscript"/>
              </w:rPr>
              <w:t>ruc</w:t>
            </w:r>
            <w:proofErr w:type="spellEnd"/>
            <w:r w:rsidRPr="0093076E">
              <w:rPr>
                <w:b/>
                <w:i/>
                <w:vertAlign w:val="subscript"/>
              </w:rPr>
              <w:t>, q, h</w:t>
            </w:r>
            <w:r w:rsidRPr="0093076E">
              <w:rPr>
                <w:b/>
              </w:rPr>
              <w:t xml:space="preserve"> +                                  Max (0, (ECRPOSSNAP </w:t>
            </w:r>
            <w:proofErr w:type="spellStart"/>
            <w:r w:rsidRPr="0093076E">
              <w:rPr>
                <w:b/>
                <w:i/>
                <w:vertAlign w:val="subscript"/>
              </w:rPr>
              <w:t>ruc</w:t>
            </w:r>
            <w:proofErr w:type="spellEnd"/>
            <w:r w:rsidRPr="0093076E">
              <w:rPr>
                <w:b/>
                <w:i/>
                <w:vertAlign w:val="subscript"/>
              </w:rPr>
              <w:t>, q, h</w:t>
            </w:r>
            <w:r w:rsidRPr="0093076E">
              <w:rPr>
                <w:b/>
              </w:rPr>
              <w:t xml:space="preserve"> + NSPOSSNAP </w:t>
            </w:r>
            <w:proofErr w:type="spellStart"/>
            <w:r w:rsidRPr="0093076E">
              <w:rPr>
                <w:b/>
                <w:i/>
                <w:vertAlign w:val="subscript"/>
              </w:rPr>
              <w:t>ruc</w:t>
            </w:r>
            <w:proofErr w:type="spellEnd"/>
            <w:r w:rsidRPr="0093076E">
              <w:rPr>
                <w:b/>
                <w:i/>
                <w:vertAlign w:val="subscript"/>
              </w:rPr>
              <w:t>, q, h</w:t>
            </w:r>
            <w:r w:rsidRPr="0093076E">
              <w:rPr>
                <w:b/>
              </w:rPr>
              <w:t xml:space="preserve"> –                  </w:t>
            </w:r>
            <w:r w:rsidRPr="004721AF">
              <w:rPr>
                <w:b/>
                <w:position w:val="-18"/>
              </w:rPr>
              <w:object w:dxaOrig="220" w:dyaOrig="420" w14:anchorId="424F5745">
                <v:shape id="_x0000_i1063" type="#_x0000_t75" style="width:9.6pt;height:21pt" o:ole="">
                  <v:imagedata r:id="rId42" o:title=""/>
                </v:shape>
                <o:OLEObject Type="Embed" ProgID="Equation.3" ShapeID="_x0000_i1063" DrawAspect="Content" ObjectID="_1775281593" r:id="rId75"/>
              </w:object>
            </w:r>
            <w:r w:rsidRPr="0093076E">
              <w:rPr>
                <w:b/>
              </w:rPr>
              <w:t>ASOFFOFRSNAP</w:t>
            </w:r>
            <w:r w:rsidRPr="0093076E">
              <w:rPr>
                <w:b/>
                <w:i/>
                <w:vertAlign w:val="subscript"/>
              </w:rPr>
              <w:t xml:space="preserve"> </w:t>
            </w:r>
            <w:proofErr w:type="spellStart"/>
            <w:r w:rsidRPr="0093076E">
              <w:rPr>
                <w:b/>
                <w:i/>
                <w:vertAlign w:val="subscript"/>
              </w:rPr>
              <w:t>ruc</w:t>
            </w:r>
            <w:proofErr w:type="spellEnd"/>
            <w:r w:rsidRPr="0093076E">
              <w:rPr>
                <w:b/>
                <w:i/>
                <w:vertAlign w:val="subscript"/>
              </w:rPr>
              <w:t>, q, r, h</w:t>
            </w:r>
            <w:r w:rsidRPr="0093076E">
              <w:rPr>
                <w:b/>
              </w:rPr>
              <w:t>))</w:t>
            </w:r>
          </w:p>
          <w:p w14:paraId="6D6250CD" w14:textId="7B2BEB64" w:rsidR="004B6091" w:rsidRPr="004B6091" w:rsidRDefault="0093076E" w:rsidP="004B6091">
            <w:pPr>
              <w:spacing w:after="240"/>
              <w:ind w:left="720" w:hanging="720"/>
            </w:pPr>
            <w:r>
              <w:tab/>
            </w:r>
            <w:r w:rsidR="004B6091" w:rsidRPr="004B6091">
              <w:t>The amount of capacity that a QSE had according to the RUC Snapshot for a 15-minute Settlement Interval is:</w:t>
            </w:r>
          </w:p>
          <w:p w14:paraId="6FC2ACCD" w14:textId="765FD4BA" w:rsidR="004B6091" w:rsidRPr="0093076E" w:rsidRDefault="004B6091" w:rsidP="004B6091">
            <w:pPr>
              <w:tabs>
                <w:tab w:val="left" w:pos="2340"/>
                <w:tab w:val="left" w:pos="3420"/>
              </w:tabs>
              <w:spacing w:after="240"/>
              <w:ind w:left="3420" w:hanging="2700"/>
              <w:rPr>
                <w:b/>
                <w:bCs/>
                <w:szCs w:val="24"/>
              </w:rPr>
            </w:pPr>
            <w:r w:rsidRPr="0093076E">
              <w:rPr>
                <w:b/>
                <w:bCs/>
                <w:szCs w:val="24"/>
              </w:rPr>
              <w:t xml:space="preserve">RUCCAPSNAP </w:t>
            </w:r>
            <w:proofErr w:type="spellStart"/>
            <w:r w:rsidRPr="0093076E">
              <w:rPr>
                <w:b/>
                <w:bCs/>
                <w:i/>
                <w:szCs w:val="24"/>
                <w:vertAlign w:val="subscript"/>
              </w:rPr>
              <w:t>ruc</w:t>
            </w:r>
            <w:proofErr w:type="spellEnd"/>
            <w:r w:rsidRPr="0093076E">
              <w:rPr>
                <w:b/>
                <w:bCs/>
                <w:i/>
                <w:szCs w:val="24"/>
                <w:vertAlign w:val="subscript"/>
              </w:rPr>
              <w:t>, q, i</w:t>
            </w:r>
            <w:r w:rsidRPr="0093076E">
              <w:rPr>
                <w:b/>
                <w:bCs/>
                <w:szCs w:val="24"/>
              </w:rPr>
              <w:t xml:space="preserve"> =</w:t>
            </w:r>
            <w:r w:rsidRPr="0093076E">
              <w:rPr>
                <w:b/>
                <w:bCs/>
                <w:szCs w:val="24"/>
              </w:rPr>
              <w:tab/>
            </w:r>
            <w:r w:rsidRPr="004721AF">
              <w:rPr>
                <w:b/>
                <w:bCs/>
                <w:position w:val="-18"/>
                <w:szCs w:val="24"/>
              </w:rPr>
              <w:object w:dxaOrig="220" w:dyaOrig="420" w14:anchorId="78D3C84E">
                <v:shape id="_x0000_i1064" type="#_x0000_t75" style="width:7.8pt;height:21pt" o:ole="">
                  <v:imagedata r:id="rId51" o:title=""/>
                </v:shape>
                <o:OLEObject Type="Embed" ProgID="Equation.3" ShapeID="_x0000_i1064" DrawAspect="Content" ObjectID="_1775281594" r:id="rId76"/>
              </w:object>
            </w:r>
            <w:r w:rsidRPr="0093076E">
              <w:rPr>
                <w:b/>
                <w:bCs/>
                <w:szCs w:val="24"/>
              </w:rPr>
              <w:t xml:space="preserve">RCAPSNAP </w:t>
            </w:r>
            <w:proofErr w:type="spellStart"/>
            <w:r w:rsidRPr="0093076E">
              <w:rPr>
                <w:b/>
                <w:bCs/>
                <w:i/>
                <w:szCs w:val="24"/>
                <w:vertAlign w:val="subscript"/>
              </w:rPr>
              <w:t>ruc</w:t>
            </w:r>
            <w:proofErr w:type="spellEnd"/>
            <w:r w:rsidRPr="0093076E">
              <w:rPr>
                <w:b/>
                <w:bCs/>
                <w:i/>
                <w:szCs w:val="24"/>
                <w:vertAlign w:val="subscript"/>
              </w:rPr>
              <w:t>, q, r, h</w:t>
            </w:r>
            <w:r w:rsidRPr="0093076E">
              <w:rPr>
                <w:b/>
                <w:bCs/>
                <w:szCs w:val="24"/>
              </w:rPr>
              <w:t xml:space="preserve"> + (RUCCPSNAP </w:t>
            </w:r>
            <w:proofErr w:type="spellStart"/>
            <w:r w:rsidRPr="0093076E">
              <w:rPr>
                <w:b/>
                <w:bCs/>
                <w:i/>
                <w:szCs w:val="24"/>
                <w:vertAlign w:val="subscript"/>
              </w:rPr>
              <w:t>ruc</w:t>
            </w:r>
            <w:proofErr w:type="spellEnd"/>
            <w:r w:rsidRPr="0093076E">
              <w:rPr>
                <w:b/>
                <w:bCs/>
                <w:i/>
                <w:szCs w:val="24"/>
                <w:vertAlign w:val="subscript"/>
              </w:rPr>
              <w:t>, q, h</w:t>
            </w:r>
            <w:r w:rsidRPr="0093076E">
              <w:rPr>
                <w:b/>
                <w:bCs/>
                <w:szCs w:val="24"/>
              </w:rPr>
              <w:t xml:space="preserve"> – RUCCSSNAP </w:t>
            </w:r>
            <w:proofErr w:type="spellStart"/>
            <w:r w:rsidRPr="0093076E">
              <w:rPr>
                <w:b/>
                <w:bCs/>
                <w:i/>
                <w:szCs w:val="24"/>
                <w:vertAlign w:val="subscript"/>
              </w:rPr>
              <w:t>ruc</w:t>
            </w:r>
            <w:proofErr w:type="spellEnd"/>
            <w:r w:rsidRPr="0093076E">
              <w:rPr>
                <w:b/>
                <w:bCs/>
                <w:i/>
                <w:szCs w:val="24"/>
                <w:vertAlign w:val="subscript"/>
              </w:rPr>
              <w:t>, q, h</w:t>
            </w:r>
            <w:r w:rsidRPr="0093076E">
              <w:rPr>
                <w:b/>
                <w:bCs/>
                <w:szCs w:val="24"/>
              </w:rPr>
              <w:t>) + (</w:t>
            </w:r>
            <w:r w:rsidRPr="004721AF">
              <w:rPr>
                <w:b/>
                <w:bCs/>
                <w:position w:val="-22"/>
                <w:szCs w:val="24"/>
              </w:rPr>
              <w:object w:dxaOrig="220" w:dyaOrig="460" w14:anchorId="0E8E136E">
                <v:shape id="_x0000_i1065" type="#_x0000_t75" style="width:7.8pt;height:21pt" o:ole="">
                  <v:imagedata r:id="rId53" o:title=""/>
                </v:shape>
                <o:OLEObject Type="Embed" ProgID="Equation.3" ShapeID="_x0000_i1065" DrawAspect="Content" ObjectID="_1775281595" r:id="rId77"/>
              </w:object>
            </w:r>
            <w:r w:rsidRPr="0093076E">
              <w:rPr>
                <w:b/>
                <w:bCs/>
                <w:szCs w:val="24"/>
              </w:rPr>
              <w:t xml:space="preserve">DAEP </w:t>
            </w:r>
            <w:r w:rsidRPr="0093076E">
              <w:rPr>
                <w:b/>
                <w:bCs/>
                <w:i/>
                <w:szCs w:val="24"/>
                <w:vertAlign w:val="subscript"/>
              </w:rPr>
              <w:t>q, p, h</w:t>
            </w:r>
            <w:r w:rsidRPr="0093076E">
              <w:rPr>
                <w:b/>
                <w:bCs/>
                <w:szCs w:val="24"/>
              </w:rPr>
              <w:t xml:space="preserve"> –</w:t>
            </w:r>
            <w:r w:rsidRPr="004721AF">
              <w:rPr>
                <w:b/>
                <w:bCs/>
                <w:position w:val="-22"/>
                <w:szCs w:val="24"/>
              </w:rPr>
              <w:object w:dxaOrig="220" w:dyaOrig="460" w14:anchorId="7B8C2D36">
                <v:shape id="_x0000_i1066" type="#_x0000_t75" style="width:7.8pt;height:21pt" o:ole="">
                  <v:imagedata r:id="rId55" o:title=""/>
                </v:shape>
                <o:OLEObject Type="Embed" ProgID="Equation.3" ShapeID="_x0000_i1066" DrawAspect="Content" ObjectID="_1775281596" r:id="rId78"/>
              </w:object>
            </w:r>
            <w:r w:rsidRPr="0093076E">
              <w:rPr>
                <w:b/>
                <w:bCs/>
                <w:szCs w:val="24"/>
              </w:rPr>
              <w:t xml:space="preserve">DAES </w:t>
            </w:r>
            <w:r w:rsidRPr="0093076E">
              <w:rPr>
                <w:b/>
                <w:bCs/>
                <w:i/>
                <w:szCs w:val="24"/>
                <w:vertAlign w:val="subscript"/>
              </w:rPr>
              <w:t>q, p, h</w:t>
            </w:r>
            <w:r w:rsidRPr="0093076E">
              <w:rPr>
                <w:b/>
                <w:bCs/>
                <w:szCs w:val="24"/>
              </w:rPr>
              <w:t>) + (</w:t>
            </w:r>
            <w:r w:rsidRPr="004721AF">
              <w:rPr>
                <w:b/>
                <w:bCs/>
                <w:position w:val="-22"/>
                <w:szCs w:val="24"/>
              </w:rPr>
              <w:object w:dxaOrig="220" w:dyaOrig="460" w14:anchorId="4BAF710B">
                <v:shape id="_x0000_i1067" type="#_x0000_t75" style="width:7.8pt;height:21pt" o:ole="">
                  <v:imagedata r:id="rId57" o:title=""/>
                </v:shape>
                <o:OLEObject Type="Embed" ProgID="Equation.3" ShapeID="_x0000_i1067" DrawAspect="Content" ObjectID="_1775281597" r:id="rId79"/>
              </w:object>
            </w:r>
            <w:r w:rsidRPr="0093076E">
              <w:rPr>
                <w:b/>
                <w:bCs/>
                <w:szCs w:val="24"/>
              </w:rPr>
              <w:t xml:space="preserve">RTQQEPSNAP </w:t>
            </w:r>
            <w:proofErr w:type="spellStart"/>
            <w:r w:rsidRPr="0093076E">
              <w:rPr>
                <w:b/>
                <w:bCs/>
                <w:i/>
                <w:szCs w:val="24"/>
                <w:vertAlign w:val="subscript"/>
              </w:rPr>
              <w:t>ruc</w:t>
            </w:r>
            <w:proofErr w:type="spellEnd"/>
            <w:r w:rsidRPr="0093076E">
              <w:rPr>
                <w:b/>
                <w:bCs/>
                <w:i/>
                <w:szCs w:val="24"/>
                <w:vertAlign w:val="subscript"/>
              </w:rPr>
              <w:t>, q, p, i</w:t>
            </w:r>
            <w:r w:rsidRPr="0093076E">
              <w:rPr>
                <w:b/>
                <w:bCs/>
                <w:szCs w:val="24"/>
              </w:rPr>
              <w:t xml:space="preserve"> – </w:t>
            </w:r>
            <w:r w:rsidRPr="004721AF">
              <w:rPr>
                <w:b/>
                <w:bCs/>
                <w:position w:val="-22"/>
                <w:szCs w:val="24"/>
              </w:rPr>
              <w:object w:dxaOrig="220" w:dyaOrig="460" w14:anchorId="249099BA">
                <v:shape id="_x0000_i1068" type="#_x0000_t75" style="width:7.8pt;height:21pt" o:ole="">
                  <v:imagedata r:id="rId59" o:title=""/>
                </v:shape>
                <o:OLEObject Type="Embed" ProgID="Equation.3" ShapeID="_x0000_i1068" DrawAspect="Content" ObjectID="_1775281598" r:id="rId80"/>
              </w:object>
            </w:r>
            <w:r w:rsidRPr="0093076E">
              <w:rPr>
                <w:b/>
                <w:bCs/>
                <w:szCs w:val="24"/>
              </w:rPr>
              <w:t xml:space="preserve">RTQQESSNAP </w:t>
            </w:r>
            <w:proofErr w:type="spellStart"/>
            <w:r w:rsidRPr="0093076E">
              <w:rPr>
                <w:b/>
                <w:bCs/>
                <w:i/>
                <w:szCs w:val="24"/>
                <w:vertAlign w:val="subscript"/>
              </w:rPr>
              <w:t>ruc</w:t>
            </w:r>
            <w:proofErr w:type="spellEnd"/>
            <w:r w:rsidRPr="0093076E">
              <w:rPr>
                <w:b/>
                <w:bCs/>
                <w:i/>
                <w:szCs w:val="24"/>
                <w:vertAlign w:val="subscript"/>
              </w:rPr>
              <w:t>, q, p, i</w:t>
            </w:r>
            <w:r w:rsidRPr="0093076E">
              <w:rPr>
                <w:b/>
                <w:bCs/>
                <w:szCs w:val="24"/>
              </w:rPr>
              <w:t xml:space="preserve">) + </w:t>
            </w:r>
            <w:r w:rsidRPr="0093076E">
              <w:rPr>
                <w:b/>
                <w:bCs/>
                <w:position w:val="-22"/>
                <w:szCs w:val="24"/>
              </w:rPr>
              <w:t xml:space="preserve"> </w:t>
            </w:r>
            <w:r w:rsidRPr="004721AF">
              <w:rPr>
                <w:b/>
                <w:bCs/>
                <w:position w:val="-22"/>
                <w:szCs w:val="24"/>
              </w:rPr>
              <w:object w:dxaOrig="220" w:dyaOrig="460" w14:anchorId="5A66292B">
                <v:shape id="_x0000_i1069" type="#_x0000_t75" style="width:7.8pt;height:21pt" o:ole="">
                  <v:imagedata r:id="rId53" o:title=""/>
                </v:shape>
                <o:OLEObject Type="Embed" ProgID="Equation.3" ShapeID="_x0000_i1069" DrawAspect="Content" ObjectID="_1775281599" r:id="rId81"/>
              </w:object>
            </w:r>
            <w:r w:rsidRPr="0093076E">
              <w:rPr>
                <w:b/>
                <w:bCs/>
                <w:position w:val="-22"/>
                <w:szCs w:val="24"/>
              </w:rPr>
              <w:t xml:space="preserve"> </w:t>
            </w:r>
            <w:r w:rsidRPr="0093076E">
              <w:rPr>
                <w:b/>
                <w:bCs/>
                <w:szCs w:val="24"/>
              </w:rPr>
              <w:t xml:space="preserve">DCIMPSNAP </w:t>
            </w:r>
            <w:proofErr w:type="spellStart"/>
            <w:r w:rsidRPr="0093076E">
              <w:rPr>
                <w:b/>
                <w:bCs/>
                <w:i/>
                <w:szCs w:val="24"/>
                <w:vertAlign w:val="subscript"/>
              </w:rPr>
              <w:t>ruc</w:t>
            </w:r>
            <w:proofErr w:type="spellEnd"/>
            <w:r w:rsidRPr="0093076E">
              <w:rPr>
                <w:b/>
                <w:bCs/>
                <w:i/>
                <w:szCs w:val="24"/>
                <w:vertAlign w:val="subscript"/>
              </w:rPr>
              <w:t>, q, p, i</w:t>
            </w:r>
            <w:r w:rsidRPr="0093076E">
              <w:rPr>
                <w:b/>
                <w:bCs/>
                <w:szCs w:val="24"/>
              </w:rPr>
              <w:t xml:space="preserve"> + </w:t>
            </w:r>
            <w:r w:rsidRPr="004721AF">
              <w:rPr>
                <w:b/>
                <w:bCs/>
                <w:position w:val="-18"/>
                <w:szCs w:val="24"/>
              </w:rPr>
              <w:object w:dxaOrig="220" w:dyaOrig="420" w14:anchorId="1C464418">
                <v:shape id="_x0000_i1070" type="#_x0000_t75" style="width:9.6pt;height:21pt" o:ole="">
                  <v:imagedata r:id="rId42" o:title=""/>
                </v:shape>
                <o:OLEObject Type="Embed" ProgID="Equation.3" ShapeID="_x0000_i1070" DrawAspect="Content" ObjectID="_1775281600" r:id="rId82"/>
              </w:object>
            </w:r>
            <w:r w:rsidRPr="0093076E">
              <w:rPr>
                <w:b/>
                <w:bCs/>
                <w:szCs w:val="24"/>
              </w:rPr>
              <w:t>ASOFRLRSNAP</w:t>
            </w:r>
            <w:r w:rsidRPr="0093076E">
              <w:rPr>
                <w:b/>
                <w:bCs/>
                <w:i/>
                <w:szCs w:val="24"/>
                <w:vertAlign w:val="subscript"/>
              </w:rPr>
              <w:t xml:space="preserve"> </w:t>
            </w:r>
            <w:proofErr w:type="spellStart"/>
            <w:r w:rsidRPr="0093076E">
              <w:rPr>
                <w:b/>
                <w:bCs/>
                <w:i/>
                <w:szCs w:val="24"/>
                <w:vertAlign w:val="subscript"/>
              </w:rPr>
              <w:t>ruc</w:t>
            </w:r>
            <w:proofErr w:type="spellEnd"/>
            <w:r w:rsidRPr="0093076E">
              <w:rPr>
                <w:b/>
                <w:bCs/>
                <w:i/>
                <w:szCs w:val="24"/>
                <w:vertAlign w:val="subscript"/>
              </w:rPr>
              <w:t>, q, r, h</w:t>
            </w:r>
          </w:p>
          <w:p w14:paraId="1A6C16B5" w14:textId="5570D6E2" w:rsidR="004B6091" w:rsidRPr="004B6091" w:rsidRDefault="004B6091" w:rsidP="004B6091">
            <w:pPr>
              <w:spacing w:after="240"/>
              <w:ind w:left="720" w:hanging="720"/>
            </w:pPr>
            <w:r w:rsidRPr="004B6091">
              <w:t>(1</w:t>
            </w:r>
            <w:r w:rsidR="004F4D57">
              <w:t>1</w:t>
            </w:r>
            <w:r w:rsidRPr="004B6091">
              <w:t>)</w:t>
            </w:r>
            <w:r w:rsidRPr="004B6091">
              <w:tab/>
              <w:t>The Ancillary Service shortfall calculation compares the Ancillary Service capability of the QSE, measured by the submitted Ancillary Service Offers, to the Ancillary Service Position.  Because the same Resource capacity can be represented in Ancillary Offers for multiple products, the aggregated capability is accounted for by grouping Ancillary Service types in the calculation below.  The Ancillary Service shortfall in MW that a QSE had according to the RUC Snapshot for a 15-minute Settlement Interval is:</w:t>
            </w:r>
          </w:p>
          <w:p w14:paraId="3FAFD653" w14:textId="77777777" w:rsidR="004B6091" w:rsidRPr="004B6091" w:rsidRDefault="004B6091" w:rsidP="0093076E">
            <w:pPr>
              <w:spacing w:after="240"/>
              <w:ind w:left="4050" w:right="-142" w:hanging="3330"/>
              <w:rPr>
                <w:b/>
                <w:vertAlign w:val="subscript"/>
              </w:rPr>
            </w:pPr>
            <w:r w:rsidRPr="004B6091">
              <w:rPr>
                <w:b/>
              </w:rPr>
              <w:t xml:space="preserve">RUCASFSNAP </w:t>
            </w:r>
            <w:proofErr w:type="spellStart"/>
            <w:r w:rsidRPr="004B6091">
              <w:rPr>
                <w:b/>
                <w:i/>
                <w:vertAlign w:val="subscript"/>
              </w:rPr>
              <w:t>ruc</w:t>
            </w:r>
            <w:proofErr w:type="spellEnd"/>
            <w:r w:rsidRPr="004B6091">
              <w:rPr>
                <w:b/>
                <w:i/>
                <w:vertAlign w:val="subscript"/>
              </w:rPr>
              <w:t xml:space="preserve">, q, i   </w:t>
            </w:r>
            <w:r w:rsidRPr="004B6091">
              <w:rPr>
                <w:b/>
              </w:rPr>
              <w:t>=  Max (0, ASCAP1SNAP</w:t>
            </w:r>
            <w:r w:rsidRPr="004B6091">
              <w:rPr>
                <w:b/>
                <w:i/>
                <w:vertAlign w:val="subscript"/>
              </w:rPr>
              <w:t xml:space="preserve"> </w:t>
            </w:r>
            <w:proofErr w:type="spellStart"/>
            <w:r w:rsidRPr="004B6091">
              <w:rPr>
                <w:b/>
                <w:i/>
                <w:vertAlign w:val="subscript"/>
              </w:rPr>
              <w:t>ruc</w:t>
            </w:r>
            <w:proofErr w:type="spellEnd"/>
            <w:r w:rsidRPr="004B6091">
              <w:rPr>
                <w:b/>
                <w:i/>
                <w:vertAlign w:val="subscript"/>
              </w:rPr>
              <w:t xml:space="preserve">, q, i </w:t>
            </w:r>
            <w:r w:rsidRPr="004B6091">
              <w:rPr>
                <w:b/>
              </w:rPr>
              <w:t>, ASCAP2SNAP</w:t>
            </w:r>
            <w:r w:rsidRPr="004B6091">
              <w:rPr>
                <w:b/>
                <w:i/>
                <w:vertAlign w:val="subscript"/>
              </w:rPr>
              <w:t xml:space="preserve"> </w:t>
            </w:r>
            <w:proofErr w:type="spellStart"/>
            <w:r w:rsidRPr="004B6091">
              <w:rPr>
                <w:b/>
                <w:i/>
                <w:vertAlign w:val="subscript"/>
              </w:rPr>
              <w:t>ruc</w:t>
            </w:r>
            <w:proofErr w:type="spellEnd"/>
            <w:r w:rsidRPr="004B6091">
              <w:rPr>
                <w:b/>
                <w:i/>
                <w:vertAlign w:val="subscript"/>
              </w:rPr>
              <w:t>, q, i</w:t>
            </w:r>
            <w:r w:rsidRPr="004B6091">
              <w:rPr>
                <w:b/>
              </w:rPr>
              <w:t>, ASCAP3SNAP</w:t>
            </w:r>
            <w:r w:rsidRPr="004B6091">
              <w:rPr>
                <w:b/>
                <w:i/>
                <w:vertAlign w:val="subscript"/>
              </w:rPr>
              <w:t xml:space="preserve"> </w:t>
            </w:r>
            <w:proofErr w:type="spellStart"/>
            <w:r w:rsidRPr="004B6091">
              <w:rPr>
                <w:b/>
                <w:i/>
                <w:vertAlign w:val="subscript"/>
              </w:rPr>
              <w:t>ruc</w:t>
            </w:r>
            <w:proofErr w:type="spellEnd"/>
            <w:r w:rsidRPr="004B6091">
              <w:rPr>
                <w:b/>
                <w:i/>
                <w:vertAlign w:val="subscript"/>
              </w:rPr>
              <w:t xml:space="preserve">, q, i </w:t>
            </w:r>
            <w:r w:rsidRPr="004B6091">
              <w:rPr>
                <w:b/>
              </w:rPr>
              <w:t>, ASCAP4SNAP</w:t>
            </w:r>
            <w:r w:rsidRPr="004B6091">
              <w:rPr>
                <w:b/>
                <w:i/>
                <w:vertAlign w:val="subscript"/>
              </w:rPr>
              <w:t xml:space="preserve"> </w:t>
            </w:r>
            <w:proofErr w:type="spellStart"/>
            <w:r w:rsidRPr="004B6091">
              <w:rPr>
                <w:b/>
                <w:i/>
                <w:vertAlign w:val="subscript"/>
              </w:rPr>
              <w:t>ruc</w:t>
            </w:r>
            <w:proofErr w:type="spellEnd"/>
            <w:r w:rsidRPr="004B6091">
              <w:rPr>
                <w:b/>
                <w:i/>
                <w:vertAlign w:val="subscript"/>
              </w:rPr>
              <w:t>, q, i</w:t>
            </w:r>
            <w:r w:rsidRPr="004B6091">
              <w:rPr>
                <w:b/>
              </w:rPr>
              <w:t>, ASCAP5SNAP</w:t>
            </w:r>
            <w:r w:rsidRPr="004B6091">
              <w:rPr>
                <w:b/>
                <w:i/>
                <w:vertAlign w:val="subscript"/>
              </w:rPr>
              <w:t xml:space="preserve"> </w:t>
            </w:r>
            <w:proofErr w:type="spellStart"/>
            <w:r w:rsidRPr="004B6091">
              <w:rPr>
                <w:b/>
                <w:i/>
                <w:vertAlign w:val="subscript"/>
              </w:rPr>
              <w:t>ruc</w:t>
            </w:r>
            <w:proofErr w:type="spellEnd"/>
            <w:r w:rsidRPr="004B6091">
              <w:rPr>
                <w:b/>
                <w:i/>
                <w:vertAlign w:val="subscript"/>
              </w:rPr>
              <w:t>, q, i</w:t>
            </w:r>
            <w:r w:rsidRPr="004B6091">
              <w:rPr>
                <w:b/>
              </w:rPr>
              <w:t>) + Max (0, ASCAP6SNAP</w:t>
            </w:r>
            <w:r w:rsidRPr="004B6091">
              <w:rPr>
                <w:b/>
                <w:i/>
                <w:vertAlign w:val="subscript"/>
              </w:rPr>
              <w:t xml:space="preserve"> </w:t>
            </w:r>
            <w:proofErr w:type="spellStart"/>
            <w:r w:rsidRPr="004B6091">
              <w:rPr>
                <w:b/>
                <w:i/>
                <w:vertAlign w:val="subscript"/>
              </w:rPr>
              <w:t>ruc</w:t>
            </w:r>
            <w:proofErr w:type="spellEnd"/>
            <w:r w:rsidRPr="004B6091">
              <w:rPr>
                <w:b/>
                <w:i/>
                <w:vertAlign w:val="subscript"/>
              </w:rPr>
              <w:t>, q, i</w:t>
            </w:r>
            <w:r w:rsidRPr="004B6091">
              <w:rPr>
                <w:b/>
              </w:rPr>
              <w:t>)</w:t>
            </w:r>
          </w:p>
          <w:p w14:paraId="57BE0D4F" w14:textId="1C56C6F0" w:rsidR="004B6091" w:rsidRPr="004B6091" w:rsidRDefault="004B6091" w:rsidP="004B6091">
            <w:pPr>
              <w:tabs>
                <w:tab w:val="left" w:pos="2340"/>
                <w:tab w:val="left" w:pos="3420"/>
              </w:tabs>
              <w:spacing w:after="240"/>
              <w:ind w:left="3420" w:hanging="2700"/>
              <w:rPr>
                <w:bCs/>
                <w:szCs w:val="24"/>
              </w:rPr>
            </w:pPr>
            <w:r w:rsidRPr="004B6091">
              <w:rPr>
                <w:bCs/>
                <w:szCs w:val="24"/>
              </w:rPr>
              <w:lastRenderedPageBreak/>
              <w:t>Where</w:t>
            </w:r>
            <w:r w:rsidR="00A50280">
              <w:rPr>
                <w:bCs/>
                <w:szCs w:val="24"/>
              </w:rPr>
              <w:t>:</w:t>
            </w:r>
          </w:p>
          <w:p w14:paraId="311183C4" w14:textId="77777777" w:rsidR="004B6091" w:rsidRPr="004B6091" w:rsidRDefault="004B6091" w:rsidP="004B6091">
            <w:pPr>
              <w:spacing w:after="240"/>
              <w:ind w:left="3060" w:hanging="2340"/>
            </w:pPr>
            <w:r w:rsidRPr="004B6091">
              <w:t>ASCAP1SNAP</w:t>
            </w:r>
            <w:r w:rsidRPr="004B6091">
              <w:rPr>
                <w:i/>
                <w:vertAlign w:val="subscript"/>
              </w:rPr>
              <w:t xml:space="preserve"> </w:t>
            </w:r>
            <w:proofErr w:type="spellStart"/>
            <w:r w:rsidRPr="004B6091">
              <w:rPr>
                <w:i/>
                <w:vertAlign w:val="subscript"/>
              </w:rPr>
              <w:t>ruc</w:t>
            </w:r>
            <w:proofErr w:type="spellEnd"/>
            <w:r w:rsidRPr="004B6091">
              <w:rPr>
                <w:i/>
                <w:vertAlign w:val="subscript"/>
              </w:rPr>
              <w:t xml:space="preserve">, q, i   </w:t>
            </w:r>
            <w:r w:rsidRPr="004B6091">
              <w:t xml:space="preserve">=  RUPOSSNAP </w:t>
            </w:r>
            <w:proofErr w:type="spellStart"/>
            <w:r w:rsidRPr="004B6091">
              <w:rPr>
                <w:i/>
                <w:vertAlign w:val="subscript"/>
              </w:rPr>
              <w:t>ruc</w:t>
            </w:r>
            <w:proofErr w:type="spellEnd"/>
            <w:r w:rsidRPr="004B6091">
              <w:rPr>
                <w:i/>
                <w:vertAlign w:val="subscript"/>
              </w:rPr>
              <w:t>, q, h</w:t>
            </w:r>
            <w:r w:rsidRPr="004B6091">
              <w:t xml:space="preserve"> – </w:t>
            </w:r>
            <w:r w:rsidRPr="004B6091">
              <w:rPr>
                <w:position w:val="-18"/>
              </w:rPr>
              <w:object w:dxaOrig="220" w:dyaOrig="420" w14:anchorId="4EAF0EA8">
                <v:shape id="_x0000_i1071" type="#_x0000_t75" style="width:9.6pt;height:21pt" o:ole="">
                  <v:imagedata r:id="rId42" o:title=""/>
                </v:shape>
                <o:OLEObject Type="Embed" ProgID="Equation.3" ShapeID="_x0000_i1071" DrawAspect="Content" ObjectID="_1775281601" r:id="rId83"/>
              </w:object>
            </w:r>
            <w:r w:rsidRPr="004B6091">
              <w:t>ASOFR1SNAP</w:t>
            </w:r>
            <w:r w:rsidRPr="004B6091">
              <w:rPr>
                <w:i/>
                <w:vertAlign w:val="subscript"/>
              </w:rPr>
              <w:t xml:space="preserve"> </w:t>
            </w:r>
            <w:proofErr w:type="spellStart"/>
            <w:r w:rsidRPr="004B6091">
              <w:rPr>
                <w:i/>
                <w:vertAlign w:val="subscript"/>
              </w:rPr>
              <w:t>ruc</w:t>
            </w:r>
            <w:proofErr w:type="spellEnd"/>
            <w:r w:rsidRPr="004B6091">
              <w:rPr>
                <w:i/>
                <w:vertAlign w:val="subscript"/>
              </w:rPr>
              <w:t>, q, r, h</w:t>
            </w:r>
          </w:p>
          <w:p w14:paraId="07F8B78B" w14:textId="77777777" w:rsidR="004B6091" w:rsidRPr="004B6091" w:rsidRDefault="004B6091" w:rsidP="004B6091">
            <w:pPr>
              <w:spacing w:after="240"/>
              <w:ind w:left="3060" w:hanging="2340"/>
              <w:rPr>
                <w:vertAlign w:val="subscript"/>
              </w:rPr>
            </w:pPr>
            <w:r w:rsidRPr="004B6091">
              <w:t>ASCAP2SNAP</w:t>
            </w:r>
            <w:r w:rsidRPr="004B6091">
              <w:rPr>
                <w:i/>
                <w:vertAlign w:val="subscript"/>
              </w:rPr>
              <w:t xml:space="preserve"> </w:t>
            </w:r>
            <w:proofErr w:type="spellStart"/>
            <w:r w:rsidRPr="004B6091">
              <w:rPr>
                <w:i/>
                <w:vertAlign w:val="subscript"/>
              </w:rPr>
              <w:t>ruc</w:t>
            </w:r>
            <w:proofErr w:type="spellEnd"/>
            <w:r w:rsidRPr="004B6091">
              <w:rPr>
                <w:i/>
                <w:vertAlign w:val="subscript"/>
              </w:rPr>
              <w:t xml:space="preserve">, q, i   </w:t>
            </w:r>
            <w:r w:rsidRPr="004B6091">
              <w:t xml:space="preserve">=  </w:t>
            </w:r>
            <w:proofErr w:type="spellStart"/>
            <w:r w:rsidRPr="004B6091">
              <w:t>RRPOSSNAP</w:t>
            </w:r>
            <w:r w:rsidRPr="004B6091">
              <w:rPr>
                <w:i/>
                <w:vertAlign w:val="subscript"/>
              </w:rPr>
              <w:t>ruc</w:t>
            </w:r>
            <w:proofErr w:type="spellEnd"/>
            <w:r w:rsidRPr="004B6091">
              <w:rPr>
                <w:i/>
                <w:vertAlign w:val="subscript"/>
              </w:rPr>
              <w:t>, q, h</w:t>
            </w:r>
            <w:r w:rsidRPr="004B6091">
              <w:t xml:space="preserve"> – </w:t>
            </w:r>
            <w:r w:rsidRPr="004B6091">
              <w:rPr>
                <w:position w:val="-18"/>
              </w:rPr>
              <w:object w:dxaOrig="220" w:dyaOrig="420" w14:anchorId="2CD216E1">
                <v:shape id="_x0000_i1072" type="#_x0000_t75" style="width:9.6pt;height:21pt" o:ole="">
                  <v:imagedata r:id="rId42" o:title=""/>
                </v:shape>
                <o:OLEObject Type="Embed" ProgID="Equation.3" ShapeID="_x0000_i1072" DrawAspect="Content" ObjectID="_1775281602" r:id="rId84"/>
              </w:object>
            </w:r>
            <w:r w:rsidRPr="004B6091">
              <w:t xml:space="preserve"> ASOFR2SNAP</w:t>
            </w:r>
            <w:r w:rsidRPr="004B6091">
              <w:rPr>
                <w:i/>
                <w:vertAlign w:val="subscript"/>
              </w:rPr>
              <w:t xml:space="preserve"> </w:t>
            </w:r>
            <w:proofErr w:type="spellStart"/>
            <w:r w:rsidRPr="004B6091">
              <w:rPr>
                <w:i/>
                <w:vertAlign w:val="subscript"/>
              </w:rPr>
              <w:t>ruc</w:t>
            </w:r>
            <w:proofErr w:type="spellEnd"/>
            <w:r w:rsidRPr="004B6091">
              <w:rPr>
                <w:i/>
                <w:vertAlign w:val="subscript"/>
              </w:rPr>
              <w:t>, q, r, h</w:t>
            </w:r>
            <w:r w:rsidRPr="004B6091" w:rsidDel="00FD3D15">
              <w:rPr>
                <w:i/>
                <w:vertAlign w:val="subscript"/>
              </w:rPr>
              <w:t xml:space="preserve"> </w:t>
            </w:r>
          </w:p>
          <w:p w14:paraId="6BA611F5" w14:textId="77777777" w:rsidR="004B6091" w:rsidRPr="004B6091" w:rsidRDefault="004B6091" w:rsidP="0093076E">
            <w:pPr>
              <w:spacing w:after="240"/>
              <w:ind w:left="3150" w:right="38" w:hanging="2430"/>
              <w:rPr>
                <w:vertAlign w:val="subscript"/>
              </w:rPr>
            </w:pPr>
            <w:r w:rsidRPr="004B6091">
              <w:t>ASCAP3SNAP</w:t>
            </w:r>
            <w:r w:rsidRPr="004B6091">
              <w:rPr>
                <w:i/>
                <w:vertAlign w:val="subscript"/>
              </w:rPr>
              <w:t xml:space="preserve"> </w:t>
            </w:r>
            <w:proofErr w:type="spellStart"/>
            <w:r w:rsidRPr="004B6091">
              <w:rPr>
                <w:i/>
                <w:vertAlign w:val="subscript"/>
              </w:rPr>
              <w:t>ruc</w:t>
            </w:r>
            <w:proofErr w:type="spellEnd"/>
            <w:r w:rsidRPr="004B6091">
              <w:rPr>
                <w:i/>
                <w:vertAlign w:val="subscript"/>
              </w:rPr>
              <w:t xml:space="preserve">, q, i   </w:t>
            </w:r>
            <w:r w:rsidRPr="004B6091">
              <w:t xml:space="preserve">=  (RUPOSSNAP </w:t>
            </w:r>
            <w:proofErr w:type="spellStart"/>
            <w:r w:rsidRPr="004B6091">
              <w:rPr>
                <w:i/>
                <w:vertAlign w:val="subscript"/>
              </w:rPr>
              <w:t>ruc</w:t>
            </w:r>
            <w:proofErr w:type="spellEnd"/>
            <w:r w:rsidRPr="004B6091">
              <w:rPr>
                <w:i/>
                <w:vertAlign w:val="subscript"/>
              </w:rPr>
              <w:t>, q, h</w:t>
            </w:r>
            <w:r w:rsidRPr="004B6091">
              <w:t xml:space="preserve"> + RRPOSSNAP </w:t>
            </w:r>
            <w:proofErr w:type="spellStart"/>
            <w:r w:rsidRPr="004B6091">
              <w:rPr>
                <w:i/>
                <w:vertAlign w:val="subscript"/>
              </w:rPr>
              <w:t>ruc</w:t>
            </w:r>
            <w:proofErr w:type="spellEnd"/>
            <w:r w:rsidRPr="004B6091">
              <w:rPr>
                <w:i/>
                <w:vertAlign w:val="subscript"/>
              </w:rPr>
              <w:t>, q, h</w:t>
            </w:r>
            <w:r w:rsidRPr="004B6091">
              <w:t xml:space="preserve">) – </w:t>
            </w:r>
            <w:r w:rsidRPr="004B6091">
              <w:rPr>
                <w:position w:val="-18"/>
              </w:rPr>
              <w:object w:dxaOrig="220" w:dyaOrig="420" w14:anchorId="12C47308">
                <v:shape id="_x0000_i1073" type="#_x0000_t75" style="width:9.6pt;height:21pt" o:ole="">
                  <v:imagedata r:id="rId42" o:title=""/>
                </v:shape>
                <o:OLEObject Type="Embed" ProgID="Equation.3" ShapeID="_x0000_i1073" DrawAspect="Content" ObjectID="_1775281603" r:id="rId85"/>
              </w:object>
            </w:r>
            <w:r w:rsidRPr="004B6091">
              <w:t>ASOFR3SNAP</w:t>
            </w:r>
            <w:r w:rsidRPr="004B6091">
              <w:rPr>
                <w:i/>
                <w:vertAlign w:val="subscript"/>
              </w:rPr>
              <w:t xml:space="preserve"> </w:t>
            </w:r>
            <w:proofErr w:type="spellStart"/>
            <w:r w:rsidRPr="004B6091">
              <w:rPr>
                <w:i/>
                <w:vertAlign w:val="subscript"/>
              </w:rPr>
              <w:t>ruc</w:t>
            </w:r>
            <w:proofErr w:type="spellEnd"/>
            <w:r w:rsidRPr="004B6091">
              <w:rPr>
                <w:i/>
                <w:vertAlign w:val="subscript"/>
              </w:rPr>
              <w:t>, q, r, h</w:t>
            </w:r>
            <w:r w:rsidRPr="004B6091" w:rsidDel="00FD3D15">
              <w:rPr>
                <w:i/>
                <w:vertAlign w:val="subscript"/>
              </w:rPr>
              <w:t xml:space="preserve"> </w:t>
            </w:r>
          </w:p>
          <w:p w14:paraId="5D0BC243" w14:textId="77777777" w:rsidR="004B6091" w:rsidRPr="004B6091" w:rsidRDefault="004B6091" w:rsidP="004B6091">
            <w:pPr>
              <w:spacing w:after="240"/>
              <w:ind w:left="3150" w:right="270" w:hanging="2430"/>
            </w:pPr>
            <w:r w:rsidRPr="004B6091">
              <w:t>ASCAP4SNAP</w:t>
            </w:r>
            <w:r w:rsidRPr="004B6091">
              <w:rPr>
                <w:i/>
                <w:vertAlign w:val="subscript"/>
              </w:rPr>
              <w:t xml:space="preserve"> </w:t>
            </w:r>
            <w:proofErr w:type="spellStart"/>
            <w:r w:rsidRPr="004B6091">
              <w:rPr>
                <w:i/>
                <w:vertAlign w:val="subscript"/>
              </w:rPr>
              <w:t>ruc</w:t>
            </w:r>
            <w:proofErr w:type="spellEnd"/>
            <w:r w:rsidRPr="004B6091">
              <w:rPr>
                <w:i/>
                <w:vertAlign w:val="subscript"/>
              </w:rPr>
              <w:t xml:space="preserve">, q, i   </w:t>
            </w:r>
            <w:r w:rsidRPr="004B6091">
              <w:t xml:space="preserve">=  (RUPOSSNAP </w:t>
            </w:r>
            <w:proofErr w:type="spellStart"/>
            <w:r w:rsidRPr="004B6091">
              <w:rPr>
                <w:i/>
                <w:vertAlign w:val="subscript"/>
              </w:rPr>
              <w:t>ruc</w:t>
            </w:r>
            <w:proofErr w:type="spellEnd"/>
            <w:r w:rsidRPr="004B6091">
              <w:rPr>
                <w:i/>
                <w:vertAlign w:val="subscript"/>
              </w:rPr>
              <w:t>, q, h</w:t>
            </w:r>
            <w:r w:rsidRPr="004B6091">
              <w:t xml:space="preserve"> + RRPOSSNAP </w:t>
            </w:r>
            <w:proofErr w:type="spellStart"/>
            <w:r w:rsidRPr="004B6091">
              <w:rPr>
                <w:i/>
                <w:vertAlign w:val="subscript"/>
              </w:rPr>
              <w:t>ruc</w:t>
            </w:r>
            <w:proofErr w:type="spellEnd"/>
            <w:r w:rsidRPr="004B6091">
              <w:rPr>
                <w:i/>
                <w:vertAlign w:val="subscript"/>
              </w:rPr>
              <w:t>, q, h</w:t>
            </w:r>
            <w:r w:rsidRPr="004B6091" w:rsidDel="00FD3D15">
              <w:rPr>
                <w:i/>
                <w:vertAlign w:val="subscript"/>
              </w:rPr>
              <w:t xml:space="preserve"> </w:t>
            </w:r>
            <w:r w:rsidRPr="004B6091">
              <w:t xml:space="preserve"> + ECRPOSSNAP </w:t>
            </w:r>
            <w:proofErr w:type="spellStart"/>
            <w:r w:rsidRPr="004B6091">
              <w:rPr>
                <w:i/>
                <w:vertAlign w:val="subscript"/>
              </w:rPr>
              <w:t>ruc</w:t>
            </w:r>
            <w:proofErr w:type="spellEnd"/>
            <w:r w:rsidRPr="004B6091">
              <w:rPr>
                <w:i/>
                <w:vertAlign w:val="subscript"/>
              </w:rPr>
              <w:t>, q, h</w:t>
            </w:r>
            <w:r w:rsidRPr="004B6091">
              <w:t xml:space="preserve">) – </w:t>
            </w:r>
            <w:r w:rsidRPr="004B6091">
              <w:rPr>
                <w:position w:val="-18"/>
              </w:rPr>
              <w:object w:dxaOrig="220" w:dyaOrig="420" w14:anchorId="157DC3B7">
                <v:shape id="_x0000_i1074" type="#_x0000_t75" style="width:9.6pt;height:21pt" o:ole="">
                  <v:imagedata r:id="rId42" o:title=""/>
                </v:shape>
                <o:OLEObject Type="Embed" ProgID="Equation.3" ShapeID="_x0000_i1074" DrawAspect="Content" ObjectID="_1775281604" r:id="rId86"/>
              </w:object>
            </w:r>
            <w:r w:rsidRPr="004B6091">
              <w:t>ASOFR4SNAP</w:t>
            </w:r>
            <w:r w:rsidRPr="004B6091">
              <w:rPr>
                <w:i/>
                <w:vertAlign w:val="subscript"/>
              </w:rPr>
              <w:t xml:space="preserve"> </w:t>
            </w:r>
            <w:proofErr w:type="spellStart"/>
            <w:r w:rsidRPr="004B6091">
              <w:rPr>
                <w:i/>
                <w:vertAlign w:val="subscript"/>
              </w:rPr>
              <w:t>ruc</w:t>
            </w:r>
            <w:proofErr w:type="spellEnd"/>
            <w:r w:rsidRPr="004B6091">
              <w:rPr>
                <w:i/>
                <w:vertAlign w:val="subscript"/>
              </w:rPr>
              <w:t>, q, r, h</w:t>
            </w:r>
            <w:r w:rsidRPr="004B6091" w:rsidDel="00FD3D15">
              <w:rPr>
                <w:i/>
                <w:vertAlign w:val="subscript"/>
              </w:rPr>
              <w:t xml:space="preserve"> </w:t>
            </w:r>
          </w:p>
          <w:p w14:paraId="272871A9" w14:textId="77777777" w:rsidR="004B6091" w:rsidRPr="004B6091" w:rsidRDefault="004B6091" w:rsidP="004B6091">
            <w:pPr>
              <w:spacing w:after="240"/>
              <w:ind w:left="3150" w:right="360" w:hanging="2430"/>
            </w:pPr>
            <w:r w:rsidRPr="004B6091">
              <w:t>ASCAP5SNAP</w:t>
            </w:r>
            <w:r w:rsidRPr="004B6091">
              <w:rPr>
                <w:i/>
                <w:vertAlign w:val="subscript"/>
              </w:rPr>
              <w:t xml:space="preserve"> </w:t>
            </w:r>
            <w:proofErr w:type="spellStart"/>
            <w:r w:rsidRPr="004B6091">
              <w:rPr>
                <w:i/>
                <w:vertAlign w:val="subscript"/>
              </w:rPr>
              <w:t>ruc</w:t>
            </w:r>
            <w:proofErr w:type="spellEnd"/>
            <w:r w:rsidRPr="004B6091">
              <w:rPr>
                <w:i/>
                <w:vertAlign w:val="subscript"/>
              </w:rPr>
              <w:t xml:space="preserve">, q, i   </w:t>
            </w:r>
            <w:r w:rsidRPr="004B6091">
              <w:t xml:space="preserve">=  (RUPOSSNAP </w:t>
            </w:r>
            <w:proofErr w:type="spellStart"/>
            <w:r w:rsidRPr="004B6091">
              <w:rPr>
                <w:i/>
                <w:vertAlign w:val="subscript"/>
              </w:rPr>
              <w:t>ruc</w:t>
            </w:r>
            <w:proofErr w:type="spellEnd"/>
            <w:r w:rsidRPr="004B6091">
              <w:rPr>
                <w:i/>
                <w:vertAlign w:val="subscript"/>
              </w:rPr>
              <w:t>, q, h</w:t>
            </w:r>
            <w:r w:rsidRPr="004B6091">
              <w:t xml:space="preserve"> + RRPOSSNAP </w:t>
            </w:r>
            <w:proofErr w:type="spellStart"/>
            <w:r w:rsidRPr="004B6091">
              <w:rPr>
                <w:i/>
                <w:vertAlign w:val="subscript"/>
              </w:rPr>
              <w:t>ruc</w:t>
            </w:r>
            <w:proofErr w:type="spellEnd"/>
            <w:r w:rsidRPr="004B6091">
              <w:rPr>
                <w:i/>
                <w:vertAlign w:val="subscript"/>
              </w:rPr>
              <w:t>, q, h</w:t>
            </w:r>
            <w:r w:rsidRPr="004B6091">
              <w:t xml:space="preserve">+ ECRPOSSNAP </w:t>
            </w:r>
            <w:proofErr w:type="spellStart"/>
            <w:r w:rsidRPr="004B6091">
              <w:rPr>
                <w:i/>
                <w:vertAlign w:val="subscript"/>
              </w:rPr>
              <w:t>ruc</w:t>
            </w:r>
            <w:proofErr w:type="spellEnd"/>
            <w:r w:rsidRPr="004B6091">
              <w:rPr>
                <w:i/>
                <w:vertAlign w:val="subscript"/>
              </w:rPr>
              <w:t>, q, h</w:t>
            </w:r>
            <w:r w:rsidRPr="004B6091">
              <w:t xml:space="preserve"> + NSPOSSNAP</w:t>
            </w:r>
            <w:r w:rsidRPr="004B6091">
              <w:rPr>
                <w:i/>
                <w:vertAlign w:val="subscript"/>
              </w:rPr>
              <w:t xml:space="preserve"> </w:t>
            </w:r>
            <w:proofErr w:type="spellStart"/>
            <w:r w:rsidRPr="004B6091">
              <w:rPr>
                <w:i/>
                <w:vertAlign w:val="subscript"/>
              </w:rPr>
              <w:t>ruc</w:t>
            </w:r>
            <w:proofErr w:type="spellEnd"/>
            <w:r w:rsidRPr="004B6091">
              <w:rPr>
                <w:i/>
                <w:vertAlign w:val="subscript"/>
              </w:rPr>
              <w:t>, q, h</w:t>
            </w:r>
            <w:r w:rsidRPr="004B6091">
              <w:t xml:space="preserve">) – </w:t>
            </w:r>
            <w:r w:rsidRPr="004B6091">
              <w:rPr>
                <w:position w:val="-18"/>
              </w:rPr>
              <w:object w:dxaOrig="220" w:dyaOrig="420" w14:anchorId="14C9F3BD">
                <v:shape id="_x0000_i1075" type="#_x0000_t75" style="width:9.6pt;height:21pt" o:ole="">
                  <v:imagedata r:id="rId42" o:title=""/>
                </v:shape>
                <o:OLEObject Type="Embed" ProgID="Equation.3" ShapeID="_x0000_i1075" DrawAspect="Content" ObjectID="_1775281605" r:id="rId87"/>
              </w:object>
            </w:r>
            <w:r w:rsidRPr="004B6091">
              <w:t>ASOFR5SNAP</w:t>
            </w:r>
            <w:r w:rsidRPr="004B6091">
              <w:rPr>
                <w:i/>
                <w:vertAlign w:val="subscript"/>
              </w:rPr>
              <w:t xml:space="preserve"> </w:t>
            </w:r>
            <w:proofErr w:type="spellStart"/>
            <w:r w:rsidRPr="004B6091">
              <w:rPr>
                <w:i/>
                <w:vertAlign w:val="subscript"/>
              </w:rPr>
              <w:t>ruc</w:t>
            </w:r>
            <w:proofErr w:type="spellEnd"/>
            <w:r w:rsidRPr="004B6091">
              <w:rPr>
                <w:i/>
                <w:vertAlign w:val="subscript"/>
              </w:rPr>
              <w:t>, q, r, h</w:t>
            </w:r>
            <w:r w:rsidRPr="004B6091" w:rsidDel="00FD3D15">
              <w:rPr>
                <w:i/>
                <w:vertAlign w:val="subscript"/>
              </w:rPr>
              <w:t xml:space="preserve"> </w:t>
            </w:r>
          </w:p>
          <w:p w14:paraId="559D3AC2" w14:textId="77777777" w:rsidR="004B6091" w:rsidRPr="004B6091" w:rsidRDefault="004B6091" w:rsidP="004B6091">
            <w:pPr>
              <w:spacing w:after="240"/>
              <w:ind w:left="3060" w:hanging="2340"/>
            </w:pPr>
            <w:r w:rsidRPr="004B6091">
              <w:t>ASCAP6SNAP</w:t>
            </w:r>
            <w:r w:rsidRPr="004B6091">
              <w:rPr>
                <w:i/>
                <w:vertAlign w:val="subscript"/>
              </w:rPr>
              <w:t xml:space="preserve"> </w:t>
            </w:r>
            <w:proofErr w:type="spellStart"/>
            <w:r w:rsidRPr="004B6091">
              <w:rPr>
                <w:i/>
                <w:vertAlign w:val="subscript"/>
              </w:rPr>
              <w:t>ruc</w:t>
            </w:r>
            <w:proofErr w:type="spellEnd"/>
            <w:r w:rsidRPr="004B6091">
              <w:rPr>
                <w:i/>
                <w:vertAlign w:val="subscript"/>
              </w:rPr>
              <w:t xml:space="preserve">, q, i  </w:t>
            </w:r>
            <w:r w:rsidRPr="004B6091">
              <w:rPr>
                <w:i/>
              </w:rPr>
              <w:t>=</w:t>
            </w:r>
            <w:r w:rsidRPr="004B6091">
              <w:rPr>
                <w:i/>
                <w:vertAlign w:val="subscript"/>
              </w:rPr>
              <w:t xml:space="preserve"> </w:t>
            </w:r>
            <w:r w:rsidRPr="004B6091">
              <w:t xml:space="preserve"> RDPOSSNAP </w:t>
            </w:r>
            <w:proofErr w:type="spellStart"/>
            <w:r w:rsidRPr="004B6091">
              <w:rPr>
                <w:i/>
                <w:vertAlign w:val="subscript"/>
              </w:rPr>
              <w:t>ruc</w:t>
            </w:r>
            <w:proofErr w:type="spellEnd"/>
            <w:r w:rsidRPr="004B6091">
              <w:rPr>
                <w:i/>
                <w:vertAlign w:val="subscript"/>
              </w:rPr>
              <w:t>, q, h</w:t>
            </w:r>
            <w:r w:rsidRPr="004B6091">
              <w:t xml:space="preserve"> – </w:t>
            </w:r>
            <w:r w:rsidRPr="004B6091">
              <w:rPr>
                <w:position w:val="-18"/>
              </w:rPr>
              <w:object w:dxaOrig="220" w:dyaOrig="420" w14:anchorId="22984C3D">
                <v:shape id="_x0000_i1076" type="#_x0000_t75" style="width:9.6pt;height:21pt" o:ole="">
                  <v:imagedata r:id="rId42" o:title=""/>
                </v:shape>
                <o:OLEObject Type="Embed" ProgID="Equation.3" ShapeID="_x0000_i1076" DrawAspect="Content" ObjectID="_1775281606" r:id="rId88"/>
              </w:object>
            </w:r>
            <w:r w:rsidRPr="004B6091">
              <w:t>ASOFR6SNAP</w:t>
            </w:r>
            <w:r w:rsidRPr="004B6091">
              <w:rPr>
                <w:i/>
                <w:vertAlign w:val="subscript"/>
              </w:rPr>
              <w:t xml:space="preserve"> </w:t>
            </w:r>
            <w:proofErr w:type="spellStart"/>
            <w:r w:rsidRPr="004B6091">
              <w:rPr>
                <w:i/>
                <w:vertAlign w:val="subscript"/>
              </w:rPr>
              <w:t>ruc</w:t>
            </w:r>
            <w:proofErr w:type="spellEnd"/>
            <w:r w:rsidRPr="004B6091">
              <w:rPr>
                <w:i/>
                <w:vertAlign w:val="subscript"/>
              </w:rPr>
              <w:t>, q, r, h</w:t>
            </w:r>
          </w:p>
          <w:p w14:paraId="0BE40091" w14:textId="64F08AEB" w:rsidR="004B6091" w:rsidRPr="004B6091" w:rsidRDefault="004B6091" w:rsidP="004B6091">
            <w:pPr>
              <w:spacing w:after="240"/>
              <w:ind w:left="720" w:hanging="720"/>
            </w:pPr>
            <w:r w:rsidRPr="004B6091">
              <w:t>(1</w:t>
            </w:r>
            <w:r w:rsidR="004F4D57">
              <w:t>2</w:t>
            </w:r>
            <w:r w:rsidRPr="004B6091">
              <w:t>)</w:t>
            </w:r>
            <w:r w:rsidRPr="004B6091">
              <w:tab/>
              <w:t>The RUC Shortfall in MW for one QSE for one 15-minute Settlement Interval, as measured at the end of the Adjustment Period</w:t>
            </w:r>
            <w:r w:rsidR="0093076E">
              <w:t xml:space="preserve">, </w:t>
            </w:r>
            <w:r w:rsidRPr="004B6091">
              <w:t>is:</w:t>
            </w:r>
          </w:p>
          <w:p w14:paraId="44F67738" w14:textId="77777777" w:rsidR="004B6091" w:rsidRPr="0093076E" w:rsidRDefault="004B6091" w:rsidP="004B6091">
            <w:pPr>
              <w:tabs>
                <w:tab w:val="left" w:pos="2340"/>
                <w:tab w:val="left" w:pos="3420"/>
              </w:tabs>
              <w:spacing w:after="240"/>
              <w:ind w:left="3420" w:hanging="2700"/>
              <w:rPr>
                <w:b/>
                <w:bCs/>
                <w:szCs w:val="24"/>
                <w:lang w:val="it-IT"/>
              </w:rPr>
            </w:pPr>
            <w:r w:rsidRPr="0093076E">
              <w:rPr>
                <w:b/>
                <w:bCs/>
                <w:szCs w:val="24"/>
                <w:lang w:val="it-IT"/>
              </w:rPr>
              <w:t xml:space="preserve">RUCSFADJ </w:t>
            </w:r>
            <w:r w:rsidRPr="0093076E">
              <w:rPr>
                <w:b/>
                <w:bCs/>
                <w:i/>
                <w:szCs w:val="24"/>
                <w:vertAlign w:val="subscript"/>
                <w:lang w:val="it-IT"/>
              </w:rPr>
              <w:t>ruc, q, i</w:t>
            </w:r>
            <w:r w:rsidRPr="0093076E">
              <w:rPr>
                <w:b/>
                <w:bCs/>
                <w:szCs w:val="24"/>
                <w:lang w:val="it-IT"/>
              </w:rPr>
              <w:tab/>
              <w:t>=</w:t>
            </w:r>
            <w:r w:rsidRPr="0093076E">
              <w:rPr>
                <w:b/>
                <w:bCs/>
                <w:szCs w:val="24"/>
                <w:lang w:val="it-IT"/>
              </w:rPr>
              <w:tab/>
              <w:t xml:space="preserve">Max (RUCOSFADJ </w:t>
            </w:r>
            <w:r w:rsidRPr="0093076E">
              <w:rPr>
                <w:b/>
                <w:bCs/>
                <w:i/>
                <w:szCs w:val="24"/>
                <w:vertAlign w:val="subscript"/>
                <w:lang w:val="it-IT"/>
              </w:rPr>
              <w:t>ruc, q, i</w:t>
            </w:r>
            <w:r w:rsidRPr="0093076E">
              <w:rPr>
                <w:b/>
                <w:bCs/>
                <w:szCs w:val="24"/>
                <w:lang w:val="it-IT"/>
              </w:rPr>
              <w:t xml:space="preserve">, RUCASFADJ </w:t>
            </w:r>
            <w:r w:rsidRPr="0093076E">
              <w:rPr>
                <w:b/>
                <w:bCs/>
                <w:i/>
                <w:szCs w:val="24"/>
                <w:vertAlign w:val="subscript"/>
                <w:lang w:val="it-IT"/>
              </w:rPr>
              <w:t xml:space="preserve">q, i </w:t>
            </w:r>
            <w:r w:rsidRPr="0093076E">
              <w:rPr>
                <w:b/>
                <w:bCs/>
                <w:szCs w:val="24"/>
                <w:lang w:val="it-IT"/>
              </w:rPr>
              <w:t>)</w:t>
            </w:r>
          </w:p>
          <w:p w14:paraId="3E487031" w14:textId="6E86E57B" w:rsidR="004B6091" w:rsidRPr="004B6091" w:rsidRDefault="004B6091" w:rsidP="004B6091">
            <w:pPr>
              <w:spacing w:after="240"/>
              <w:ind w:left="720" w:hanging="720"/>
            </w:pPr>
            <w:r w:rsidRPr="004B6091">
              <w:t>(1</w:t>
            </w:r>
            <w:r w:rsidR="004F4D57">
              <w:t>3</w:t>
            </w:r>
            <w:r w:rsidRPr="004B6091">
              <w:t>)</w:t>
            </w:r>
            <w:r w:rsidRPr="004B6091">
              <w:tab/>
              <w:t>The overall shortfall in MW that a QSE had at the end of the Adjustment Period for a 15-minute Settlement Interval, but including capacity from IRRs as seen in the RUC Snapshot, is:</w:t>
            </w:r>
          </w:p>
          <w:p w14:paraId="7C04E143" w14:textId="499C421F" w:rsidR="004B6091" w:rsidRPr="0093076E" w:rsidRDefault="004B6091" w:rsidP="004B6091">
            <w:pPr>
              <w:tabs>
                <w:tab w:val="left" w:pos="2340"/>
                <w:tab w:val="left" w:pos="3420"/>
              </w:tabs>
              <w:spacing w:after="240"/>
              <w:ind w:left="3420" w:hanging="2700"/>
              <w:rPr>
                <w:b/>
                <w:bCs/>
                <w:szCs w:val="24"/>
              </w:rPr>
            </w:pPr>
            <w:r w:rsidRPr="0093076E">
              <w:rPr>
                <w:b/>
                <w:bCs/>
                <w:szCs w:val="24"/>
              </w:rPr>
              <w:t xml:space="preserve">RUCOSFADJ </w:t>
            </w:r>
            <w:proofErr w:type="spellStart"/>
            <w:r w:rsidRPr="0093076E">
              <w:rPr>
                <w:b/>
                <w:bCs/>
                <w:i/>
                <w:szCs w:val="24"/>
                <w:vertAlign w:val="subscript"/>
              </w:rPr>
              <w:t>ruc</w:t>
            </w:r>
            <w:proofErr w:type="spellEnd"/>
            <w:r w:rsidRPr="0093076E">
              <w:rPr>
                <w:b/>
                <w:bCs/>
                <w:i/>
                <w:szCs w:val="24"/>
                <w:vertAlign w:val="subscript"/>
              </w:rPr>
              <w:t xml:space="preserve">, q, i </w:t>
            </w:r>
            <w:r w:rsidRPr="0093076E">
              <w:rPr>
                <w:b/>
                <w:bCs/>
                <w:szCs w:val="24"/>
              </w:rPr>
              <w:t xml:space="preserve"> = Max (0, ((</w:t>
            </w:r>
            <w:r w:rsidRPr="004721AF">
              <w:rPr>
                <w:b/>
                <w:bCs/>
                <w:position w:val="-22"/>
                <w:szCs w:val="24"/>
              </w:rPr>
              <w:object w:dxaOrig="220" w:dyaOrig="460" w14:anchorId="47B18AF0">
                <v:shape id="_x0000_i1077" type="#_x0000_t75" style="width:9.6pt;height:22.8pt" o:ole="">
                  <v:imagedata r:id="rId49" o:title=""/>
                </v:shape>
                <o:OLEObject Type="Embed" ProgID="Equation.3" ShapeID="_x0000_i1077" DrawAspect="Content" ObjectID="_1775281607" r:id="rId89"/>
              </w:object>
            </w:r>
            <w:r w:rsidRPr="0093076E">
              <w:rPr>
                <w:b/>
                <w:bCs/>
                <w:szCs w:val="24"/>
              </w:rPr>
              <w:t xml:space="preserve">RTAML </w:t>
            </w:r>
            <w:r w:rsidRPr="0093076E">
              <w:rPr>
                <w:b/>
                <w:bCs/>
                <w:i/>
                <w:szCs w:val="24"/>
                <w:vertAlign w:val="subscript"/>
              </w:rPr>
              <w:t>q, p, i</w:t>
            </w:r>
            <w:r w:rsidRPr="0093076E">
              <w:rPr>
                <w:b/>
                <w:bCs/>
                <w:szCs w:val="24"/>
              </w:rPr>
              <w:t xml:space="preserve"> *4) + ASONPOSADJ</w:t>
            </w:r>
            <w:r w:rsidRPr="0093076E" w:rsidDel="00411364">
              <w:rPr>
                <w:b/>
                <w:bCs/>
                <w:szCs w:val="24"/>
              </w:rPr>
              <w:t xml:space="preserve"> </w:t>
            </w:r>
            <w:r w:rsidRPr="0093076E">
              <w:rPr>
                <w:b/>
                <w:bCs/>
                <w:i/>
                <w:szCs w:val="24"/>
                <w:vertAlign w:val="subscript"/>
              </w:rPr>
              <w:t>q, i</w:t>
            </w:r>
            <w:r w:rsidRPr="0093076E">
              <w:rPr>
                <w:b/>
                <w:bCs/>
                <w:szCs w:val="24"/>
              </w:rPr>
              <w:t xml:space="preserve"> – (</w:t>
            </w:r>
            <w:r w:rsidRPr="004721AF">
              <w:rPr>
                <w:b/>
                <w:bCs/>
                <w:position w:val="-22"/>
                <w:szCs w:val="24"/>
              </w:rPr>
              <w:object w:dxaOrig="780" w:dyaOrig="460" w14:anchorId="0FAF52DB">
                <v:shape id="_x0000_i1078" type="#_x0000_t75" style="width:37.8pt;height:24.6pt" o:ole="">
                  <v:imagedata r:id="rId63" o:title=""/>
                </v:shape>
                <o:OLEObject Type="Embed" ProgID="Equation.3" ShapeID="_x0000_i1078" DrawAspect="Content" ObjectID="_1775281608" r:id="rId90"/>
              </w:object>
            </w:r>
            <w:r w:rsidRPr="0093076E">
              <w:rPr>
                <w:b/>
                <w:bCs/>
                <w:szCs w:val="24"/>
              </w:rPr>
              <w:t>RCAPSNAP</w:t>
            </w:r>
            <w:r w:rsidRPr="0093076E">
              <w:rPr>
                <w:b/>
                <w:bCs/>
                <w:i/>
                <w:szCs w:val="24"/>
                <w:vertAlign w:val="subscript"/>
              </w:rPr>
              <w:t xml:space="preserve"> </w:t>
            </w:r>
            <w:proofErr w:type="spellStart"/>
            <w:r w:rsidRPr="0093076E">
              <w:rPr>
                <w:b/>
                <w:bCs/>
                <w:i/>
                <w:szCs w:val="24"/>
                <w:vertAlign w:val="subscript"/>
              </w:rPr>
              <w:t>ruc</w:t>
            </w:r>
            <w:proofErr w:type="spellEnd"/>
            <w:r w:rsidRPr="0093076E">
              <w:rPr>
                <w:b/>
                <w:bCs/>
                <w:i/>
                <w:szCs w:val="24"/>
                <w:vertAlign w:val="subscript"/>
              </w:rPr>
              <w:t>, q, r, h</w:t>
            </w:r>
            <w:r w:rsidRPr="0093076E">
              <w:rPr>
                <w:b/>
                <w:bCs/>
                <w:szCs w:val="24"/>
              </w:rPr>
              <w:t xml:space="preserve"> + RUCCAPADJ </w:t>
            </w:r>
            <w:r w:rsidRPr="0093076E">
              <w:rPr>
                <w:b/>
                <w:bCs/>
                <w:i/>
                <w:szCs w:val="24"/>
                <w:vertAlign w:val="subscript"/>
              </w:rPr>
              <w:t>q, i</w:t>
            </w:r>
            <w:r w:rsidRPr="0093076E">
              <w:rPr>
                <w:b/>
                <w:bCs/>
                <w:szCs w:val="24"/>
              </w:rPr>
              <w:t>)))</w:t>
            </w:r>
          </w:p>
          <w:p w14:paraId="6242C2E5" w14:textId="69B3168E" w:rsidR="004B6091" w:rsidRPr="004B6091" w:rsidRDefault="004B6091" w:rsidP="004B6091">
            <w:pPr>
              <w:tabs>
                <w:tab w:val="left" w:pos="2340"/>
                <w:tab w:val="left" w:pos="3420"/>
              </w:tabs>
              <w:spacing w:after="240"/>
              <w:ind w:left="3420" w:hanging="2700"/>
              <w:rPr>
                <w:bCs/>
                <w:szCs w:val="24"/>
              </w:rPr>
            </w:pPr>
            <w:r w:rsidRPr="004B6091">
              <w:rPr>
                <w:bCs/>
                <w:szCs w:val="24"/>
              </w:rPr>
              <w:t>Where</w:t>
            </w:r>
            <w:r w:rsidR="00A50280">
              <w:rPr>
                <w:bCs/>
                <w:szCs w:val="24"/>
              </w:rPr>
              <w:t>:</w:t>
            </w:r>
          </w:p>
          <w:p w14:paraId="363BB943" w14:textId="77777777" w:rsidR="004B6091" w:rsidRPr="004B6091" w:rsidRDefault="004B6091" w:rsidP="004B6091">
            <w:pPr>
              <w:spacing w:after="240"/>
              <w:ind w:left="720"/>
            </w:pPr>
            <w:r w:rsidRPr="004B6091">
              <w:t>The On-Line Ancillary Service Position the QSE had at the end of the Adjustment Period for a 15-minute Settlement Interval is:</w:t>
            </w:r>
          </w:p>
          <w:p w14:paraId="2C3F12A9" w14:textId="77777777" w:rsidR="004B6091" w:rsidRPr="004B6091" w:rsidRDefault="004B6091" w:rsidP="004B6091">
            <w:pPr>
              <w:spacing w:after="240"/>
              <w:ind w:left="2880" w:right="-540" w:hanging="2160"/>
            </w:pPr>
            <w:r w:rsidRPr="004B6091">
              <w:t xml:space="preserve">ASONPOSADJ </w:t>
            </w:r>
            <w:r w:rsidRPr="004B6091">
              <w:rPr>
                <w:i/>
                <w:vertAlign w:val="subscript"/>
              </w:rPr>
              <w:t xml:space="preserve">q ,i   </w:t>
            </w:r>
            <w:r w:rsidRPr="004B6091">
              <w:t xml:space="preserve">=  RUPOSADJ </w:t>
            </w:r>
            <w:r w:rsidRPr="004B6091">
              <w:rPr>
                <w:i/>
                <w:vertAlign w:val="subscript"/>
              </w:rPr>
              <w:t>q, h</w:t>
            </w:r>
            <w:r w:rsidRPr="004B6091">
              <w:t xml:space="preserve">  + RRPOSADJ </w:t>
            </w:r>
            <w:r w:rsidRPr="004B6091">
              <w:rPr>
                <w:i/>
                <w:vertAlign w:val="subscript"/>
              </w:rPr>
              <w:t>q, h</w:t>
            </w:r>
            <w:r w:rsidRPr="004B6091">
              <w:t xml:space="preserve"> +  Max (0, (ECRPOSADJ </w:t>
            </w:r>
            <w:r w:rsidRPr="004B6091">
              <w:rPr>
                <w:i/>
                <w:vertAlign w:val="subscript"/>
              </w:rPr>
              <w:t>q, h</w:t>
            </w:r>
            <w:r w:rsidRPr="004B6091">
              <w:t xml:space="preserve"> + NSPOSADJ </w:t>
            </w:r>
            <w:proofErr w:type="spellStart"/>
            <w:r w:rsidRPr="004B6091">
              <w:rPr>
                <w:i/>
                <w:vertAlign w:val="subscript"/>
              </w:rPr>
              <w:t>q,h</w:t>
            </w:r>
            <w:proofErr w:type="spellEnd"/>
            <w:r w:rsidRPr="004B6091">
              <w:rPr>
                <w:i/>
                <w:vertAlign w:val="subscript"/>
              </w:rPr>
              <w:t xml:space="preserve"> </w:t>
            </w:r>
            <w:r w:rsidRPr="004B6091">
              <w:t xml:space="preserve">– </w:t>
            </w:r>
            <w:r w:rsidRPr="004B6091">
              <w:rPr>
                <w:position w:val="-18"/>
              </w:rPr>
              <w:object w:dxaOrig="220" w:dyaOrig="420" w14:anchorId="28FFFB08">
                <v:shape id="_x0000_i1079" type="#_x0000_t75" style="width:9.6pt;height:21pt" o:ole="">
                  <v:imagedata r:id="rId42" o:title=""/>
                </v:shape>
                <o:OLEObject Type="Embed" ProgID="Equation.3" ShapeID="_x0000_i1079" DrawAspect="Content" ObjectID="_1775281609" r:id="rId91"/>
              </w:object>
            </w:r>
            <w:r w:rsidRPr="004B6091">
              <w:t>ASOFFOFRADJ</w:t>
            </w:r>
            <w:r w:rsidRPr="004B6091">
              <w:rPr>
                <w:i/>
                <w:vertAlign w:val="subscript"/>
              </w:rPr>
              <w:t xml:space="preserve">  q, r, h</w:t>
            </w:r>
            <w:r w:rsidRPr="004B6091">
              <w:t xml:space="preserve"> ))</w:t>
            </w:r>
          </w:p>
          <w:p w14:paraId="0ABBB6A3" w14:textId="0AA18338" w:rsidR="004B6091" w:rsidRPr="004B6091" w:rsidRDefault="004B6091" w:rsidP="004B6091">
            <w:pPr>
              <w:spacing w:after="240"/>
              <w:ind w:left="720" w:hanging="720"/>
            </w:pPr>
            <w:r w:rsidRPr="004B6091">
              <w:tab/>
              <w:t>The amount of capacity that a QSE had at the end of the Adjustment Period for a 15-minute Settlement Interval, excluding capacity from IRRs, is:</w:t>
            </w:r>
          </w:p>
          <w:p w14:paraId="5E5A4B80" w14:textId="60C6F28D" w:rsidR="004B6091" w:rsidRPr="004B6091" w:rsidRDefault="004B6091" w:rsidP="00417783">
            <w:pPr>
              <w:spacing w:after="240"/>
              <w:ind w:left="2880" w:right="145" w:hanging="2160"/>
              <w:rPr>
                <w:i/>
                <w:vertAlign w:val="subscript"/>
              </w:rPr>
            </w:pPr>
            <w:r w:rsidRPr="004B6091">
              <w:lastRenderedPageBreak/>
              <w:t xml:space="preserve">RUCCAPADJ </w:t>
            </w:r>
            <w:r w:rsidRPr="004B6091">
              <w:rPr>
                <w:i/>
                <w:vertAlign w:val="subscript"/>
              </w:rPr>
              <w:t>q, i</w:t>
            </w:r>
            <w:r w:rsidRPr="004B6091">
              <w:t xml:space="preserve"> =</w:t>
            </w:r>
            <w:r w:rsidRPr="004B6091">
              <w:tab/>
            </w:r>
            <w:r w:rsidRPr="004B6091">
              <w:rPr>
                <w:position w:val="-18"/>
              </w:rPr>
              <w:object w:dxaOrig="220" w:dyaOrig="420" w14:anchorId="7F4E3AEB">
                <v:shape id="_x0000_i1080" type="#_x0000_t75" style="width:7.8pt;height:21pt" o:ole="">
                  <v:imagedata r:id="rId65" o:title=""/>
                </v:shape>
                <o:OLEObject Type="Embed" ProgID="Equation.3" ShapeID="_x0000_i1080" DrawAspect="Content" ObjectID="_1775281610" r:id="rId92"/>
              </w:object>
            </w:r>
            <w:r w:rsidRPr="004B6091">
              <w:t xml:space="preserve">RCAPADJ </w:t>
            </w:r>
            <w:r w:rsidRPr="004B6091">
              <w:rPr>
                <w:i/>
                <w:vertAlign w:val="subscript"/>
              </w:rPr>
              <w:t>q, r, h</w:t>
            </w:r>
            <w:r w:rsidRPr="004B6091">
              <w:t xml:space="preserve"> + (RUCCPADJ </w:t>
            </w:r>
            <w:r w:rsidRPr="004B6091">
              <w:rPr>
                <w:i/>
                <w:vertAlign w:val="subscript"/>
              </w:rPr>
              <w:t>q, h</w:t>
            </w:r>
            <w:r w:rsidRPr="004B6091">
              <w:t xml:space="preserve"> – RUCCSADJ </w:t>
            </w:r>
            <w:r w:rsidRPr="004B6091">
              <w:rPr>
                <w:i/>
                <w:vertAlign w:val="subscript"/>
              </w:rPr>
              <w:t>q, h</w:t>
            </w:r>
            <w:r w:rsidRPr="004B6091">
              <w:t>) + (</w:t>
            </w:r>
            <w:r w:rsidRPr="004B6091">
              <w:rPr>
                <w:position w:val="-22"/>
              </w:rPr>
              <w:object w:dxaOrig="220" w:dyaOrig="460" w14:anchorId="7737417A">
                <v:shape id="_x0000_i1081" type="#_x0000_t75" style="width:7.8pt;height:21pt" o:ole="">
                  <v:imagedata r:id="rId53" o:title=""/>
                </v:shape>
                <o:OLEObject Type="Embed" ProgID="Equation.3" ShapeID="_x0000_i1081" DrawAspect="Content" ObjectID="_1775281611" r:id="rId93"/>
              </w:object>
            </w:r>
            <w:r w:rsidRPr="004B6091">
              <w:t xml:space="preserve">DAEP </w:t>
            </w:r>
            <w:r w:rsidRPr="004B6091">
              <w:rPr>
                <w:i/>
                <w:vertAlign w:val="subscript"/>
              </w:rPr>
              <w:t>q, p, h</w:t>
            </w:r>
            <w:r w:rsidRPr="004B6091">
              <w:t xml:space="preserve"> – </w:t>
            </w:r>
            <w:r w:rsidRPr="004B6091">
              <w:rPr>
                <w:position w:val="-22"/>
              </w:rPr>
              <w:object w:dxaOrig="220" w:dyaOrig="460" w14:anchorId="1DD7EC1E">
                <v:shape id="_x0000_i1082" type="#_x0000_t75" style="width:7.8pt;height:21pt" o:ole="">
                  <v:imagedata r:id="rId55" o:title=""/>
                </v:shape>
                <o:OLEObject Type="Embed" ProgID="Equation.3" ShapeID="_x0000_i1082" DrawAspect="Content" ObjectID="_1775281612" r:id="rId94"/>
              </w:object>
            </w:r>
            <w:r w:rsidRPr="004B6091">
              <w:t xml:space="preserve">DAES </w:t>
            </w:r>
            <w:r w:rsidRPr="004B6091">
              <w:rPr>
                <w:i/>
                <w:vertAlign w:val="subscript"/>
              </w:rPr>
              <w:t>q, p, h</w:t>
            </w:r>
            <w:r w:rsidRPr="004B6091">
              <w:t>) + (</w:t>
            </w:r>
            <w:r w:rsidRPr="004B6091">
              <w:rPr>
                <w:position w:val="-22"/>
              </w:rPr>
              <w:object w:dxaOrig="220" w:dyaOrig="460" w14:anchorId="7F8A0C0B">
                <v:shape id="_x0000_i1083" type="#_x0000_t75" style="width:7.8pt;height:21pt" o:ole="">
                  <v:imagedata r:id="rId53" o:title=""/>
                </v:shape>
                <o:OLEObject Type="Embed" ProgID="Equation.3" ShapeID="_x0000_i1083" DrawAspect="Content" ObjectID="_1775281613" r:id="rId95"/>
              </w:object>
            </w:r>
            <w:r w:rsidRPr="004B6091">
              <w:t xml:space="preserve">RTQQEPADJ </w:t>
            </w:r>
            <w:r w:rsidRPr="004B6091">
              <w:rPr>
                <w:i/>
                <w:vertAlign w:val="subscript"/>
              </w:rPr>
              <w:t>q, p, i</w:t>
            </w:r>
            <w:r w:rsidRPr="004B6091">
              <w:t xml:space="preserve"> – </w:t>
            </w:r>
            <w:r w:rsidRPr="004B6091">
              <w:rPr>
                <w:position w:val="-22"/>
              </w:rPr>
              <w:object w:dxaOrig="220" w:dyaOrig="460" w14:anchorId="6DFCF755">
                <v:shape id="_x0000_i1084" type="#_x0000_t75" style="width:7.8pt;height:21pt" o:ole="">
                  <v:imagedata r:id="rId53" o:title=""/>
                </v:shape>
                <o:OLEObject Type="Embed" ProgID="Equation.3" ShapeID="_x0000_i1084" DrawAspect="Content" ObjectID="_1775281614" r:id="rId96"/>
              </w:object>
            </w:r>
            <w:r w:rsidRPr="004B6091">
              <w:t xml:space="preserve">RTQQESADJ </w:t>
            </w:r>
            <w:r w:rsidRPr="004B6091">
              <w:rPr>
                <w:i/>
                <w:vertAlign w:val="subscript"/>
              </w:rPr>
              <w:t>q, p, i</w:t>
            </w:r>
            <w:r w:rsidRPr="004B6091">
              <w:t xml:space="preserve">) + </w:t>
            </w:r>
            <w:r w:rsidRPr="004B6091">
              <w:rPr>
                <w:position w:val="-22"/>
              </w:rPr>
              <w:object w:dxaOrig="220" w:dyaOrig="460" w14:anchorId="1CA9631B">
                <v:shape id="_x0000_i1085" type="#_x0000_t75" style="width:7.8pt;height:21pt" o:ole="">
                  <v:imagedata r:id="rId53" o:title=""/>
                </v:shape>
                <o:OLEObject Type="Embed" ProgID="Equation.3" ShapeID="_x0000_i1085" DrawAspect="Content" ObjectID="_1775281615" r:id="rId97"/>
              </w:object>
            </w:r>
            <w:r w:rsidRPr="004B6091">
              <w:rPr>
                <w:position w:val="-22"/>
              </w:rPr>
              <w:t xml:space="preserve"> </w:t>
            </w:r>
            <w:r w:rsidR="00417783">
              <w:t xml:space="preserve">RTDCIMP </w:t>
            </w:r>
            <w:r w:rsidR="00417783" w:rsidRPr="006624C0">
              <w:rPr>
                <w:i/>
                <w:vertAlign w:val="subscript"/>
              </w:rPr>
              <w:t>q, p</w:t>
            </w:r>
            <w:r w:rsidRPr="004B6091">
              <w:t xml:space="preserve"> + </w:t>
            </w:r>
            <w:r w:rsidRPr="004B6091">
              <w:rPr>
                <w:position w:val="-18"/>
              </w:rPr>
              <w:object w:dxaOrig="220" w:dyaOrig="420" w14:anchorId="294BB397">
                <v:shape id="_x0000_i1086" type="#_x0000_t75" style="width:7.8pt;height:21pt" o:ole="">
                  <v:imagedata r:id="rId42" o:title=""/>
                </v:shape>
                <o:OLEObject Type="Embed" ProgID="Equation.3" ShapeID="_x0000_i1086" DrawAspect="Content" ObjectID="_1775281616" r:id="rId98"/>
              </w:object>
            </w:r>
            <w:r w:rsidRPr="004B6091">
              <w:t>ASOFRLRADJ</w:t>
            </w:r>
            <w:r w:rsidRPr="004B6091">
              <w:rPr>
                <w:i/>
                <w:vertAlign w:val="subscript"/>
              </w:rPr>
              <w:t xml:space="preserve">  q, r, h</w:t>
            </w:r>
          </w:p>
          <w:p w14:paraId="490F67DC" w14:textId="7133BAA8" w:rsidR="004B6091" w:rsidRPr="004B6091" w:rsidRDefault="004B6091" w:rsidP="004B6091">
            <w:pPr>
              <w:spacing w:after="240"/>
              <w:ind w:left="720" w:hanging="720"/>
            </w:pPr>
            <w:r w:rsidRPr="004B6091">
              <w:t>(1</w:t>
            </w:r>
            <w:r w:rsidR="004F4D57">
              <w:t>4</w:t>
            </w:r>
            <w:r w:rsidRPr="004B6091">
              <w:t>)</w:t>
            </w:r>
            <w:r w:rsidRPr="004B6091">
              <w:tab/>
              <w:t>The Ancillary Service shortfall calculation compares the Ancillary Service capability of the QSE, measured by the submitted Ancillary Service Offers, to the Ancillary Service Position.  Because the same Resource capacity can be represented in Ancillary Offers for multiple products, the aggregated capability is accounted for by grouping Ancillary Service types in the calculation below.  The Ancillary Service shortfall in MW that a QSE had at the end of the Adjustment Period for a 15-minute Settlement Interval is:</w:t>
            </w:r>
          </w:p>
          <w:p w14:paraId="6F102E26" w14:textId="77777777" w:rsidR="004B6091" w:rsidRPr="004B6091" w:rsidRDefault="004B6091" w:rsidP="0093076E">
            <w:pPr>
              <w:spacing w:after="240"/>
              <w:ind w:left="3060" w:hanging="2340"/>
              <w:rPr>
                <w:b/>
                <w:vertAlign w:val="subscript"/>
                <w:lang w:val="it-IT"/>
              </w:rPr>
            </w:pPr>
            <w:r w:rsidRPr="004B6091">
              <w:rPr>
                <w:b/>
                <w:lang w:val="it-IT"/>
              </w:rPr>
              <w:t>RUCASFADJ</w:t>
            </w:r>
            <w:r w:rsidRPr="004B6091">
              <w:rPr>
                <w:b/>
                <w:i/>
                <w:vertAlign w:val="subscript"/>
                <w:lang w:val="it-IT"/>
              </w:rPr>
              <w:t xml:space="preserve"> q, i   </w:t>
            </w:r>
            <w:r w:rsidRPr="004B6091">
              <w:rPr>
                <w:b/>
                <w:lang w:val="it-IT"/>
              </w:rPr>
              <w:t>=  Max (0, ASCAP1ADJ</w:t>
            </w:r>
            <w:r w:rsidRPr="004B6091">
              <w:rPr>
                <w:b/>
                <w:i/>
                <w:vertAlign w:val="subscript"/>
                <w:lang w:val="it-IT"/>
              </w:rPr>
              <w:t xml:space="preserve"> q, i </w:t>
            </w:r>
            <w:r w:rsidRPr="004B6091">
              <w:rPr>
                <w:b/>
                <w:lang w:val="it-IT"/>
              </w:rPr>
              <w:t>, ASCAP2ADJ</w:t>
            </w:r>
            <w:r w:rsidRPr="004B6091">
              <w:rPr>
                <w:b/>
                <w:i/>
                <w:vertAlign w:val="subscript"/>
                <w:lang w:val="it-IT"/>
              </w:rPr>
              <w:t xml:space="preserve"> q, i </w:t>
            </w:r>
            <w:r w:rsidRPr="004B6091">
              <w:rPr>
                <w:b/>
                <w:lang w:val="it-IT"/>
              </w:rPr>
              <w:t>, ASCAP3ADJ</w:t>
            </w:r>
            <w:r w:rsidRPr="004B6091">
              <w:rPr>
                <w:b/>
                <w:i/>
                <w:vertAlign w:val="subscript"/>
                <w:lang w:val="it-IT"/>
              </w:rPr>
              <w:t xml:space="preserve"> q, i </w:t>
            </w:r>
            <w:r w:rsidRPr="004B6091">
              <w:rPr>
                <w:b/>
                <w:lang w:val="it-IT"/>
              </w:rPr>
              <w:t>, ASCAP4ADJ</w:t>
            </w:r>
            <w:r w:rsidRPr="004B6091">
              <w:rPr>
                <w:b/>
                <w:i/>
                <w:vertAlign w:val="subscript"/>
                <w:lang w:val="it-IT"/>
              </w:rPr>
              <w:t xml:space="preserve"> q, i </w:t>
            </w:r>
            <w:r w:rsidRPr="004B6091">
              <w:rPr>
                <w:b/>
                <w:lang w:val="it-IT"/>
              </w:rPr>
              <w:t>, ASCAP5ADJ</w:t>
            </w:r>
            <w:r w:rsidRPr="004B6091">
              <w:rPr>
                <w:b/>
                <w:i/>
                <w:vertAlign w:val="subscript"/>
                <w:lang w:val="it-IT"/>
              </w:rPr>
              <w:t xml:space="preserve"> q, i</w:t>
            </w:r>
            <w:r w:rsidRPr="004B6091">
              <w:rPr>
                <w:b/>
                <w:lang w:val="it-IT"/>
              </w:rPr>
              <w:t>) + Max (0, ASCAP6ADJ</w:t>
            </w:r>
            <w:r w:rsidRPr="004B6091">
              <w:rPr>
                <w:b/>
                <w:i/>
                <w:vertAlign w:val="subscript"/>
                <w:lang w:val="it-IT"/>
              </w:rPr>
              <w:t xml:space="preserve"> q, i</w:t>
            </w:r>
            <w:r w:rsidRPr="004B6091">
              <w:rPr>
                <w:b/>
                <w:lang w:val="it-IT"/>
              </w:rPr>
              <w:t xml:space="preserve"> )</w:t>
            </w:r>
          </w:p>
          <w:p w14:paraId="5AC74FBB" w14:textId="16753A54" w:rsidR="004B6091" w:rsidRPr="004B6091" w:rsidRDefault="004B6091" w:rsidP="004B6091">
            <w:pPr>
              <w:tabs>
                <w:tab w:val="left" w:pos="2340"/>
                <w:tab w:val="left" w:pos="3420"/>
              </w:tabs>
              <w:spacing w:after="240"/>
              <w:ind w:left="3420" w:hanging="2700"/>
              <w:rPr>
                <w:bCs/>
                <w:szCs w:val="24"/>
              </w:rPr>
            </w:pPr>
            <w:r w:rsidRPr="004B6091">
              <w:rPr>
                <w:bCs/>
                <w:szCs w:val="24"/>
              </w:rPr>
              <w:t>Where</w:t>
            </w:r>
            <w:r w:rsidR="00A50280">
              <w:rPr>
                <w:bCs/>
                <w:szCs w:val="24"/>
              </w:rPr>
              <w:t>:</w:t>
            </w:r>
          </w:p>
          <w:p w14:paraId="2B4A9060" w14:textId="77777777" w:rsidR="004B6091" w:rsidRPr="004B6091" w:rsidRDefault="004B6091" w:rsidP="004B6091">
            <w:pPr>
              <w:spacing w:after="240"/>
              <w:ind w:left="2250" w:hanging="1620"/>
            </w:pPr>
            <w:r w:rsidRPr="004B6091">
              <w:t>ASCAP1ADJ</w:t>
            </w:r>
            <w:r w:rsidRPr="004B6091">
              <w:rPr>
                <w:i/>
                <w:vertAlign w:val="subscript"/>
              </w:rPr>
              <w:t xml:space="preserve"> q, i   </w:t>
            </w:r>
            <w:r w:rsidRPr="004B6091">
              <w:t xml:space="preserve">=  RUPOSADJ </w:t>
            </w:r>
            <w:r w:rsidRPr="004B6091">
              <w:rPr>
                <w:i/>
                <w:vertAlign w:val="subscript"/>
              </w:rPr>
              <w:t>q, h</w:t>
            </w:r>
            <w:r w:rsidRPr="004B6091">
              <w:t xml:space="preserve"> – </w:t>
            </w:r>
            <w:r w:rsidRPr="004B6091">
              <w:rPr>
                <w:position w:val="-18"/>
              </w:rPr>
              <w:object w:dxaOrig="220" w:dyaOrig="420" w14:anchorId="583564D9">
                <v:shape id="_x0000_i1087" type="#_x0000_t75" style="width:9.6pt;height:21pt" o:ole="">
                  <v:imagedata r:id="rId42" o:title=""/>
                </v:shape>
                <o:OLEObject Type="Embed" ProgID="Equation.3" ShapeID="_x0000_i1087" DrawAspect="Content" ObjectID="_1775281617" r:id="rId99"/>
              </w:object>
            </w:r>
            <w:r w:rsidRPr="004B6091">
              <w:t xml:space="preserve"> ASOFR1ADJ</w:t>
            </w:r>
            <w:r w:rsidRPr="004B6091">
              <w:rPr>
                <w:i/>
                <w:vertAlign w:val="subscript"/>
              </w:rPr>
              <w:t xml:space="preserve"> q, r, h</w:t>
            </w:r>
            <w:r w:rsidRPr="004B6091" w:rsidDel="009007C1">
              <w:t xml:space="preserve"> </w:t>
            </w:r>
          </w:p>
          <w:p w14:paraId="66918BBD" w14:textId="77777777" w:rsidR="004B6091" w:rsidRPr="004B6091" w:rsidRDefault="004B6091" w:rsidP="004B6091">
            <w:pPr>
              <w:spacing w:after="240"/>
              <w:ind w:left="2250" w:hanging="1620"/>
              <w:rPr>
                <w:vertAlign w:val="subscript"/>
              </w:rPr>
            </w:pPr>
            <w:r w:rsidRPr="004B6091">
              <w:t>ASCAP2ADJ</w:t>
            </w:r>
            <w:r w:rsidRPr="004B6091">
              <w:rPr>
                <w:i/>
                <w:vertAlign w:val="subscript"/>
              </w:rPr>
              <w:t xml:space="preserve"> q, i   </w:t>
            </w:r>
            <w:r w:rsidRPr="004B6091">
              <w:t xml:space="preserve">=  RRPOSADJ </w:t>
            </w:r>
            <w:r w:rsidRPr="004B6091">
              <w:rPr>
                <w:i/>
                <w:vertAlign w:val="subscript"/>
              </w:rPr>
              <w:t>q, h</w:t>
            </w:r>
            <w:r w:rsidRPr="004B6091">
              <w:t xml:space="preserve"> – </w:t>
            </w:r>
            <w:r w:rsidRPr="004B6091">
              <w:rPr>
                <w:position w:val="-18"/>
              </w:rPr>
              <w:object w:dxaOrig="220" w:dyaOrig="420" w14:anchorId="136AAD21">
                <v:shape id="_x0000_i1088" type="#_x0000_t75" style="width:9.6pt;height:21pt" o:ole="">
                  <v:imagedata r:id="rId42" o:title=""/>
                </v:shape>
                <o:OLEObject Type="Embed" ProgID="Equation.3" ShapeID="_x0000_i1088" DrawAspect="Content" ObjectID="_1775281618" r:id="rId100"/>
              </w:object>
            </w:r>
            <w:r w:rsidRPr="004B6091">
              <w:t xml:space="preserve"> ASOFR2ADJ</w:t>
            </w:r>
            <w:r w:rsidRPr="004B6091">
              <w:rPr>
                <w:i/>
                <w:vertAlign w:val="subscript"/>
              </w:rPr>
              <w:t xml:space="preserve"> q, r, h</w:t>
            </w:r>
            <w:r w:rsidRPr="004B6091" w:rsidDel="009007C1">
              <w:t xml:space="preserve"> </w:t>
            </w:r>
          </w:p>
          <w:p w14:paraId="78AABBD5" w14:textId="475DAA3A" w:rsidR="004B6091" w:rsidRPr="004B6091" w:rsidRDefault="004B6091" w:rsidP="004B6091">
            <w:pPr>
              <w:spacing w:after="240"/>
              <w:ind w:left="2610" w:right="-180" w:hanging="1980"/>
              <w:rPr>
                <w:vertAlign w:val="subscript"/>
              </w:rPr>
            </w:pPr>
            <w:r w:rsidRPr="004B6091">
              <w:t>ASCAP3ADJ</w:t>
            </w:r>
            <w:r w:rsidRPr="004B6091">
              <w:rPr>
                <w:i/>
                <w:vertAlign w:val="subscript"/>
              </w:rPr>
              <w:t xml:space="preserve"> q, i   </w:t>
            </w:r>
            <w:r w:rsidRPr="004B6091">
              <w:t xml:space="preserve">=  (RUPOSADJ </w:t>
            </w:r>
            <w:r w:rsidRPr="004B6091">
              <w:rPr>
                <w:i/>
                <w:vertAlign w:val="subscript"/>
              </w:rPr>
              <w:t>q, h</w:t>
            </w:r>
            <w:r w:rsidRPr="004B6091">
              <w:t xml:space="preserve"> + RRPOSADJ </w:t>
            </w:r>
            <w:r w:rsidRPr="004B6091">
              <w:rPr>
                <w:i/>
                <w:vertAlign w:val="subscript"/>
              </w:rPr>
              <w:t>q, h</w:t>
            </w:r>
            <w:r w:rsidRPr="004B6091">
              <w:t xml:space="preserve"> ) – </w:t>
            </w:r>
            <w:r w:rsidRPr="004B6091">
              <w:rPr>
                <w:position w:val="-18"/>
              </w:rPr>
              <w:object w:dxaOrig="220" w:dyaOrig="420" w14:anchorId="7E808BB9">
                <v:shape id="_x0000_i1089" type="#_x0000_t75" style="width:9.6pt;height:21pt" o:ole="">
                  <v:imagedata r:id="rId42" o:title=""/>
                </v:shape>
                <o:OLEObject Type="Embed" ProgID="Equation.3" ShapeID="_x0000_i1089" DrawAspect="Content" ObjectID="_1775281619" r:id="rId101"/>
              </w:object>
            </w:r>
            <w:r w:rsidRPr="004B6091">
              <w:t xml:space="preserve"> ASOFR3ADJ</w:t>
            </w:r>
            <w:r w:rsidRPr="004B6091">
              <w:rPr>
                <w:i/>
                <w:vertAlign w:val="subscript"/>
              </w:rPr>
              <w:t xml:space="preserve"> q, r,</w:t>
            </w:r>
            <w:r w:rsidR="0093076E">
              <w:rPr>
                <w:i/>
                <w:vertAlign w:val="subscript"/>
              </w:rPr>
              <w:t xml:space="preserve"> </w:t>
            </w:r>
            <w:r w:rsidRPr="004B6091">
              <w:rPr>
                <w:i/>
                <w:vertAlign w:val="subscript"/>
              </w:rPr>
              <w:t>h</w:t>
            </w:r>
            <w:r w:rsidRPr="004B6091" w:rsidDel="009007C1">
              <w:t xml:space="preserve"> </w:t>
            </w:r>
          </w:p>
          <w:p w14:paraId="48F4C2FB" w14:textId="77777777" w:rsidR="004B6091" w:rsidRPr="004B6091" w:rsidRDefault="004B6091" w:rsidP="004B6091">
            <w:pPr>
              <w:spacing w:after="240"/>
              <w:ind w:left="2610" w:right="1170" w:hanging="1980"/>
            </w:pPr>
            <w:r w:rsidRPr="004B6091">
              <w:t>ASCAP4ADJ</w:t>
            </w:r>
            <w:r w:rsidRPr="004B6091">
              <w:rPr>
                <w:i/>
                <w:vertAlign w:val="subscript"/>
              </w:rPr>
              <w:t xml:space="preserve"> q, i   </w:t>
            </w:r>
            <w:r w:rsidRPr="004B6091">
              <w:t xml:space="preserve">=  (RUPOSADJ </w:t>
            </w:r>
            <w:r w:rsidRPr="004B6091">
              <w:rPr>
                <w:i/>
                <w:vertAlign w:val="subscript"/>
              </w:rPr>
              <w:t>q, h</w:t>
            </w:r>
            <w:r w:rsidRPr="004B6091">
              <w:t xml:space="preserve"> + RRPOSADJ </w:t>
            </w:r>
            <w:r w:rsidRPr="004B6091">
              <w:rPr>
                <w:i/>
                <w:vertAlign w:val="subscript"/>
              </w:rPr>
              <w:t>q, h</w:t>
            </w:r>
            <w:r w:rsidRPr="004B6091">
              <w:t xml:space="preserve"> + ECRPOSADJ </w:t>
            </w:r>
            <w:r w:rsidRPr="004B6091">
              <w:rPr>
                <w:i/>
                <w:vertAlign w:val="subscript"/>
              </w:rPr>
              <w:t>q, h</w:t>
            </w:r>
            <w:r w:rsidRPr="004B6091">
              <w:t xml:space="preserve">) – </w:t>
            </w:r>
            <w:r w:rsidRPr="004B6091">
              <w:rPr>
                <w:position w:val="-18"/>
              </w:rPr>
              <w:object w:dxaOrig="220" w:dyaOrig="420" w14:anchorId="247D3603">
                <v:shape id="_x0000_i1090" type="#_x0000_t75" style="width:9.6pt;height:21pt" o:ole="">
                  <v:imagedata r:id="rId42" o:title=""/>
                </v:shape>
                <o:OLEObject Type="Embed" ProgID="Equation.3" ShapeID="_x0000_i1090" DrawAspect="Content" ObjectID="_1775281620" r:id="rId102"/>
              </w:object>
            </w:r>
            <w:r w:rsidRPr="004B6091">
              <w:t xml:space="preserve"> ASOFR4ADJ</w:t>
            </w:r>
            <w:r w:rsidRPr="004B6091">
              <w:rPr>
                <w:i/>
                <w:vertAlign w:val="subscript"/>
              </w:rPr>
              <w:t xml:space="preserve"> q, r, h</w:t>
            </w:r>
            <w:r w:rsidRPr="004B6091" w:rsidDel="009007C1">
              <w:t xml:space="preserve"> </w:t>
            </w:r>
          </w:p>
          <w:p w14:paraId="70E8E089" w14:textId="77777777" w:rsidR="004B6091" w:rsidRPr="004B6091" w:rsidRDefault="004B6091" w:rsidP="004B6091">
            <w:pPr>
              <w:spacing w:after="240"/>
              <w:ind w:left="2610" w:right="900" w:hanging="1980"/>
            </w:pPr>
            <w:r w:rsidRPr="004B6091">
              <w:t>ASCAP5ADJ</w:t>
            </w:r>
            <w:r w:rsidRPr="004B6091">
              <w:rPr>
                <w:i/>
                <w:vertAlign w:val="subscript"/>
              </w:rPr>
              <w:t xml:space="preserve"> q, i   </w:t>
            </w:r>
            <w:r w:rsidRPr="004B6091">
              <w:t xml:space="preserve">=  (RUPOSADJ </w:t>
            </w:r>
            <w:r w:rsidRPr="004B6091">
              <w:rPr>
                <w:i/>
                <w:vertAlign w:val="subscript"/>
              </w:rPr>
              <w:t>q, h</w:t>
            </w:r>
            <w:r w:rsidRPr="004B6091">
              <w:t xml:space="preserve"> + RRPOSADJ </w:t>
            </w:r>
            <w:r w:rsidRPr="004B6091">
              <w:rPr>
                <w:i/>
                <w:vertAlign w:val="subscript"/>
              </w:rPr>
              <w:t>q, h</w:t>
            </w:r>
            <w:r w:rsidRPr="004B6091">
              <w:t xml:space="preserve"> + ECRPOSADJ </w:t>
            </w:r>
            <w:r w:rsidRPr="004B6091">
              <w:rPr>
                <w:i/>
                <w:vertAlign w:val="subscript"/>
              </w:rPr>
              <w:t>q, h</w:t>
            </w:r>
            <w:r w:rsidRPr="004B6091">
              <w:t xml:space="preserve"> + NSPOSADJ </w:t>
            </w:r>
            <w:r w:rsidRPr="004B6091">
              <w:rPr>
                <w:i/>
                <w:vertAlign w:val="subscript"/>
              </w:rPr>
              <w:t>q, h</w:t>
            </w:r>
            <w:r w:rsidRPr="004B6091">
              <w:t xml:space="preserve"> ) – </w:t>
            </w:r>
            <w:r w:rsidRPr="004B6091">
              <w:rPr>
                <w:position w:val="-18"/>
              </w:rPr>
              <w:object w:dxaOrig="220" w:dyaOrig="420" w14:anchorId="728DEA07">
                <v:shape id="_x0000_i1091" type="#_x0000_t75" style="width:9.6pt;height:21pt" o:ole="">
                  <v:imagedata r:id="rId42" o:title=""/>
                </v:shape>
                <o:OLEObject Type="Embed" ProgID="Equation.3" ShapeID="_x0000_i1091" DrawAspect="Content" ObjectID="_1775281621" r:id="rId103"/>
              </w:object>
            </w:r>
            <w:r w:rsidRPr="004B6091">
              <w:t xml:space="preserve"> ASOFR5ADJ</w:t>
            </w:r>
            <w:r w:rsidRPr="004B6091">
              <w:rPr>
                <w:i/>
                <w:vertAlign w:val="subscript"/>
              </w:rPr>
              <w:t xml:space="preserve"> q, r, h</w:t>
            </w:r>
            <w:r w:rsidRPr="004B6091" w:rsidDel="009007C1">
              <w:t xml:space="preserve"> </w:t>
            </w:r>
          </w:p>
          <w:p w14:paraId="30FAE14E" w14:textId="77777777" w:rsidR="004B6091" w:rsidRPr="004B6091" w:rsidRDefault="004B6091" w:rsidP="004B6091">
            <w:pPr>
              <w:spacing w:after="240"/>
              <w:ind w:left="2250" w:hanging="1620"/>
            </w:pPr>
            <w:r w:rsidRPr="004B6091">
              <w:t>ASCAP6ADJ</w:t>
            </w:r>
            <w:r w:rsidRPr="004B6091">
              <w:rPr>
                <w:i/>
                <w:vertAlign w:val="subscript"/>
              </w:rPr>
              <w:t xml:space="preserve"> q, i   </w:t>
            </w:r>
            <w:r w:rsidRPr="004B6091">
              <w:t xml:space="preserve">=  RDPOSADJ </w:t>
            </w:r>
            <w:r w:rsidRPr="004B6091">
              <w:rPr>
                <w:i/>
                <w:vertAlign w:val="subscript"/>
              </w:rPr>
              <w:t>q, h</w:t>
            </w:r>
            <w:r w:rsidRPr="004B6091">
              <w:t xml:space="preserve"> –   </w:t>
            </w:r>
            <w:r w:rsidRPr="004B6091">
              <w:rPr>
                <w:position w:val="-18"/>
              </w:rPr>
              <w:object w:dxaOrig="220" w:dyaOrig="420" w14:anchorId="4957FFAF">
                <v:shape id="_x0000_i1092" type="#_x0000_t75" style="width:9.6pt;height:21pt" o:ole="">
                  <v:imagedata r:id="rId42" o:title=""/>
                </v:shape>
                <o:OLEObject Type="Embed" ProgID="Equation.3" ShapeID="_x0000_i1092" DrawAspect="Content" ObjectID="_1775281622" r:id="rId104"/>
              </w:object>
            </w:r>
            <w:r w:rsidRPr="004B6091">
              <w:t>ASOFR6ADJ</w:t>
            </w:r>
            <w:r w:rsidRPr="004B6091">
              <w:rPr>
                <w:i/>
                <w:vertAlign w:val="subscript"/>
              </w:rPr>
              <w:t xml:space="preserve"> q, r, h</w:t>
            </w:r>
            <w:r w:rsidRPr="004B6091" w:rsidDel="009007C1">
              <w:t xml:space="preserve"> </w:t>
            </w:r>
          </w:p>
          <w:p w14:paraId="23A238CA" w14:textId="77777777" w:rsidR="004B6091" w:rsidRPr="004B6091" w:rsidRDefault="004B6091" w:rsidP="004B6091">
            <w:pPr>
              <w:tabs>
                <w:tab w:val="left" w:pos="2340"/>
                <w:tab w:val="left" w:pos="3420"/>
              </w:tabs>
              <w:rPr>
                <w:bCs/>
                <w:szCs w:val="24"/>
              </w:rPr>
            </w:pPr>
            <w:r w:rsidRPr="004B6091">
              <w:rPr>
                <w:bCs/>
                <w:szCs w:val="24"/>
              </w:rPr>
              <w:t>The above variables are defined as follows:</w:t>
            </w:r>
          </w:p>
          <w:tbl>
            <w:tblPr>
              <w:tblW w:w="918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013"/>
              <w:gridCol w:w="703"/>
              <w:gridCol w:w="6467"/>
            </w:tblGrid>
            <w:tr w:rsidR="004B6091" w14:paraId="2D5603B6" w14:textId="77777777" w:rsidTr="0093076E">
              <w:trPr>
                <w:cantSplit/>
                <w:tblHeader/>
              </w:trPr>
              <w:tc>
                <w:tcPr>
                  <w:tcW w:w="1096" w:type="pct"/>
                </w:tcPr>
                <w:p w14:paraId="2053FDF2" w14:textId="77777777" w:rsidR="004B6091" w:rsidRDefault="004B6091" w:rsidP="004B6091">
                  <w:pPr>
                    <w:pStyle w:val="TableHead"/>
                  </w:pPr>
                  <w:r>
                    <w:t>Variable</w:t>
                  </w:r>
                </w:p>
              </w:tc>
              <w:tc>
                <w:tcPr>
                  <w:tcW w:w="383" w:type="pct"/>
                </w:tcPr>
                <w:p w14:paraId="5141EDE0" w14:textId="77777777" w:rsidR="004B6091" w:rsidRDefault="004B6091" w:rsidP="004B6091">
                  <w:pPr>
                    <w:pStyle w:val="TableHead"/>
                    <w:jc w:val="center"/>
                  </w:pPr>
                  <w:r>
                    <w:t>Unit</w:t>
                  </w:r>
                </w:p>
              </w:tc>
              <w:tc>
                <w:tcPr>
                  <w:tcW w:w="3521" w:type="pct"/>
                </w:tcPr>
                <w:p w14:paraId="694F96B8" w14:textId="77777777" w:rsidR="004B6091" w:rsidRDefault="004B6091" w:rsidP="004B6091">
                  <w:pPr>
                    <w:pStyle w:val="TableHead"/>
                  </w:pPr>
                  <w:r>
                    <w:t>Definition</w:t>
                  </w:r>
                </w:p>
              </w:tc>
            </w:tr>
            <w:tr w:rsidR="004B6091" w14:paraId="701E4DD0" w14:textId="77777777" w:rsidTr="0093076E">
              <w:trPr>
                <w:cantSplit/>
              </w:trPr>
              <w:tc>
                <w:tcPr>
                  <w:tcW w:w="1096" w:type="pct"/>
                </w:tcPr>
                <w:p w14:paraId="57D9220D" w14:textId="77777777" w:rsidR="004B6091" w:rsidRDefault="004B6091" w:rsidP="004B6091">
                  <w:pPr>
                    <w:pStyle w:val="TableBody"/>
                  </w:pPr>
                  <w:r>
                    <w:t xml:space="preserve">RUCSFRS </w:t>
                  </w:r>
                  <w:proofErr w:type="spellStart"/>
                  <w:r>
                    <w:rPr>
                      <w:i/>
                      <w:vertAlign w:val="subscript"/>
                    </w:rPr>
                    <w:t>ruc</w:t>
                  </w:r>
                  <w:proofErr w:type="spellEnd"/>
                  <w:r>
                    <w:rPr>
                      <w:i/>
                      <w:vertAlign w:val="subscript"/>
                    </w:rPr>
                    <w:t>, i, q</w:t>
                  </w:r>
                </w:p>
              </w:tc>
              <w:tc>
                <w:tcPr>
                  <w:tcW w:w="383" w:type="pct"/>
                </w:tcPr>
                <w:p w14:paraId="3FFC2AC2" w14:textId="77777777" w:rsidR="004B6091" w:rsidRDefault="004B6091" w:rsidP="004B6091">
                  <w:pPr>
                    <w:pStyle w:val="TableBody"/>
                    <w:jc w:val="center"/>
                  </w:pPr>
                  <w:r>
                    <w:t>none</w:t>
                  </w:r>
                </w:p>
              </w:tc>
              <w:tc>
                <w:tcPr>
                  <w:tcW w:w="3521" w:type="pct"/>
                </w:tcPr>
                <w:p w14:paraId="48012CBE" w14:textId="77777777" w:rsidR="004B6091" w:rsidRDefault="004B6091" w:rsidP="004B6091">
                  <w:pPr>
                    <w:pStyle w:val="TableBody"/>
                  </w:pPr>
                  <w:r>
                    <w:rPr>
                      <w:i/>
                    </w:rPr>
                    <w:t>RUC Shortfall Ratio Share</w:t>
                  </w:r>
                  <w:r>
                    <w:t>—The ratio of the QSE</w:t>
                  </w:r>
                  <w:r w:rsidRPr="00A577B9">
                    <w:rPr>
                      <w:i/>
                    </w:rPr>
                    <w:t xml:space="preserve"> q</w:t>
                  </w:r>
                  <w:r>
                    <w:t>’s capacity shortfall to the sum of all QSEs’ capacity shortfalls, for the RUC process</w:t>
                  </w:r>
                  <w:r w:rsidRPr="00A577B9">
                    <w:rPr>
                      <w:i/>
                    </w:rPr>
                    <w:t xml:space="preserve"> </w:t>
                  </w:r>
                  <w:proofErr w:type="spellStart"/>
                  <w:r w:rsidRPr="00A577B9">
                    <w:rPr>
                      <w:i/>
                    </w:rPr>
                    <w:t>ruc</w:t>
                  </w:r>
                  <w:proofErr w:type="spellEnd"/>
                  <w:r>
                    <w:t xml:space="preserve">, for the 15-minute Settlement Interval </w:t>
                  </w:r>
                  <w:r w:rsidRPr="00921E96">
                    <w:rPr>
                      <w:i/>
                    </w:rPr>
                    <w:t>i</w:t>
                  </w:r>
                  <w:r>
                    <w:t>.</w:t>
                  </w:r>
                </w:p>
              </w:tc>
            </w:tr>
            <w:tr w:rsidR="004B6091" w14:paraId="0021D4F6" w14:textId="77777777" w:rsidTr="0093076E">
              <w:trPr>
                <w:cantSplit/>
              </w:trPr>
              <w:tc>
                <w:tcPr>
                  <w:tcW w:w="1096" w:type="pct"/>
                </w:tcPr>
                <w:p w14:paraId="559C07C4" w14:textId="77777777" w:rsidR="004B6091" w:rsidRDefault="004B6091" w:rsidP="004B6091">
                  <w:pPr>
                    <w:pStyle w:val="TableBody"/>
                  </w:pPr>
                  <w:r>
                    <w:t xml:space="preserve">RUCSF </w:t>
                  </w:r>
                  <w:proofErr w:type="spellStart"/>
                  <w:r>
                    <w:rPr>
                      <w:i/>
                      <w:vertAlign w:val="subscript"/>
                    </w:rPr>
                    <w:t>ruc</w:t>
                  </w:r>
                  <w:proofErr w:type="spellEnd"/>
                  <w:r>
                    <w:rPr>
                      <w:i/>
                      <w:vertAlign w:val="subscript"/>
                    </w:rPr>
                    <w:t>, i, q</w:t>
                  </w:r>
                </w:p>
              </w:tc>
              <w:tc>
                <w:tcPr>
                  <w:tcW w:w="383" w:type="pct"/>
                </w:tcPr>
                <w:p w14:paraId="5DE2D6EC" w14:textId="77777777" w:rsidR="004B6091" w:rsidRDefault="004B6091" w:rsidP="004B6091">
                  <w:pPr>
                    <w:pStyle w:val="TableBody"/>
                    <w:jc w:val="center"/>
                  </w:pPr>
                  <w:r>
                    <w:t>MW</w:t>
                  </w:r>
                </w:p>
              </w:tc>
              <w:tc>
                <w:tcPr>
                  <w:tcW w:w="3521" w:type="pct"/>
                </w:tcPr>
                <w:p w14:paraId="625C0B13" w14:textId="77777777" w:rsidR="004B6091" w:rsidRDefault="004B6091" w:rsidP="004B6091">
                  <w:pPr>
                    <w:pStyle w:val="TableBody"/>
                  </w:pPr>
                  <w:r>
                    <w:rPr>
                      <w:i/>
                    </w:rPr>
                    <w:t>RUC Shortfall</w:t>
                  </w:r>
                  <w:r>
                    <w:t xml:space="preserve">—The QSE </w:t>
                  </w:r>
                  <w:r>
                    <w:rPr>
                      <w:i/>
                    </w:rPr>
                    <w:t>q</w:t>
                  </w:r>
                  <w:r>
                    <w:t xml:space="preserve">’s capacity shortfall for the RUC process </w:t>
                  </w:r>
                  <w:proofErr w:type="spellStart"/>
                  <w:r w:rsidRPr="00A577B9">
                    <w:rPr>
                      <w:i/>
                    </w:rPr>
                    <w:t>ruc</w:t>
                  </w:r>
                  <w:proofErr w:type="spellEnd"/>
                  <w:r>
                    <w:t xml:space="preserve"> for the 15-minute Settlement Interval</w:t>
                  </w:r>
                  <w:r w:rsidRPr="00921E96">
                    <w:rPr>
                      <w:i/>
                    </w:rPr>
                    <w:t xml:space="preserve"> i</w:t>
                  </w:r>
                  <w:r>
                    <w:t>.</w:t>
                  </w:r>
                </w:p>
              </w:tc>
            </w:tr>
            <w:tr w:rsidR="004B6091" w14:paraId="5E8D2B69" w14:textId="77777777" w:rsidTr="0093076E">
              <w:trPr>
                <w:cantSplit/>
              </w:trPr>
              <w:tc>
                <w:tcPr>
                  <w:tcW w:w="1096" w:type="pct"/>
                </w:tcPr>
                <w:p w14:paraId="2CF39AEA" w14:textId="77777777" w:rsidR="004B6091" w:rsidRDefault="004B6091" w:rsidP="004B6091">
                  <w:pPr>
                    <w:pStyle w:val="TableBody"/>
                  </w:pPr>
                  <w:r>
                    <w:t xml:space="preserve">RUCSFTOT </w:t>
                  </w:r>
                  <w:proofErr w:type="spellStart"/>
                  <w:r>
                    <w:rPr>
                      <w:i/>
                      <w:vertAlign w:val="subscript"/>
                    </w:rPr>
                    <w:t>ruc</w:t>
                  </w:r>
                  <w:proofErr w:type="spellEnd"/>
                  <w:r>
                    <w:rPr>
                      <w:i/>
                      <w:vertAlign w:val="subscript"/>
                    </w:rPr>
                    <w:t>, i</w:t>
                  </w:r>
                </w:p>
              </w:tc>
              <w:tc>
                <w:tcPr>
                  <w:tcW w:w="383" w:type="pct"/>
                </w:tcPr>
                <w:p w14:paraId="188AC9AB" w14:textId="77777777" w:rsidR="004B6091" w:rsidRDefault="004B6091" w:rsidP="004B6091">
                  <w:pPr>
                    <w:pStyle w:val="TableBody"/>
                    <w:jc w:val="center"/>
                  </w:pPr>
                  <w:r>
                    <w:t>MW</w:t>
                  </w:r>
                </w:p>
              </w:tc>
              <w:tc>
                <w:tcPr>
                  <w:tcW w:w="3521" w:type="pct"/>
                </w:tcPr>
                <w:p w14:paraId="1F677200" w14:textId="77777777" w:rsidR="004B6091" w:rsidRDefault="004B6091" w:rsidP="004B6091">
                  <w:pPr>
                    <w:pStyle w:val="TableBody"/>
                    <w:rPr>
                      <w:i/>
                    </w:rPr>
                  </w:pPr>
                  <w:r>
                    <w:rPr>
                      <w:i/>
                    </w:rPr>
                    <w:t>RUC Shortfall Total</w:t>
                  </w:r>
                  <w:r>
                    <w:t>—</w:t>
                  </w:r>
                  <w:r w:rsidRPr="00030CE9">
                    <w:t>The sum of all QSEs’ capacity shortfalls, for a RUC process</w:t>
                  </w:r>
                  <w:r w:rsidRPr="00A577B9">
                    <w:rPr>
                      <w:i/>
                    </w:rPr>
                    <w:t xml:space="preserve"> </w:t>
                  </w:r>
                  <w:proofErr w:type="spellStart"/>
                  <w:r w:rsidRPr="00A577B9">
                    <w:rPr>
                      <w:i/>
                    </w:rPr>
                    <w:t>ruc</w:t>
                  </w:r>
                  <w:proofErr w:type="spellEnd"/>
                  <w:r w:rsidRPr="00030CE9">
                    <w:t>, for a 15-minute Settlement Interval</w:t>
                  </w:r>
                  <w:r w:rsidRPr="00921E96">
                    <w:rPr>
                      <w:i/>
                    </w:rPr>
                    <w:t xml:space="preserve"> i</w:t>
                  </w:r>
                  <w:r w:rsidRPr="00030CE9">
                    <w:t>.</w:t>
                  </w:r>
                </w:p>
              </w:tc>
            </w:tr>
            <w:tr w:rsidR="004B6091" w14:paraId="4581EFEF" w14:textId="77777777" w:rsidTr="0093076E">
              <w:trPr>
                <w:cantSplit/>
              </w:trPr>
              <w:tc>
                <w:tcPr>
                  <w:tcW w:w="1096" w:type="pct"/>
                </w:tcPr>
                <w:p w14:paraId="68C74AEF" w14:textId="77777777" w:rsidR="004B6091" w:rsidRDefault="004B6091" w:rsidP="004B6091">
                  <w:pPr>
                    <w:pStyle w:val="TableBody"/>
                  </w:pPr>
                  <w:r w:rsidRPr="005A03E7">
                    <w:lastRenderedPageBreak/>
                    <w:t>RUCSFSNAP</w:t>
                  </w:r>
                  <w:r>
                    <w:t xml:space="preserve"> </w:t>
                  </w:r>
                  <w:proofErr w:type="spellStart"/>
                  <w:r>
                    <w:rPr>
                      <w:i/>
                      <w:vertAlign w:val="subscript"/>
                    </w:rPr>
                    <w:t>ruc</w:t>
                  </w:r>
                  <w:proofErr w:type="spellEnd"/>
                  <w:r>
                    <w:rPr>
                      <w:i/>
                      <w:vertAlign w:val="subscript"/>
                    </w:rPr>
                    <w:t xml:space="preserve">, </w:t>
                  </w:r>
                  <w:r w:rsidRPr="00E67D2A">
                    <w:rPr>
                      <w:i/>
                      <w:vertAlign w:val="subscript"/>
                    </w:rPr>
                    <w:t>q</w:t>
                  </w:r>
                  <w:r>
                    <w:rPr>
                      <w:i/>
                      <w:vertAlign w:val="subscript"/>
                    </w:rPr>
                    <w:t>, i</w:t>
                  </w:r>
                </w:p>
              </w:tc>
              <w:tc>
                <w:tcPr>
                  <w:tcW w:w="383" w:type="pct"/>
                </w:tcPr>
                <w:p w14:paraId="4092B354" w14:textId="77777777" w:rsidR="004B6091" w:rsidRDefault="004B6091" w:rsidP="004B6091">
                  <w:pPr>
                    <w:pStyle w:val="TableBody"/>
                    <w:jc w:val="center"/>
                  </w:pPr>
                  <w:r>
                    <w:t>MW</w:t>
                  </w:r>
                </w:p>
              </w:tc>
              <w:tc>
                <w:tcPr>
                  <w:tcW w:w="3521" w:type="pct"/>
                </w:tcPr>
                <w:p w14:paraId="56F664B2" w14:textId="77777777" w:rsidR="004B6091" w:rsidRDefault="004B6091" w:rsidP="004B6091">
                  <w:pPr>
                    <w:pStyle w:val="TableBody"/>
                  </w:pPr>
                  <w:r>
                    <w:rPr>
                      <w:i/>
                    </w:rPr>
                    <w:t>RUC Shortfall at Snapshot</w:t>
                  </w:r>
                  <w:r>
                    <w:t xml:space="preserve">—The QSE </w:t>
                  </w:r>
                  <w:r>
                    <w:rPr>
                      <w:i/>
                    </w:rPr>
                    <w:t>q</w:t>
                  </w:r>
                  <w:r>
                    <w:t xml:space="preserve">’s capacity shortfall will be the maximum of the QSE’s overall shortfall or Ancillary Service shortfall, as calculated for the RUC process </w:t>
                  </w:r>
                  <w:proofErr w:type="spellStart"/>
                  <w:r w:rsidRPr="00A577B9">
                    <w:rPr>
                      <w:i/>
                    </w:rPr>
                    <w:t>ruc</w:t>
                  </w:r>
                  <w:proofErr w:type="spellEnd"/>
                  <w:r>
                    <w:t xml:space="preserve"> for the 15-minute Settlement Interval</w:t>
                  </w:r>
                  <w:r w:rsidRPr="00921E96">
                    <w:rPr>
                      <w:i/>
                    </w:rPr>
                    <w:t xml:space="preserve"> i</w:t>
                  </w:r>
                  <w:r>
                    <w:t>.</w:t>
                  </w:r>
                </w:p>
              </w:tc>
            </w:tr>
            <w:tr w:rsidR="004B6091" w14:paraId="2E92348C" w14:textId="77777777" w:rsidTr="0093076E">
              <w:trPr>
                <w:cantSplit/>
              </w:trPr>
              <w:tc>
                <w:tcPr>
                  <w:tcW w:w="1096" w:type="pct"/>
                </w:tcPr>
                <w:p w14:paraId="24DE738D" w14:textId="77777777" w:rsidR="004B6091" w:rsidRDefault="004B6091" w:rsidP="004B6091">
                  <w:pPr>
                    <w:pStyle w:val="TableBody"/>
                  </w:pPr>
                  <w:r>
                    <w:t xml:space="preserve">RUCSFADJ </w:t>
                  </w:r>
                  <w:proofErr w:type="spellStart"/>
                  <w:r>
                    <w:rPr>
                      <w:i/>
                      <w:vertAlign w:val="subscript"/>
                    </w:rPr>
                    <w:t>ruc</w:t>
                  </w:r>
                  <w:proofErr w:type="spellEnd"/>
                  <w:r>
                    <w:rPr>
                      <w:i/>
                      <w:vertAlign w:val="subscript"/>
                    </w:rPr>
                    <w:t>, q, i</w:t>
                  </w:r>
                </w:p>
              </w:tc>
              <w:tc>
                <w:tcPr>
                  <w:tcW w:w="383" w:type="pct"/>
                </w:tcPr>
                <w:p w14:paraId="0503A5E4" w14:textId="77777777" w:rsidR="004B6091" w:rsidRDefault="004B6091" w:rsidP="004B6091">
                  <w:pPr>
                    <w:pStyle w:val="TableBody"/>
                    <w:jc w:val="center"/>
                  </w:pPr>
                  <w:r>
                    <w:t>MW</w:t>
                  </w:r>
                </w:p>
              </w:tc>
              <w:tc>
                <w:tcPr>
                  <w:tcW w:w="3521" w:type="pct"/>
                </w:tcPr>
                <w:p w14:paraId="77FFE21C" w14:textId="0BCAEE30" w:rsidR="004B6091" w:rsidRDefault="004B6091" w:rsidP="00664813">
                  <w:pPr>
                    <w:pStyle w:val="TableBody"/>
                  </w:pPr>
                  <w:r>
                    <w:rPr>
                      <w:i/>
                    </w:rPr>
                    <w:t>RUC Shortfall at End of Adjustment Period</w:t>
                  </w:r>
                  <w:r>
                    <w:t xml:space="preserve">—The QSE </w:t>
                  </w:r>
                  <w:r>
                    <w:rPr>
                      <w:i/>
                    </w:rPr>
                    <w:t>q</w:t>
                  </w:r>
                  <w:r>
                    <w:t>’s end of Adjustment Period capacity shortfall will be the maximum of the QSE’s overall shortfall or Ancillary Service shortfall, as calculated for the RUC process</w:t>
                  </w:r>
                  <w:r w:rsidRPr="00A577B9">
                    <w:rPr>
                      <w:i/>
                    </w:rPr>
                    <w:t xml:space="preserve"> </w:t>
                  </w:r>
                  <w:proofErr w:type="spellStart"/>
                  <w:r w:rsidRPr="00A577B9">
                    <w:rPr>
                      <w:i/>
                    </w:rPr>
                    <w:t>ruc</w:t>
                  </w:r>
                  <w:proofErr w:type="spellEnd"/>
                  <w:r>
                    <w:t>, for the 15-minute Settlement Interval</w:t>
                  </w:r>
                  <w:r w:rsidRPr="00921E96">
                    <w:rPr>
                      <w:i/>
                    </w:rPr>
                    <w:t xml:space="preserve"> i</w:t>
                  </w:r>
                  <w:r>
                    <w:t>.</w:t>
                  </w:r>
                </w:p>
              </w:tc>
            </w:tr>
            <w:tr w:rsidR="004B6091" w14:paraId="060011F0" w14:textId="77777777" w:rsidTr="0093076E">
              <w:trPr>
                <w:cantSplit/>
              </w:trPr>
              <w:tc>
                <w:tcPr>
                  <w:tcW w:w="1096" w:type="pct"/>
                </w:tcPr>
                <w:p w14:paraId="39F6B9C0" w14:textId="77777777" w:rsidR="004B6091" w:rsidRDefault="004B6091" w:rsidP="004B6091">
                  <w:pPr>
                    <w:pStyle w:val="TableBody"/>
                  </w:pPr>
                  <w:r>
                    <w:t xml:space="preserve">RUCCAPCREDIT </w:t>
                  </w:r>
                  <w:r>
                    <w:rPr>
                      <w:i/>
                      <w:vertAlign w:val="subscript"/>
                    </w:rPr>
                    <w:t>q, i, z</w:t>
                  </w:r>
                </w:p>
              </w:tc>
              <w:tc>
                <w:tcPr>
                  <w:tcW w:w="383" w:type="pct"/>
                </w:tcPr>
                <w:p w14:paraId="4940BAE3" w14:textId="77777777" w:rsidR="004B6091" w:rsidRDefault="004B6091" w:rsidP="004B6091">
                  <w:pPr>
                    <w:pStyle w:val="TableBody"/>
                    <w:jc w:val="center"/>
                  </w:pPr>
                  <w:r>
                    <w:t>MW</w:t>
                  </w:r>
                </w:p>
              </w:tc>
              <w:tc>
                <w:tcPr>
                  <w:tcW w:w="3521" w:type="pct"/>
                </w:tcPr>
                <w:p w14:paraId="534E82E3" w14:textId="77777777" w:rsidR="004B6091" w:rsidRDefault="004B6091" w:rsidP="004B6091">
                  <w:pPr>
                    <w:pStyle w:val="TableBody"/>
                    <w:rPr>
                      <w:i/>
                    </w:rPr>
                  </w:pPr>
                  <w:r>
                    <w:rPr>
                      <w:i/>
                    </w:rPr>
                    <w:t>RUC Capacity Credit</w:t>
                  </w:r>
                  <w:r>
                    <w:t xml:space="preserve">—The QSE </w:t>
                  </w:r>
                  <w:r>
                    <w:rPr>
                      <w:i/>
                    </w:rPr>
                    <w:t>q</w:t>
                  </w:r>
                  <w:r>
                    <w:t xml:space="preserve">’s capacity credit resulting from capacity paid through the RUC Capacity-Short </w:t>
                  </w:r>
                  <w:r w:rsidRPr="00E766A8">
                    <w:t>Amount</w:t>
                  </w:r>
                  <w:r>
                    <w:t xml:space="preserve"> for RUC process </w:t>
                  </w:r>
                  <w:r w:rsidRPr="0074109A">
                    <w:rPr>
                      <w:i/>
                    </w:rPr>
                    <w:t>z</w:t>
                  </w:r>
                  <w:r>
                    <w:t xml:space="preserve"> for the 15-minute Settlement Interval</w:t>
                  </w:r>
                  <w:r w:rsidRPr="00921E96">
                    <w:rPr>
                      <w:i/>
                    </w:rPr>
                    <w:t xml:space="preserve"> i</w:t>
                  </w:r>
                  <w:r>
                    <w:t>.</w:t>
                  </w:r>
                </w:p>
              </w:tc>
            </w:tr>
            <w:tr w:rsidR="004B6091" w14:paraId="5D880603" w14:textId="77777777" w:rsidTr="0093076E">
              <w:trPr>
                <w:cantSplit/>
              </w:trPr>
              <w:tc>
                <w:tcPr>
                  <w:tcW w:w="1096" w:type="pct"/>
                </w:tcPr>
                <w:p w14:paraId="4BBCE500" w14:textId="77777777" w:rsidR="004B6091" w:rsidRDefault="004B6091" w:rsidP="004B6091">
                  <w:pPr>
                    <w:pStyle w:val="TableBody"/>
                  </w:pPr>
                  <w:r w:rsidRPr="002F4D26">
                    <w:t xml:space="preserve">RUCOSFSNAP </w:t>
                  </w:r>
                  <w:proofErr w:type="spellStart"/>
                  <w:r w:rsidRPr="002F4D26">
                    <w:rPr>
                      <w:i/>
                      <w:vertAlign w:val="subscript"/>
                    </w:rPr>
                    <w:t>ruc</w:t>
                  </w:r>
                  <w:proofErr w:type="spellEnd"/>
                  <w:r w:rsidRPr="002F4D26">
                    <w:rPr>
                      <w:i/>
                      <w:vertAlign w:val="subscript"/>
                    </w:rPr>
                    <w:t>,</w:t>
                  </w:r>
                  <w:r>
                    <w:rPr>
                      <w:i/>
                      <w:vertAlign w:val="subscript"/>
                    </w:rPr>
                    <w:t xml:space="preserve"> </w:t>
                  </w:r>
                  <w:r w:rsidRPr="002F4D26">
                    <w:rPr>
                      <w:i/>
                      <w:vertAlign w:val="subscript"/>
                    </w:rPr>
                    <w:t>q,</w:t>
                  </w:r>
                  <w:r>
                    <w:rPr>
                      <w:i/>
                      <w:vertAlign w:val="subscript"/>
                    </w:rPr>
                    <w:t xml:space="preserve"> </w:t>
                  </w:r>
                  <w:r w:rsidRPr="002F4D26">
                    <w:rPr>
                      <w:i/>
                      <w:vertAlign w:val="subscript"/>
                    </w:rPr>
                    <w:t>i</w:t>
                  </w:r>
                </w:p>
              </w:tc>
              <w:tc>
                <w:tcPr>
                  <w:tcW w:w="383" w:type="pct"/>
                </w:tcPr>
                <w:p w14:paraId="28AA0F69" w14:textId="77777777" w:rsidR="004B6091" w:rsidRDefault="004B6091" w:rsidP="004B6091">
                  <w:pPr>
                    <w:pStyle w:val="TableBody"/>
                    <w:jc w:val="center"/>
                  </w:pPr>
                  <w:r>
                    <w:t>MW</w:t>
                  </w:r>
                </w:p>
              </w:tc>
              <w:tc>
                <w:tcPr>
                  <w:tcW w:w="3521" w:type="pct"/>
                </w:tcPr>
                <w:p w14:paraId="1F1E03E4" w14:textId="77777777" w:rsidR="004B6091" w:rsidRDefault="004B6091" w:rsidP="004B6091">
                  <w:pPr>
                    <w:pStyle w:val="TableBody"/>
                    <w:rPr>
                      <w:i/>
                    </w:rPr>
                  </w:pPr>
                  <w:r w:rsidRPr="00651A17">
                    <w:rPr>
                      <w:i/>
                    </w:rPr>
                    <w:t>RUC Overall Shortfall at Snapshot</w:t>
                  </w:r>
                  <w:r>
                    <w:t xml:space="preserve"> —The QSE </w:t>
                  </w:r>
                  <w:r w:rsidRPr="00651A17">
                    <w:rPr>
                      <w:i/>
                    </w:rPr>
                    <w:t>q</w:t>
                  </w:r>
                  <w:r>
                    <w:t xml:space="preserve">’s overall capacity shortfall according to the RUC Snapshot for the RUC process </w:t>
                  </w:r>
                  <w:proofErr w:type="spellStart"/>
                  <w:r w:rsidRPr="0033359D">
                    <w:rPr>
                      <w:i/>
                    </w:rPr>
                    <w:t>ruc</w:t>
                  </w:r>
                  <w:proofErr w:type="spellEnd"/>
                  <w:r>
                    <w:t xml:space="preserve"> for the 15-minute Settlement Interval</w:t>
                  </w:r>
                  <w:r w:rsidRPr="002F4D26">
                    <w:t xml:space="preserve"> </w:t>
                  </w:r>
                  <w:r w:rsidRPr="00651A17">
                    <w:rPr>
                      <w:i/>
                    </w:rPr>
                    <w:t>i</w:t>
                  </w:r>
                  <w:r>
                    <w:t>.</w:t>
                  </w:r>
                </w:p>
              </w:tc>
            </w:tr>
            <w:tr w:rsidR="004B6091" w14:paraId="16E190AB" w14:textId="77777777" w:rsidTr="0093076E">
              <w:trPr>
                <w:cantSplit/>
              </w:trPr>
              <w:tc>
                <w:tcPr>
                  <w:tcW w:w="1096" w:type="pct"/>
                </w:tcPr>
                <w:p w14:paraId="465B862B" w14:textId="77777777" w:rsidR="004B6091" w:rsidRDefault="004B6091" w:rsidP="004B6091">
                  <w:pPr>
                    <w:pStyle w:val="TableBody"/>
                  </w:pPr>
                  <w:r w:rsidRPr="002F4D26">
                    <w:t xml:space="preserve">RUCASFSNAP </w:t>
                  </w:r>
                  <w:proofErr w:type="spellStart"/>
                  <w:r w:rsidRPr="002F4D26">
                    <w:rPr>
                      <w:i/>
                      <w:vertAlign w:val="subscript"/>
                    </w:rPr>
                    <w:t>ruc</w:t>
                  </w:r>
                  <w:proofErr w:type="spellEnd"/>
                  <w:r w:rsidRPr="002F4D26">
                    <w:rPr>
                      <w:i/>
                      <w:vertAlign w:val="subscript"/>
                    </w:rPr>
                    <w:t>, q, i</w:t>
                  </w:r>
                </w:p>
              </w:tc>
              <w:tc>
                <w:tcPr>
                  <w:tcW w:w="383" w:type="pct"/>
                </w:tcPr>
                <w:p w14:paraId="4036FABC" w14:textId="77777777" w:rsidR="004B6091" w:rsidRDefault="004B6091" w:rsidP="004B6091">
                  <w:pPr>
                    <w:pStyle w:val="TableBody"/>
                    <w:jc w:val="center"/>
                  </w:pPr>
                  <w:r>
                    <w:t>MW</w:t>
                  </w:r>
                </w:p>
              </w:tc>
              <w:tc>
                <w:tcPr>
                  <w:tcW w:w="3521" w:type="pct"/>
                </w:tcPr>
                <w:p w14:paraId="183DD358" w14:textId="77777777" w:rsidR="004B6091" w:rsidRDefault="004B6091" w:rsidP="004B6091">
                  <w:pPr>
                    <w:pStyle w:val="TableBody"/>
                    <w:rPr>
                      <w:i/>
                    </w:rPr>
                  </w:pPr>
                  <w:r w:rsidRPr="00651A17">
                    <w:rPr>
                      <w:i/>
                    </w:rPr>
                    <w:t>RUC Ancillary Service Shortfall at Snapshot</w:t>
                  </w:r>
                  <w:r>
                    <w:t xml:space="preserve"> —The QSE </w:t>
                  </w:r>
                  <w:r w:rsidRPr="00651A17">
                    <w:rPr>
                      <w:i/>
                    </w:rPr>
                    <w:t>q</w:t>
                  </w:r>
                  <w:r>
                    <w:t xml:space="preserve">’s Ancillary Service capacity shortfall according to the RUC Snapshot for the RUC process </w:t>
                  </w:r>
                  <w:proofErr w:type="spellStart"/>
                  <w:r w:rsidRPr="0033359D">
                    <w:rPr>
                      <w:i/>
                    </w:rPr>
                    <w:t>ruc</w:t>
                  </w:r>
                  <w:proofErr w:type="spellEnd"/>
                  <w:r>
                    <w:t xml:space="preserve"> for the 15-minute Settlement Interval</w:t>
                  </w:r>
                  <w:r w:rsidRPr="002F4D26">
                    <w:t xml:space="preserve"> </w:t>
                  </w:r>
                  <w:r w:rsidRPr="00651A17">
                    <w:rPr>
                      <w:i/>
                    </w:rPr>
                    <w:t>i</w:t>
                  </w:r>
                  <w:r>
                    <w:t>.</w:t>
                  </w:r>
                </w:p>
              </w:tc>
            </w:tr>
            <w:tr w:rsidR="004B6091" w14:paraId="6A900764" w14:textId="77777777" w:rsidTr="0093076E">
              <w:trPr>
                <w:cantSplit/>
              </w:trPr>
              <w:tc>
                <w:tcPr>
                  <w:tcW w:w="1096" w:type="pct"/>
                </w:tcPr>
                <w:p w14:paraId="66779E5A" w14:textId="77777777" w:rsidR="004B6091" w:rsidRDefault="004B6091" w:rsidP="004B6091">
                  <w:pPr>
                    <w:pStyle w:val="TableBody"/>
                  </w:pPr>
                  <w:r>
                    <w:t xml:space="preserve">ASONPOSSNAP </w:t>
                  </w:r>
                  <w:r w:rsidRPr="00DE1AC6">
                    <w:rPr>
                      <w:i/>
                      <w:vertAlign w:val="subscript"/>
                      <w:lang w:val="it-IT"/>
                    </w:rPr>
                    <w:t>ruc ,q ,i</w:t>
                  </w:r>
                </w:p>
              </w:tc>
              <w:tc>
                <w:tcPr>
                  <w:tcW w:w="383" w:type="pct"/>
                </w:tcPr>
                <w:p w14:paraId="1602BF4F" w14:textId="77777777" w:rsidR="004B6091" w:rsidRDefault="004B6091" w:rsidP="004B6091">
                  <w:pPr>
                    <w:pStyle w:val="TableBody"/>
                    <w:jc w:val="center"/>
                  </w:pPr>
                  <w:r>
                    <w:t>MW</w:t>
                  </w:r>
                </w:p>
              </w:tc>
              <w:tc>
                <w:tcPr>
                  <w:tcW w:w="3521" w:type="pct"/>
                </w:tcPr>
                <w:p w14:paraId="027200A9" w14:textId="77777777" w:rsidR="004B6091" w:rsidRDefault="004B6091" w:rsidP="004B6091">
                  <w:pPr>
                    <w:pStyle w:val="TableBody"/>
                    <w:rPr>
                      <w:i/>
                    </w:rPr>
                  </w:pPr>
                  <w:r>
                    <w:rPr>
                      <w:i/>
                    </w:rPr>
                    <w:t xml:space="preserve">Ancillary Service On-Line Position at Snapshot – </w:t>
                  </w:r>
                  <w:r>
                    <w:t xml:space="preserve">The QSE </w:t>
                  </w:r>
                  <w:r w:rsidRPr="002F4D26">
                    <w:rPr>
                      <w:i/>
                    </w:rPr>
                    <w:t>q’s</w:t>
                  </w:r>
                  <w:r>
                    <w:rPr>
                      <w:i/>
                    </w:rPr>
                    <w:t xml:space="preserve"> </w:t>
                  </w:r>
                  <w:r>
                    <w:t xml:space="preserve">total On-Line Ancillary Service position according to the RUC Snapshot for the RUC process </w:t>
                  </w:r>
                  <w:proofErr w:type="spellStart"/>
                  <w:r>
                    <w:rPr>
                      <w:i/>
                    </w:rPr>
                    <w:t>ruc</w:t>
                  </w:r>
                  <w:proofErr w:type="spellEnd"/>
                  <w:r>
                    <w:rPr>
                      <w:i/>
                    </w:rPr>
                    <w:t xml:space="preserve"> </w:t>
                  </w:r>
                  <w:r>
                    <w:t xml:space="preserve">for the 15-minute Settlement Interval </w:t>
                  </w:r>
                  <w:r>
                    <w:rPr>
                      <w:i/>
                    </w:rPr>
                    <w:t xml:space="preserve">i. </w:t>
                  </w:r>
                </w:p>
              </w:tc>
            </w:tr>
            <w:tr w:rsidR="004B6091" w14:paraId="32E483C6" w14:textId="77777777" w:rsidTr="0093076E">
              <w:trPr>
                <w:cantSplit/>
              </w:trPr>
              <w:tc>
                <w:tcPr>
                  <w:tcW w:w="1096" w:type="pct"/>
                </w:tcPr>
                <w:p w14:paraId="327889C8" w14:textId="77777777" w:rsidR="004B6091" w:rsidRDefault="004B6091" w:rsidP="004B6091">
                  <w:pPr>
                    <w:pStyle w:val="TableBody"/>
                  </w:pPr>
                  <w:r w:rsidRPr="00E322C4">
                    <w:t>RU</w:t>
                  </w:r>
                  <w:r>
                    <w:t>POS</w:t>
                  </w:r>
                  <w:r w:rsidRPr="00EA04E0">
                    <w:rPr>
                      <w:lang w:val="it-IT"/>
                    </w:rPr>
                    <w:t>SNAP</w:t>
                  </w:r>
                  <w:r w:rsidRPr="002F4D26">
                    <w:t xml:space="preserve"> </w:t>
                  </w:r>
                  <w:r w:rsidRPr="00DE1AC6">
                    <w:rPr>
                      <w:i/>
                      <w:vertAlign w:val="subscript"/>
                      <w:lang w:val="it-IT"/>
                    </w:rPr>
                    <w:t>ruc</w:t>
                  </w:r>
                  <w:r>
                    <w:rPr>
                      <w:i/>
                      <w:vertAlign w:val="subscript"/>
                      <w:lang w:val="it-IT"/>
                    </w:rPr>
                    <w:t>,</w:t>
                  </w:r>
                  <w:r w:rsidRPr="00DE1AC6">
                    <w:rPr>
                      <w:i/>
                      <w:vertAlign w:val="subscript"/>
                      <w:lang w:val="it-IT"/>
                    </w:rPr>
                    <w:t xml:space="preserve"> </w:t>
                  </w:r>
                  <w:r w:rsidRPr="002F4D26">
                    <w:rPr>
                      <w:i/>
                      <w:vertAlign w:val="subscript"/>
                    </w:rPr>
                    <w:t>q,</w:t>
                  </w:r>
                  <w:r>
                    <w:rPr>
                      <w:i/>
                      <w:vertAlign w:val="subscript"/>
                    </w:rPr>
                    <w:t xml:space="preserve"> h</w:t>
                  </w:r>
                </w:p>
              </w:tc>
              <w:tc>
                <w:tcPr>
                  <w:tcW w:w="383" w:type="pct"/>
                </w:tcPr>
                <w:p w14:paraId="554A9133" w14:textId="77777777" w:rsidR="004B6091" w:rsidRDefault="004B6091" w:rsidP="004B6091">
                  <w:pPr>
                    <w:pStyle w:val="TableBody"/>
                    <w:jc w:val="center"/>
                  </w:pPr>
                  <w:r>
                    <w:t>MW</w:t>
                  </w:r>
                </w:p>
              </w:tc>
              <w:tc>
                <w:tcPr>
                  <w:tcW w:w="3521" w:type="pct"/>
                </w:tcPr>
                <w:p w14:paraId="28B13FAC" w14:textId="77777777" w:rsidR="004B6091" w:rsidRDefault="004B6091" w:rsidP="004B6091">
                  <w:pPr>
                    <w:pStyle w:val="TableBody"/>
                    <w:rPr>
                      <w:i/>
                    </w:rPr>
                  </w:pPr>
                  <w:r w:rsidRPr="00C91418">
                    <w:rPr>
                      <w:i/>
                    </w:rPr>
                    <w:t xml:space="preserve">Regulation Up </w:t>
                  </w:r>
                  <w:r>
                    <w:rPr>
                      <w:i/>
                    </w:rPr>
                    <w:t>Position</w:t>
                  </w:r>
                  <w:r w:rsidRPr="00C91418">
                    <w:rPr>
                      <w:i/>
                    </w:rPr>
                    <w:t xml:space="preserve"> </w:t>
                  </w:r>
                  <w:r w:rsidRPr="002F4D26">
                    <w:rPr>
                      <w:i/>
                    </w:rPr>
                    <w:t>at Snapshot</w:t>
                  </w:r>
                  <w:r>
                    <w:t xml:space="preserve"> </w:t>
                  </w:r>
                  <w:r w:rsidRPr="00351F0F">
                    <w:sym w:font="Symbol" w:char="F0BE"/>
                  </w:r>
                  <w:r w:rsidRPr="00351F0F">
                    <w:t xml:space="preserve">The </w:t>
                  </w:r>
                  <w:r>
                    <w:t xml:space="preserve">QSE </w:t>
                  </w:r>
                  <w:r>
                    <w:rPr>
                      <w:i/>
                    </w:rPr>
                    <w:t xml:space="preserve">q’s </w:t>
                  </w:r>
                  <w:r>
                    <w:t>Real-Time Reg-Up Ancillary Service Position</w:t>
                  </w:r>
                  <w:r w:rsidRPr="00351F0F">
                    <w:t xml:space="preserve"> </w:t>
                  </w:r>
                  <w:r>
                    <w:t>according to the</w:t>
                  </w:r>
                  <w:r w:rsidRPr="00413D8C">
                    <w:t xml:space="preserve"> </w:t>
                  </w:r>
                  <w:r>
                    <w:t>RUC S</w:t>
                  </w:r>
                  <w:r w:rsidRPr="00413D8C">
                    <w:t>napshot</w:t>
                  </w:r>
                  <w:r>
                    <w:t xml:space="preserve"> for the RUC process </w:t>
                  </w:r>
                  <w:proofErr w:type="spellStart"/>
                  <w:r w:rsidRPr="00413D8C">
                    <w:rPr>
                      <w:i/>
                    </w:rPr>
                    <w:t>ruc</w:t>
                  </w:r>
                  <w:proofErr w:type="spellEnd"/>
                  <w:r>
                    <w:t xml:space="preserve"> for the hour </w:t>
                  </w:r>
                  <w:r>
                    <w:rPr>
                      <w:i/>
                    </w:rPr>
                    <w:t xml:space="preserve">h </w:t>
                  </w:r>
                  <w:r>
                    <w:t>that includes the 15-minute Settlement Interval.</w:t>
                  </w:r>
                </w:p>
              </w:tc>
            </w:tr>
            <w:tr w:rsidR="004B6091" w14:paraId="215EF6AD" w14:textId="77777777" w:rsidTr="0093076E">
              <w:trPr>
                <w:cantSplit/>
              </w:trPr>
              <w:tc>
                <w:tcPr>
                  <w:tcW w:w="1096" w:type="pct"/>
                </w:tcPr>
                <w:p w14:paraId="03A0180D" w14:textId="77777777" w:rsidR="004B6091" w:rsidRDefault="004B6091" w:rsidP="004B6091">
                  <w:pPr>
                    <w:pStyle w:val="TableBody"/>
                  </w:pPr>
                  <w:r w:rsidRPr="002F4D26">
                    <w:t>RR</w:t>
                  </w:r>
                  <w:r>
                    <w:t>POS</w:t>
                  </w:r>
                  <w:r w:rsidRPr="00EA04E0">
                    <w:rPr>
                      <w:lang w:val="it-IT"/>
                    </w:rPr>
                    <w:t>SNAP</w:t>
                  </w:r>
                  <w:r w:rsidRPr="002F4D26">
                    <w:t xml:space="preserve"> </w:t>
                  </w:r>
                  <w:r w:rsidRPr="00DE1AC6">
                    <w:rPr>
                      <w:i/>
                      <w:vertAlign w:val="subscript"/>
                      <w:lang w:val="it-IT"/>
                    </w:rPr>
                    <w:t>ruc</w:t>
                  </w:r>
                  <w:r>
                    <w:rPr>
                      <w:i/>
                      <w:vertAlign w:val="subscript"/>
                      <w:lang w:val="it-IT"/>
                    </w:rPr>
                    <w:t>,</w:t>
                  </w:r>
                  <w:r w:rsidRPr="00DE1AC6">
                    <w:rPr>
                      <w:i/>
                      <w:vertAlign w:val="subscript"/>
                      <w:lang w:val="it-IT"/>
                    </w:rPr>
                    <w:t xml:space="preserve"> </w:t>
                  </w:r>
                  <w:r w:rsidRPr="002F4D26">
                    <w:rPr>
                      <w:i/>
                      <w:vertAlign w:val="subscript"/>
                    </w:rPr>
                    <w:t>q,</w:t>
                  </w:r>
                  <w:r>
                    <w:rPr>
                      <w:i/>
                      <w:vertAlign w:val="subscript"/>
                    </w:rPr>
                    <w:t xml:space="preserve"> h</w:t>
                  </w:r>
                </w:p>
              </w:tc>
              <w:tc>
                <w:tcPr>
                  <w:tcW w:w="383" w:type="pct"/>
                </w:tcPr>
                <w:p w14:paraId="2FC76B63" w14:textId="77777777" w:rsidR="004B6091" w:rsidRDefault="004B6091" w:rsidP="004B6091">
                  <w:pPr>
                    <w:pStyle w:val="TableBody"/>
                    <w:jc w:val="center"/>
                  </w:pPr>
                  <w:r>
                    <w:t>MW</w:t>
                  </w:r>
                </w:p>
              </w:tc>
              <w:tc>
                <w:tcPr>
                  <w:tcW w:w="3521" w:type="pct"/>
                </w:tcPr>
                <w:p w14:paraId="106F8571" w14:textId="77777777" w:rsidR="004B6091" w:rsidRDefault="004B6091" w:rsidP="004B6091">
                  <w:pPr>
                    <w:pStyle w:val="TableBody"/>
                    <w:rPr>
                      <w:i/>
                    </w:rPr>
                  </w:pPr>
                  <w:r w:rsidRPr="00C91418">
                    <w:rPr>
                      <w:i/>
                    </w:rPr>
                    <w:t xml:space="preserve">Responsive Reserve Service </w:t>
                  </w:r>
                  <w:r>
                    <w:rPr>
                      <w:i/>
                    </w:rPr>
                    <w:t>Position</w:t>
                  </w:r>
                  <w:r w:rsidRPr="00AF7420">
                    <w:rPr>
                      <w:i/>
                    </w:rPr>
                    <w:t xml:space="preserve"> </w:t>
                  </w:r>
                  <w:r w:rsidRPr="002F4D26">
                    <w:rPr>
                      <w:i/>
                    </w:rPr>
                    <w:t>at Snapshot</w:t>
                  </w:r>
                  <w:r>
                    <w:t xml:space="preserve"> </w:t>
                  </w:r>
                  <w:r w:rsidRPr="00351F0F">
                    <w:sym w:font="Symbol" w:char="F0BE"/>
                  </w:r>
                  <w:r w:rsidRPr="00351F0F">
                    <w:t xml:space="preserve">The </w:t>
                  </w:r>
                  <w:r>
                    <w:t xml:space="preserve">QSE </w:t>
                  </w:r>
                  <w:r>
                    <w:rPr>
                      <w:i/>
                    </w:rPr>
                    <w:t xml:space="preserve">q’s </w:t>
                  </w:r>
                  <w:r>
                    <w:t>Real-Time RRS Ancillary Service Position according to the</w:t>
                  </w:r>
                  <w:r w:rsidRPr="00413D8C">
                    <w:t xml:space="preserve"> </w:t>
                  </w:r>
                  <w:r>
                    <w:t>RUC S</w:t>
                  </w:r>
                  <w:r w:rsidRPr="00413D8C">
                    <w:t>napshot</w:t>
                  </w:r>
                  <w:r>
                    <w:t xml:space="preserve"> for the RUC process </w:t>
                  </w:r>
                  <w:proofErr w:type="spellStart"/>
                  <w:r w:rsidRPr="00413D8C">
                    <w:rPr>
                      <w:i/>
                    </w:rPr>
                    <w:t>ruc</w:t>
                  </w:r>
                  <w:proofErr w:type="spellEnd"/>
                  <w:r>
                    <w:t xml:space="preserve"> for the hour </w:t>
                  </w:r>
                  <w:r>
                    <w:rPr>
                      <w:i/>
                    </w:rPr>
                    <w:t xml:space="preserve">h </w:t>
                  </w:r>
                  <w:r>
                    <w:t>that includes the 15-minute Settlement Interval.</w:t>
                  </w:r>
                </w:p>
              </w:tc>
            </w:tr>
            <w:tr w:rsidR="004B6091" w14:paraId="0597C66A" w14:textId="77777777" w:rsidTr="0093076E">
              <w:trPr>
                <w:cantSplit/>
              </w:trPr>
              <w:tc>
                <w:tcPr>
                  <w:tcW w:w="1096" w:type="pct"/>
                </w:tcPr>
                <w:p w14:paraId="532A0E48" w14:textId="77777777" w:rsidR="004B6091" w:rsidRDefault="004B6091" w:rsidP="004B6091">
                  <w:pPr>
                    <w:pStyle w:val="TableBody"/>
                  </w:pPr>
                  <w:r w:rsidRPr="002F4D26">
                    <w:t>ECR</w:t>
                  </w:r>
                  <w:r>
                    <w:t>POS</w:t>
                  </w:r>
                  <w:r w:rsidRPr="00EA04E0">
                    <w:rPr>
                      <w:lang w:val="it-IT"/>
                    </w:rPr>
                    <w:t>SNAP</w:t>
                  </w:r>
                  <w:r w:rsidRPr="002F4D26">
                    <w:t xml:space="preserve"> </w:t>
                  </w:r>
                  <w:r w:rsidRPr="00DE1AC6">
                    <w:rPr>
                      <w:i/>
                      <w:vertAlign w:val="subscript"/>
                      <w:lang w:val="it-IT"/>
                    </w:rPr>
                    <w:t>ruc</w:t>
                  </w:r>
                  <w:r>
                    <w:rPr>
                      <w:i/>
                      <w:vertAlign w:val="subscript"/>
                      <w:lang w:val="it-IT"/>
                    </w:rPr>
                    <w:t>,</w:t>
                  </w:r>
                  <w:r w:rsidRPr="00DE1AC6">
                    <w:rPr>
                      <w:i/>
                      <w:vertAlign w:val="subscript"/>
                      <w:lang w:val="it-IT"/>
                    </w:rPr>
                    <w:t xml:space="preserve"> </w:t>
                  </w:r>
                  <w:r w:rsidRPr="002F4D26">
                    <w:rPr>
                      <w:i/>
                      <w:vertAlign w:val="subscript"/>
                    </w:rPr>
                    <w:t>q,</w:t>
                  </w:r>
                  <w:r>
                    <w:rPr>
                      <w:i/>
                      <w:vertAlign w:val="subscript"/>
                    </w:rPr>
                    <w:t xml:space="preserve"> h</w:t>
                  </w:r>
                </w:p>
              </w:tc>
              <w:tc>
                <w:tcPr>
                  <w:tcW w:w="383" w:type="pct"/>
                </w:tcPr>
                <w:p w14:paraId="0F72CC48" w14:textId="77777777" w:rsidR="004B6091" w:rsidRDefault="004B6091" w:rsidP="004B6091">
                  <w:pPr>
                    <w:pStyle w:val="TableBody"/>
                    <w:jc w:val="center"/>
                  </w:pPr>
                  <w:r>
                    <w:t>MW</w:t>
                  </w:r>
                </w:p>
              </w:tc>
              <w:tc>
                <w:tcPr>
                  <w:tcW w:w="3521" w:type="pct"/>
                </w:tcPr>
                <w:p w14:paraId="42139DC1" w14:textId="77777777" w:rsidR="004B6091" w:rsidRDefault="004B6091" w:rsidP="004B6091">
                  <w:pPr>
                    <w:pStyle w:val="TableBody"/>
                    <w:rPr>
                      <w:i/>
                    </w:rPr>
                  </w:pPr>
                  <w:r w:rsidRPr="00C91418">
                    <w:rPr>
                      <w:i/>
                    </w:rPr>
                    <w:t>ERCOT Conti</w:t>
                  </w:r>
                  <w:r>
                    <w:rPr>
                      <w:i/>
                    </w:rPr>
                    <w:t>n</w:t>
                  </w:r>
                  <w:r w:rsidRPr="00C91418">
                    <w:rPr>
                      <w:i/>
                    </w:rPr>
                    <w:t xml:space="preserve">gency </w:t>
                  </w:r>
                  <w:r w:rsidRPr="00AF7420">
                    <w:rPr>
                      <w:i/>
                    </w:rPr>
                    <w:t xml:space="preserve">Reserve Service </w:t>
                  </w:r>
                  <w:r>
                    <w:rPr>
                      <w:i/>
                    </w:rPr>
                    <w:t xml:space="preserve">Position </w:t>
                  </w:r>
                  <w:r w:rsidRPr="002F4D26">
                    <w:rPr>
                      <w:i/>
                    </w:rPr>
                    <w:t>at Snapshot</w:t>
                  </w:r>
                  <w:r>
                    <w:t xml:space="preserve"> </w:t>
                  </w:r>
                  <w:r w:rsidRPr="00351F0F">
                    <w:sym w:font="Symbol" w:char="F0BE"/>
                  </w:r>
                  <w:r w:rsidRPr="00351F0F">
                    <w:t xml:space="preserve">The </w:t>
                  </w:r>
                  <w:r>
                    <w:t xml:space="preserve">QSE </w:t>
                  </w:r>
                  <w:r>
                    <w:rPr>
                      <w:i/>
                    </w:rPr>
                    <w:t xml:space="preserve">q’s </w:t>
                  </w:r>
                  <w:r>
                    <w:t>Real-Time ECRS Ancillary Service Position according to the</w:t>
                  </w:r>
                  <w:r w:rsidRPr="00413D8C">
                    <w:t xml:space="preserve"> </w:t>
                  </w:r>
                  <w:r>
                    <w:t>RUC S</w:t>
                  </w:r>
                  <w:r w:rsidRPr="00413D8C">
                    <w:t>napshot</w:t>
                  </w:r>
                  <w:r>
                    <w:t xml:space="preserve"> for the RUC process </w:t>
                  </w:r>
                  <w:proofErr w:type="spellStart"/>
                  <w:r w:rsidRPr="00413D8C">
                    <w:rPr>
                      <w:i/>
                    </w:rPr>
                    <w:t>ruc</w:t>
                  </w:r>
                  <w:proofErr w:type="spellEnd"/>
                  <w:r>
                    <w:t xml:space="preserve"> for the hour </w:t>
                  </w:r>
                  <w:r>
                    <w:rPr>
                      <w:i/>
                    </w:rPr>
                    <w:t xml:space="preserve">h </w:t>
                  </w:r>
                  <w:r>
                    <w:t>that includes the 15-minute Settlement Interval.</w:t>
                  </w:r>
                </w:p>
              </w:tc>
            </w:tr>
            <w:tr w:rsidR="004B6091" w14:paraId="0A6887D7" w14:textId="77777777" w:rsidTr="0093076E">
              <w:trPr>
                <w:cantSplit/>
              </w:trPr>
              <w:tc>
                <w:tcPr>
                  <w:tcW w:w="1096" w:type="pct"/>
                </w:tcPr>
                <w:p w14:paraId="2AA3870F" w14:textId="77777777" w:rsidR="004B6091" w:rsidRDefault="004B6091" w:rsidP="004B6091">
                  <w:pPr>
                    <w:pStyle w:val="TableBody"/>
                  </w:pPr>
                  <w:r w:rsidRPr="002F4D26">
                    <w:t>NS</w:t>
                  </w:r>
                  <w:r>
                    <w:t>POS</w:t>
                  </w:r>
                  <w:r w:rsidRPr="00EA04E0">
                    <w:rPr>
                      <w:lang w:val="it-IT"/>
                    </w:rPr>
                    <w:t>SNAP</w:t>
                  </w:r>
                  <w:r w:rsidRPr="002F4D26">
                    <w:t xml:space="preserve"> </w:t>
                  </w:r>
                  <w:r w:rsidRPr="00DE1AC6">
                    <w:rPr>
                      <w:i/>
                      <w:vertAlign w:val="subscript"/>
                      <w:lang w:val="it-IT"/>
                    </w:rPr>
                    <w:t>ruc</w:t>
                  </w:r>
                  <w:r>
                    <w:rPr>
                      <w:i/>
                      <w:vertAlign w:val="subscript"/>
                      <w:lang w:val="it-IT"/>
                    </w:rPr>
                    <w:t>,</w:t>
                  </w:r>
                  <w:r w:rsidRPr="00DE1AC6">
                    <w:rPr>
                      <w:i/>
                      <w:vertAlign w:val="subscript"/>
                      <w:lang w:val="it-IT"/>
                    </w:rPr>
                    <w:t xml:space="preserve"> </w:t>
                  </w:r>
                  <w:r w:rsidRPr="002F4D26">
                    <w:rPr>
                      <w:i/>
                      <w:vertAlign w:val="subscript"/>
                    </w:rPr>
                    <w:t>q,</w:t>
                  </w:r>
                  <w:r>
                    <w:rPr>
                      <w:i/>
                      <w:vertAlign w:val="subscript"/>
                    </w:rPr>
                    <w:t xml:space="preserve"> h</w:t>
                  </w:r>
                </w:p>
              </w:tc>
              <w:tc>
                <w:tcPr>
                  <w:tcW w:w="383" w:type="pct"/>
                </w:tcPr>
                <w:p w14:paraId="5E8106EA" w14:textId="77777777" w:rsidR="004B6091" w:rsidRDefault="004B6091" w:rsidP="004B6091">
                  <w:pPr>
                    <w:pStyle w:val="TableBody"/>
                    <w:jc w:val="center"/>
                  </w:pPr>
                  <w:r>
                    <w:t>MW</w:t>
                  </w:r>
                </w:p>
              </w:tc>
              <w:tc>
                <w:tcPr>
                  <w:tcW w:w="3521" w:type="pct"/>
                </w:tcPr>
                <w:p w14:paraId="16F32F41" w14:textId="77777777" w:rsidR="004B6091" w:rsidRDefault="004B6091" w:rsidP="004B6091">
                  <w:pPr>
                    <w:pStyle w:val="TableBody"/>
                    <w:rPr>
                      <w:i/>
                    </w:rPr>
                  </w:pPr>
                  <w:r w:rsidRPr="00C91418">
                    <w:rPr>
                      <w:i/>
                    </w:rPr>
                    <w:t xml:space="preserve">Non-Spin Reserve Service </w:t>
                  </w:r>
                  <w:r>
                    <w:rPr>
                      <w:i/>
                    </w:rPr>
                    <w:t>Position</w:t>
                  </w:r>
                  <w:r w:rsidRPr="00C91418">
                    <w:rPr>
                      <w:i/>
                    </w:rPr>
                    <w:t xml:space="preserve"> </w:t>
                  </w:r>
                  <w:r w:rsidRPr="002F4D26">
                    <w:rPr>
                      <w:i/>
                    </w:rPr>
                    <w:t>at Snapshot</w:t>
                  </w:r>
                  <w:r>
                    <w:t xml:space="preserve"> </w:t>
                  </w:r>
                  <w:r w:rsidRPr="00351F0F">
                    <w:sym w:font="Symbol" w:char="F0BE"/>
                  </w:r>
                  <w:r w:rsidRPr="00351F0F">
                    <w:t xml:space="preserve">The </w:t>
                  </w:r>
                  <w:r>
                    <w:t xml:space="preserve">QSE </w:t>
                  </w:r>
                  <w:r>
                    <w:rPr>
                      <w:i/>
                    </w:rPr>
                    <w:t xml:space="preserve">q’s </w:t>
                  </w:r>
                  <w:r>
                    <w:t>Real-Time Non-Spin Ancillary Service Position according to the</w:t>
                  </w:r>
                  <w:r w:rsidRPr="00413D8C">
                    <w:t xml:space="preserve"> </w:t>
                  </w:r>
                  <w:r>
                    <w:t>RUC S</w:t>
                  </w:r>
                  <w:r w:rsidRPr="00413D8C">
                    <w:t>napshot</w:t>
                  </w:r>
                  <w:r>
                    <w:t xml:space="preserve"> for the RUC process </w:t>
                  </w:r>
                  <w:proofErr w:type="spellStart"/>
                  <w:r w:rsidRPr="00413D8C">
                    <w:rPr>
                      <w:i/>
                    </w:rPr>
                    <w:t>ruc</w:t>
                  </w:r>
                  <w:proofErr w:type="spellEnd"/>
                  <w:r>
                    <w:t xml:space="preserve"> for the hour </w:t>
                  </w:r>
                  <w:r>
                    <w:rPr>
                      <w:i/>
                    </w:rPr>
                    <w:t xml:space="preserve">h </w:t>
                  </w:r>
                  <w:r>
                    <w:t>that includes the 15-minute Settlement Interval.</w:t>
                  </w:r>
                </w:p>
              </w:tc>
            </w:tr>
            <w:tr w:rsidR="004B6091" w14:paraId="2E9776ED" w14:textId="77777777" w:rsidTr="0093076E">
              <w:trPr>
                <w:cantSplit/>
              </w:trPr>
              <w:tc>
                <w:tcPr>
                  <w:tcW w:w="1096" w:type="pct"/>
                </w:tcPr>
                <w:p w14:paraId="672FF18F" w14:textId="77777777" w:rsidR="004B6091" w:rsidRDefault="004B6091" w:rsidP="004B6091">
                  <w:pPr>
                    <w:pStyle w:val="TableBody"/>
                  </w:pPr>
                  <w:r w:rsidRPr="002F4D26">
                    <w:t>RD</w:t>
                  </w:r>
                  <w:r>
                    <w:t>POS</w:t>
                  </w:r>
                  <w:r w:rsidRPr="00EA04E0">
                    <w:rPr>
                      <w:lang w:val="it-IT"/>
                    </w:rPr>
                    <w:t>SNAP</w:t>
                  </w:r>
                  <w:r w:rsidRPr="002F4D26">
                    <w:t xml:space="preserve"> </w:t>
                  </w:r>
                  <w:r w:rsidRPr="00DE1AC6">
                    <w:rPr>
                      <w:i/>
                      <w:vertAlign w:val="subscript"/>
                      <w:lang w:val="it-IT"/>
                    </w:rPr>
                    <w:t>ruc</w:t>
                  </w:r>
                  <w:r>
                    <w:rPr>
                      <w:i/>
                      <w:vertAlign w:val="subscript"/>
                      <w:lang w:val="it-IT"/>
                    </w:rPr>
                    <w:t>,</w:t>
                  </w:r>
                  <w:r w:rsidRPr="00DE1AC6">
                    <w:rPr>
                      <w:i/>
                      <w:vertAlign w:val="subscript"/>
                      <w:lang w:val="it-IT"/>
                    </w:rPr>
                    <w:t xml:space="preserve"> </w:t>
                  </w:r>
                  <w:r w:rsidRPr="002F4D26">
                    <w:rPr>
                      <w:i/>
                      <w:vertAlign w:val="subscript"/>
                    </w:rPr>
                    <w:t>q,</w:t>
                  </w:r>
                  <w:r>
                    <w:rPr>
                      <w:i/>
                      <w:vertAlign w:val="subscript"/>
                    </w:rPr>
                    <w:t xml:space="preserve"> h</w:t>
                  </w:r>
                </w:p>
              </w:tc>
              <w:tc>
                <w:tcPr>
                  <w:tcW w:w="383" w:type="pct"/>
                </w:tcPr>
                <w:p w14:paraId="3552EC77" w14:textId="77777777" w:rsidR="004B6091" w:rsidRDefault="004B6091" w:rsidP="004B6091">
                  <w:pPr>
                    <w:pStyle w:val="TableBody"/>
                    <w:jc w:val="center"/>
                  </w:pPr>
                  <w:r>
                    <w:t>MW</w:t>
                  </w:r>
                </w:p>
              </w:tc>
              <w:tc>
                <w:tcPr>
                  <w:tcW w:w="3521" w:type="pct"/>
                </w:tcPr>
                <w:p w14:paraId="49467230" w14:textId="271D3161" w:rsidR="004B6091" w:rsidRDefault="004B6091" w:rsidP="00A50280">
                  <w:pPr>
                    <w:pStyle w:val="TableBody"/>
                    <w:rPr>
                      <w:i/>
                    </w:rPr>
                  </w:pPr>
                  <w:r w:rsidRPr="00C91418">
                    <w:rPr>
                      <w:i/>
                    </w:rPr>
                    <w:t xml:space="preserve">Regulation Down </w:t>
                  </w:r>
                  <w:r>
                    <w:rPr>
                      <w:i/>
                    </w:rPr>
                    <w:t>Position</w:t>
                  </w:r>
                  <w:r w:rsidRPr="00C91418">
                    <w:rPr>
                      <w:i/>
                    </w:rPr>
                    <w:t xml:space="preserve"> </w:t>
                  </w:r>
                  <w:r w:rsidRPr="002F4D26">
                    <w:rPr>
                      <w:i/>
                    </w:rPr>
                    <w:t>at Snapshot</w:t>
                  </w:r>
                  <w:r>
                    <w:t xml:space="preserve"> </w:t>
                  </w:r>
                  <w:r w:rsidRPr="00351F0F">
                    <w:sym w:font="Symbol" w:char="F0BE"/>
                  </w:r>
                  <w:r w:rsidRPr="00351F0F">
                    <w:t>The</w:t>
                  </w:r>
                  <w:r>
                    <w:t xml:space="preserve"> QSE </w:t>
                  </w:r>
                  <w:r>
                    <w:rPr>
                      <w:i/>
                    </w:rPr>
                    <w:t>q’s</w:t>
                  </w:r>
                  <w:r w:rsidRPr="00351F0F">
                    <w:t xml:space="preserve"> </w:t>
                  </w:r>
                  <w:r>
                    <w:t xml:space="preserve">Real-Time </w:t>
                  </w:r>
                  <w:r w:rsidR="00A50280">
                    <w:t>Regulation Down Service (</w:t>
                  </w:r>
                  <w:r>
                    <w:t>Reg-Down</w:t>
                  </w:r>
                  <w:r w:rsidR="00A50280">
                    <w:t>)</w:t>
                  </w:r>
                  <w:r>
                    <w:t xml:space="preserve"> Ancillary Service Position according to the</w:t>
                  </w:r>
                  <w:r w:rsidRPr="00413D8C">
                    <w:t xml:space="preserve"> </w:t>
                  </w:r>
                  <w:r>
                    <w:t>RUC S</w:t>
                  </w:r>
                  <w:r w:rsidRPr="00413D8C">
                    <w:t>napshot</w:t>
                  </w:r>
                  <w:r>
                    <w:t xml:space="preserve"> for the RUC process </w:t>
                  </w:r>
                  <w:proofErr w:type="spellStart"/>
                  <w:r w:rsidRPr="00413D8C">
                    <w:rPr>
                      <w:i/>
                    </w:rPr>
                    <w:t>ruc</w:t>
                  </w:r>
                  <w:proofErr w:type="spellEnd"/>
                  <w:r>
                    <w:rPr>
                      <w:i/>
                    </w:rPr>
                    <w:t xml:space="preserve"> </w:t>
                  </w:r>
                  <w:r>
                    <w:t xml:space="preserve">for the hour </w:t>
                  </w:r>
                  <w:r>
                    <w:rPr>
                      <w:i/>
                    </w:rPr>
                    <w:t xml:space="preserve">h </w:t>
                  </w:r>
                  <w:r>
                    <w:t>that includes the 15-minute Settlement Interval.</w:t>
                  </w:r>
                </w:p>
              </w:tc>
            </w:tr>
            <w:tr w:rsidR="004B6091" w14:paraId="205D20C8" w14:textId="77777777" w:rsidTr="0093076E">
              <w:trPr>
                <w:cantSplit/>
              </w:trPr>
              <w:tc>
                <w:tcPr>
                  <w:tcW w:w="1096" w:type="pct"/>
                </w:tcPr>
                <w:p w14:paraId="03BA33A0" w14:textId="77777777" w:rsidR="004B6091" w:rsidRDefault="004B6091" w:rsidP="004B6091">
                  <w:pPr>
                    <w:pStyle w:val="TableBody"/>
                  </w:pPr>
                  <w:r>
                    <w:t>ASOFFOFRSNAP</w:t>
                  </w:r>
                  <w:r w:rsidRPr="00EE574A">
                    <w:rPr>
                      <w:i/>
                      <w:vertAlign w:val="subscript"/>
                    </w:rPr>
                    <w:t xml:space="preserve"> </w:t>
                  </w:r>
                  <w:proofErr w:type="spellStart"/>
                  <w:r w:rsidRPr="002F4D26">
                    <w:rPr>
                      <w:i/>
                      <w:vertAlign w:val="subscript"/>
                    </w:rPr>
                    <w:t>ruc</w:t>
                  </w:r>
                  <w:proofErr w:type="spellEnd"/>
                  <w:r w:rsidRPr="002F4D26">
                    <w:rPr>
                      <w:i/>
                      <w:vertAlign w:val="subscript"/>
                    </w:rPr>
                    <w:t xml:space="preserve">, </w:t>
                  </w:r>
                  <w:r>
                    <w:rPr>
                      <w:i/>
                      <w:vertAlign w:val="subscript"/>
                    </w:rPr>
                    <w:t>q, r, h</w:t>
                  </w:r>
                </w:p>
              </w:tc>
              <w:tc>
                <w:tcPr>
                  <w:tcW w:w="383" w:type="pct"/>
                </w:tcPr>
                <w:p w14:paraId="195B2638" w14:textId="77777777" w:rsidR="004B6091" w:rsidRDefault="004B6091" w:rsidP="004B6091">
                  <w:pPr>
                    <w:pStyle w:val="TableBody"/>
                    <w:jc w:val="center"/>
                  </w:pPr>
                  <w:r>
                    <w:t>MW</w:t>
                  </w:r>
                </w:p>
              </w:tc>
              <w:tc>
                <w:tcPr>
                  <w:tcW w:w="3521" w:type="pct"/>
                </w:tcPr>
                <w:p w14:paraId="58D5E272" w14:textId="61A3440F" w:rsidR="004B6091" w:rsidRDefault="004B6091" w:rsidP="004B6091">
                  <w:pPr>
                    <w:pStyle w:val="TableBody"/>
                    <w:rPr>
                      <w:i/>
                    </w:rPr>
                  </w:pPr>
                  <w:r>
                    <w:rPr>
                      <w:i/>
                    </w:rPr>
                    <w:t>Ancillary Service Offline Offers at Snapshot –</w:t>
                  </w:r>
                  <w:r>
                    <w:t xml:space="preserve">The capacity represented by validated Ancillary Service Offers for ECRS and Non-Spin for Resource </w:t>
                  </w:r>
                  <w:r>
                    <w:rPr>
                      <w:i/>
                    </w:rPr>
                    <w:t xml:space="preserve">r </w:t>
                  </w:r>
                  <w:r>
                    <w:t xml:space="preserve">represented by QSE </w:t>
                  </w:r>
                  <w:r>
                    <w:rPr>
                      <w:i/>
                    </w:rPr>
                    <w:t xml:space="preserve">q </w:t>
                  </w:r>
                  <w:r>
                    <w:t>according to the</w:t>
                  </w:r>
                  <w:r w:rsidRPr="00413D8C">
                    <w:t xml:space="preserve"> </w:t>
                  </w:r>
                  <w:r>
                    <w:t>RUC S</w:t>
                  </w:r>
                  <w:r w:rsidRPr="00413D8C">
                    <w:t>napshot</w:t>
                  </w:r>
                  <w:r>
                    <w:t xml:space="preserve"> for the RUC process </w:t>
                  </w:r>
                  <w:proofErr w:type="spellStart"/>
                  <w:r w:rsidRPr="00413D8C">
                    <w:rPr>
                      <w:i/>
                    </w:rPr>
                    <w:t>ruc</w:t>
                  </w:r>
                  <w:proofErr w:type="spellEnd"/>
                  <w:r>
                    <w:t xml:space="preserve"> for the hour </w:t>
                  </w:r>
                  <w:r>
                    <w:rPr>
                      <w:i/>
                    </w:rPr>
                    <w:t>h</w:t>
                  </w:r>
                  <w:r>
                    <w:t xml:space="preserve"> that includes the 15-minute Settlement Interval. </w:t>
                  </w:r>
                  <w:r w:rsidR="0093076E">
                    <w:t xml:space="preserve"> </w:t>
                  </w:r>
                  <w:r w:rsidRPr="0043255B">
                    <w:t xml:space="preserve">Where for a Combined Cycle Train, the Resource </w:t>
                  </w:r>
                  <w:r w:rsidRPr="0043255B">
                    <w:rPr>
                      <w:i/>
                    </w:rPr>
                    <w:t xml:space="preserve">r </w:t>
                  </w:r>
                  <w:r w:rsidRPr="0043255B">
                    <w:t>is a Combined Cycle Generation Resource within the Combined Cycle Train.</w:t>
                  </w:r>
                  <w:r>
                    <w:t xml:space="preserve">  A Resource’s offered capacity is only included in the sum to the extent that the Resource’s COP Status and Ancillary Service Capability indicate it would be capable of providing the Ancillary Service during the hour </w:t>
                  </w:r>
                  <w:r w:rsidRPr="00DA0528">
                    <w:rPr>
                      <w:i/>
                    </w:rPr>
                    <w:t>h</w:t>
                  </w:r>
                  <w:r>
                    <w:t>.</w:t>
                  </w:r>
                </w:p>
              </w:tc>
            </w:tr>
            <w:tr w:rsidR="004B6091" w14:paraId="7CEA2DA0" w14:textId="77777777" w:rsidTr="0093076E">
              <w:trPr>
                <w:cantSplit/>
              </w:trPr>
              <w:tc>
                <w:tcPr>
                  <w:tcW w:w="1096" w:type="pct"/>
                </w:tcPr>
                <w:p w14:paraId="2FBF6BAE" w14:textId="77777777" w:rsidR="004B6091" w:rsidRDefault="004B6091" w:rsidP="004B6091">
                  <w:pPr>
                    <w:pStyle w:val="TableBody"/>
                  </w:pPr>
                  <w:r w:rsidRPr="002F4D26">
                    <w:lastRenderedPageBreak/>
                    <w:t>ASOFRLRSNAP</w:t>
                  </w:r>
                  <w:r w:rsidRPr="002F4D26">
                    <w:rPr>
                      <w:i/>
                      <w:vertAlign w:val="subscript"/>
                    </w:rPr>
                    <w:t xml:space="preserve"> </w:t>
                  </w:r>
                  <w:r w:rsidRPr="002F4D26">
                    <w:rPr>
                      <w:i/>
                      <w:vertAlign w:val="subscript"/>
                      <w:lang w:val="it-IT"/>
                    </w:rPr>
                    <w:t xml:space="preserve">ruc, </w:t>
                  </w:r>
                  <w:r w:rsidRPr="002F4D26">
                    <w:rPr>
                      <w:i/>
                      <w:vertAlign w:val="subscript"/>
                    </w:rPr>
                    <w:t>q, r, h</w:t>
                  </w:r>
                </w:p>
              </w:tc>
              <w:tc>
                <w:tcPr>
                  <w:tcW w:w="383" w:type="pct"/>
                </w:tcPr>
                <w:p w14:paraId="5D92AF93" w14:textId="77777777" w:rsidR="004B6091" w:rsidRDefault="004B6091" w:rsidP="004B6091">
                  <w:pPr>
                    <w:pStyle w:val="TableBody"/>
                    <w:jc w:val="center"/>
                  </w:pPr>
                  <w:r>
                    <w:t>MW</w:t>
                  </w:r>
                </w:p>
              </w:tc>
              <w:tc>
                <w:tcPr>
                  <w:tcW w:w="3521" w:type="pct"/>
                </w:tcPr>
                <w:p w14:paraId="5F669189" w14:textId="3289DB93" w:rsidR="004B6091" w:rsidRDefault="004B6091" w:rsidP="00210762">
                  <w:pPr>
                    <w:pStyle w:val="TableBody"/>
                    <w:rPr>
                      <w:i/>
                    </w:rPr>
                  </w:pPr>
                  <w:r>
                    <w:rPr>
                      <w:i/>
                    </w:rPr>
                    <w:t xml:space="preserve">Ancillary Service Offer per Load Resource at Snapshot – </w:t>
                  </w:r>
                  <w:r>
                    <w:t xml:space="preserve">The capacity represented by validated Ancillary Service Offers for Reg-Up, Non-Spin, RRS, and ECRS for the Load Resource </w:t>
                  </w:r>
                  <w:r>
                    <w:rPr>
                      <w:i/>
                    </w:rPr>
                    <w:t xml:space="preserve">r </w:t>
                  </w:r>
                  <w:r>
                    <w:t xml:space="preserve">represented by QSE </w:t>
                  </w:r>
                  <w:r>
                    <w:rPr>
                      <w:i/>
                    </w:rPr>
                    <w:t xml:space="preserve">q </w:t>
                  </w:r>
                  <w:r>
                    <w:t>according to the</w:t>
                  </w:r>
                  <w:r w:rsidRPr="00413D8C">
                    <w:t xml:space="preserve"> </w:t>
                  </w:r>
                  <w:r>
                    <w:t>RUC S</w:t>
                  </w:r>
                  <w:r w:rsidRPr="00413D8C">
                    <w:t>napshot</w:t>
                  </w:r>
                  <w:r>
                    <w:t xml:space="preserve"> for the RUC process </w:t>
                  </w:r>
                  <w:proofErr w:type="spellStart"/>
                  <w:r w:rsidRPr="00413D8C">
                    <w:rPr>
                      <w:i/>
                    </w:rPr>
                    <w:t>ruc</w:t>
                  </w:r>
                  <w:proofErr w:type="spellEnd"/>
                  <w:r>
                    <w:t xml:space="preserve"> for the hour </w:t>
                  </w:r>
                  <w:r>
                    <w:rPr>
                      <w:i/>
                    </w:rPr>
                    <w:t xml:space="preserve">h </w:t>
                  </w:r>
                  <w:r>
                    <w:t>that includes the 15-minute Settlement Interval.</w:t>
                  </w:r>
                  <w:r w:rsidR="0093076E">
                    <w:t xml:space="preserve">  </w:t>
                  </w:r>
                  <w:r>
                    <w:t xml:space="preserve">A Resource’s offered capacity is only included in the sum to the extent that the Resource’s COP Status and Ancillary Service Capability indicate it would be capable of providing the Ancillary Service during the hour </w:t>
                  </w:r>
                  <w:r w:rsidRPr="00DA0528">
                    <w:rPr>
                      <w:i/>
                    </w:rPr>
                    <w:t>h</w:t>
                  </w:r>
                  <w:r>
                    <w:t>.</w:t>
                  </w:r>
                </w:p>
              </w:tc>
            </w:tr>
            <w:tr w:rsidR="004B6091" w14:paraId="40E74AF9" w14:textId="77777777" w:rsidTr="0093076E">
              <w:trPr>
                <w:cantSplit/>
              </w:trPr>
              <w:tc>
                <w:tcPr>
                  <w:tcW w:w="1096" w:type="pct"/>
                </w:tcPr>
                <w:p w14:paraId="3EE552CE" w14:textId="77777777" w:rsidR="004B6091" w:rsidRDefault="004B6091" w:rsidP="004B6091">
                  <w:pPr>
                    <w:pStyle w:val="TableBody"/>
                  </w:pPr>
                  <w:r w:rsidRPr="002F4D26">
                    <w:t>ASCAP</w:t>
                  </w:r>
                  <w:r>
                    <w:t>1</w:t>
                  </w:r>
                  <w:r w:rsidRPr="00EA04E0">
                    <w:rPr>
                      <w:lang w:val="it-IT"/>
                    </w:rPr>
                    <w:t>SNAP</w:t>
                  </w:r>
                  <w:r w:rsidRPr="002F4D26">
                    <w:t xml:space="preserve"> </w:t>
                  </w:r>
                  <w:proofErr w:type="spellStart"/>
                  <w:r w:rsidRPr="002F4D26">
                    <w:rPr>
                      <w:i/>
                      <w:vertAlign w:val="subscript"/>
                    </w:rPr>
                    <w:t>ruc</w:t>
                  </w:r>
                  <w:proofErr w:type="spellEnd"/>
                  <w:r w:rsidRPr="002F4D26">
                    <w:rPr>
                      <w:i/>
                      <w:vertAlign w:val="subscript"/>
                    </w:rPr>
                    <w:t>, q, i</w:t>
                  </w:r>
                </w:p>
              </w:tc>
              <w:tc>
                <w:tcPr>
                  <w:tcW w:w="383" w:type="pct"/>
                </w:tcPr>
                <w:p w14:paraId="7EA67017" w14:textId="77777777" w:rsidR="004B6091" w:rsidRDefault="004B6091" w:rsidP="004B6091">
                  <w:pPr>
                    <w:pStyle w:val="TableBody"/>
                    <w:jc w:val="center"/>
                  </w:pPr>
                  <w:r>
                    <w:t>MW</w:t>
                  </w:r>
                </w:p>
              </w:tc>
              <w:tc>
                <w:tcPr>
                  <w:tcW w:w="3521" w:type="pct"/>
                </w:tcPr>
                <w:p w14:paraId="52271897" w14:textId="77777777" w:rsidR="004B6091" w:rsidRDefault="004B6091" w:rsidP="004B6091">
                  <w:pPr>
                    <w:pStyle w:val="TableBody"/>
                    <w:rPr>
                      <w:i/>
                    </w:rPr>
                  </w:pPr>
                  <w:r w:rsidRPr="002F4D26">
                    <w:rPr>
                      <w:i/>
                    </w:rPr>
                    <w:t xml:space="preserve">Ancillary Service Net Capacity Level </w:t>
                  </w:r>
                  <w:r>
                    <w:rPr>
                      <w:i/>
                    </w:rPr>
                    <w:t>1</w:t>
                  </w:r>
                  <w:r w:rsidRPr="002F4D26">
                    <w:rPr>
                      <w:i/>
                    </w:rPr>
                    <w:t xml:space="preserve"> at Snapshot</w:t>
                  </w:r>
                  <w:r w:rsidRPr="00DF33FA">
                    <w:t xml:space="preserve"> </w:t>
                  </w:r>
                  <w:r>
                    <w:t xml:space="preserve"> </w:t>
                  </w:r>
                  <w:r w:rsidRPr="00351F0F">
                    <w:sym w:font="Symbol" w:char="F0BE"/>
                  </w:r>
                  <w:r w:rsidRPr="00351F0F">
                    <w:t xml:space="preserve">The </w:t>
                  </w:r>
                  <w:r>
                    <w:t xml:space="preserve">net capacity for Reg-Up for QSE </w:t>
                  </w:r>
                  <w:r w:rsidRPr="002F4D26">
                    <w:rPr>
                      <w:i/>
                    </w:rPr>
                    <w:t>q</w:t>
                  </w:r>
                  <w:r w:rsidRPr="00351F0F">
                    <w:t>,</w:t>
                  </w:r>
                  <w:r>
                    <w:t xml:space="preserve"> according to the</w:t>
                  </w:r>
                  <w:r w:rsidRPr="00413D8C">
                    <w:t xml:space="preserve"> </w:t>
                  </w:r>
                  <w:r>
                    <w:t>RUC S</w:t>
                  </w:r>
                  <w:r w:rsidRPr="00413D8C">
                    <w:t>napshot</w:t>
                  </w:r>
                  <w:r>
                    <w:t xml:space="preserve"> for the RUC process </w:t>
                  </w:r>
                  <w:proofErr w:type="spellStart"/>
                  <w:r w:rsidRPr="00413D8C">
                    <w:rPr>
                      <w:i/>
                    </w:rPr>
                    <w:t>ruc</w:t>
                  </w:r>
                  <w:proofErr w:type="spellEnd"/>
                  <w:r w:rsidRPr="00351F0F">
                    <w:t xml:space="preserve"> </w:t>
                  </w:r>
                  <w:r>
                    <w:t xml:space="preserve">for the 15-minute Settlement Interval </w:t>
                  </w:r>
                  <w:r w:rsidRPr="002F4D26">
                    <w:rPr>
                      <w:i/>
                    </w:rPr>
                    <w:t>i</w:t>
                  </w:r>
                  <w:r>
                    <w:t>.</w:t>
                  </w:r>
                </w:p>
              </w:tc>
            </w:tr>
            <w:tr w:rsidR="004B6091" w14:paraId="654AE392" w14:textId="77777777" w:rsidTr="0093076E">
              <w:trPr>
                <w:cantSplit/>
              </w:trPr>
              <w:tc>
                <w:tcPr>
                  <w:tcW w:w="1096" w:type="pct"/>
                </w:tcPr>
                <w:p w14:paraId="0433FE70" w14:textId="77777777" w:rsidR="004B6091" w:rsidRDefault="004B6091" w:rsidP="004B6091">
                  <w:pPr>
                    <w:pStyle w:val="TableBody"/>
                  </w:pPr>
                  <w:r w:rsidRPr="002F4D26">
                    <w:t>ASCAP</w:t>
                  </w:r>
                  <w:r>
                    <w:t>2</w:t>
                  </w:r>
                  <w:r w:rsidRPr="00EA04E0">
                    <w:rPr>
                      <w:lang w:val="it-IT"/>
                    </w:rPr>
                    <w:t>SNAP</w:t>
                  </w:r>
                  <w:r w:rsidRPr="002F4D26">
                    <w:t xml:space="preserve"> </w:t>
                  </w:r>
                  <w:proofErr w:type="spellStart"/>
                  <w:r w:rsidRPr="00632735">
                    <w:rPr>
                      <w:i/>
                      <w:vertAlign w:val="subscript"/>
                    </w:rPr>
                    <w:t>ruc</w:t>
                  </w:r>
                  <w:proofErr w:type="spellEnd"/>
                  <w:r w:rsidRPr="00632735">
                    <w:rPr>
                      <w:i/>
                      <w:vertAlign w:val="subscript"/>
                    </w:rPr>
                    <w:t>, q, i</w:t>
                  </w:r>
                </w:p>
              </w:tc>
              <w:tc>
                <w:tcPr>
                  <w:tcW w:w="383" w:type="pct"/>
                </w:tcPr>
                <w:p w14:paraId="59B4C935" w14:textId="77777777" w:rsidR="004B6091" w:rsidRDefault="004B6091" w:rsidP="004B6091">
                  <w:pPr>
                    <w:pStyle w:val="TableBody"/>
                    <w:jc w:val="center"/>
                  </w:pPr>
                  <w:r>
                    <w:t>MW</w:t>
                  </w:r>
                </w:p>
              </w:tc>
              <w:tc>
                <w:tcPr>
                  <w:tcW w:w="3521" w:type="pct"/>
                </w:tcPr>
                <w:p w14:paraId="0797CAC7" w14:textId="77777777" w:rsidR="004B6091" w:rsidRDefault="004B6091" w:rsidP="004B6091">
                  <w:pPr>
                    <w:pStyle w:val="TableBody"/>
                    <w:rPr>
                      <w:i/>
                    </w:rPr>
                  </w:pPr>
                  <w:r w:rsidRPr="002F4D26">
                    <w:rPr>
                      <w:i/>
                    </w:rPr>
                    <w:t>Ancillary Service Net Capacity Level 2 at Snapshot</w:t>
                  </w:r>
                  <w:r>
                    <w:t xml:space="preserve"> </w:t>
                  </w:r>
                  <w:r w:rsidRPr="00351F0F">
                    <w:sym w:font="Symbol" w:char="F0BE"/>
                  </w:r>
                  <w:r w:rsidRPr="00351F0F">
                    <w:t xml:space="preserve">The </w:t>
                  </w:r>
                  <w:r>
                    <w:t xml:space="preserve">net capacity for RRS for QSE </w:t>
                  </w:r>
                  <w:r w:rsidRPr="002F4D26">
                    <w:rPr>
                      <w:i/>
                    </w:rPr>
                    <w:t>q</w:t>
                  </w:r>
                  <w:r w:rsidRPr="00351F0F">
                    <w:t xml:space="preserve">, </w:t>
                  </w:r>
                  <w:r>
                    <w:t>according to the</w:t>
                  </w:r>
                  <w:r w:rsidRPr="00413D8C">
                    <w:t xml:space="preserve"> </w:t>
                  </w:r>
                  <w:r>
                    <w:t>RUC S</w:t>
                  </w:r>
                  <w:r w:rsidRPr="00413D8C">
                    <w:t>napshot</w:t>
                  </w:r>
                  <w:r>
                    <w:t xml:space="preserve"> for the RUC process </w:t>
                  </w:r>
                  <w:proofErr w:type="spellStart"/>
                  <w:r w:rsidRPr="00413D8C">
                    <w:rPr>
                      <w:i/>
                    </w:rPr>
                    <w:t>ruc</w:t>
                  </w:r>
                  <w:proofErr w:type="spellEnd"/>
                  <w:r>
                    <w:t xml:space="preserve"> for the 15-minute Settlement Interval </w:t>
                  </w:r>
                  <w:r w:rsidRPr="002F4D26">
                    <w:rPr>
                      <w:i/>
                    </w:rPr>
                    <w:t>i</w:t>
                  </w:r>
                  <w:r>
                    <w:t>.</w:t>
                  </w:r>
                </w:p>
              </w:tc>
            </w:tr>
            <w:tr w:rsidR="004B6091" w14:paraId="55ACACDD" w14:textId="77777777" w:rsidTr="0093076E">
              <w:trPr>
                <w:cantSplit/>
              </w:trPr>
              <w:tc>
                <w:tcPr>
                  <w:tcW w:w="1096" w:type="pct"/>
                </w:tcPr>
                <w:p w14:paraId="0509497C" w14:textId="77777777" w:rsidR="004B6091" w:rsidRDefault="004B6091" w:rsidP="004B6091">
                  <w:pPr>
                    <w:pStyle w:val="TableBody"/>
                  </w:pPr>
                  <w:r w:rsidRPr="002F4D26">
                    <w:t>ASCAP</w:t>
                  </w:r>
                  <w:r>
                    <w:t>3</w:t>
                  </w:r>
                  <w:r w:rsidRPr="00EA04E0">
                    <w:rPr>
                      <w:lang w:val="it-IT"/>
                    </w:rPr>
                    <w:t>SNAP</w:t>
                  </w:r>
                  <w:r w:rsidRPr="002A63B2">
                    <w:t xml:space="preserve"> </w:t>
                  </w:r>
                  <w:proofErr w:type="spellStart"/>
                  <w:r w:rsidRPr="00632735">
                    <w:rPr>
                      <w:i/>
                      <w:vertAlign w:val="subscript"/>
                    </w:rPr>
                    <w:t>ruc</w:t>
                  </w:r>
                  <w:proofErr w:type="spellEnd"/>
                  <w:r w:rsidRPr="00632735">
                    <w:rPr>
                      <w:i/>
                      <w:vertAlign w:val="subscript"/>
                    </w:rPr>
                    <w:t>, q, i</w:t>
                  </w:r>
                </w:p>
              </w:tc>
              <w:tc>
                <w:tcPr>
                  <w:tcW w:w="383" w:type="pct"/>
                </w:tcPr>
                <w:p w14:paraId="5054CDAC" w14:textId="77777777" w:rsidR="004B6091" w:rsidRDefault="004B6091" w:rsidP="004B6091">
                  <w:pPr>
                    <w:pStyle w:val="TableBody"/>
                    <w:jc w:val="center"/>
                  </w:pPr>
                  <w:r>
                    <w:t>MW</w:t>
                  </w:r>
                </w:p>
              </w:tc>
              <w:tc>
                <w:tcPr>
                  <w:tcW w:w="3521" w:type="pct"/>
                </w:tcPr>
                <w:p w14:paraId="60631F17" w14:textId="77777777" w:rsidR="004B6091" w:rsidRDefault="004B6091" w:rsidP="004B6091">
                  <w:pPr>
                    <w:pStyle w:val="TableBody"/>
                    <w:rPr>
                      <w:i/>
                    </w:rPr>
                  </w:pPr>
                  <w:r w:rsidRPr="002A63B2">
                    <w:rPr>
                      <w:i/>
                    </w:rPr>
                    <w:t>Ancillary Service Net Capacity Level 3 at Snapshot</w:t>
                  </w:r>
                  <w:r>
                    <w:t xml:space="preserve"> </w:t>
                  </w:r>
                  <w:r w:rsidRPr="00351F0F">
                    <w:sym w:font="Symbol" w:char="F0BE"/>
                  </w:r>
                  <w:r w:rsidRPr="00351F0F">
                    <w:t xml:space="preserve">The </w:t>
                  </w:r>
                  <w:r>
                    <w:t xml:space="preserve">net capacity for Reg-Up and RRS for QSE </w:t>
                  </w:r>
                  <w:r w:rsidRPr="002A63B2">
                    <w:rPr>
                      <w:i/>
                    </w:rPr>
                    <w:t>q</w:t>
                  </w:r>
                  <w:r w:rsidRPr="00351F0F">
                    <w:t xml:space="preserve">, </w:t>
                  </w:r>
                  <w:r>
                    <w:t>according to the</w:t>
                  </w:r>
                  <w:r w:rsidRPr="00413D8C">
                    <w:t xml:space="preserve"> </w:t>
                  </w:r>
                  <w:r>
                    <w:t>RUC S</w:t>
                  </w:r>
                  <w:r w:rsidRPr="00413D8C">
                    <w:t>napshot</w:t>
                  </w:r>
                  <w:r>
                    <w:t xml:space="preserve"> for the RUC process </w:t>
                  </w:r>
                  <w:proofErr w:type="spellStart"/>
                  <w:r w:rsidRPr="00413D8C">
                    <w:rPr>
                      <w:i/>
                    </w:rPr>
                    <w:t>ruc</w:t>
                  </w:r>
                  <w:proofErr w:type="spellEnd"/>
                  <w:r>
                    <w:t xml:space="preserve"> for the 15-minute Settlement Interval </w:t>
                  </w:r>
                  <w:r w:rsidRPr="002A63B2">
                    <w:rPr>
                      <w:i/>
                    </w:rPr>
                    <w:t>i</w:t>
                  </w:r>
                  <w:r>
                    <w:t>.</w:t>
                  </w:r>
                </w:p>
              </w:tc>
            </w:tr>
            <w:tr w:rsidR="004B6091" w14:paraId="6FDF7AA3" w14:textId="77777777" w:rsidTr="0093076E">
              <w:trPr>
                <w:cantSplit/>
              </w:trPr>
              <w:tc>
                <w:tcPr>
                  <w:tcW w:w="1096" w:type="pct"/>
                </w:tcPr>
                <w:p w14:paraId="5C708F9F" w14:textId="77777777" w:rsidR="004B6091" w:rsidRDefault="004B6091" w:rsidP="004B6091">
                  <w:pPr>
                    <w:pStyle w:val="TableBody"/>
                  </w:pPr>
                  <w:r w:rsidRPr="002A63B2">
                    <w:t>ASCAP</w:t>
                  </w:r>
                  <w:r>
                    <w:t>4</w:t>
                  </w:r>
                  <w:r w:rsidRPr="00EA04E0">
                    <w:rPr>
                      <w:lang w:val="it-IT"/>
                    </w:rPr>
                    <w:t>SNAP</w:t>
                  </w:r>
                  <w:r w:rsidRPr="002F4D26">
                    <w:t xml:space="preserve"> </w:t>
                  </w:r>
                  <w:proofErr w:type="spellStart"/>
                  <w:r w:rsidRPr="00632735">
                    <w:rPr>
                      <w:i/>
                      <w:vertAlign w:val="subscript"/>
                    </w:rPr>
                    <w:t>ruc</w:t>
                  </w:r>
                  <w:proofErr w:type="spellEnd"/>
                  <w:r w:rsidRPr="00632735">
                    <w:rPr>
                      <w:i/>
                      <w:vertAlign w:val="subscript"/>
                    </w:rPr>
                    <w:t>, q, i</w:t>
                  </w:r>
                </w:p>
              </w:tc>
              <w:tc>
                <w:tcPr>
                  <w:tcW w:w="383" w:type="pct"/>
                </w:tcPr>
                <w:p w14:paraId="6542B1D5" w14:textId="77777777" w:rsidR="004B6091" w:rsidRDefault="004B6091" w:rsidP="004B6091">
                  <w:pPr>
                    <w:pStyle w:val="TableBody"/>
                    <w:jc w:val="center"/>
                  </w:pPr>
                  <w:r>
                    <w:t>MW</w:t>
                  </w:r>
                </w:p>
              </w:tc>
              <w:tc>
                <w:tcPr>
                  <w:tcW w:w="3521" w:type="pct"/>
                </w:tcPr>
                <w:p w14:paraId="4AAD27DF" w14:textId="77777777" w:rsidR="004B6091" w:rsidRDefault="004B6091" w:rsidP="004B6091">
                  <w:pPr>
                    <w:pStyle w:val="TableBody"/>
                    <w:rPr>
                      <w:i/>
                    </w:rPr>
                  </w:pPr>
                  <w:r w:rsidRPr="002A63B2">
                    <w:rPr>
                      <w:i/>
                    </w:rPr>
                    <w:t>Ancillary Service Net Capacity Level 4 at Snapshot</w:t>
                  </w:r>
                  <w:r>
                    <w:t xml:space="preserve"> </w:t>
                  </w:r>
                  <w:r w:rsidRPr="00351F0F">
                    <w:sym w:font="Symbol" w:char="F0BE"/>
                  </w:r>
                  <w:r w:rsidRPr="00351F0F">
                    <w:t xml:space="preserve">The </w:t>
                  </w:r>
                  <w:r>
                    <w:t xml:space="preserve">net capacity for Reg-Up, RRS, and ECRS for QSE </w:t>
                  </w:r>
                  <w:r w:rsidRPr="002A63B2">
                    <w:rPr>
                      <w:i/>
                    </w:rPr>
                    <w:t>q</w:t>
                  </w:r>
                  <w:r w:rsidRPr="00351F0F">
                    <w:t xml:space="preserve">, </w:t>
                  </w:r>
                  <w:r>
                    <w:t>according to the</w:t>
                  </w:r>
                  <w:r w:rsidRPr="00413D8C">
                    <w:t xml:space="preserve"> </w:t>
                  </w:r>
                  <w:r>
                    <w:t>RUC S</w:t>
                  </w:r>
                  <w:r w:rsidRPr="00413D8C">
                    <w:t>napshot</w:t>
                  </w:r>
                  <w:r>
                    <w:t xml:space="preserve"> for the RUC process </w:t>
                  </w:r>
                  <w:proofErr w:type="spellStart"/>
                  <w:r w:rsidRPr="00413D8C">
                    <w:rPr>
                      <w:i/>
                    </w:rPr>
                    <w:t>ruc</w:t>
                  </w:r>
                  <w:proofErr w:type="spellEnd"/>
                  <w:r>
                    <w:t xml:space="preserve"> for the 15-minute Settlement Interval </w:t>
                  </w:r>
                  <w:r w:rsidRPr="002A63B2">
                    <w:rPr>
                      <w:i/>
                    </w:rPr>
                    <w:t>i</w:t>
                  </w:r>
                  <w:r>
                    <w:t>.</w:t>
                  </w:r>
                </w:p>
              </w:tc>
            </w:tr>
            <w:tr w:rsidR="004B6091" w14:paraId="4B082E76" w14:textId="77777777" w:rsidTr="0093076E">
              <w:trPr>
                <w:cantSplit/>
              </w:trPr>
              <w:tc>
                <w:tcPr>
                  <w:tcW w:w="1096" w:type="pct"/>
                </w:tcPr>
                <w:p w14:paraId="6B70BD3E" w14:textId="77777777" w:rsidR="004B6091" w:rsidRDefault="004B6091" w:rsidP="004B6091">
                  <w:pPr>
                    <w:pStyle w:val="TableBody"/>
                  </w:pPr>
                  <w:r w:rsidRPr="002A63B2">
                    <w:t>ASCAP</w:t>
                  </w:r>
                  <w:r>
                    <w:t>5</w:t>
                  </w:r>
                  <w:r w:rsidRPr="00EA04E0">
                    <w:rPr>
                      <w:lang w:val="it-IT"/>
                    </w:rPr>
                    <w:t>SNAP</w:t>
                  </w:r>
                  <w:r w:rsidRPr="002F4D26">
                    <w:t xml:space="preserve"> </w:t>
                  </w:r>
                  <w:proofErr w:type="spellStart"/>
                  <w:r w:rsidRPr="00632735">
                    <w:rPr>
                      <w:i/>
                      <w:vertAlign w:val="subscript"/>
                    </w:rPr>
                    <w:t>ruc</w:t>
                  </w:r>
                  <w:proofErr w:type="spellEnd"/>
                  <w:r w:rsidRPr="00632735">
                    <w:rPr>
                      <w:i/>
                      <w:vertAlign w:val="subscript"/>
                    </w:rPr>
                    <w:t>, q, i</w:t>
                  </w:r>
                </w:p>
              </w:tc>
              <w:tc>
                <w:tcPr>
                  <w:tcW w:w="383" w:type="pct"/>
                </w:tcPr>
                <w:p w14:paraId="5F18E171" w14:textId="77777777" w:rsidR="004B6091" w:rsidRDefault="004B6091" w:rsidP="004B6091">
                  <w:pPr>
                    <w:pStyle w:val="TableBody"/>
                    <w:jc w:val="center"/>
                  </w:pPr>
                  <w:r>
                    <w:t>MW</w:t>
                  </w:r>
                </w:p>
              </w:tc>
              <w:tc>
                <w:tcPr>
                  <w:tcW w:w="3521" w:type="pct"/>
                </w:tcPr>
                <w:p w14:paraId="588D97DF" w14:textId="77777777" w:rsidR="004B6091" w:rsidRDefault="004B6091" w:rsidP="004B6091">
                  <w:pPr>
                    <w:pStyle w:val="TableBody"/>
                    <w:rPr>
                      <w:i/>
                    </w:rPr>
                  </w:pPr>
                  <w:r w:rsidRPr="002A63B2">
                    <w:rPr>
                      <w:i/>
                    </w:rPr>
                    <w:t>Ancillary Service Net Capacity Level 5 at Snapshot</w:t>
                  </w:r>
                  <w:r>
                    <w:t xml:space="preserve"> </w:t>
                  </w:r>
                  <w:r w:rsidRPr="00351F0F">
                    <w:sym w:font="Symbol" w:char="F0BE"/>
                  </w:r>
                  <w:r w:rsidRPr="00351F0F">
                    <w:t xml:space="preserve">The </w:t>
                  </w:r>
                  <w:r>
                    <w:t xml:space="preserve">net capacity for Reg-Up, RRS, </w:t>
                  </w:r>
                  <w:r w:rsidRPr="00DF33FA">
                    <w:t>ECR</w:t>
                  </w:r>
                  <w:r>
                    <w:t xml:space="preserve">S, and Non-Spinning Reserve (Non-Spin) for QSE </w:t>
                  </w:r>
                  <w:r w:rsidRPr="002A63B2">
                    <w:rPr>
                      <w:i/>
                    </w:rPr>
                    <w:t>q</w:t>
                  </w:r>
                  <w:r w:rsidRPr="00351F0F">
                    <w:t xml:space="preserve">, </w:t>
                  </w:r>
                  <w:r>
                    <w:t>according to the</w:t>
                  </w:r>
                  <w:r w:rsidRPr="00413D8C">
                    <w:t xml:space="preserve"> </w:t>
                  </w:r>
                  <w:r>
                    <w:t>RUC S</w:t>
                  </w:r>
                  <w:r w:rsidRPr="00413D8C">
                    <w:t>napshot</w:t>
                  </w:r>
                  <w:r>
                    <w:t xml:space="preserve"> for the RUC process </w:t>
                  </w:r>
                  <w:proofErr w:type="spellStart"/>
                  <w:r w:rsidRPr="00413D8C">
                    <w:rPr>
                      <w:i/>
                    </w:rPr>
                    <w:t>ruc</w:t>
                  </w:r>
                  <w:proofErr w:type="spellEnd"/>
                  <w:r>
                    <w:t xml:space="preserve"> for the 15-minute Settlement Interval </w:t>
                  </w:r>
                  <w:r w:rsidRPr="002A63B2">
                    <w:rPr>
                      <w:i/>
                    </w:rPr>
                    <w:t>i</w:t>
                  </w:r>
                  <w:r>
                    <w:t>.</w:t>
                  </w:r>
                </w:p>
              </w:tc>
            </w:tr>
            <w:tr w:rsidR="004B6091" w14:paraId="0B8B12A2" w14:textId="77777777" w:rsidTr="0093076E">
              <w:trPr>
                <w:cantSplit/>
              </w:trPr>
              <w:tc>
                <w:tcPr>
                  <w:tcW w:w="1096" w:type="pct"/>
                </w:tcPr>
                <w:p w14:paraId="13EB46A7" w14:textId="77777777" w:rsidR="004B6091" w:rsidRDefault="004B6091" w:rsidP="004B6091">
                  <w:pPr>
                    <w:pStyle w:val="TableBody"/>
                  </w:pPr>
                  <w:r w:rsidRPr="00632735">
                    <w:t>ASCAP</w:t>
                  </w:r>
                  <w:r>
                    <w:t>6</w:t>
                  </w:r>
                  <w:r w:rsidRPr="00EA04E0">
                    <w:rPr>
                      <w:lang w:val="it-IT"/>
                    </w:rPr>
                    <w:t>SNAP</w:t>
                  </w:r>
                  <w:r w:rsidRPr="00632735">
                    <w:t xml:space="preserve"> </w:t>
                  </w:r>
                  <w:proofErr w:type="spellStart"/>
                  <w:r w:rsidRPr="00632735">
                    <w:rPr>
                      <w:i/>
                      <w:vertAlign w:val="subscript"/>
                    </w:rPr>
                    <w:t>ruc</w:t>
                  </w:r>
                  <w:proofErr w:type="spellEnd"/>
                  <w:r w:rsidRPr="00632735">
                    <w:rPr>
                      <w:i/>
                      <w:vertAlign w:val="subscript"/>
                    </w:rPr>
                    <w:t>, q, i</w:t>
                  </w:r>
                </w:p>
              </w:tc>
              <w:tc>
                <w:tcPr>
                  <w:tcW w:w="383" w:type="pct"/>
                </w:tcPr>
                <w:p w14:paraId="440229B8" w14:textId="77777777" w:rsidR="004B6091" w:rsidRDefault="004B6091" w:rsidP="004B6091">
                  <w:pPr>
                    <w:pStyle w:val="TableBody"/>
                    <w:jc w:val="center"/>
                  </w:pPr>
                  <w:r>
                    <w:t>MW</w:t>
                  </w:r>
                </w:p>
              </w:tc>
              <w:tc>
                <w:tcPr>
                  <w:tcW w:w="3521" w:type="pct"/>
                </w:tcPr>
                <w:p w14:paraId="22074266" w14:textId="69DF7985" w:rsidR="004B6091" w:rsidRDefault="004B6091" w:rsidP="00A50280">
                  <w:pPr>
                    <w:pStyle w:val="TableBody"/>
                    <w:rPr>
                      <w:i/>
                    </w:rPr>
                  </w:pPr>
                  <w:r w:rsidRPr="00413D8C">
                    <w:rPr>
                      <w:i/>
                    </w:rPr>
                    <w:t xml:space="preserve">Ancillary Service Net Capacity Level </w:t>
                  </w:r>
                  <w:r>
                    <w:rPr>
                      <w:i/>
                    </w:rPr>
                    <w:t>6</w:t>
                  </w:r>
                  <w:r w:rsidRPr="00413D8C">
                    <w:rPr>
                      <w:i/>
                    </w:rPr>
                    <w:t xml:space="preserve"> at Snapshot</w:t>
                  </w:r>
                  <w:r>
                    <w:t xml:space="preserve"> </w:t>
                  </w:r>
                  <w:r w:rsidRPr="00351F0F">
                    <w:sym w:font="Symbol" w:char="F0BE"/>
                  </w:r>
                  <w:r w:rsidRPr="00351F0F">
                    <w:t xml:space="preserve">The </w:t>
                  </w:r>
                  <w:r>
                    <w:t xml:space="preserve">net capacity for Reg-Down for QSE </w:t>
                  </w:r>
                  <w:r w:rsidRPr="00413D8C">
                    <w:rPr>
                      <w:i/>
                    </w:rPr>
                    <w:t>q</w:t>
                  </w:r>
                  <w:r w:rsidRPr="00351F0F">
                    <w:t xml:space="preserve">, </w:t>
                  </w:r>
                  <w:r>
                    <w:t>according to the</w:t>
                  </w:r>
                  <w:r w:rsidRPr="00413D8C">
                    <w:t xml:space="preserve"> </w:t>
                  </w:r>
                  <w:r>
                    <w:t>RUC S</w:t>
                  </w:r>
                  <w:r w:rsidRPr="00413D8C">
                    <w:t>napshot</w:t>
                  </w:r>
                  <w:r>
                    <w:t xml:space="preserve"> for the RUC process </w:t>
                  </w:r>
                  <w:proofErr w:type="spellStart"/>
                  <w:r w:rsidRPr="00413D8C">
                    <w:rPr>
                      <w:i/>
                    </w:rPr>
                    <w:t>ruc</w:t>
                  </w:r>
                  <w:proofErr w:type="spellEnd"/>
                  <w:r>
                    <w:t xml:space="preserve"> for the 15-minute Settlement Interval </w:t>
                  </w:r>
                  <w:r w:rsidRPr="00413D8C">
                    <w:rPr>
                      <w:i/>
                    </w:rPr>
                    <w:t>i</w:t>
                  </w:r>
                  <w:r>
                    <w:t>.</w:t>
                  </w:r>
                </w:p>
              </w:tc>
            </w:tr>
            <w:tr w:rsidR="004B6091" w14:paraId="0093C71B" w14:textId="77777777" w:rsidTr="0093076E">
              <w:trPr>
                <w:cantSplit/>
              </w:trPr>
              <w:tc>
                <w:tcPr>
                  <w:tcW w:w="1096" w:type="pct"/>
                </w:tcPr>
                <w:p w14:paraId="71568094" w14:textId="77777777" w:rsidR="004B6091" w:rsidRDefault="004B6091" w:rsidP="004B6091">
                  <w:pPr>
                    <w:pStyle w:val="TableBody"/>
                  </w:pPr>
                  <w:r>
                    <w:t>ASOFR1SNAP</w:t>
                  </w:r>
                  <w:r w:rsidRPr="002A63B2">
                    <w:rPr>
                      <w:i/>
                      <w:vertAlign w:val="subscript"/>
                    </w:rPr>
                    <w:t xml:space="preserve"> </w:t>
                  </w:r>
                  <w:proofErr w:type="spellStart"/>
                  <w:r w:rsidRPr="002A63B2">
                    <w:rPr>
                      <w:i/>
                      <w:vertAlign w:val="subscript"/>
                    </w:rPr>
                    <w:t>ruc</w:t>
                  </w:r>
                  <w:proofErr w:type="spellEnd"/>
                  <w:r w:rsidRPr="002A63B2">
                    <w:rPr>
                      <w:i/>
                      <w:vertAlign w:val="subscript"/>
                    </w:rPr>
                    <w:t>, q, r, h</w:t>
                  </w:r>
                </w:p>
              </w:tc>
              <w:tc>
                <w:tcPr>
                  <w:tcW w:w="383" w:type="pct"/>
                </w:tcPr>
                <w:p w14:paraId="1E8FA2A8" w14:textId="77777777" w:rsidR="004B6091" w:rsidRDefault="004B6091" w:rsidP="004B6091">
                  <w:pPr>
                    <w:pStyle w:val="TableBody"/>
                    <w:jc w:val="center"/>
                  </w:pPr>
                  <w:r>
                    <w:t>MW</w:t>
                  </w:r>
                </w:p>
              </w:tc>
              <w:tc>
                <w:tcPr>
                  <w:tcW w:w="3521" w:type="pct"/>
                </w:tcPr>
                <w:p w14:paraId="075FC84C" w14:textId="358840E9" w:rsidR="004B6091" w:rsidRDefault="004B6091" w:rsidP="004B6091">
                  <w:pPr>
                    <w:pStyle w:val="TableBody"/>
                    <w:rPr>
                      <w:i/>
                    </w:rPr>
                  </w:pPr>
                  <w:r>
                    <w:rPr>
                      <w:i/>
                    </w:rPr>
                    <w:t xml:space="preserve">Ancillary Service Offer Level 1 at Snapshot – </w:t>
                  </w:r>
                  <w:r>
                    <w:t xml:space="preserve">The capacity represented by validated Reg-Up Ancillary Service Offers for Resource </w:t>
                  </w:r>
                  <w:r>
                    <w:rPr>
                      <w:i/>
                    </w:rPr>
                    <w:t xml:space="preserve">r </w:t>
                  </w:r>
                  <w:r>
                    <w:t xml:space="preserve">represented by QSE </w:t>
                  </w:r>
                  <w:r>
                    <w:rPr>
                      <w:i/>
                    </w:rPr>
                    <w:t xml:space="preserve">q </w:t>
                  </w:r>
                  <w:r>
                    <w:t>according to the</w:t>
                  </w:r>
                  <w:r w:rsidRPr="00413D8C">
                    <w:t xml:space="preserve"> </w:t>
                  </w:r>
                  <w:r>
                    <w:t>RUC S</w:t>
                  </w:r>
                  <w:r w:rsidRPr="00413D8C">
                    <w:t>napshot</w:t>
                  </w:r>
                  <w:r>
                    <w:t xml:space="preserve"> for the RUC process </w:t>
                  </w:r>
                  <w:proofErr w:type="spellStart"/>
                  <w:r w:rsidRPr="00413D8C">
                    <w:rPr>
                      <w:i/>
                    </w:rPr>
                    <w:t>ruc</w:t>
                  </w:r>
                  <w:proofErr w:type="spellEnd"/>
                  <w:r>
                    <w:t xml:space="preserve"> for the hour </w:t>
                  </w:r>
                  <w:r>
                    <w:rPr>
                      <w:i/>
                    </w:rPr>
                    <w:t xml:space="preserve">h </w:t>
                  </w:r>
                  <w:r>
                    <w:t xml:space="preserve">that includes the 15-minute Settlement Interval. </w:t>
                  </w:r>
                  <w:r w:rsidR="0093076E">
                    <w:t xml:space="preserve"> </w:t>
                  </w:r>
                  <w:r w:rsidRPr="0043255B">
                    <w:t xml:space="preserve">Where for a Combined Cycle Train, the Resource </w:t>
                  </w:r>
                  <w:r w:rsidRPr="0043255B">
                    <w:rPr>
                      <w:i/>
                    </w:rPr>
                    <w:t xml:space="preserve">r </w:t>
                  </w:r>
                  <w:r w:rsidRPr="0043255B">
                    <w:t xml:space="preserve">is a Combined Cycle Generation Resource within the Combined Cycle Train.  </w:t>
                  </w:r>
                  <w:r>
                    <w:t xml:space="preserve">A Resource’s offered capacity is only included in the sum to the extent that the Resource’s COP Status and Ancillary Service Capability indicate it would be capable of providing the Ancillary Service during the hour </w:t>
                  </w:r>
                  <w:r w:rsidRPr="00DA0528">
                    <w:rPr>
                      <w:i/>
                    </w:rPr>
                    <w:t>h</w:t>
                  </w:r>
                  <w:r>
                    <w:t>.</w:t>
                  </w:r>
                </w:p>
              </w:tc>
            </w:tr>
            <w:tr w:rsidR="004B6091" w14:paraId="4F86FA5B" w14:textId="77777777" w:rsidTr="0093076E">
              <w:trPr>
                <w:cantSplit/>
              </w:trPr>
              <w:tc>
                <w:tcPr>
                  <w:tcW w:w="1096" w:type="pct"/>
                </w:tcPr>
                <w:p w14:paraId="404A12D4" w14:textId="77777777" w:rsidR="004B6091" w:rsidRDefault="004B6091" w:rsidP="004B6091">
                  <w:pPr>
                    <w:pStyle w:val="TableBody"/>
                  </w:pPr>
                  <w:r>
                    <w:t>ASOFR2SNAP</w:t>
                  </w:r>
                  <w:r w:rsidRPr="002A63B2">
                    <w:rPr>
                      <w:i/>
                      <w:vertAlign w:val="subscript"/>
                    </w:rPr>
                    <w:t xml:space="preserve"> </w:t>
                  </w:r>
                  <w:proofErr w:type="spellStart"/>
                  <w:r w:rsidRPr="002A63B2">
                    <w:rPr>
                      <w:i/>
                      <w:vertAlign w:val="subscript"/>
                    </w:rPr>
                    <w:t>ruc</w:t>
                  </w:r>
                  <w:proofErr w:type="spellEnd"/>
                  <w:r w:rsidRPr="002A63B2">
                    <w:rPr>
                      <w:i/>
                      <w:vertAlign w:val="subscript"/>
                    </w:rPr>
                    <w:t>, q, r, h</w:t>
                  </w:r>
                </w:p>
              </w:tc>
              <w:tc>
                <w:tcPr>
                  <w:tcW w:w="383" w:type="pct"/>
                </w:tcPr>
                <w:p w14:paraId="74C11572" w14:textId="77777777" w:rsidR="004B6091" w:rsidRDefault="004B6091" w:rsidP="004B6091">
                  <w:pPr>
                    <w:pStyle w:val="TableBody"/>
                    <w:jc w:val="center"/>
                  </w:pPr>
                  <w:r>
                    <w:t>MW</w:t>
                  </w:r>
                </w:p>
              </w:tc>
              <w:tc>
                <w:tcPr>
                  <w:tcW w:w="3521" w:type="pct"/>
                </w:tcPr>
                <w:p w14:paraId="2E60B831" w14:textId="74FE38E9" w:rsidR="004B6091" w:rsidRDefault="004B6091" w:rsidP="004B6091">
                  <w:pPr>
                    <w:pStyle w:val="TableBody"/>
                    <w:rPr>
                      <w:i/>
                    </w:rPr>
                  </w:pPr>
                  <w:r>
                    <w:rPr>
                      <w:i/>
                    </w:rPr>
                    <w:t xml:space="preserve">Ancillary Service Offer Level 2 at Snapshot – </w:t>
                  </w:r>
                  <w:r>
                    <w:t xml:space="preserve">The capacity represented by validated RRS Ancillary Service Offers for Resource </w:t>
                  </w:r>
                  <w:r>
                    <w:rPr>
                      <w:i/>
                    </w:rPr>
                    <w:t xml:space="preserve">r </w:t>
                  </w:r>
                  <w:r>
                    <w:t xml:space="preserve">represented by QSE </w:t>
                  </w:r>
                  <w:r>
                    <w:rPr>
                      <w:i/>
                    </w:rPr>
                    <w:t xml:space="preserve">q </w:t>
                  </w:r>
                  <w:r>
                    <w:t>according to the</w:t>
                  </w:r>
                  <w:r w:rsidRPr="00413D8C">
                    <w:t xml:space="preserve"> </w:t>
                  </w:r>
                  <w:r>
                    <w:t>RUC S</w:t>
                  </w:r>
                  <w:r w:rsidRPr="00413D8C">
                    <w:t>napshot</w:t>
                  </w:r>
                  <w:r>
                    <w:t xml:space="preserve"> for the RUC process </w:t>
                  </w:r>
                  <w:proofErr w:type="spellStart"/>
                  <w:r w:rsidRPr="00413D8C">
                    <w:rPr>
                      <w:i/>
                    </w:rPr>
                    <w:t>ruc</w:t>
                  </w:r>
                  <w:proofErr w:type="spellEnd"/>
                  <w:r>
                    <w:t xml:space="preserve"> for the hour </w:t>
                  </w:r>
                  <w:r>
                    <w:rPr>
                      <w:i/>
                    </w:rPr>
                    <w:t xml:space="preserve">h </w:t>
                  </w:r>
                  <w:r>
                    <w:t xml:space="preserve">that includes the 15-minute Settlement Interval. </w:t>
                  </w:r>
                  <w:r w:rsidR="0093076E">
                    <w:t xml:space="preserve"> </w:t>
                  </w:r>
                  <w:r w:rsidRPr="0043255B">
                    <w:t xml:space="preserve">Where for a Combined Cycle Train, the Resource </w:t>
                  </w:r>
                  <w:r w:rsidRPr="0043255B">
                    <w:rPr>
                      <w:i/>
                    </w:rPr>
                    <w:t xml:space="preserve">r </w:t>
                  </w:r>
                  <w:r w:rsidRPr="0043255B">
                    <w:t xml:space="preserve">is a Combined Cycle Generation Resource within the Combined Cycle Train.  </w:t>
                  </w:r>
                  <w:r>
                    <w:t xml:space="preserve">A Resource’s offered capacity is only included in the sum to the extent that the Resource’s COP Status and Ancillary Service Capability indicate it would be capable of providing the Ancillary Service during the hour </w:t>
                  </w:r>
                  <w:r w:rsidRPr="002A63B2">
                    <w:rPr>
                      <w:i/>
                    </w:rPr>
                    <w:t>h</w:t>
                  </w:r>
                  <w:r>
                    <w:t xml:space="preserve">.   </w:t>
                  </w:r>
                </w:p>
              </w:tc>
            </w:tr>
            <w:tr w:rsidR="004B6091" w14:paraId="00C88A51" w14:textId="77777777" w:rsidTr="0093076E">
              <w:trPr>
                <w:cantSplit/>
              </w:trPr>
              <w:tc>
                <w:tcPr>
                  <w:tcW w:w="1096" w:type="pct"/>
                </w:tcPr>
                <w:p w14:paraId="083F44A3" w14:textId="77777777" w:rsidR="004B6091" w:rsidRDefault="004B6091" w:rsidP="004B6091">
                  <w:pPr>
                    <w:pStyle w:val="TableBody"/>
                  </w:pPr>
                  <w:r>
                    <w:lastRenderedPageBreak/>
                    <w:t>ASOFR3SNAP</w:t>
                  </w:r>
                  <w:r w:rsidRPr="002A63B2">
                    <w:rPr>
                      <w:i/>
                      <w:vertAlign w:val="subscript"/>
                    </w:rPr>
                    <w:t xml:space="preserve"> </w:t>
                  </w:r>
                  <w:proofErr w:type="spellStart"/>
                  <w:r w:rsidRPr="002A63B2">
                    <w:rPr>
                      <w:i/>
                      <w:vertAlign w:val="subscript"/>
                    </w:rPr>
                    <w:t>ruc</w:t>
                  </w:r>
                  <w:proofErr w:type="spellEnd"/>
                  <w:r w:rsidRPr="002A63B2">
                    <w:rPr>
                      <w:i/>
                      <w:vertAlign w:val="subscript"/>
                    </w:rPr>
                    <w:t>, q, r, h</w:t>
                  </w:r>
                </w:p>
              </w:tc>
              <w:tc>
                <w:tcPr>
                  <w:tcW w:w="383" w:type="pct"/>
                </w:tcPr>
                <w:p w14:paraId="7E38D0F1" w14:textId="77777777" w:rsidR="004B6091" w:rsidRDefault="004B6091" w:rsidP="004B6091">
                  <w:pPr>
                    <w:pStyle w:val="TableBody"/>
                    <w:jc w:val="center"/>
                  </w:pPr>
                  <w:r>
                    <w:t>MW</w:t>
                  </w:r>
                </w:p>
              </w:tc>
              <w:tc>
                <w:tcPr>
                  <w:tcW w:w="3521" w:type="pct"/>
                </w:tcPr>
                <w:p w14:paraId="64B4A270" w14:textId="3ADFBC98" w:rsidR="004B6091" w:rsidRDefault="004B6091" w:rsidP="004B6091">
                  <w:pPr>
                    <w:pStyle w:val="TableBody"/>
                    <w:rPr>
                      <w:i/>
                    </w:rPr>
                  </w:pPr>
                  <w:r>
                    <w:rPr>
                      <w:i/>
                    </w:rPr>
                    <w:t xml:space="preserve">Ancillary Service Offer Level 3 at Snapshot – </w:t>
                  </w:r>
                  <w:r>
                    <w:t xml:space="preserve">The capacity represented by validated Reg-Up and RRS Ancillary Service Offers for Resource </w:t>
                  </w:r>
                  <w:r>
                    <w:rPr>
                      <w:i/>
                    </w:rPr>
                    <w:t xml:space="preserve">r </w:t>
                  </w:r>
                  <w:r>
                    <w:t xml:space="preserve">represented by QSE </w:t>
                  </w:r>
                  <w:r>
                    <w:rPr>
                      <w:i/>
                    </w:rPr>
                    <w:t xml:space="preserve">q </w:t>
                  </w:r>
                  <w:r>
                    <w:t>according to the</w:t>
                  </w:r>
                  <w:r w:rsidRPr="00413D8C">
                    <w:t xml:space="preserve"> </w:t>
                  </w:r>
                  <w:r>
                    <w:t>RUC S</w:t>
                  </w:r>
                  <w:r w:rsidRPr="00413D8C">
                    <w:t>napshot</w:t>
                  </w:r>
                  <w:r>
                    <w:t xml:space="preserve"> for the RUC process </w:t>
                  </w:r>
                  <w:proofErr w:type="spellStart"/>
                  <w:r w:rsidRPr="00413D8C">
                    <w:rPr>
                      <w:i/>
                    </w:rPr>
                    <w:t>ruc</w:t>
                  </w:r>
                  <w:proofErr w:type="spellEnd"/>
                  <w:r>
                    <w:t xml:space="preserve"> for the hour </w:t>
                  </w:r>
                  <w:r>
                    <w:rPr>
                      <w:i/>
                    </w:rPr>
                    <w:t xml:space="preserve">h </w:t>
                  </w:r>
                  <w:r>
                    <w:t xml:space="preserve">that includes the 15-minute Settlement Interval. </w:t>
                  </w:r>
                  <w:r w:rsidR="0093076E">
                    <w:t xml:space="preserve"> </w:t>
                  </w:r>
                  <w:r w:rsidRPr="0043255B">
                    <w:t xml:space="preserve">Where for a Combined Cycle Train, the Resource </w:t>
                  </w:r>
                  <w:r w:rsidRPr="0043255B">
                    <w:rPr>
                      <w:i/>
                    </w:rPr>
                    <w:t xml:space="preserve">r </w:t>
                  </w:r>
                  <w:r w:rsidRPr="0043255B">
                    <w:t xml:space="preserve">is a Combined Cycle Generation Resource within the Combined Cycle Train.  </w:t>
                  </w:r>
                  <w:r>
                    <w:t xml:space="preserve">A Resource’s offered capacity is only included in the sum to the extent that the Resource’s COP Status and Ancillary Service Capability indicate it would be capable of providing the Ancillary Service during the hour </w:t>
                  </w:r>
                  <w:r w:rsidRPr="00DA0528">
                    <w:rPr>
                      <w:i/>
                    </w:rPr>
                    <w:t>h</w:t>
                  </w:r>
                  <w:r>
                    <w:t>.</w:t>
                  </w:r>
                </w:p>
              </w:tc>
            </w:tr>
            <w:tr w:rsidR="004B6091" w14:paraId="2FD051EC" w14:textId="77777777" w:rsidTr="0093076E">
              <w:trPr>
                <w:cantSplit/>
              </w:trPr>
              <w:tc>
                <w:tcPr>
                  <w:tcW w:w="1096" w:type="pct"/>
                </w:tcPr>
                <w:p w14:paraId="286F00EC" w14:textId="77777777" w:rsidR="004B6091" w:rsidRDefault="004B6091" w:rsidP="004B6091">
                  <w:pPr>
                    <w:pStyle w:val="TableBody"/>
                  </w:pPr>
                  <w:r>
                    <w:t>ASOFR4SNAP</w:t>
                  </w:r>
                  <w:r w:rsidRPr="002A63B2">
                    <w:rPr>
                      <w:i/>
                      <w:vertAlign w:val="subscript"/>
                    </w:rPr>
                    <w:t xml:space="preserve"> </w:t>
                  </w:r>
                  <w:proofErr w:type="spellStart"/>
                  <w:r w:rsidRPr="002A63B2">
                    <w:rPr>
                      <w:i/>
                      <w:vertAlign w:val="subscript"/>
                    </w:rPr>
                    <w:t>ruc</w:t>
                  </w:r>
                  <w:proofErr w:type="spellEnd"/>
                  <w:r w:rsidRPr="002A63B2">
                    <w:rPr>
                      <w:i/>
                      <w:vertAlign w:val="subscript"/>
                    </w:rPr>
                    <w:t>, q, r, h</w:t>
                  </w:r>
                </w:p>
              </w:tc>
              <w:tc>
                <w:tcPr>
                  <w:tcW w:w="383" w:type="pct"/>
                </w:tcPr>
                <w:p w14:paraId="458319C1" w14:textId="77777777" w:rsidR="004B6091" w:rsidRDefault="004B6091" w:rsidP="004B6091">
                  <w:pPr>
                    <w:pStyle w:val="TableBody"/>
                    <w:jc w:val="center"/>
                  </w:pPr>
                  <w:r>
                    <w:t>MW</w:t>
                  </w:r>
                </w:p>
              </w:tc>
              <w:tc>
                <w:tcPr>
                  <w:tcW w:w="3521" w:type="pct"/>
                </w:tcPr>
                <w:p w14:paraId="517FD30C" w14:textId="607BA0D7" w:rsidR="004B6091" w:rsidRDefault="004B6091" w:rsidP="004B6091">
                  <w:pPr>
                    <w:pStyle w:val="TableBody"/>
                    <w:rPr>
                      <w:i/>
                    </w:rPr>
                  </w:pPr>
                  <w:r>
                    <w:rPr>
                      <w:i/>
                    </w:rPr>
                    <w:t xml:space="preserve">Ancillary Service Offer Level 4 at Snapshot – </w:t>
                  </w:r>
                  <w:r>
                    <w:t xml:space="preserve">The capacity represented by validated Reg-Up, RRS, and ECRS Ancillary Service Offers for Resource </w:t>
                  </w:r>
                  <w:r>
                    <w:rPr>
                      <w:i/>
                    </w:rPr>
                    <w:t xml:space="preserve">r </w:t>
                  </w:r>
                  <w:r>
                    <w:t xml:space="preserve">represented by QSE </w:t>
                  </w:r>
                  <w:r>
                    <w:rPr>
                      <w:i/>
                    </w:rPr>
                    <w:t xml:space="preserve">q </w:t>
                  </w:r>
                  <w:r>
                    <w:t>according to the</w:t>
                  </w:r>
                  <w:r w:rsidRPr="00413D8C">
                    <w:t xml:space="preserve"> </w:t>
                  </w:r>
                  <w:r>
                    <w:t>RUC S</w:t>
                  </w:r>
                  <w:r w:rsidRPr="00413D8C">
                    <w:t>napshot</w:t>
                  </w:r>
                  <w:r>
                    <w:t xml:space="preserve"> for the RUC process </w:t>
                  </w:r>
                  <w:proofErr w:type="spellStart"/>
                  <w:r w:rsidRPr="00413D8C">
                    <w:rPr>
                      <w:i/>
                    </w:rPr>
                    <w:t>ruc</w:t>
                  </w:r>
                  <w:proofErr w:type="spellEnd"/>
                  <w:r>
                    <w:t xml:space="preserve"> for the hour </w:t>
                  </w:r>
                  <w:r>
                    <w:rPr>
                      <w:i/>
                    </w:rPr>
                    <w:t xml:space="preserve">h </w:t>
                  </w:r>
                  <w:r>
                    <w:t xml:space="preserve">that includes the 15-minute Settlement Interval. </w:t>
                  </w:r>
                  <w:r w:rsidR="0093076E">
                    <w:t xml:space="preserve"> </w:t>
                  </w:r>
                  <w:r w:rsidRPr="0043255B">
                    <w:t xml:space="preserve">Where for a Combined Cycle Train, the Resource </w:t>
                  </w:r>
                  <w:r w:rsidRPr="0043255B">
                    <w:rPr>
                      <w:i/>
                    </w:rPr>
                    <w:t xml:space="preserve">r </w:t>
                  </w:r>
                  <w:r w:rsidRPr="0043255B">
                    <w:t xml:space="preserve">is a Combined Cycle Generation Resource within the Combined Cycle Train.  </w:t>
                  </w:r>
                  <w:r>
                    <w:t xml:space="preserve">A Resource’s offered capacity is only included in the sum to the extent that the Resource’s COP Status and Ancillary Service Capability indicate it would be capable of providing the Ancillary Service during the hour </w:t>
                  </w:r>
                  <w:r w:rsidRPr="00DA0528">
                    <w:rPr>
                      <w:i/>
                    </w:rPr>
                    <w:t>h</w:t>
                  </w:r>
                  <w:r>
                    <w:t>.</w:t>
                  </w:r>
                </w:p>
              </w:tc>
            </w:tr>
            <w:tr w:rsidR="004B6091" w14:paraId="21E7DA95" w14:textId="77777777" w:rsidTr="0093076E">
              <w:trPr>
                <w:cantSplit/>
              </w:trPr>
              <w:tc>
                <w:tcPr>
                  <w:tcW w:w="1096" w:type="pct"/>
                </w:tcPr>
                <w:p w14:paraId="65E3870D" w14:textId="77777777" w:rsidR="004B6091" w:rsidRDefault="004B6091" w:rsidP="004B6091">
                  <w:pPr>
                    <w:pStyle w:val="TableBody"/>
                  </w:pPr>
                  <w:r>
                    <w:t>ASOFR5SNAP</w:t>
                  </w:r>
                  <w:r w:rsidRPr="002A63B2">
                    <w:rPr>
                      <w:i/>
                      <w:vertAlign w:val="subscript"/>
                    </w:rPr>
                    <w:t xml:space="preserve"> </w:t>
                  </w:r>
                  <w:proofErr w:type="spellStart"/>
                  <w:r w:rsidRPr="002A63B2">
                    <w:rPr>
                      <w:i/>
                      <w:vertAlign w:val="subscript"/>
                    </w:rPr>
                    <w:t>ruc</w:t>
                  </w:r>
                  <w:proofErr w:type="spellEnd"/>
                  <w:r w:rsidRPr="002A63B2">
                    <w:rPr>
                      <w:i/>
                      <w:vertAlign w:val="subscript"/>
                    </w:rPr>
                    <w:t>, q, r, h</w:t>
                  </w:r>
                </w:p>
              </w:tc>
              <w:tc>
                <w:tcPr>
                  <w:tcW w:w="383" w:type="pct"/>
                </w:tcPr>
                <w:p w14:paraId="64C0E007" w14:textId="77777777" w:rsidR="004B6091" w:rsidRDefault="004B6091" w:rsidP="004B6091">
                  <w:pPr>
                    <w:pStyle w:val="TableBody"/>
                    <w:jc w:val="center"/>
                  </w:pPr>
                  <w:r>
                    <w:t>MW</w:t>
                  </w:r>
                </w:p>
              </w:tc>
              <w:tc>
                <w:tcPr>
                  <w:tcW w:w="3521" w:type="pct"/>
                </w:tcPr>
                <w:p w14:paraId="565F525F" w14:textId="5880834A" w:rsidR="004B6091" w:rsidRDefault="004B6091" w:rsidP="004B6091">
                  <w:pPr>
                    <w:pStyle w:val="TableBody"/>
                    <w:rPr>
                      <w:i/>
                    </w:rPr>
                  </w:pPr>
                  <w:r>
                    <w:rPr>
                      <w:i/>
                    </w:rPr>
                    <w:t xml:space="preserve">Ancillary Service Offer Level 5 at Snapshot – </w:t>
                  </w:r>
                  <w:r>
                    <w:t xml:space="preserve">The capacity represented by validated Reg-Up, RRS, ECRS, and Non-Spin Ancillary Service Offers for Resource </w:t>
                  </w:r>
                  <w:r>
                    <w:rPr>
                      <w:i/>
                    </w:rPr>
                    <w:t xml:space="preserve">r </w:t>
                  </w:r>
                  <w:r>
                    <w:t xml:space="preserve">represented by QSE </w:t>
                  </w:r>
                  <w:r>
                    <w:rPr>
                      <w:i/>
                    </w:rPr>
                    <w:t xml:space="preserve">q </w:t>
                  </w:r>
                  <w:r>
                    <w:t>according to the</w:t>
                  </w:r>
                  <w:r w:rsidRPr="00413D8C">
                    <w:t xml:space="preserve"> </w:t>
                  </w:r>
                  <w:r>
                    <w:t>RUC S</w:t>
                  </w:r>
                  <w:r w:rsidRPr="00413D8C">
                    <w:t>napshot</w:t>
                  </w:r>
                  <w:r>
                    <w:t xml:space="preserve"> for the RUC process </w:t>
                  </w:r>
                  <w:proofErr w:type="spellStart"/>
                  <w:r w:rsidRPr="00413D8C">
                    <w:rPr>
                      <w:i/>
                    </w:rPr>
                    <w:t>ruc</w:t>
                  </w:r>
                  <w:proofErr w:type="spellEnd"/>
                  <w:r>
                    <w:t xml:space="preserve"> for the hour </w:t>
                  </w:r>
                  <w:r>
                    <w:rPr>
                      <w:i/>
                    </w:rPr>
                    <w:t xml:space="preserve">h </w:t>
                  </w:r>
                  <w:r>
                    <w:t xml:space="preserve">that includes the 15-minute Settlement Interval. </w:t>
                  </w:r>
                  <w:r w:rsidR="0093076E">
                    <w:t xml:space="preserve"> </w:t>
                  </w:r>
                  <w:r w:rsidRPr="0043255B">
                    <w:t xml:space="preserve">Where for a Combined Cycle Train, the Resource </w:t>
                  </w:r>
                  <w:r w:rsidRPr="0043255B">
                    <w:rPr>
                      <w:i/>
                    </w:rPr>
                    <w:t xml:space="preserve">r </w:t>
                  </w:r>
                  <w:r w:rsidRPr="0043255B">
                    <w:t xml:space="preserve">is a Combined Cycle Generation Resource within the Combined Cycle Train.  </w:t>
                  </w:r>
                  <w:r>
                    <w:t xml:space="preserve">A Resource’s offered capacity is only included in the sum to the extent that the Resource’s COP Status and Ancillary Service Capability indicate it would be capable of providing the Ancillary Service during the hour </w:t>
                  </w:r>
                  <w:r w:rsidRPr="00DA0528">
                    <w:rPr>
                      <w:i/>
                    </w:rPr>
                    <w:t>h</w:t>
                  </w:r>
                  <w:r>
                    <w:t>.</w:t>
                  </w:r>
                </w:p>
              </w:tc>
            </w:tr>
            <w:tr w:rsidR="004B6091" w14:paraId="43C5E6C3" w14:textId="77777777" w:rsidTr="0093076E">
              <w:trPr>
                <w:cantSplit/>
              </w:trPr>
              <w:tc>
                <w:tcPr>
                  <w:tcW w:w="1096" w:type="pct"/>
                </w:tcPr>
                <w:p w14:paraId="56B95853" w14:textId="77777777" w:rsidR="004B6091" w:rsidRDefault="004B6091" w:rsidP="004B6091">
                  <w:pPr>
                    <w:pStyle w:val="TableBody"/>
                  </w:pPr>
                  <w:r>
                    <w:t>ASOFR6SNAP</w:t>
                  </w:r>
                  <w:r w:rsidRPr="002A63B2">
                    <w:rPr>
                      <w:i/>
                      <w:vertAlign w:val="subscript"/>
                    </w:rPr>
                    <w:t xml:space="preserve"> </w:t>
                  </w:r>
                  <w:proofErr w:type="spellStart"/>
                  <w:r w:rsidRPr="002A63B2">
                    <w:rPr>
                      <w:i/>
                      <w:vertAlign w:val="subscript"/>
                    </w:rPr>
                    <w:t>ruc</w:t>
                  </w:r>
                  <w:proofErr w:type="spellEnd"/>
                  <w:r w:rsidRPr="002A63B2">
                    <w:rPr>
                      <w:i/>
                      <w:vertAlign w:val="subscript"/>
                    </w:rPr>
                    <w:t>, q, r, h</w:t>
                  </w:r>
                </w:p>
              </w:tc>
              <w:tc>
                <w:tcPr>
                  <w:tcW w:w="383" w:type="pct"/>
                </w:tcPr>
                <w:p w14:paraId="1F7E4BF6" w14:textId="77777777" w:rsidR="004B6091" w:rsidRDefault="004B6091" w:rsidP="004B6091">
                  <w:pPr>
                    <w:pStyle w:val="TableBody"/>
                    <w:jc w:val="center"/>
                  </w:pPr>
                  <w:r>
                    <w:t>MW</w:t>
                  </w:r>
                </w:p>
              </w:tc>
              <w:tc>
                <w:tcPr>
                  <w:tcW w:w="3521" w:type="pct"/>
                </w:tcPr>
                <w:p w14:paraId="4B34CDBF" w14:textId="17260238" w:rsidR="004B6091" w:rsidRDefault="004B6091" w:rsidP="004B6091">
                  <w:pPr>
                    <w:pStyle w:val="TableBody"/>
                    <w:rPr>
                      <w:i/>
                    </w:rPr>
                  </w:pPr>
                  <w:r>
                    <w:rPr>
                      <w:i/>
                    </w:rPr>
                    <w:t xml:space="preserve">Ancillary Service Offer Level 6 at Snapshot – </w:t>
                  </w:r>
                  <w:r>
                    <w:t xml:space="preserve">The capacity represented by validated Reg-Down Ancillary Service Offers for Resource </w:t>
                  </w:r>
                  <w:r>
                    <w:rPr>
                      <w:i/>
                    </w:rPr>
                    <w:t xml:space="preserve">r </w:t>
                  </w:r>
                  <w:r>
                    <w:t xml:space="preserve">represented by QSE </w:t>
                  </w:r>
                  <w:r>
                    <w:rPr>
                      <w:i/>
                    </w:rPr>
                    <w:t xml:space="preserve">q </w:t>
                  </w:r>
                  <w:r>
                    <w:t>according to the</w:t>
                  </w:r>
                  <w:r w:rsidRPr="00413D8C">
                    <w:t xml:space="preserve"> </w:t>
                  </w:r>
                  <w:r>
                    <w:t>RUC S</w:t>
                  </w:r>
                  <w:r w:rsidRPr="00413D8C">
                    <w:t>napshot</w:t>
                  </w:r>
                  <w:r>
                    <w:t xml:space="preserve"> for the RUC process </w:t>
                  </w:r>
                  <w:proofErr w:type="spellStart"/>
                  <w:r w:rsidRPr="00413D8C">
                    <w:rPr>
                      <w:i/>
                    </w:rPr>
                    <w:t>ruc</w:t>
                  </w:r>
                  <w:proofErr w:type="spellEnd"/>
                  <w:r>
                    <w:t xml:space="preserve"> for the hour </w:t>
                  </w:r>
                  <w:r>
                    <w:rPr>
                      <w:i/>
                    </w:rPr>
                    <w:t xml:space="preserve">h </w:t>
                  </w:r>
                  <w:r>
                    <w:t xml:space="preserve">that includes the 15-minute Settlement Interval. </w:t>
                  </w:r>
                  <w:r w:rsidR="0093076E">
                    <w:t xml:space="preserve"> </w:t>
                  </w:r>
                  <w:r w:rsidRPr="0043255B">
                    <w:t xml:space="preserve">Where for a Combined Cycle Train, the Resource </w:t>
                  </w:r>
                  <w:r w:rsidRPr="0043255B">
                    <w:rPr>
                      <w:i/>
                    </w:rPr>
                    <w:t xml:space="preserve">r </w:t>
                  </w:r>
                  <w:r w:rsidRPr="0043255B">
                    <w:t xml:space="preserve">is a Combined Cycle Generation Resource within the Combined Cycle Train.  </w:t>
                  </w:r>
                  <w:r>
                    <w:t xml:space="preserve">A Resource’s offered capacity is only included in the sum to the extent that the Resource’s COP Status and Ancillary Service Capability indicate it would be capable of providing the Ancillary Service during the hour </w:t>
                  </w:r>
                  <w:r w:rsidRPr="00DA0528">
                    <w:rPr>
                      <w:i/>
                    </w:rPr>
                    <w:t>h</w:t>
                  </w:r>
                  <w:r>
                    <w:t>.</w:t>
                  </w:r>
                </w:p>
              </w:tc>
            </w:tr>
            <w:tr w:rsidR="004B6091" w14:paraId="7783AE97" w14:textId="77777777" w:rsidTr="0093076E">
              <w:trPr>
                <w:cantSplit/>
              </w:trPr>
              <w:tc>
                <w:tcPr>
                  <w:tcW w:w="1096" w:type="pct"/>
                </w:tcPr>
                <w:p w14:paraId="1A32A088" w14:textId="77777777" w:rsidR="004B6091" w:rsidRDefault="004B6091" w:rsidP="004B6091">
                  <w:pPr>
                    <w:pStyle w:val="TableBody"/>
                  </w:pPr>
                  <w:r w:rsidRPr="009A0FB8">
                    <w:t>RUCOSFADJ</w:t>
                  </w:r>
                  <w:r w:rsidRPr="00C93BDD">
                    <w:t xml:space="preserve"> </w:t>
                  </w:r>
                  <w:proofErr w:type="spellStart"/>
                  <w:r w:rsidRPr="002A63B2">
                    <w:rPr>
                      <w:i/>
                      <w:vertAlign w:val="subscript"/>
                    </w:rPr>
                    <w:t>ruc</w:t>
                  </w:r>
                  <w:proofErr w:type="spellEnd"/>
                  <w:r w:rsidRPr="002A63B2">
                    <w:rPr>
                      <w:i/>
                      <w:vertAlign w:val="subscript"/>
                    </w:rPr>
                    <w:t>, q, i</w:t>
                  </w:r>
                </w:p>
              </w:tc>
              <w:tc>
                <w:tcPr>
                  <w:tcW w:w="383" w:type="pct"/>
                </w:tcPr>
                <w:p w14:paraId="23454525" w14:textId="77777777" w:rsidR="004B6091" w:rsidRDefault="004B6091" w:rsidP="004B6091">
                  <w:pPr>
                    <w:pStyle w:val="TableBody"/>
                    <w:jc w:val="center"/>
                  </w:pPr>
                  <w:r w:rsidRPr="00C93BDD">
                    <w:t>MW</w:t>
                  </w:r>
                </w:p>
              </w:tc>
              <w:tc>
                <w:tcPr>
                  <w:tcW w:w="3521" w:type="pct"/>
                </w:tcPr>
                <w:p w14:paraId="337A57B6" w14:textId="688CAB86" w:rsidR="004B6091" w:rsidRDefault="004B6091" w:rsidP="0093076E">
                  <w:pPr>
                    <w:pStyle w:val="TableBody"/>
                    <w:rPr>
                      <w:i/>
                    </w:rPr>
                  </w:pPr>
                  <w:r w:rsidRPr="002A63B2">
                    <w:rPr>
                      <w:i/>
                    </w:rPr>
                    <w:t>RUC Overall Shortfall at End of Adjustment Period</w:t>
                  </w:r>
                  <w:r w:rsidRPr="009A0FB8">
                    <w:t xml:space="preserve"> —The QSE </w:t>
                  </w:r>
                  <w:r w:rsidRPr="002A63B2">
                    <w:rPr>
                      <w:i/>
                    </w:rPr>
                    <w:t xml:space="preserve">q’s </w:t>
                  </w:r>
                  <w:r w:rsidRPr="00C93BDD">
                    <w:t xml:space="preserve">overall capacity shortfall at </w:t>
                  </w:r>
                  <w:r>
                    <w:t>the end of the Adjustment Period, including capacity from IRRs as seen in the RUC Snapshot for the RUC process</w:t>
                  </w:r>
                  <w:r w:rsidRPr="00A577B9">
                    <w:rPr>
                      <w:i/>
                    </w:rPr>
                    <w:t xml:space="preserve"> </w:t>
                  </w:r>
                  <w:proofErr w:type="spellStart"/>
                  <w:r w:rsidRPr="00A577B9">
                    <w:rPr>
                      <w:i/>
                    </w:rPr>
                    <w:t>ruc</w:t>
                  </w:r>
                  <w:proofErr w:type="spellEnd"/>
                  <w:r>
                    <w:t>,</w:t>
                  </w:r>
                  <w:r w:rsidRPr="00C93BDD">
                    <w:t xml:space="preserve"> for the 15-minute Settlement Interval </w:t>
                  </w:r>
                  <w:r w:rsidRPr="002A63B2">
                    <w:rPr>
                      <w:i/>
                    </w:rPr>
                    <w:t>i</w:t>
                  </w:r>
                  <w:r w:rsidRPr="00C93BDD">
                    <w:t>.</w:t>
                  </w:r>
                </w:p>
              </w:tc>
            </w:tr>
            <w:tr w:rsidR="004B6091" w14:paraId="2CD41DBA" w14:textId="77777777" w:rsidTr="0093076E">
              <w:trPr>
                <w:cantSplit/>
              </w:trPr>
              <w:tc>
                <w:tcPr>
                  <w:tcW w:w="1096" w:type="pct"/>
                </w:tcPr>
                <w:p w14:paraId="11CDD005" w14:textId="77777777" w:rsidR="004B6091" w:rsidRDefault="004B6091" w:rsidP="004B6091">
                  <w:pPr>
                    <w:pStyle w:val="TableBody"/>
                  </w:pPr>
                  <w:r w:rsidRPr="0043255B">
                    <w:t>RUCASFADJ</w:t>
                  </w:r>
                  <w:r>
                    <w:t xml:space="preserve"> </w:t>
                  </w:r>
                  <w:r w:rsidRPr="002A63B2">
                    <w:rPr>
                      <w:i/>
                      <w:vertAlign w:val="subscript"/>
                    </w:rPr>
                    <w:t>q, i</w:t>
                  </w:r>
                </w:p>
              </w:tc>
              <w:tc>
                <w:tcPr>
                  <w:tcW w:w="383" w:type="pct"/>
                </w:tcPr>
                <w:p w14:paraId="1FB1F85B" w14:textId="77777777" w:rsidR="004B6091" w:rsidRDefault="004B6091" w:rsidP="004B6091">
                  <w:pPr>
                    <w:pStyle w:val="TableBody"/>
                    <w:jc w:val="center"/>
                  </w:pPr>
                  <w:r w:rsidRPr="0043255B">
                    <w:t>MW</w:t>
                  </w:r>
                </w:p>
              </w:tc>
              <w:tc>
                <w:tcPr>
                  <w:tcW w:w="3521" w:type="pct"/>
                </w:tcPr>
                <w:p w14:paraId="099178CE" w14:textId="77777777" w:rsidR="004B6091" w:rsidRDefault="004B6091" w:rsidP="004B6091">
                  <w:pPr>
                    <w:pStyle w:val="TableBody"/>
                    <w:rPr>
                      <w:i/>
                    </w:rPr>
                  </w:pPr>
                  <w:r w:rsidRPr="002A63B2">
                    <w:rPr>
                      <w:i/>
                    </w:rPr>
                    <w:t>RUC Ancillary Service Shortfall at End of Adjustment Period</w:t>
                  </w:r>
                  <w:r w:rsidRPr="009A0FB8">
                    <w:t xml:space="preserve"> —The QSE </w:t>
                  </w:r>
                  <w:r w:rsidRPr="002A63B2">
                    <w:rPr>
                      <w:i/>
                    </w:rPr>
                    <w:t>q’s</w:t>
                  </w:r>
                  <w:r w:rsidRPr="00C93BDD">
                    <w:t xml:space="preserve"> </w:t>
                  </w:r>
                  <w:r>
                    <w:t>A</w:t>
                  </w:r>
                  <w:r w:rsidRPr="00C93BDD">
                    <w:t xml:space="preserve">ncillary </w:t>
                  </w:r>
                  <w:r>
                    <w:t>S</w:t>
                  </w:r>
                  <w:r w:rsidRPr="00C93BDD">
                    <w:t xml:space="preserve">ervice capacity shortfall at </w:t>
                  </w:r>
                  <w:r>
                    <w:t>the end of the Adjustment Period</w:t>
                  </w:r>
                  <w:r w:rsidRPr="00C93BDD">
                    <w:t xml:space="preserve"> for the 15-minute Settlement Interval </w:t>
                  </w:r>
                  <w:r w:rsidRPr="002A63B2">
                    <w:rPr>
                      <w:i/>
                    </w:rPr>
                    <w:t>i</w:t>
                  </w:r>
                  <w:r w:rsidRPr="00C93BDD">
                    <w:t>.</w:t>
                  </w:r>
                </w:p>
              </w:tc>
            </w:tr>
            <w:tr w:rsidR="004B6091" w14:paraId="2F03B405" w14:textId="77777777" w:rsidTr="0093076E">
              <w:trPr>
                <w:cantSplit/>
              </w:trPr>
              <w:tc>
                <w:tcPr>
                  <w:tcW w:w="1096" w:type="pct"/>
                </w:tcPr>
                <w:p w14:paraId="60852676" w14:textId="77777777" w:rsidR="004B6091" w:rsidRDefault="004B6091" w:rsidP="004B6091">
                  <w:pPr>
                    <w:pStyle w:val="TableBody"/>
                  </w:pPr>
                  <w:r>
                    <w:t xml:space="preserve">ASONPOSADJ </w:t>
                  </w:r>
                  <w:r w:rsidRPr="00DE1AC6">
                    <w:rPr>
                      <w:i/>
                      <w:vertAlign w:val="subscript"/>
                      <w:lang w:val="it-IT"/>
                    </w:rPr>
                    <w:t>q ,i</w:t>
                  </w:r>
                </w:p>
              </w:tc>
              <w:tc>
                <w:tcPr>
                  <w:tcW w:w="383" w:type="pct"/>
                </w:tcPr>
                <w:p w14:paraId="6F21580D" w14:textId="77777777" w:rsidR="004B6091" w:rsidRDefault="004B6091" w:rsidP="004B6091">
                  <w:pPr>
                    <w:pStyle w:val="TableBody"/>
                    <w:jc w:val="center"/>
                  </w:pPr>
                  <w:r>
                    <w:t>MW</w:t>
                  </w:r>
                </w:p>
              </w:tc>
              <w:tc>
                <w:tcPr>
                  <w:tcW w:w="3521" w:type="pct"/>
                </w:tcPr>
                <w:p w14:paraId="6D3BED18" w14:textId="77777777" w:rsidR="004B6091" w:rsidRDefault="004B6091" w:rsidP="004B6091">
                  <w:pPr>
                    <w:pStyle w:val="TableBody"/>
                    <w:rPr>
                      <w:i/>
                    </w:rPr>
                  </w:pPr>
                  <w:r>
                    <w:rPr>
                      <w:i/>
                    </w:rPr>
                    <w:t xml:space="preserve">Ancillary Service On-Line Position at End of Adjustment Period – </w:t>
                  </w:r>
                  <w:r>
                    <w:t xml:space="preserve">The QSE </w:t>
                  </w:r>
                  <w:r w:rsidRPr="00413D8C">
                    <w:rPr>
                      <w:i/>
                    </w:rPr>
                    <w:t>q’s</w:t>
                  </w:r>
                  <w:r>
                    <w:rPr>
                      <w:i/>
                    </w:rPr>
                    <w:t xml:space="preserve"> </w:t>
                  </w:r>
                  <w:r>
                    <w:t>total On-Line Ancillary Service position at the end of the Adjustment Period</w:t>
                  </w:r>
                  <w:r>
                    <w:rPr>
                      <w:i/>
                    </w:rPr>
                    <w:t xml:space="preserve"> </w:t>
                  </w:r>
                  <w:r>
                    <w:t xml:space="preserve">for the 15-minute Settlement Interval </w:t>
                  </w:r>
                  <w:r>
                    <w:rPr>
                      <w:i/>
                    </w:rPr>
                    <w:t>i.</w:t>
                  </w:r>
                </w:p>
              </w:tc>
            </w:tr>
            <w:tr w:rsidR="004B6091" w14:paraId="0F5262E8" w14:textId="77777777" w:rsidTr="0093076E">
              <w:trPr>
                <w:cantSplit/>
              </w:trPr>
              <w:tc>
                <w:tcPr>
                  <w:tcW w:w="1096" w:type="pct"/>
                </w:tcPr>
                <w:p w14:paraId="3C1DF8DC" w14:textId="77777777" w:rsidR="004B6091" w:rsidRDefault="004B6091" w:rsidP="004B6091">
                  <w:pPr>
                    <w:pStyle w:val="TableBody"/>
                  </w:pPr>
                  <w:r w:rsidRPr="009A0FB8">
                    <w:t>RU</w:t>
                  </w:r>
                  <w:r>
                    <w:t>POS</w:t>
                  </w:r>
                  <w:r w:rsidRPr="00C93BDD">
                    <w:rPr>
                      <w:lang w:val="it-IT"/>
                    </w:rPr>
                    <w:t>ADJ</w:t>
                  </w:r>
                  <w:r w:rsidRPr="00C93BDD">
                    <w:t xml:space="preserve"> </w:t>
                  </w:r>
                  <w:r w:rsidRPr="002A63B2">
                    <w:rPr>
                      <w:i/>
                      <w:vertAlign w:val="subscript"/>
                    </w:rPr>
                    <w:t xml:space="preserve">q, </w:t>
                  </w:r>
                  <w:r>
                    <w:rPr>
                      <w:i/>
                      <w:vertAlign w:val="subscript"/>
                    </w:rPr>
                    <w:t>h</w:t>
                  </w:r>
                </w:p>
              </w:tc>
              <w:tc>
                <w:tcPr>
                  <w:tcW w:w="383" w:type="pct"/>
                </w:tcPr>
                <w:p w14:paraId="64E0EFFA" w14:textId="77777777" w:rsidR="004B6091" w:rsidRDefault="004B6091" w:rsidP="004B6091">
                  <w:pPr>
                    <w:pStyle w:val="TableBody"/>
                    <w:jc w:val="center"/>
                  </w:pPr>
                  <w:r w:rsidRPr="00C93BDD">
                    <w:t>MW</w:t>
                  </w:r>
                </w:p>
              </w:tc>
              <w:tc>
                <w:tcPr>
                  <w:tcW w:w="3521" w:type="pct"/>
                </w:tcPr>
                <w:p w14:paraId="246344C8" w14:textId="77777777" w:rsidR="004B6091" w:rsidRDefault="004B6091" w:rsidP="004B6091">
                  <w:pPr>
                    <w:pStyle w:val="TableBody"/>
                    <w:rPr>
                      <w:i/>
                    </w:rPr>
                  </w:pPr>
                  <w:r w:rsidRPr="002A63B2">
                    <w:rPr>
                      <w:i/>
                    </w:rPr>
                    <w:t xml:space="preserve">Regulation Up </w:t>
                  </w:r>
                  <w:r>
                    <w:rPr>
                      <w:i/>
                    </w:rPr>
                    <w:t>Position</w:t>
                  </w:r>
                  <w:r w:rsidRPr="002A63B2">
                    <w:rPr>
                      <w:i/>
                    </w:rPr>
                    <w:t xml:space="preserve"> at End of Adjustment Period</w:t>
                  </w:r>
                  <w:r w:rsidRPr="00C93BDD">
                    <w:t xml:space="preserve"> </w:t>
                  </w:r>
                  <w:r w:rsidRPr="00C93BDD">
                    <w:sym w:font="Symbol" w:char="F0BE"/>
                  </w:r>
                  <w:r w:rsidRPr="00C93BDD">
                    <w:t xml:space="preserve">The </w:t>
                  </w:r>
                  <w:r>
                    <w:t xml:space="preserve">QSE </w:t>
                  </w:r>
                  <w:r w:rsidRPr="002A63B2">
                    <w:rPr>
                      <w:i/>
                    </w:rPr>
                    <w:t>q’s</w:t>
                  </w:r>
                  <w:r>
                    <w:rPr>
                      <w:i/>
                    </w:rPr>
                    <w:t xml:space="preserve"> </w:t>
                  </w:r>
                  <w:r w:rsidRPr="00C93BDD">
                    <w:t>Reg</w:t>
                  </w:r>
                  <w:r>
                    <w:t>-</w:t>
                  </w:r>
                  <w:r w:rsidRPr="00C93BDD">
                    <w:t xml:space="preserve">Up </w:t>
                  </w:r>
                  <w:r>
                    <w:t>Ancillary Service Position</w:t>
                  </w:r>
                  <w:r w:rsidRPr="00C93BDD">
                    <w:t xml:space="preserve"> </w:t>
                  </w:r>
                  <w:r>
                    <w:t xml:space="preserve">at the end of the Adjustment Period </w:t>
                  </w:r>
                  <w:r w:rsidRPr="00CE20AF">
                    <w:t xml:space="preserve">for </w:t>
                  </w:r>
                  <w:r>
                    <w:t xml:space="preserve">the hour </w:t>
                  </w:r>
                  <w:r>
                    <w:rPr>
                      <w:i/>
                    </w:rPr>
                    <w:t xml:space="preserve">h </w:t>
                  </w:r>
                  <w:r>
                    <w:t xml:space="preserve">that includes </w:t>
                  </w:r>
                  <w:r w:rsidRPr="00CE20AF">
                    <w:t>the 15-minute Settlement Interval.</w:t>
                  </w:r>
                </w:p>
              </w:tc>
            </w:tr>
            <w:tr w:rsidR="004B6091" w14:paraId="01C1991D" w14:textId="77777777" w:rsidTr="0093076E">
              <w:trPr>
                <w:cantSplit/>
              </w:trPr>
              <w:tc>
                <w:tcPr>
                  <w:tcW w:w="1096" w:type="pct"/>
                </w:tcPr>
                <w:p w14:paraId="66A9253C" w14:textId="77777777" w:rsidR="004B6091" w:rsidRDefault="004B6091" w:rsidP="004B6091">
                  <w:pPr>
                    <w:pStyle w:val="TableBody"/>
                  </w:pPr>
                  <w:r w:rsidRPr="0043255B">
                    <w:t>RR</w:t>
                  </w:r>
                  <w:r>
                    <w:t>POS</w:t>
                  </w:r>
                  <w:r w:rsidRPr="0043255B">
                    <w:rPr>
                      <w:lang w:val="it-IT"/>
                    </w:rPr>
                    <w:t>ADJ</w:t>
                  </w:r>
                  <w:r w:rsidRPr="0043255B">
                    <w:t xml:space="preserve"> </w:t>
                  </w:r>
                  <w:r w:rsidRPr="00632735">
                    <w:rPr>
                      <w:i/>
                      <w:vertAlign w:val="subscript"/>
                    </w:rPr>
                    <w:t xml:space="preserve">q, </w:t>
                  </w:r>
                  <w:r>
                    <w:rPr>
                      <w:i/>
                      <w:vertAlign w:val="subscript"/>
                    </w:rPr>
                    <w:t>h</w:t>
                  </w:r>
                </w:p>
              </w:tc>
              <w:tc>
                <w:tcPr>
                  <w:tcW w:w="383" w:type="pct"/>
                </w:tcPr>
                <w:p w14:paraId="02066F87" w14:textId="77777777" w:rsidR="004B6091" w:rsidRDefault="004B6091" w:rsidP="004B6091">
                  <w:pPr>
                    <w:pStyle w:val="TableBody"/>
                    <w:jc w:val="center"/>
                  </w:pPr>
                  <w:r w:rsidRPr="0043255B">
                    <w:t>MW</w:t>
                  </w:r>
                </w:p>
              </w:tc>
              <w:tc>
                <w:tcPr>
                  <w:tcW w:w="3521" w:type="pct"/>
                </w:tcPr>
                <w:p w14:paraId="4BF143C4" w14:textId="77777777" w:rsidR="004B6091" w:rsidRDefault="004B6091" w:rsidP="004B6091">
                  <w:pPr>
                    <w:pStyle w:val="TableBody"/>
                    <w:rPr>
                      <w:i/>
                    </w:rPr>
                  </w:pPr>
                  <w:r w:rsidRPr="002A63B2">
                    <w:rPr>
                      <w:i/>
                    </w:rPr>
                    <w:t xml:space="preserve">Responsive Reserve Service </w:t>
                  </w:r>
                  <w:r>
                    <w:rPr>
                      <w:i/>
                    </w:rPr>
                    <w:t>Position</w:t>
                  </w:r>
                  <w:r w:rsidRPr="002A63B2">
                    <w:rPr>
                      <w:i/>
                    </w:rPr>
                    <w:t xml:space="preserve"> at End of Adjustment Period</w:t>
                  </w:r>
                  <w:r w:rsidRPr="0043255B">
                    <w:t xml:space="preserve"> </w:t>
                  </w:r>
                  <w:r w:rsidRPr="0043255B">
                    <w:sym w:font="Symbol" w:char="F0BE"/>
                  </w:r>
                  <w:r w:rsidRPr="0043255B">
                    <w:t xml:space="preserve">The </w:t>
                  </w:r>
                  <w:r>
                    <w:t xml:space="preserve">QSE </w:t>
                  </w:r>
                  <w:r>
                    <w:rPr>
                      <w:i/>
                    </w:rPr>
                    <w:t xml:space="preserve">q’s </w:t>
                  </w:r>
                  <w:r w:rsidRPr="0043255B">
                    <w:t xml:space="preserve">RRS </w:t>
                  </w:r>
                  <w:r>
                    <w:t>Ancillary Service Position</w:t>
                  </w:r>
                  <w:r w:rsidRPr="0043255B">
                    <w:t xml:space="preserve"> </w:t>
                  </w:r>
                  <w:r>
                    <w:t xml:space="preserve">at the end of the Adjustment Period </w:t>
                  </w:r>
                  <w:r w:rsidRPr="0043255B">
                    <w:t xml:space="preserve">for </w:t>
                  </w:r>
                  <w:r>
                    <w:t xml:space="preserve">the hour </w:t>
                  </w:r>
                  <w:r>
                    <w:rPr>
                      <w:i/>
                    </w:rPr>
                    <w:t xml:space="preserve">h </w:t>
                  </w:r>
                  <w:r>
                    <w:t xml:space="preserve">that includes </w:t>
                  </w:r>
                  <w:r w:rsidRPr="0043255B">
                    <w:t>the 15-minute Settlement Interval.</w:t>
                  </w:r>
                </w:p>
              </w:tc>
            </w:tr>
            <w:tr w:rsidR="004B6091" w14:paraId="192BC6F3" w14:textId="77777777" w:rsidTr="0093076E">
              <w:trPr>
                <w:cantSplit/>
              </w:trPr>
              <w:tc>
                <w:tcPr>
                  <w:tcW w:w="1096" w:type="pct"/>
                </w:tcPr>
                <w:p w14:paraId="7B1BAF05" w14:textId="77777777" w:rsidR="004B6091" w:rsidRDefault="004B6091" w:rsidP="004B6091">
                  <w:pPr>
                    <w:pStyle w:val="TableBody"/>
                  </w:pPr>
                  <w:r w:rsidRPr="0043255B">
                    <w:lastRenderedPageBreak/>
                    <w:t>ECR</w:t>
                  </w:r>
                  <w:r>
                    <w:t>POS</w:t>
                  </w:r>
                  <w:r w:rsidRPr="0043255B">
                    <w:rPr>
                      <w:lang w:val="it-IT"/>
                    </w:rPr>
                    <w:t>ADJ</w:t>
                  </w:r>
                  <w:r w:rsidRPr="0043255B">
                    <w:t xml:space="preserve"> </w:t>
                  </w:r>
                  <w:r w:rsidRPr="00632735">
                    <w:rPr>
                      <w:i/>
                      <w:vertAlign w:val="subscript"/>
                    </w:rPr>
                    <w:t xml:space="preserve">q, </w:t>
                  </w:r>
                  <w:r>
                    <w:rPr>
                      <w:i/>
                      <w:vertAlign w:val="subscript"/>
                    </w:rPr>
                    <w:t>h</w:t>
                  </w:r>
                </w:p>
              </w:tc>
              <w:tc>
                <w:tcPr>
                  <w:tcW w:w="383" w:type="pct"/>
                </w:tcPr>
                <w:p w14:paraId="70164994" w14:textId="77777777" w:rsidR="004B6091" w:rsidRDefault="004B6091" w:rsidP="004B6091">
                  <w:pPr>
                    <w:pStyle w:val="TableBody"/>
                    <w:jc w:val="center"/>
                  </w:pPr>
                  <w:r w:rsidRPr="0043255B">
                    <w:t>MW</w:t>
                  </w:r>
                </w:p>
              </w:tc>
              <w:tc>
                <w:tcPr>
                  <w:tcW w:w="3521" w:type="pct"/>
                </w:tcPr>
                <w:p w14:paraId="22119FCA" w14:textId="77777777" w:rsidR="004B6091" w:rsidRDefault="004B6091" w:rsidP="004B6091">
                  <w:pPr>
                    <w:pStyle w:val="TableBody"/>
                    <w:rPr>
                      <w:i/>
                    </w:rPr>
                  </w:pPr>
                  <w:r w:rsidRPr="002A63B2">
                    <w:rPr>
                      <w:i/>
                    </w:rPr>
                    <w:t>ERCOT Conti</w:t>
                  </w:r>
                  <w:r>
                    <w:rPr>
                      <w:i/>
                    </w:rPr>
                    <w:t>n</w:t>
                  </w:r>
                  <w:r w:rsidRPr="002A63B2">
                    <w:rPr>
                      <w:i/>
                    </w:rPr>
                    <w:t xml:space="preserve">gency Reserve Service </w:t>
                  </w:r>
                  <w:r>
                    <w:rPr>
                      <w:i/>
                    </w:rPr>
                    <w:t>Position</w:t>
                  </w:r>
                  <w:r w:rsidRPr="002A63B2">
                    <w:rPr>
                      <w:i/>
                    </w:rPr>
                    <w:t xml:space="preserve"> at End of Adjustment Period</w:t>
                  </w:r>
                  <w:r w:rsidRPr="0043255B">
                    <w:t xml:space="preserve"> </w:t>
                  </w:r>
                  <w:r w:rsidRPr="0043255B">
                    <w:sym w:font="Symbol" w:char="F0BE"/>
                  </w:r>
                  <w:r w:rsidRPr="0043255B">
                    <w:t xml:space="preserve">The </w:t>
                  </w:r>
                  <w:r>
                    <w:t xml:space="preserve">QSE </w:t>
                  </w:r>
                  <w:r>
                    <w:rPr>
                      <w:i/>
                    </w:rPr>
                    <w:t xml:space="preserve">q’s </w:t>
                  </w:r>
                  <w:r w:rsidRPr="0043255B">
                    <w:t xml:space="preserve">ECRS </w:t>
                  </w:r>
                  <w:r>
                    <w:t>Ancillary Service Position</w:t>
                  </w:r>
                  <w:r w:rsidRPr="0043255B">
                    <w:t xml:space="preserve"> </w:t>
                  </w:r>
                  <w:r>
                    <w:t>at the end of the Adjustment Period</w:t>
                  </w:r>
                  <w:r w:rsidRPr="0043255B">
                    <w:t xml:space="preserve"> for </w:t>
                  </w:r>
                  <w:r>
                    <w:t xml:space="preserve">the hour </w:t>
                  </w:r>
                  <w:r>
                    <w:rPr>
                      <w:i/>
                    </w:rPr>
                    <w:t xml:space="preserve">h </w:t>
                  </w:r>
                  <w:r>
                    <w:t xml:space="preserve">that includes </w:t>
                  </w:r>
                  <w:r w:rsidRPr="0043255B">
                    <w:t>the 15-minute Settlement Interval.</w:t>
                  </w:r>
                </w:p>
              </w:tc>
            </w:tr>
            <w:tr w:rsidR="004B6091" w14:paraId="241AB3EC" w14:textId="77777777" w:rsidTr="0093076E">
              <w:trPr>
                <w:cantSplit/>
              </w:trPr>
              <w:tc>
                <w:tcPr>
                  <w:tcW w:w="1096" w:type="pct"/>
                </w:tcPr>
                <w:p w14:paraId="3F7C2574" w14:textId="77777777" w:rsidR="004B6091" w:rsidRDefault="004B6091" w:rsidP="004B6091">
                  <w:pPr>
                    <w:pStyle w:val="TableBody"/>
                  </w:pPr>
                  <w:r w:rsidRPr="0043255B">
                    <w:t>NS</w:t>
                  </w:r>
                  <w:r>
                    <w:t>POS</w:t>
                  </w:r>
                  <w:r w:rsidRPr="0043255B">
                    <w:rPr>
                      <w:lang w:val="it-IT"/>
                    </w:rPr>
                    <w:t>ADJ</w:t>
                  </w:r>
                  <w:r w:rsidRPr="0043255B">
                    <w:t xml:space="preserve"> </w:t>
                  </w:r>
                  <w:r w:rsidRPr="00632735">
                    <w:rPr>
                      <w:i/>
                      <w:vertAlign w:val="subscript"/>
                    </w:rPr>
                    <w:t xml:space="preserve">q, </w:t>
                  </w:r>
                  <w:r>
                    <w:rPr>
                      <w:i/>
                      <w:vertAlign w:val="subscript"/>
                    </w:rPr>
                    <w:t>h</w:t>
                  </w:r>
                </w:p>
              </w:tc>
              <w:tc>
                <w:tcPr>
                  <w:tcW w:w="383" w:type="pct"/>
                </w:tcPr>
                <w:p w14:paraId="18B5B06E" w14:textId="77777777" w:rsidR="004B6091" w:rsidRDefault="004B6091" w:rsidP="004B6091">
                  <w:pPr>
                    <w:pStyle w:val="TableBody"/>
                    <w:jc w:val="center"/>
                  </w:pPr>
                  <w:r w:rsidRPr="0043255B">
                    <w:t>MW</w:t>
                  </w:r>
                </w:p>
              </w:tc>
              <w:tc>
                <w:tcPr>
                  <w:tcW w:w="3521" w:type="pct"/>
                </w:tcPr>
                <w:p w14:paraId="0D3E24E9" w14:textId="77777777" w:rsidR="004B6091" w:rsidRDefault="004B6091" w:rsidP="004B6091">
                  <w:pPr>
                    <w:pStyle w:val="TableBody"/>
                    <w:rPr>
                      <w:i/>
                    </w:rPr>
                  </w:pPr>
                  <w:r w:rsidRPr="004C4E72">
                    <w:rPr>
                      <w:i/>
                    </w:rPr>
                    <w:t xml:space="preserve">Non-Spin Reserve Service </w:t>
                  </w:r>
                  <w:r>
                    <w:rPr>
                      <w:i/>
                    </w:rPr>
                    <w:t>Position</w:t>
                  </w:r>
                  <w:r w:rsidRPr="004C4E72">
                    <w:rPr>
                      <w:i/>
                    </w:rPr>
                    <w:t xml:space="preserve"> at End of Adjustment Period</w:t>
                  </w:r>
                  <w:r w:rsidRPr="009A0FB8">
                    <w:t xml:space="preserve"> </w:t>
                  </w:r>
                  <w:r w:rsidRPr="0043255B">
                    <w:sym w:font="Symbol" w:char="F0BE"/>
                  </w:r>
                  <w:r w:rsidRPr="0043255B">
                    <w:t xml:space="preserve">The </w:t>
                  </w:r>
                  <w:r>
                    <w:t xml:space="preserve">QSE </w:t>
                  </w:r>
                  <w:r>
                    <w:rPr>
                      <w:i/>
                    </w:rPr>
                    <w:t xml:space="preserve">q’s </w:t>
                  </w:r>
                  <w:r w:rsidRPr="0043255B">
                    <w:t>Non-Spin</w:t>
                  </w:r>
                  <w:r>
                    <w:t xml:space="preserve"> Ancillary Service Position at the end of the Adjustment Period </w:t>
                  </w:r>
                  <w:r w:rsidRPr="0043255B">
                    <w:t xml:space="preserve">for </w:t>
                  </w:r>
                  <w:r>
                    <w:t xml:space="preserve">the hour </w:t>
                  </w:r>
                  <w:r>
                    <w:rPr>
                      <w:i/>
                    </w:rPr>
                    <w:t xml:space="preserve">h </w:t>
                  </w:r>
                  <w:r>
                    <w:t xml:space="preserve">that includes </w:t>
                  </w:r>
                  <w:r w:rsidRPr="0043255B">
                    <w:t>the 15-minute Settlement Interval.</w:t>
                  </w:r>
                </w:p>
              </w:tc>
            </w:tr>
            <w:tr w:rsidR="004B6091" w14:paraId="323E63DD" w14:textId="77777777" w:rsidTr="0093076E">
              <w:trPr>
                <w:cantSplit/>
              </w:trPr>
              <w:tc>
                <w:tcPr>
                  <w:tcW w:w="1096" w:type="pct"/>
                </w:tcPr>
                <w:p w14:paraId="2F751DD5" w14:textId="77777777" w:rsidR="004B6091" w:rsidRDefault="004B6091" w:rsidP="004B6091">
                  <w:pPr>
                    <w:pStyle w:val="TableBody"/>
                  </w:pPr>
                  <w:r w:rsidRPr="0043255B">
                    <w:t>RD</w:t>
                  </w:r>
                  <w:r>
                    <w:t>POS</w:t>
                  </w:r>
                  <w:r w:rsidRPr="0043255B">
                    <w:rPr>
                      <w:lang w:val="it-IT"/>
                    </w:rPr>
                    <w:t>ADJ</w:t>
                  </w:r>
                  <w:r w:rsidRPr="0043255B">
                    <w:t xml:space="preserve"> </w:t>
                  </w:r>
                  <w:r w:rsidRPr="00632735">
                    <w:rPr>
                      <w:i/>
                      <w:vertAlign w:val="subscript"/>
                    </w:rPr>
                    <w:t xml:space="preserve">q, </w:t>
                  </w:r>
                  <w:r>
                    <w:rPr>
                      <w:i/>
                      <w:vertAlign w:val="subscript"/>
                    </w:rPr>
                    <w:t>h</w:t>
                  </w:r>
                </w:p>
              </w:tc>
              <w:tc>
                <w:tcPr>
                  <w:tcW w:w="383" w:type="pct"/>
                </w:tcPr>
                <w:p w14:paraId="3B063797" w14:textId="77777777" w:rsidR="004B6091" w:rsidRDefault="004B6091" w:rsidP="004B6091">
                  <w:pPr>
                    <w:pStyle w:val="TableBody"/>
                    <w:jc w:val="center"/>
                  </w:pPr>
                  <w:r w:rsidRPr="0043255B">
                    <w:t>MW</w:t>
                  </w:r>
                </w:p>
              </w:tc>
              <w:tc>
                <w:tcPr>
                  <w:tcW w:w="3521" w:type="pct"/>
                </w:tcPr>
                <w:p w14:paraId="788F7312" w14:textId="4F42FD41" w:rsidR="004B6091" w:rsidRDefault="004B6091" w:rsidP="0093076E">
                  <w:pPr>
                    <w:pStyle w:val="TableBody"/>
                    <w:rPr>
                      <w:i/>
                    </w:rPr>
                  </w:pPr>
                  <w:r w:rsidRPr="004C4E72">
                    <w:rPr>
                      <w:i/>
                    </w:rPr>
                    <w:t xml:space="preserve">Regulation Down </w:t>
                  </w:r>
                  <w:r>
                    <w:rPr>
                      <w:i/>
                    </w:rPr>
                    <w:t>Position</w:t>
                  </w:r>
                  <w:r w:rsidRPr="004C4E72">
                    <w:rPr>
                      <w:i/>
                    </w:rPr>
                    <w:t xml:space="preserve"> at End of Adjustment Period</w:t>
                  </w:r>
                  <w:r w:rsidRPr="0043255B">
                    <w:t xml:space="preserve"> </w:t>
                  </w:r>
                  <w:r w:rsidRPr="0043255B">
                    <w:sym w:font="Symbol" w:char="F0BE"/>
                  </w:r>
                  <w:r w:rsidRPr="0043255B">
                    <w:t>The</w:t>
                  </w:r>
                  <w:r>
                    <w:t xml:space="preserve"> QSE </w:t>
                  </w:r>
                  <w:r>
                    <w:rPr>
                      <w:i/>
                    </w:rPr>
                    <w:t xml:space="preserve">q’s </w:t>
                  </w:r>
                  <w:r w:rsidRPr="0043255B">
                    <w:t>Reg</w:t>
                  </w:r>
                  <w:r>
                    <w:t>-</w:t>
                  </w:r>
                  <w:r w:rsidRPr="0043255B">
                    <w:t xml:space="preserve">Down </w:t>
                  </w:r>
                  <w:r>
                    <w:t>Ancillary Service Position</w:t>
                  </w:r>
                  <w:r w:rsidRPr="0043255B">
                    <w:t xml:space="preserve"> </w:t>
                  </w:r>
                  <w:r>
                    <w:t>at the end of the Adjustment period</w:t>
                  </w:r>
                  <w:r w:rsidRPr="0043255B">
                    <w:t xml:space="preserve"> for </w:t>
                  </w:r>
                  <w:r>
                    <w:t xml:space="preserve">the hour </w:t>
                  </w:r>
                  <w:r>
                    <w:rPr>
                      <w:i/>
                    </w:rPr>
                    <w:t xml:space="preserve">h </w:t>
                  </w:r>
                  <w:r>
                    <w:t xml:space="preserve">that includes </w:t>
                  </w:r>
                  <w:r w:rsidRPr="0043255B">
                    <w:t>the 15-minute Settlement Interval.</w:t>
                  </w:r>
                </w:p>
              </w:tc>
            </w:tr>
            <w:tr w:rsidR="004B6091" w14:paraId="22E7CD46" w14:textId="77777777" w:rsidTr="0093076E">
              <w:trPr>
                <w:cantSplit/>
              </w:trPr>
              <w:tc>
                <w:tcPr>
                  <w:tcW w:w="1096" w:type="pct"/>
                </w:tcPr>
                <w:p w14:paraId="1E89E589" w14:textId="77777777" w:rsidR="004B6091" w:rsidRDefault="004B6091" w:rsidP="004B6091">
                  <w:pPr>
                    <w:pStyle w:val="TableBody"/>
                  </w:pPr>
                  <w:r>
                    <w:t>ASOFFOFRADJ</w:t>
                  </w:r>
                  <w:r w:rsidRPr="00EE574A">
                    <w:rPr>
                      <w:i/>
                      <w:vertAlign w:val="subscript"/>
                    </w:rPr>
                    <w:t xml:space="preserve"> </w:t>
                  </w:r>
                  <w:r w:rsidRPr="00D0203E">
                    <w:rPr>
                      <w:i/>
                      <w:vertAlign w:val="subscript"/>
                    </w:rPr>
                    <w:t xml:space="preserve"> </w:t>
                  </w:r>
                  <w:r>
                    <w:rPr>
                      <w:i/>
                      <w:vertAlign w:val="subscript"/>
                    </w:rPr>
                    <w:t>q, r, h</w:t>
                  </w:r>
                </w:p>
              </w:tc>
              <w:tc>
                <w:tcPr>
                  <w:tcW w:w="383" w:type="pct"/>
                </w:tcPr>
                <w:p w14:paraId="2B3780DA" w14:textId="77777777" w:rsidR="004B6091" w:rsidRDefault="004B6091" w:rsidP="004B6091">
                  <w:pPr>
                    <w:pStyle w:val="TableBody"/>
                    <w:jc w:val="center"/>
                  </w:pPr>
                  <w:r>
                    <w:t>MW</w:t>
                  </w:r>
                </w:p>
              </w:tc>
              <w:tc>
                <w:tcPr>
                  <w:tcW w:w="3521" w:type="pct"/>
                </w:tcPr>
                <w:p w14:paraId="0B56FAFF" w14:textId="3CB2AA2F" w:rsidR="004B6091" w:rsidRDefault="004B6091" w:rsidP="004B6091">
                  <w:pPr>
                    <w:pStyle w:val="TableBody"/>
                    <w:rPr>
                      <w:i/>
                    </w:rPr>
                  </w:pPr>
                  <w:r>
                    <w:rPr>
                      <w:i/>
                    </w:rPr>
                    <w:t>Ancillary Service Offline Offers at End of Adjustment Period –</w:t>
                  </w:r>
                  <w:r>
                    <w:t xml:space="preserve">The capacity represented by validated Ancillary Service Offers for ECRS and Non-Spin for Resource </w:t>
                  </w:r>
                  <w:r>
                    <w:rPr>
                      <w:i/>
                    </w:rPr>
                    <w:t xml:space="preserve">r </w:t>
                  </w:r>
                  <w:r>
                    <w:t xml:space="preserve">represented by QSE </w:t>
                  </w:r>
                  <w:r>
                    <w:rPr>
                      <w:i/>
                    </w:rPr>
                    <w:t xml:space="preserve">q </w:t>
                  </w:r>
                  <w:r>
                    <w:t xml:space="preserve">at the end of the Adjustment Period for the hour </w:t>
                  </w:r>
                  <w:r>
                    <w:rPr>
                      <w:i/>
                    </w:rPr>
                    <w:t>h</w:t>
                  </w:r>
                  <w:r>
                    <w:t xml:space="preserve"> that includes the 15-minute Settlement Interval. </w:t>
                  </w:r>
                  <w:r w:rsidR="0093076E">
                    <w:t xml:space="preserve"> </w:t>
                  </w:r>
                  <w:r w:rsidRPr="0043255B">
                    <w:t xml:space="preserve">Where for a Combined Cycle Train, the Resource </w:t>
                  </w:r>
                  <w:r w:rsidRPr="0043255B">
                    <w:rPr>
                      <w:i/>
                    </w:rPr>
                    <w:t xml:space="preserve">r </w:t>
                  </w:r>
                  <w:r w:rsidRPr="0043255B">
                    <w:t>is a Combined Cycle Generation Resource within the Combined Cycle Train.</w:t>
                  </w:r>
                  <w:r>
                    <w:t xml:space="preserve">  A Resource’s offered capacity is only included in the sum to the extent that the Resource’s COP Status and Ancillary Service Capability indicate it would be capable of providing the Ancillary Service during the hour </w:t>
                  </w:r>
                  <w:r w:rsidRPr="00DA0528">
                    <w:rPr>
                      <w:i/>
                    </w:rPr>
                    <w:t>h</w:t>
                  </w:r>
                  <w:r>
                    <w:t>.</w:t>
                  </w:r>
                </w:p>
              </w:tc>
            </w:tr>
            <w:tr w:rsidR="004B6091" w14:paraId="143534E0" w14:textId="77777777" w:rsidTr="0093076E">
              <w:trPr>
                <w:cantSplit/>
              </w:trPr>
              <w:tc>
                <w:tcPr>
                  <w:tcW w:w="1096" w:type="pct"/>
                </w:tcPr>
                <w:p w14:paraId="31BAB898" w14:textId="77777777" w:rsidR="004B6091" w:rsidRDefault="004B6091" w:rsidP="004B6091">
                  <w:pPr>
                    <w:pStyle w:val="TableBody"/>
                  </w:pPr>
                  <w:r>
                    <w:t>ASOFRLRADJ</w:t>
                  </w:r>
                  <w:r w:rsidRPr="00EE574A">
                    <w:rPr>
                      <w:i/>
                      <w:vertAlign w:val="subscript"/>
                    </w:rPr>
                    <w:t xml:space="preserve"> </w:t>
                  </w:r>
                  <w:r>
                    <w:rPr>
                      <w:i/>
                      <w:vertAlign w:val="subscript"/>
                      <w:lang w:val="it-IT"/>
                    </w:rPr>
                    <w:t xml:space="preserve"> </w:t>
                  </w:r>
                  <w:r>
                    <w:rPr>
                      <w:i/>
                      <w:vertAlign w:val="subscript"/>
                    </w:rPr>
                    <w:t>q, r, h</w:t>
                  </w:r>
                </w:p>
              </w:tc>
              <w:tc>
                <w:tcPr>
                  <w:tcW w:w="383" w:type="pct"/>
                </w:tcPr>
                <w:p w14:paraId="6348619A" w14:textId="77777777" w:rsidR="004B6091" w:rsidRDefault="004B6091" w:rsidP="004B6091">
                  <w:pPr>
                    <w:pStyle w:val="TableBody"/>
                    <w:jc w:val="center"/>
                  </w:pPr>
                  <w:r>
                    <w:t>MW</w:t>
                  </w:r>
                </w:p>
              </w:tc>
              <w:tc>
                <w:tcPr>
                  <w:tcW w:w="3521" w:type="pct"/>
                </w:tcPr>
                <w:p w14:paraId="6AD54E99" w14:textId="3D258AAA" w:rsidR="004B6091" w:rsidRDefault="004B6091" w:rsidP="004B6091">
                  <w:pPr>
                    <w:pStyle w:val="TableBody"/>
                    <w:rPr>
                      <w:i/>
                    </w:rPr>
                  </w:pPr>
                  <w:r>
                    <w:rPr>
                      <w:i/>
                    </w:rPr>
                    <w:t xml:space="preserve">Ancillary Service Offer per Load Resource at End of Adjustment Period – </w:t>
                  </w:r>
                  <w:r>
                    <w:t xml:space="preserve">The capacity represented by validated Ancillary Service Offers for Reg-Up, Non-Spin, RRS, and ECRS for the Load Resource </w:t>
                  </w:r>
                  <w:r>
                    <w:rPr>
                      <w:i/>
                    </w:rPr>
                    <w:t xml:space="preserve">r </w:t>
                  </w:r>
                  <w:r>
                    <w:t xml:space="preserve">represented by QSE </w:t>
                  </w:r>
                  <w:r>
                    <w:rPr>
                      <w:i/>
                    </w:rPr>
                    <w:t xml:space="preserve">q </w:t>
                  </w:r>
                  <w:r w:rsidRPr="00413D8C">
                    <w:t xml:space="preserve">at </w:t>
                  </w:r>
                  <w:r>
                    <w:t xml:space="preserve">the end of the Adjustment Period for the hour </w:t>
                  </w:r>
                  <w:r>
                    <w:rPr>
                      <w:i/>
                    </w:rPr>
                    <w:t xml:space="preserve">h </w:t>
                  </w:r>
                  <w:r>
                    <w:t xml:space="preserve">that includes the 15-minute Settlement Interval.  A Resource’s offered capacity is only included in the sum to the extent that the Resource’s COP Status and Ancillary Service Capability indicate it would be capable of providing the Ancillary Service during the hour </w:t>
                  </w:r>
                  <w:r w:rsidRPr="00DA0528">
                    <w:rPr>
                      <w:i/>
                    </w:rPr>
                    <w:t>h</w:t>
                  </w:r>
                  <w:r>
                    <w:rPr>
                      <w:i/>
                    </w:rPr>
                    <w:t>.</w:t>
                  </w:r>
                </w:p>
              </w:tc>
            </w:tr>
            <w:tr w:rsidR="004B6091" w14:paraId="1CAF1A5E" w14:textId="77777777" w:rsidTr="0093076E">
              <w:trPr>
                <w:cantSplit/>
              </w:trPr>
              <w:tc>
                <w:tcPr>
                  <w:tcW w:w="1096" w:type="pct"/>
                </w:tcPr>
                <w:p w14:paraId="583A416D" w14:textId="77777777" w:rsidR="004B6091" w:rsidRDefault="004B6091" w:rsidP="004B6091">
                  <w:pPr>
                    <w:pStyle w:val="TableBody"/>
                  </w:pPr>
                  <w:r w:rsidRPr="0043255B">
                    <w:t>ASCAP</w:t>
                  </w:r>
                  <w:r>
                    <w:t>1</w:t>
                  </w:r>
                  <w:r w:rsidRPr="0043255B">
                    <w:rPr>
                      <w:lang w:val="it-IT"/>
                    </w:rPr>
                    <w:t>ADJ</w:t>
                  </w:r>
                  <w:r w:rsidRPr="0043255B">
                    <w:t xml:space="preserve"> </w:t>
                  </w:r>
                  <w:r w:rsidRPr="004C4E72">
                    <w:rPr>
                      <w:i/>
                      <w:vertAlign w:val="subscript"/>
                    </w:rPr>
                    <w:t>q,</w:t>
                  </w:r>
                  <w:r>
                    <w:rPr>
                      <w:i/>
                      <w:vertAlign w:val="subscript"/>
                    </w:rPr>
                    <w:t xml:space="preserve"> </w:t>
                  </w:r>
                  <w:r w:rsidRPr="004C4E72">
                    <w:rPr>
                      <w:i/>
                      <w:vertAlign w:val="subscript"/>
                    </w:rPr>
                    <w:t>i</w:t>
                  </w:r>
                </w:p>
              </w:tc>
              <w:tc>
                <w:tcPr>
                  <w:tcW w:w="383" w:type="pct"/>
                </w:tcPr>
                <w:p w14:paraId="4DECDA73" w14:textId="77777777" w:rsidR="004B6091" w:rsidRDefault="004B6091" w:rsidP="004B6091">
                  <w:pPr>
                    <w:pStyle w:val="TableBody"/>
                    <w:jc w:val="center"/>
                  </w:pPr>
                  <w:r w:rsidRPr="0043255B">
                    <w:t>MW</w:t>
                  </w:r>
                </w:p>
              </w:tc>
              <w:tc>
                <w:tcPr>
                  <w:tcW w:w="3521" w:type="pct"/>
                </w:tcPr>
                <w:p w14:paraId="12853E2E" w14:textId="77777777" w:rsidR="004B6091" w:rsidRDefault="004B6091" w:rsidP="004B6091">
                  <w:pPr>
                    <w:pStyle w:val="TableBody"/>
                    <w:rPr>
                      <w:i/>
                    </w:rPr>
                  </w:pPr>
                  <w:r w:rsidRPr="004C4E72">
                    <w:rPr>
                      <w:i/>
                    </w:rPr>
                    <w:t>Ancillary Service Net Capacity Level 1 at End of Adjustment Period</w:t>
                  </w:r>
                  <w:r w:rsidRPr="0043255B">
                    <w:t xml:space="preserve"> </w:t>
                  </w:r>
                  <w:r w:rsidRPr="0043255B">
                    <w:sym w:font="Symbol" w:char="F0BE"/>
                  </w:r>
                  <w:r w:rsidRPr="0043255B">
                    <w:t xml:space="preserve">The net capacity </w:t>
                  </w:r>
                  <w:r>
                    <w:t xml:space="preserve">at the end of the Adjustment Period </w:t>
                  </w:r>
                  <w:r w:rsidRPr="0043255B">
                    <w:t>for Reg</w:t>
                  </w:r>
                  <w:r>
                    <w:t>-</w:t>
                  </w:r>
                  <w:r w:rsidRPr="0043255B">
                    <w:t xml:space="preserve">Up for QSE </w:t>
                  </w:r>
                  <w:r w:rsidRPr="004C4E72">
                    <w:rPr>
                      <w:i/>
                    </w:rPr>
                    <w:t>q</w:t>
                  </w:r>
                  <w:r w:rsidRPr="0043255B">
                    <w:t>, for the 15-minute Settlement Interval</w:t>
                  </w:r>
                  <w:r>
                    <w:t xml:space="preserve"> </w:t>
                  </w:r>
                  <w:r w:rsidRPr="004C4E72">
                    <w:rPr>
                      <w:i/>
                    </w:rPr>
                    <w:t>i</w:t>
                  </w:r>
                  <w:r w:rsidRPr="0043255B">
                    <w:t>.</w:t>
                  </w:r>
                </w:p>
              </w:tc>
            </w:tr>
            <w:tr w:rsidR="004B6091" w14:paraId="0C665C12" w14:textId="77777777" w:rsidTr="0093076E">
              <w:trPr>
                <w:cantSplit/>
              </w:trPr>
              <w:tc>
                <w:tcPr>
                  <w:tcW w:w="1096" w:type="pct"/>
                </w:tcPr>
                <w:p w14:paraId="04934FB5" w14:textId="77777777" w:rsidR="004B6091" w:rsidRDefault="004B6091" w:rsidP="004B6091">
                  <w:pPr>
                    <w:pStyle w:val="TableBody"/>
                  </w:pPr>
                  <w:r w:rsidRPr="0043255B">
                    <w:t>ASCAP</w:t>
                  </w:r>
                  <w:r>
                    <w:t>2</w:t>
                  </w:r>
                  <w:r w:rsidRPr="0043255B">
                    <w:rPr>
                      <w:lang w:val="it-IT"/>
                    </w:rPr>
                    <w:t>ADJ</w:t>
                  </w:r>
                  <w:r w:rsidRPr="0043255B">
                    <w:t xml:space="preserve"> </w:t>
                  </w:r>
                  <w:r w:rsidRPr="004C4E72">
                    <w:rPr>
                      <w:i/>
                      <w:vertAlign w:val="subscript"/>
                    </w:rPr>
                    <w:t>q,</w:t>
                  </w:r>
                  <w:r>
                    <w:rPr>
                      <w:i/>
                      <w:vertAlign w:val="subscript"/>
                    </w:rPr>
                    <w:t xml:space="preserve"> </w:t>
                  </w:r>
                  <w:r w:rsidRPr="004C4E72">
                    <w:rPr>
                      <w:i/>
                      <w:vertAlign w:val="subscript"/>
                    </w:rPr>
                    <w:t>i</w:t>
                  </w:r>
                </w:p>
              </w:tc>
              <w:tc>
                <w:tcPr>
                  <w:tcW w:w="383" w:type="pct"/>
                </w:tcPr>
                <w:p w14:paraId="22659824" w14:textId="77777777" w:rsidR="004B6091" w:rsidRDefault="004B6091" w:rsidP="004B6091">
                  <w:pPr>
                    <w:pStyle w:val="TableBody"/>
                    <w:jc w:val="center"/>
                  </w:pPr>
                  <w:r w:rsidRPr="0043255B">
                    <w:t>MW</w:t>
                  </w:r>
                </w:p>
              </w:tc>
              <w:tc>
                <w:tcPr>
                  <w:tcW w:w="3521" w:type="pct"/>
                </w:tcPr>
                <w:p w14:paraId="2E8A5833" w14:textId="77777777" w:rsidR="004B6091" w:rsidRDefault="004B6091" w:rsidP="004B6091">
                  <w:pPr>
                    <w:pStyle w:val="TableBody"/>
                    <w:rPr>
                      <w:i/>
                    </w:rPr>
                  </w:pPr>
                  <w:r w:rsidRPr="004C4E72">
                    <w:rPr>
                      <w:i/>
                    </w:rPr>
                    <w:t>Ancillary Service Net Capacity Level 2 at End of Adjustment Period</w:t>
                  </w:r>
                  <w:r w:rsidRPr="0043255B">
                    <w:t xml:space="preserve"> </w:t>
                  </w:r>
                  <w:r w:rsidRPr="0043255B">
                    <w:sym w:font="Symbol" w:char="F0BE"/>
                  </w:r>
                  <w:r w:rsidRPr="0043255B">
                    <w:t xml:space="preserve">The net capacity </w:t>
                  </w:r>
                  <w:r>
                    <w:t xml:space="preserve">at the end of the Adjustment Period </w:t>
                  </w:r>
                  <w:r w:rsidRPr="0043255B">
                    <w:t xml:space="preserve">for RRS for QSE </w:t>
                  </w:r>
                  <w:r w:rsidRPr="004C4E72">
                    <w:rPr>
                      <w:i/>
                    </w:rPr>
                    <w:t>q</w:t>
                  </w:r>
                  <w:r w:rsidRPr="0043255B">
                    <w:t>, for the 15-minute Settlement Interval</w:t>
                  </w:r>
                  <w:r>
                    <w:t xml:space="preserve"> </w:t>
                  </w:r>
                  <w:r w:rsidRPr="004C4E72">
                    <w:rPr>
                      <w:i/>
                    </w:rPr>
                    <w:t>i</w:t>
                  </w:r>
                  <w:r w:rsidRPr="0043255B">
                    <w:t>.</w:t>
                  </w:r>
                </w:p>
              </w:tc>
            </w:tr>
            <w:tr w:rsidR="004B6091" w14:paraId="2DD378ED" w14:textId="77777777" w:rsidTr="0093076E">
              <w:trPr>
                <w:cantSplit/>
              </w:trPr>
              <w:tc>
                <w:tcPr>
                  <w:tcW w:w="1096" w:type="pct"/>
                </w:tcPr>
                <w:p w14:paraId="4DE6D337" w14:textId="77777777" w:rsidR="004B6091" w:rsidRDefault="004B6091" w:rsidP="004B6091">
                  <w:pPr>
                    <w:pStyle w:val="TableBody"/>
                  </w:pPr>
                  <w:r w:rsidRPr="0043255B">
                    <w:t>ASCAP</w:t>
                  </w:r>
                  <w:r>
                    <w:t>3</w:t>
                  </w:r>
                  <w:r w:rsidRPr="0043255B">
                    <w:rPr>
                      <w:lang w:val="it-IT"/>
                    </w:rPr>
                    <w:t>ADJ</w:t>
                  </w:r>
                  <w:r w:rsidRPr="0043255B">
                    <w:t xml:space="preserve"> </w:t>
                  </w:r>
                  <w:r w:rsidRPr="004C4E72">
                    <w:rPr>
                      <w:i/>
                      <w:vertAlign w:val="subscript"/>
                    </w:rPr>
                    <w:t>q,</w:t>
                  </w:r>
                  <w:r>
                    <w:rPr>
                      <w:i/>
                      <w:vertAlign w:val="subscript"/>
                    </w:rPr>
                    <w:t xml:space="preserve"> </w:t>
                  </w:r>
                  <w:r w:rsidRPr="004C4E72">
                    <w:rPr>
                      <w:i/>
                      <w:vertAlign w:val="subscript"/>
                    </w:rPr>
                    <w:t>i</w:t>
                  </w:r>
                </w:p>
              </w:tc>
              <w:tc>
                <w:tcPr>
                  <w:tcW w:w="383" w:type="pct"/>
                </w:tcPr>
                <w:p w14:paraId="2B41B30F" w14:textId="77777777" w:rsidR="004B6091" w:rsidRDefault="004B6091" w:rsidP="004B6091">
                  <w:pPr>
                    <w:pStyle w:val="TableBody"/>
                    <w:jc w:val="center"/>
                  </w:pPr>
                  <w:r w:rsidRPr="0043255B">
                    <w:t>MW</w:t>
                  </w:r>
                </w:p>
              </w:tc>
              <w:tc>
                <w:tcPr>
                  <w:tcW w:w="3521" w:type="pct"/>
                </w:tcPr>
                <w:p w14:paraId="127F0445" w14:textId="77777777" w:rsidR="004B6091" w:rsidRDefault="004B6091" w:rsidP="004B6091">
                  <w:pPr>
                    <w:pStyle w:val="TableBody"/>
                    <w:rPr>
                      <w:i/>
                    </w:rPr>
                  </w:pPr>
                  <w:r w:rsidRPr="004C4E72">
                    <w:rPr>
                      <w:i/>
                    </w:rPr>
                    <w:t>Ancillary Service Net Capacity Level 3 at End of Adjustment Period</w:t>
                  </w:r>
                  <w:r w:rsidRPr="0043255B">
                    <w:t xml:space="preserve">  </w:t>
                  </w:r>
                  <w:r w:rsidRPr="0043255B">
                    <w:sym w:font="Symbol" w:char="F0BE"/>
                  </w:r>
                  <w:r w:rsidRPr="0043255B">
                    <w:t xml:space="preserve">The net capacity </w:t>
                  </w:r>
                  <w:r>
                    <w:t xml:space="preserve">at the end of the Adjustment Period </w:t>
                  </w:r>
                  <w:r w:rsidRPr="0043255B">
                    <w:t>for Reg</w:t>
                  </w:r>
                  <w:r>
                    <w:t>-</w:t>
                  </w:r>
                  <w:r w:rsidRPr="0043255B">
                    <w:t xml:space="preserve">Up </w:t>
                  </w:r>
                  <w:r>
                    <w:t>and</w:t>
                  </w:r>
                  <w:r w:rsidRPr="0043255B">
                    <w:t xml:space="preserve"> RRS for QSE </w:t>
                  </w:r>
                  <w:r w:rsidRPr="004C4E72">
                    <w:rPr>
                      <w:i/>
                    </w:rPr>
                    <w:t>q</w:t>
                  </w:r>
                  <w:r w:rsidRPr="0043255B">
                    <w:t>, for the 15-minute Settlement Interval</w:t>
                  </w:r>
                  <w:r>
                    <w:t xml:space="preserve"> </w:t>
                  </w:r>
                  <w:r w:rsidRPr="004C4E72">
                    <w:rPr>
                      <w:i/>
                    </w:rPr>
                    <w:t>i</w:t>
                  </w:r>
                  <w:r w:rsidRPr="0043255B">
                    <w:t>.</w:t>
                  </w:r>
                </w:p>
              </w:tc>
            </w:tr>
            <w:tr w:rsidR="004B6091" w14:paraId="4FA97281" w14:textId="77777777" w:rsidTr="0093076E">
              <w:trPr>
                <w:cantSplit/>
              </w:trPr>
              <w:tc>
                <w:tcPr>
                  <w:tcW w:w="1096" w:type="pct"/>
                </w:tcPr>
                <w:p w14:paraId="24D2D5DF" w14:textId="77777777" w:rsidR="004B6091" w:rsidRDefault="004B6091" w:rsidP="004B6091">
                  <w:pPr>
                    <w:pStyle w:val="TableBody"/>
                  </w:pPr>
                  <w:r w:rsidRPr="0043255B">
                    <w:t>ASCAP</w:t>
                  </w:r>
                  <w:r>
                    <w:t>4</w:t>
                  </w:r>
                  <w:r w:rsidRPr="0043255B">
                    <w:rPr>
                      <w:lang w:val="it-IT"/>
                    </w:rPr>
                    <w:t>ADJ</w:t>
                  </w:r>
                  <w:r w:rsidRPr="0043255B">
                    <w:t xml:space="preserve"> </w:t>
                  </w:r>
                  <w:r w:rsidRPr="004C4E72">
                    <w:rPr>
                      <w:i/>
                      <w:vertAlign w:val="subscript"/>
                    </w:rPr>
                    <w:t>q,</w:t>
                  </w:r>
                  <w:r>
                    <w:rPr>
                      <w:i/>
                      <w:vertAlign w:val="subscript"/>
                    </w:rPr>
                    <w:t xml:space="preserve"> </w:t>
                  </w:r>
                  <w:r w:rsidRPr="004C4E72">
                    <w:rPr>
                      <w:i/>
                      <w:vertAlign w:val="subscript"/>
                    </w:rPr>
                    <w:t>i</w:t>
                  </w:r>
                </w:p>
              </w:tc>
              <w:tc>
                <w:tcPr>
                  <w:tcW w:w="383" w:type="pct"/>
                </w:tcPr>
                <w:p w14:paraId="47638136" w14:textId="77777777" w:rsidR="004B6091" w:rsidRDefault="004B6091" w:rsidP="004B6091">
                  <w:pPr>
                    <w:pStyle w:val="TableBody"/>
                    <w:jc w:val="center"/>
                  </w:pPr>
                  <w:r w:rsidRPr="0043255B">
                    <w:t>MW</w:t>
                  </w:r>
                </w:p>
              </w:tc>
              <w:tc>
                <w:tcPr>
                  <w:tcW w:w="3521" w:type="pct"/>
                </w:tcPr>
                <w:p w14:paraId="4F60CD1B" w14:textId="77777777" w:rsidR="004B6091" w:rsidRDefault="004B6091" w:rsidP="004B6091">
                  <w:pPr>
                    <w:pStyle w:val="TableBody"/>
                    <w:rPr>
                      <w:i/>
                    </w:rPr>
                  </w:pPr>
                  <w:r w:rsidRPr="004C4E72">
                    <w:rPr>
                      <w:i/>
                    </w:rPr>
                    <w:t>Ancillary Service Net Capacity Level 4 at End of Adjustment Period</w:t>
                  </w:r>
                  <w:r w:rsidRPr="0043255B">
                    <w:t xml:space="preserve"> </w:t>
                  </w:r>
                  <w:r w:rsidRPr="0043255B">
                    <w:sym w:font="Symbol" w:char="F0BE"/>
                  </w:r>
                  <w:r w:rsidRPr="0043255B">
                    <w:t xml:space="preserve">The net capacity </w:t>
                  </w:r>
                  <w:r>
                    <w:t xml:space="preserve">at the end of the Adjustment Period </w:t>
                  </w:r>
                  <w:r w:rsidRPr="0043255B">
                    <w:t>for Reg</w:t>
                  </w:r>
                  <w:r>
                    <w:t>-</w:t>
                  </w:r>
                  <w:r w:rsidRPr="0043255B">
                    <w:t>Up</w:t>
                  </w:r>
                  <w:r>
                    <w:t xml:space="preserve">, </w:t>
                  </w:r>
                  <w:r w:rsidRPr="0043255B">
                    <w:t>R</w:t>
                  </w:r>
                  <w:r>
                    <w:t>R</w:t>
                  </w:r>
                  <w:r w:rsidRPr="0043255B">
                    <w:t>S</w:t>
                  </w:r>
                  <w:r>
                    <w:t xml:space="preserve">, and </w:t>
                  </w:r>
                  <w:r w:rsidRPr="0043255B">
                    <w:t>ECR</w:t>
                  </w:r>
                  <w:r>
                    <w:t>S</w:t>
                  </w:r>
                  <w:r w:rsidRPr="0043255B">
                    <w:t xml:space="preserve"> for QSE </w:t>
                  </w:r>
                  <w:r w:rsidRPr="00762932">
                    <w:rPr>
                      <w:i/>
                    </w:rPr>
                    <w:t>q</w:t>
                  </w:r>
                  <w:r w:rsidRPr="0043255B">
                    <w:t>, for the 15-minute Settlement Interval</w:t>
                  </w:r>
                  <w:r>
                    <w:t xml:space="preserve"> </w:t>
                  </w:r>
                  <w:r w:rsidRPr="00762932">
                    <w:rPr>
                      <w:i/>
                    </w:rPr>
                    <w:t>i</w:t>
                  </w:r>
                  <w:r w:rsidRPr="0043255B">
                    <w:t>.</w:t>
                  </w:r>
                </w:p>
              </w:tc>
            </w:tr>
            <w:tr w:rsidR="004B6091" w14:paraId="62EE4F14" w14:textId="77777777" w:rsidTr="0093076E">
              <w:trPr>
                <w:cantSplit/>
              </w:trPr>
              <w:tc>
                <w:tcPr>
                  <w:tcW w:w="1096" w:type="pct"/>
                </w:tcPr>
                <w:p w14:paraId="329A95B5" w14:textId="77777777" w:rsidR="004B6091" w:rsidRDefault="004B6091" w:rsidP="004B6091">
                  <w:pPr>
                    <w:pStyle w:val="TableBody"/>
                  </w:pPr>
                  <w:r w:rsidRPr="0043255B">
                    <w:t>ASCAP</w:t>
                  </w:r>
                  <w:r>
                    <w:t>5</w:t>
                  </w:r>
                  <w:r w:rsidRPr="0043255B">
                    <w:rPr>
                      <w:lang w:val="it-IT"/>
                    </w:rPr>
                    <w:t>ADJ</w:t>
                  </w:r>
                  <w:r w:rsidRPr="0043255B">
                    <w:t xml:space="preserve"> </w:t>
                  </w:r>
                  <w:r w:rsidRPr="00762932">
                    <w:rPr>
                      <w:i/>
                      <w:vertAlign w:val="subscript"/>
                    </w:rPr>
                    <w:t>q,</w:t>
                  </w:r>
                  <w:r>
                    <w:rPr>
                      <w:i/>
                      <w:vertAlign w:val="subscript"/>
                    </w:rPr>
                    <w:t xml:space="preserve"> </w:t>
                  </w:r>
                  <w:r w:rsidRPr="00762932">
                    <w:rPr>
                      <w:i/>
                      <w:vertAlign w:val="subscript"/>
                    </w:rPr>
                    <w:t>i</w:t>
                  </w:r>
                </w:p>
              </w:tc>
              <w:tc>
                <w:tcPr>
                  <w:tcW w:w="383" w:type="pct"/>
                </w:tcPr>
                <w:p w14:paraId="6F6E083C" w14:textId="77777777" w:rsidR="004B6091" w:rsidRDefault="004B6091" w:rsidP="004B6091">
                  <w:pPr>
                    <w:pStyle w:val="TableBody"/>
                    <w:jc w:val="center"/>
                  </w:pPr>
                  <w:r w:rsidRPr="0043255B">
                    <w:t>MW</w:t>
                  </w:r>
                </w:p>
              </w:tc>
              <w:tc>
                <w:tcPr>
                  <w:tcW w:w="3521" w:type="pct"/>
                </w:tcPr>
                <w:p w14:paraId="6B3ECA93" w14:textId="77777777" w:rsidR="004B6091" w:rsidRDefault="004B6091" w:rsidP="004B6091">
                  <w:pPr>
                    <w:pStyle w:val="TableBody"/>
                    <w:rPr>
                      <w:i/>
                    </w:rPr>
                  </w:pPr>
                  <w:r w:rsidRPr="00762932">
                    <w:rPr>
                      <w:i/>
                    </w:rPr>
                    <w:t>Ancillary Service Net Capacity Level 5 at End of Adjustment Period</w:t>
                  </w:r>
                  <w:r w:rsidRPr="0043255B">
                    <w:t xml:space="preserve"> </w:t>
                  </w:r>
                  <w:r w:rsidRPr="0043255B">
                    <w:sym w:font="Symbol" w:char="F0BE"/>
                  </w:r>
                  <w:r w:rsidRPr="0043255B">
                    <w:t>The</w:t>
                  </w:r>
                  <w:r>
                    <w:t xml:space="preserve"> </w:t>
                  </w:r>
                  <w:r w:rsidRPr="0043255B">
                    <w:t xml:space="preserve">net capacity </w:t>
                  </w:r>
                  <w:r>
                    <w:t xml:space="preserve">at the end of the Adjustment Period </w:t>
                  </w:r>
                  <w:r w:rsidRPr="0043255B">
                    <w:t>for Reg</w:t>
                  </w:r>
                  <w:r>
                    <w:t>-</w:t>
                  </w:r>
                  <w:r w:rsidRPr="0043255B">
                    <w:t>Up</w:t>
                  </w:r>
                  <w:r>
                    <w:t xml:space="preserve">, </w:t>
                  </w:r>
                  <w:r w:rsidRPr="0043255B">
                    <w:t>RR</w:t>
                  </w:r>
                  <w:r>
                    <w:t xml:space="preserve">S, </w:t>
                  </w:r>
                  <w:r w:rsidRPr="0043255B">
                    <w:t>ECR</w:t>
                  </w:r>
                  <w:r>
                    <w:t xml:space="preserve">S, and </w:t>
                  </w:r>
                  <w:r w:rsidRPr="0043255B">
                    <w:t xml:space="preserve">Non-Spin for QSE </w:t>
                  </w:r>
                  <w:r w:rsidRPr="00762932">
                    <w:rPr>
                      <w:i/>
                    </w:rPr>
                    <w:t>q</w:t>
                  </w:r>
                  <w:r w:rsidRPr="0043255B">
                    <w:t>, for the 15-minute Settlement Interval</w:t>
                  </w:r>
                  <w:r>
                    <w:t xml:space="preserve"> </w:t>
                  </w:r>
                  <w:r w:rsidRPr="00762932">
                    <w:rPr>
                      <w:i/>
                    </w:rPr>
                    <w:t>i</w:t>
                  </w:r>
                  <w:r w:rsidRPr="0043255B">
                    <w:t>.</w:t>
                  </w:r>
                </w:p>
              </w:tc>
            </w:tr>
            <w:tr w:rsidR="004B6091" w14:paraId="333862D2" w14:textId="77777777" w:rsidTr="0093076E">
              <w:trPr>
                <w:cantSplit/>
              </w:trPr>
              <w:tc>
                <w:tcPr>
                  <w:tcW w:w="1096" w:type="pct"/>
                </w:tcPr>
                <w:p w14:paraId="6B5C9ED6" w14:textId="77777777" w:rsidR="004B6091" w:rsidRDefault="004B6091" w:rsidP="004B6091">
                  <w:pPr>
                    <w:pStyle w:val="TableBody"/>
                  </w:pPr>
                  <w:r w:rsidRPr="0043255B">
                    <w:t>ASCA</w:t>
                  </w:r>
                  <w:r>
                    <w:t>P6</w:t>
                  </w:r>
                  <w:r w:rsidRPr="0043255B">
                    <w:rPr>
                      <w:lang w:val="it-IT"/>
                    </w:rPr>
                    <w:t>ADJ</w:t>
                  </w:r>
                  <w:r w:rsidRPr="0043255B">
                    <w:t xml:space="preserve"> </w:t>
                  </w:r>
                  <w:r>
                    <w:rPr>
                      <w:i/>
                      <w:vertAlign w:val="subscript"/>
                    </w:rPr>
                    <w:t>q</w:t>
                  </w:r>
                  <w:r w:rsidRPr="00762932">
                    <w:rPr>
                      <w:i/>
                      <w:vertAlign w:val="subscript"/>
                    </w:rPr>
                    <w:t>,</w:t>
                  </w:r>
                  <w:r>
                    <w:rPr>
                      <w:i/>
                      <w:vertAlign w:val="subscript"/>
                    </w:rPr>
                    <w:t xml:space="preserve"> </w:t>
                  </w:r>
                  <w:r w:rsidRPr="00762932">
                    <w:rPr>
                      <w:i/>
                      <w:vertAlign w:val="subscript"/>
                    </w:rPr>
                    <w:t>i</w:t>
                  </w:r>
                </w:p>
              </w:tc>
              <w:tc>
                <w:tcPr>
                  <w:tcW w:w="383" w:type="pct"/>
                </w:tcPr>
                <w:p w14:paraId="5B465926" w14:textId="77777777" w:rsidR="004B6091" w:rsidRDefault="004B6091" w:rsidP="004B6091">
                  <w:pPr>
                    <w:pStyle w:val="TableBody"/>
                    <w:jc w:val="center"/>
                  </w:pPr>
                  <w:r w:rsidRPr="0043255B">
                    <w:t>MW</w:t>
                  </w:r>
                </w:p>
              </w:tc>
              <w:tc>
                <w:tcPr>
                  <w:tcW w:w="3521" w:type="pct"/>
                </w:tcPr>
                <w:p w14:paraId="34D6E5BD" w14:textId="77777777" w:rsidR="004B6091" w:rsidRDefault="004B6091" w:rsidP="004B6091">
                  <w:pPr>
                    <w:pStyle w:val="TableBody"/>
                    <w:rPr>
                      <w:i/>
                    </w:rPr>
                  </w:pPr>
                  <w:r w:rsidRPr="00762932">
                    <w:rPr>
                      <w:i/>
                    </w:rPr>
                    <w:t>Ancillary Service Net Capacity Level 6 at End of Adjustment Period</w:t>
                  </w:r>
                  <w:r w:rsidRPr="0043255B">
                    <w:t xml:space="preserve"> </w:t>
                  </w:r>
                  <w:r w:rsidRPr="0043255B">
                    <w:sym w:font="Symbol" w:char="F0BE"/>
                  </w:r>
                  <w:r w:rsidRPr="0043255B">
                    <w:t xml:space="preserve"> The net capacity</w:t>
                  </w:r>
                  <w:r>
                    <w:t xml:space="preserve"> at the end of the Adjustment Period</w:t>
                  </w:r>
                  <w:r w:rsidRPr="0043255B">
                    <w:t xml:space="preserve"> for Reg</w:t>
                  </w:r>
                  <w:r>
                    <w:t>-Down</w:t>
                  </w:r>
                  <w:r w:rsidRPr="0043255B">
                    <w:t xml:space="preserve"> for QSE </w:t>
                  </w:r>
                  <w:r w:rsidRPr="00413D8C">
                    <w:rPr>
                      <w:i/>
                    </w:rPr>
                    <w:t>q</w:t>
                  </w:r>
                  <w:r w:rsidRPr="0043255B">
                    <w:t>, for the 15-minute Settlement Interval</w:t>
                  </w:r>
                  <w:r>
                    <w:t xml:space="preserve"> </w:t>
                  </w:r>
                  <w:r w:rsidRPr="00413D8C">
                    <w:rPr>
                      <w:i/>
                    </w:rPr>
                    <w:t>i</w:t>
                  </w:r>
                  <w:r w:rsidRPr="0043255B">
                    <w:t>.</w:t>
                  </w:r>
                </w:p>
              </w:tc>
            </w:tr>
            <w:tr w:rsidR="004B6091" w14:paraId="6592DF66" w14:textId="77777777" w:rsidTr="0093076E">
              <w:trPr>
                <w:cantSplit/>
              </w:trPr>
              <w:tc>
                <w:tcPr>
                  <w:tcW w:w="1096" w:type="pct"/>
                </w:tcPr>
                <w:p w14:paraId="1533DFFE" w14:textId="77777777" w:rsidR="004B6091" w:rsidRDefault="004B6091" w:rsidP="004B6091">
                  <w:pPr>
                    <w:pStyle w:val="TableBody"/>
                  </w:pPr>
                  <w:r>
                    <w:lastRenderedPageBreak/>
                    <w:t>ASOFR1ADJ</w:t>
                  </w:r>
                  <w:r w:rsidRPr="00A342E8">
                    <w:rPr>
                      <w:i/>
                      <w:vertAlign w:val="subscript"/>
                      <w:lang w:val="it-IT"/>
                    </w:rPr>
                    <w:t xml:space="preserve"> </w:t>
                  </w:r>
                  <w:r w:rsidRPr="00FD2BB1">
                    <w:rPr>
                      <w:i/>
                      <w:vertAlign w:val="subscript"/>
                      <w:lang w:val="it-IT"/>
                    </w:rPr>
                    <w:t>q, r,</w:t>
                  </w:r>
                  <w:r>
                    <w:rPr>
                      <w:i/>
                      <w:vertAlign w:val="subscript"/>
                      <w:lang w:val="it-IT"/>
                    </w:rPr>
                    <w:t xml:space="preserve"> h</w:t>
                  </w:r>
                </w:p>
              </w:tc>
              <w:tc>
                <w:tcPr>
                  <w:tcW w:w="383" w:type="pct"/>
                </w:tcPr>
                <w:p w14:paraId="0224D49D" w14:textId="77777777" w:rsidR="004B6091" w:rsidRDefault="004B6091" w:rsidP="004B6091">
                  <w:pPr>
                    <w:pStyle w:val="TableBody"/>
                    <w:jc w:val="center"/>
                  </w:pPr>
                  <w:r>
                    <w:t>MW</w:t>
                  </w:r>
                </w:p>
              </w:tc>
              <w:tc>
                <w:tcPr>
                  <w:tcW w:w="3521" w:type="pct"/>
                </w:tcPr>
                <w:p w14:paraId="59FD4D7F" w14:textId="77777777" w:rsidR="004B6091" w:rsidRDefault="004B6091" w:rsidP="004B6091">
                  <w:pPr>
                    <w:pStyle w:val="TableBody"/>
                    <w:rPr>
                      <w:i/>
                    </w:rPr>
                  </w:pPr>
                  <w:r>
                    <w:rPr>
                      <w:i/>
                    </w:rPr>
                    <w:t xml:space="preserve">Ancillary Service Offer Level 1 at End of Adjustment Period – </w:t>
                  </w:r>
                  <w:r>
                    <w:t xml:space="preserve">The capacity represented by validated Reg-Up Ancillary Service Offers for Resource </w:t>
                  </w:r>
                  <w:r>
                    <w:rPr>
                      <w:i/>
                    </w:rPr>
                    <w:t xml:space="preserve">r </w:t>
                  </w:r>
                  <w:r>
                    <w:t xml:space="preserve">represented by QSE </w:t>
                  </w:r>
                  <w:r>
                    <w:rPr>
                      <w:i/>
                    </w:rPr>
                    <w:t xml:space="preserve">q </w:t>
                  </w:r>
                  <w:r w:rsidRPr="00413D8C">
                    <w:t xml:space="preserve">at </w:t>
                  </w:r>
                  <w:r>
                    <w:t xml:space="preserve">the end of the Adjustment Period for the hour </w:t>
                  </w:r>
                  <w:r>
                    <w:rPr>
                      <w:i/>
                    </w:rPr>
                    <w:t xml:space="preserve">h </w:t>
                  </w:r>
                  <w:r>
                    <w:t xml:space="preserve">that includes the 15-minute Settlement Interval.  </w:t>
                  </w:r>
                  <w:r w:rsidRPr="0043255B">
                    <w:t xml:space="preserve">Where for a Combined Cycle Train, the Resource </w:t>
                  </w:r>
                  <w:r w:rsidRPr="0043255B">
                    <w:rPr>
                      <w:i/>
                    </w:rPr>
                    <w:t xml:space="preserve">r </w:t>
                  </w:r>
                  <w:r w:rsidRPr="0043255B">
                    <w:t xml:space="preserve">is a Combined Cycle Generation Resource within the Combined Cycle Train.  </w:t>
                  </w:r>
                  <w:r>
                    <w:t xml:space="preserve">A Resource’s offered capacity is only included in the sum to the extent that the Resource’s COP status and Ancillary Service Capability indicate it would be capable of providing the Ancillary Service during the hour </w:t>
                  </w:r>
                  <w:r w:rsidRPr="00DA0528">
                    <w:rPr>
                      <w:i/>
                    </w:rPr>
                    <w:t>h</w:t>
                  </w:r>
                  <w:r>
                    <w:t>.</w:t>
                  </w:r>
                </w:p>
              </w:tc>
            </w:tr>
            <w:tr w:rsidR="004B6091" w14:paraId="6B297BD1" w14:textId="77777777" w:rsidTr="0093076E">
              <w:trPr>
                <w:cantSplit/>
              </w:trPr>
              <w:tc>
                <w:tcPr>
                  <w:tcW w:w="1096" w:type="pct"/>
                </w:tcPr>
                <w:p w14:paraId="4E9129DD" w14:textId="77777777" w:rsidR="004B6091" w:rsidRDefault="004B6091" w:rsidP="004B6091">
                  <w:pPr>
                    <w:pStyle w:val="TableBody"/>
                  </w:pPr>
                  <w:r>
                    <w:t>ASOFR2ADJ</w:t>
                  </w:r>
                  <w:r w:rsidRPr="00DE1AC6">
                    <w:rPr>
                      <w:i/>
                      <w:vertAlign w:val="subscript"/>
                      <w:lang w:val="it-IT"/>
                    </w:rPr>
                    <w:t xml:space="preserve"> </w:t>
                  </w:r>
                  <w:r w:rsidRPr="00FD2BB1">
                    <w:rPr>
                      <w:i/>
                      <w:vertAlign w:val="subscript"/>
                      <w:lang w:val="it-IT"/>
                    </w:rPr>
                    <w:t>q, r,</w:t>
                  </w:r>
                  <w:r>
                    <w:rPr>
                      <w:i/>
                      <w:vertAlign w:val="subscript"/>
                      <w:lang w:val="it-IT"/>
                    </w:rPr>
                    <w:t xml:space="preserve"> h</w:t>
                  </w:r>
                </w:p>
              </w:tc>
              <w:tc>
                <w:tcPr>
                  <w:tcW w:w="383" w:type="pct"/>
                </w:tcPr>
                <w:p w14:paraId="31FFED03" w14:textId="77777777" w:rsidR="004B6091" w:rsidRDefault="004B6091" w:rsidP="004B6091">
                  <w:pPr>
                    <w:pStyle w:val="TableBody"/>
                    <w:jc w:val="center"/>
                  </w:pPr>
                  <w:r>
                    <w:t>MW</w:t>
                  </w:r>
                </w:p>
              </w:tc>
              <w:tc>
                <w:tcPr>
                  <w:tcW w:w="3521" w:type="pct"/>
                </w:tcPr>
                <w:p w14:paraId="42344AE1" w14:textId="06F916AB" w:rsidR="004B6091" w:rsidRDefault="004B6091" w:rsidP="004B6091">
                  <w:pPr>
                    <w:pStyle w:val="TableBody"/>
                    <w:rPr>
                      <w:i/>
                    </w:rPr>
                  </w:pPr>
                  <w:r>
                    <w:rPr>
                      <w:i/>
                    </w:rPr>
                    <w:t xml:space="preserve">Ancillary Service Offer Level 2 at End of Adjustment Period – </w:t>
                  </w:r>
                  <w:r>
                    <w:t xml:space="preserve">The capacity represented by validated RRS Ancillary Service Offers for Resource </w:t>
                  </w:r>
                  <w:r>
                    <w:rPr>
                      <w:i/>
                    </w:rPr>
                    <w:t xml:space="preserve">r </w:t>
                  </w:r>
                  <w:r>
                    <w:t xml:space="preserve">represented by QSE </w:t>
                  </w:r>
                  <w:r>
                    <w:rPr>
                      <w:i/>
                    </w:rPr>
                    <w:t xml:space="preserve">q </w:t>
                  </w:r>
                  <w:r w:rsidRPr="00413D8C">
                    <w:t xml:space="preserve">at </w:t>
                  </w:r>
                  <w:r>
                    <w:t xml:space="preserve">the end of the Adjustment Period for the hour </w:t>
                  </w:r>
                  <w:r>
                    <w:rPr>
                      <w:i/>
                    </w:rPr>
                    <w:t xml:space="preserve">h </w:t>
                  </w:r>
                  <w:r>
                    <w:t xml:space="preserve">that includes the 15-minute Settlement Interval. </w:t>
                  </w:r>
                  <w:r w:rsidR="0093076E">
                    <w:t xml:space="preserve"> </w:t>
                  </w:r>
                  <w:r w:rsidRPr="0043255B">
                    <w:t xml:space="preserve">Where for a Combined Cycle Train, the Resource </w:t>
                  </w:r>
                  <w:r w:rsidRPr="0043255B">
                    <w:rPr>
                      <w:i/>
                    </w:rPr>
                    <w:t xml:space="preserve">r </w:t>
                  </w:r>
                  <w:r w:rsidRPr="0043255B">
                    <w:t xml:space="preserve">is a Combined Cycle Generation Resource within the Combined Cycle Train.  </w:t>
                  </w:r>
                  <w:r>
                    <w:t xml:space="preserve">A Resource’s offered capacity is only included in the sum to the extent that the Resource’s COP status and Ancillary Service Capability indicate it would be capable of providing the Ancillary Service during the hour </w:t>
                  </w:r>
                  <w:r w:rsidRPr="00DA0528">
                    <w:rPr>
                      <w:i/>
                    </w:rPr>
                    <w:t>h</w:t>
                  </w:r>
                  <w:r>
                    <w:t>.</w:t>
                  </w:r>
                </w:p>
              </w:tc>
            </w:tr>
            <w:tr w:rsidR="004B6091" w14:paraId="4048C11E" w14:textId="77777777" w:rsidTr="0093076E">
              <w:trPr>
                <w:cantSplit/>
              </w:trPr>
              <w:tc>
                <w:tcPr>
                  <w:tcW w:w="1096" w:type="pct"/>
                </w:tcPr>
                <w:p w14:paraId="317FF836" w14:textId="77777777" w:rsidR="004B6091" w:rsidRDefault="004B6091" w:rsidP="004B6091">
                  <w:pPr>
                    <w:pStyle w:val="TableBody"/>
                  </w:pPr>
                  <w:r>
                    <w:t xml:space="preserve">ASOFR3ADJ </w:t>
                  </w:r>
                  <w:r w:rsidRPr="00FD2BB1">
                    <w:rPr>
                      <w:i/>
                      <w:vertAlign w:val="subscript"/>
                      <w:lang w:val="it-IT"/>
                    </w:rPr>
                    <w:t>q, r,</w:t>
                  </w:r>
                  <w:r>
                    <w:rPr>
                      <w:i/>
                      <w:vertAlign w:val="subscript"/>
                      <w:lang w:val="it-IT"/>
                    </w:rPr>
                    <w:t xml:space="preserve"> h</w:t>
                  </w:r>
                </w:p>
              </w:tc>
              <w:tc>
                <w:tcPr>
                  <w:tcW w:w="383" w:type="pct"/>
                </w:tcPr>
                <w:p w14:paraId="1562100E" w14:textId="77777777" w:rsidR="004B6091" w:rsidRDefault="004B6091" w:rsidP="004B6091">
                  <w:pPr>
                    <w:pStyle w:val="TableBody"/>
                    <w:jc w:val="center"/>
                  </w:pPr>
                  <w:r>
                    <w:t>MW</w:t>
                  </w:r>
                </w:p>
              </w:tc>
              <w:tc>
                <w:tcPr>
                  <w:tcW w:w="3521" w:type="pct"/>
                </w:tcPr>
                <w:p w14:paraId="6E0E93CB" w14:textId="2C585026" w:rsidR="004B6091" w:rsidRDefault="004B6091" w:rsidP="004B6091">
                  <w:pPr>
                    <w:pStyle w:val="TableBody"/>
                    <w:rPr>
                      <w:i/>
                    </w:rPr>
                  </w:pPr>
                  <w:r>
                    <w:rPr>
                      <w:i/>
                    </w:rPr>
                    <w:t xml:space="preserve">Ancillary Service Offer Level 3 at End of Adjustment Period – </w:t>
                  </w:r>
                  <w:r>
                    <w:t xml:space="preserve">The capacity represented by validated Reg-Up and RRS Ancillary Service Offers for Resource </w:t>
                  </w:r>
                  <w:r>
                    <w:rPr>
                      <w:i/>
                    </w:rPr>
                    <w:t xml:space="preserve">r </w:t>
                  </w:r>
                  <w:r>
                    <w:t xml:space="preserve">represented by QSE </w:t>
                  </w:r>
                  <w:r>
                    <w:rPr>
                      <w:i/>
                    </w:rPr>
                    <w:t xml:space="preserve">q </w:t>
                  </w:r>
                  <w:r w:rsidRPr="00413D8C">
                    <w:t xml:space="preserve">at </w:t>
                  </w:r>
                  <w:r>
                    <w:t xml:space="preserve">the end of the Adjustment Period for the hour </w:t>
                  </w:r>
                  <w:r>
                    <w:rPr>
                      <w:i/>
                    </w:rPr>
                    <w:t xml:space="preserve">h </w:t>
                  </w:r>
                  <w:r>
                    <w:t xml:space="preserve">that includes the 15-minute Settlement Interval. </w:t>
                  </w:r>
                  <w:r w:rsidR="0093076E">
                    <w:t xml:space="preserve"> </w:t>
                  </w:r>
                  <w:r w:rsidRPr="0043255B">
                    <w:t xml:space="preserve">Where for a Combined Cycle Train, the Resource </w:t>
                  </w:r>
                  <w:r w:rsidRPr="0043255B">
                    <w:rPr>
                      <w:i/>
                    </w:rPr>
                    <w:t xml:space="preserve">r </w:t>
                  </w:r>
                  <w:r w:rsidRPr="0043255B">
                    <w:t xml:space="preserve">is a Combined Cycle Generation Resource within the Combined Cycle Train.  </w:t>
                  </w:r>
                  <w:r>
                    <w:t xml:space="preserve">A Resource’s offered capacity is only included in the sum to the extent that the Resource’s COP status and Ancillary Service Capability indicate it would be capable of providing the Ancillary Service during the hour </w:t>
                  </w:r>
                  <w:r w:rsidRPr="00DA0528">
                    <w:rPr>
                      <w:i/>
                    </w:rPr>
                    <w:t>h</w:t>
                  </w:r>
                  <w:r>
                    <w:t>.</w:t>
                  </w:r>
                </w:p>
              </w:tc>
            </w:tr>
            <w:tr w:rsidR="004B6091" w14:paraId="624C6277" w14:textId="77777777" w:rsidTr="0093076E">
              <w:trPr>
                <w:cantSplit/>
              </w:trPr>
              <w:tc>
                <w:tcPr>
                  <w:tcW w:w="1096" w:type="pct"/>
                </w:tcPr>
                <w:p w14:paraId="422564CE" w14:textId="77777777" w:rsidR="004B6091" w:rsidRDefault="004B6091" w:rsidP="004B6091">
                  <w:pPr>
                    <w:pStyle w:val="TableBody"/>
                  </w:pPr>
                  <w:r>
                    <w:t>ASOFR4ADJ</w:t>
                  </w:r>
                  <w:r w:rsidRPr="00597278">
                    <w:rPr>
                      <w:i/>
                      <w:vertAlign w:val="subscript"/>
                    </w:rPr>
                    <w:t xml:space="preserve"> q, r, h</w:t>
                  </w:r>
                </w:p>
              </w:tc>
              <w:tc>
                <w:tcPr>
                  <w:tcW w:w="383" w:type="pct"/>
                </w:tcPr>
                <w:p w14:paraId="2F990290" w14:textId="77777777" w:rsidR="004B6091" w:rsidRDefault="004B6091" w:rsidP="004B6091">
                  <w:pPr>
                    <w:pStyle w:val="TableBody"/>
                    <w:jc w:val="center"/>
                  </w:pPr>
                  <w:r>
                    <w:t>MW</w:t>
                  </w:r>
                </w:p>
              </w:tc>
              <w:tc>
                <w:tcPr>
                  <w:tcW w:w="3521" w:type="pct"/>
                </w:tcPr>
                <w:p w14:paraId="1C040BFB" w14:textId="3A82520B" w:rsidR="004B6091" w:rsidRDefault="004B6091" w:rsidP="004B6091">
                  <w:pPr>
                    <w:pStyle w:val="TableBody"/>
                    <w:rPr>
                      <w:i/>
                    </w:rPr>
                  </w:pPr>
                  <w:r>
                    <w:rPr>
                      <w:i/>
                    </w:rPr>
                    <w:t xml:space="preserve">Ancillary Service Offer Level 4 at End of Adjustment Period – </w:t>
                  </w:r>
                  <w:r>
                    <w:t xml:space="preserve">The capacity represented by validated Reg-Up, RRS, and ECRS Ancillary Service Offers for Resource </w:t>
                  </w:r>
                  <w:r>
                    <w:rPr>
                      <w:i/>
                    </w:rPr>
                    <w:t xml:space="preserve">r </w:t>
                  </w:r>
                  <w:r>
                    <w:t xml:space="preserve">represented by QSE </w:t>
                  </w:r>
                  <w:r>
                    <w:rPr>
                      <w:i/>
                    </w:rPr>
                    <w:t xml:space="preserve">q </w:t>
                  </w:r>
                  <w:r w:rsidRPr="00413D8C">
                    <w:t xml:space="preserve">at </w:t>
                  </w:r>
                  <w:r>
                    <w:t xml:space="preserve">the end of the Adjustment Period for the hour </w:t>
                  </w:r>
                  <w:r>
                    <w:rPr>
                      <w:i/>
                    </w:rPr>
                    <w:t xml:space="preserve">h </w:t>
                  </w:r>
                  <w:r>
                    <w:t xml:space="preserve">that includes the 15-minute Settlement Interval. </w:t>
                  </w:r>
                  <w:r w:rsidR="0093076E">
                    <w:t xml:space="preserve"> </w:t>
                  </w:r>
                  <w:r w:rsidRPr="0043255B">
                    <w:t xml:space="preserve">Where for a Combined Cycle Train, the Resource </w:t>
                  </w:r>
                  <w:r w:rsidRPr="0043255B">
                    <w:rPr>
                      <w:i/>
                    </w:rPr>
                    <w:t xml:space="preserve">r </w:t>
                  </w:r>
                  <w:r w:rsidRPr="0043255B">
                    <w:t xml:space="preserve">is a Combined Cycle Generation Resource within the Combined Cycle Train.  </w:t>
                  </w:r>
                  <w:r>
                    <w:t xml:space="preserve">A Resource’s offered capacity is only included in the sum to the extent that the Resource’s COP status and Ancillary Service Capability indicate it would be capable of providing the Ancillary Service during the hour </w:t>
                  </w:r>
                  <w:r w:rsidRPr="00DA0528">
                    <w:rPr>
                      <w:i/>
                    </w:rPr>
                    <w:t>h</w:t>
                  </w:r>
                  <w:r>
                    <w:t>.</w:t>
                  </w:r>
                </w:p>
              </w:tc>
            </w:tr>
            <w:tr w:rsidR="004B6091" w14:paraId="3601804A" w14:textId="77777777" w:rsidTr="0093076E">
              <w:trPr>
                <w:cantSplit/>
              </w:trPr>
              <w:tc>
                <w:tcPr>
                  <w:tcW w:w="1096" w:type="pct"/>
                </w:tcPr>
                <w:p w14:paraId="276A579B" w14:textId="77777777" w:rsidR="004B6091" w:rsidRDefault="004B6091" w:rsidP="004B6091">
                  <w:pPr>
                    <w:pStyle w:val="TableBody"/>
                  </w:pPr>
                  <w:r>
                    <w:t>ASOFR5ADJ</w:t>
                  </w:r>
                  <w:r w:rsidRPr="00597278">
                    <w:rPr>
                      <w:i/>
                      <w:vertAlign w:val="subscript"/>
                    </w:rPr>
                    <w:t xml:space="preserve"> q, r, h</w:t>
                  </w:r>
                </w:p>
              </w:tc>
              <w:tc>
                <w:tcPr>
                  <w:tcW w:w="383" w:type="pct"/>
                </w:tcPr>
                <w:p w14:paraId="35AFB01F" w14:textId="77777777" w:rsidR="004B6091" w:rsidRDefault="004B6091" w:rsidP="004B6091">
                  <w:pPr>
                    <w:pStyle w:val="TableBody"/>
                    <w:jc w:val="center"/>
                  </w:pPr>
                  <w:r>
                    <w:t>MW</w:t>
                  </w:r>
                </w:p>
              </w:tc>
              <w:tc>
                <w:tcPr>
                  <w:tcW w:w="3521" w:type="pct"/>
                </w:tcPr>
                <w:p w14:paraId="300474CC" w14:textId="06508DCE" w:rsidR="004B6091" w:rsidRDefault="004B6091" w:rsidP="004B6091">
                  <w:pPr>
                    <w:pStyle w:val="TableBody"/>
                    <w:rPr>
                      <w:i/>
                    </w:rPr>
                  </w:pPr>
                  <w:r>
                    <w:rPr>
                      <w:i/>
                    </w:rPr>
                    <w:t xml:space="preserve">Ancillary Service Offer Level 5 at End of Adjustment Period– </w:t>
                  </w:r>
                  <w:r>
                    <w:t xml:space="preserve">The capacity represented by validated Reg-Up, RRS, ECRS, and Non-Spin Ancillary Service Offers for Resource </w:t>
                  </w:r>
                  <w:r>
                    <w:rPr>
                      <w:i/>
                    </w:rPr>
                    <w:t xml:space="preserve">r </w:t>
                  </w:r>
                  <w:r>
                    <w:t xml:space="preserve">represented by QSE </w:t>
                  </w:r>
                  <w:r>
                    <w:rPr>
                      <w:i/>
                    </w:rPr>
                    <w:t xml:space="preserve">q </w:t>
                  </w:r>
                  <w:r w:rsidRPr="00413D8C">
                    <w:t xml:space="preserve">at </w:t>
                  </w:r>
                  <w:r>
                    <w:t xml:space="preserve">the end of the Adjustment Period for the hour </w:t>
                  </w:r>
                  <w:r>
                    <w:rPr>
                      <w:i/>
                    </w:rPr>
                    <w:t xml:space="preserve">h </w:t>
                  </w:r>
                  <w:r>
                    <w:t xml:space="preserve">that includes the 15-minute Settlement Interval. </w:t>
                  </w:r>
                  <w:r w:rsidR="0093076E">
                    <w:t xml:space="preserve"> </w:t>
                  </w:r>
                  <w:r w:rsidRPr="0043255B">
                    <w:t xml:space="preserve">Where for a Combined Cycle Train, the Resource </w:t>
                  </w:r>
                  <w:r w:rsidRPr="0043255B">
                    <w:rPr>
                      <w:i/>
                    </w:rPr>
                    <w:t xml:space="preserve">r </w:t>
                  </w:r>
                  <w:r w:rsidRPr="0043255B">
                    <w:t xml:space="preserve">is a Combined Cycle Generation Resource within the Combined Cycle Train.  </w:t>
                  </w:r>
                  <w:r>
                    <w:t xml:space="preserve">A Resource’s offered capacity is only included in the sum to the extent that the Resource’s COP status and Ancillary Service Capability indicate it would be capable of providing the Ancillary Service during the hour </w:t>
                  </w:r>
                  <w:r w:rsidRPr="00DA0528">
                    <w:rPr>
                      <w:i/>
                    </w:rPr>
                    <w:t>h</w:t>
                  </w:r>
                  <w:r>
                    <w:t>.</w:t>
                  </w:r>
                </w:p>
              </w:tc>
            </w:tr>
            <w:tr w:rsidR="004B6091" w14:paraId="2F15C4F8" w14:textId="77777777" w:rsidTr="0093076E">
              <w:trPr>
                <w:cantSplit/>
              </w:trPr>
              <w:tc>
                <w:tcPr>
                  <w:tcW w:w="1096" w:type="pct"/>
                </w:tcPr>
                <w:p w14:paraId="72A369FA" w14:textId="77777777" w:rsidR="004B6091" w:rsidRDefault="004B6091" w:rsidP="004B6091">
                  <w:pPr>
                    <w:pStyle w:val="TableBody"/>
                  </w:pPr>
                  <w:r>
                    <w:lastRenderedPageBreak/>
                    <w:t>ASOFR6ADJ</w:t>
                  </w:r>
                  <w:r w:rsidRPr="00597278">
                    <w:rPr>
                      <w:i/>
                      <w:vertAlign w:val="subscript"/>
                    </w:rPr>
                    <w:t xml:space="preserve"> q, r, h</w:t>
                  </w:r>
                </w:p>
              </w:tc>
              <w:tc>
                <w:tcPr>
                  <w:tcW w:w="383" w:type="pct"/>
                </w:tcPr>
                <w:p w14:paraId="02258686" w14:textId="77777777" w:rsidR="004B6091" w:rsidRDefault="004B6091" w:rsidP="004B6091">
                  <w:pPr>
                    <w:pStyle w:val="TableBody"/>
                    <w:jc w:val="center"/>
                  </w:pPr>
                  <w:r>
                    <w:t>MW</w:t>
                  </w:r>
                </w:p>
              </w:tc>
              <w:tc>
                <w:tcPr>
                  <w:tcW w:w="3521" w:type="pct"/>
                </w:tcPr>
                <w:p w14:paraId="74A668F7" w14:textId="30AB1EB6" w:rsidR="004B6091" w:rsidRDefault="004B6091" w:rsidP="004B6091">
                  <w:pPr>
                    <w:pStyle w:val="TableBody"/>
                    <w:rPr>
                      <w:i/>
                    </w:rPr>
                  </w:pPr>
                  <w:r>
                    <w:rPr>
                      <w:i/>
                    </w:rPr>
                    <w:t xml:space="preserve">Ancillary Service Offer Level 6 at End of Adjustment Period – </w:t>
                  </w:r>
                  <w:r>
                    <w:t xml:space="preserve">The capacity represented by validated Reg-Down Ancillary Service Offers for Resource </w:t>
                  </w:r>
                  <w:r>
                    <w:rPr>
                      <w:i/>
                    </w:rPr>
                    <w:t xml:space="preserve">r </w:t>
                  </w:r>
                  <w:r>
                    <w:t xml:space="preserve">represented by QSE </w:t>
                  </w:r>
                  <w:r>
                    <w:rPr>
                      <w:i/>
                    </w:rPr>
                    <w:t xml:space="preserve">q </w:t>
                  </w:r>
                  <w:r w:rsidRPr="00413D8C">
                    <w:t xml:space="preserve">at </w:t>
                  </w:r>
                  <w:r>
                    <w:t xml:space="preserve">the end of the Adjustment Period for the hour </w:t>
                  </w:r>
                  <w:r>
                    <w:rPr>
                      <w:i/>
                    </w:rPr>
                    <w:t xml:space="preserve">h </w:t>
                  </w:r>
                  <w:r>
                    <w:t xml:space="preserve">that includes the 15-minute Settlement Interval. </w:t>
                  </w:r>
                  <w:r w:rsidR="0093076E">
                    <w:t xml:space="preserve"> </w:t>
                  </w:r>
                  <w:r w:rsidRPr="0043255B">
                    <w:t xml:space="preserve">Where for a Combined Cycle Train, the Resource </w:t>
                  </w:r>
                  <w:r w:rsidRPr="0043255B">
                    <w:rPr>
                      <w:i/>
                    </w:rPr>
                    <w:t xml:space="preserve">r </w:t>
                  </w:r>
                  <w:r w:rsidRPr="0043255B">
                    <w:t xml:space="preserve">is a Combined Cycle Generation Resource within the Combined Cycle Train.  </w:t>
                  </w:r>
                  <w:r>
                    <w:t xml:space="preserve">A Resource’s offered capacity is only included in the sum to the extent that the Resource’s COP status and Ancillary Service Capability indicate it would be capable of providing the Ancillary Service during the hour </w:t>
                  </w:r>
                  <w:r w:rsidRPr="00DA0528">
                    <w:rPr>
                      <w:i/>
                    </w:rPr>
                    <w:t>h</w:t>
                  </w:r>
                  <w:r>
                    <w:t>.</w:t>
                  </w:r>
                </w:p>
              </w:tc>
            </w:tr>
            <w:tr w:rsidR="004B6091" w14:paraId="42EF36F4" w14:textId="77777777" w:rsidTr="0093076E">
              <w:trPr>
                <w:cantSplit/>
              </w:trPr>
              <w:tc>
                <w:tcPr>
                  <w:tcW w:w="1096" w:type="pct"/>
                </w:tcPr>
                <w:p w14:paraId="71322499" w14:textId="77777777" w:rsidR="004B6091" w:rsidRDefault="004B6091" w:rsidP="004B6091">
                  <w:pPr>
                    <w:pStyle w:val="TableBody"/>
                  </w:pPr>
                  <w:r>
                    <w:t xml:space="preserve">RTAML </w:t>
                  </w:r>
                  <w:r>
                    <w:rPr>
                      <w:i/>
                      <w:vertAlign w:val="subscript"/>
                    </w:rPr>
                    <w:t>q, p, i</w:t>
                  </w:r>
                </w:p>
              </w:tc>
              <w:tc>
                <w:tcPr>
                  <w:tcW w:w="383" w:type="pct"/>
                </w:tcPr>
                <w:p w14:paraId="2BB2FEDD" w14:textId="77777777" w:rsidR="004B6091" w:rsidRDefault="004B6091" w:rsidP="004B6091">
                  <w:pPr>
                    <w:pStyle w:val="TableBody"/>
                    <w:jc w:val="center"/>
                  </w:pPr>
                  <w:r>
                    <w:t>MWh</w:t>
                  </w:r>
                </w:p>
              </w:tc>
              <w:tc>
                <w:tcPr>
                  <w:tcW w:w="3521" w:type="pct"/>
                </w:tcPr>
                <w:p w14:paraId="0CE832BD" w14:textId="77777777" w:rsidR="004B6091" w:rsidRDefault="004B6091" w:rsidP="004B6091">
                  <w:pPr>
                    <w:pStyle w:val="TableBody"/>
                    <w:rPr>
                      <w:i/>
                    </w:rPr>
                  </w:pPr>
                  <w:r>
                    <w:rPr>
                      <w:i/>
                    </w:rPr>
                    <w:t>Real-Time Adjusted Metered Load</w:t>
                  </w:r>
                  <w:r>
                    <w:t xml:space="preserve">—The QSE </w:t>
                  </w:r>
                  <w:r>
                    <w:rPr>
                      <w:i/>
                    </w:rPr>
                    <w:t>q</w:t>
                  </w:r>
                  <w:r>
                    <w:t xml:space="preserve">’s Adjusted Metered Load (AML) at the Settlement Point </w:t>
                  </w:r>
                  <w:r>
                    <w:rPr>
                      <w:i/>
                    </w:rPr>
                    <w:t>p</w:t>
                  </w:r>
                  <w:r>
                    <w:t xml:space="preserve"> for the 15-minute Settlement Interval</w:t>
                  </w:r>
                  <w:r w:rsidRPr="00921E96">
                    <w:rPr>
                      <w:i/>
                    </w:rPr>
                    <w:t xml:space="preserve"> i</w:t>
                  </w:r>
                  <w:r>
                    <w:t>.</w:t>
                  </w:r>
                </w:p>
              </w:tc>
            </w:tr>
            <w:tr w:rsidR="004B6091" w14:paraId="3B053EDA" w14:textId="77777777" w:rsidTr="0093076E">
              <w:trPr>
                <w:cantSplit/>
              </w:trPr>
              <w:tc>
                <w:tcPr>
                  <w:tcW w:w="1096" w:type="pct"/>
                </w:tcPr>
                <w:p w14:paraId="6E1C149E" w14:textId="77777777" w:rsidR="004B6091" w:rsidRDefault="004B6091" w:rsidP="004B6091">
                  <w:pPr>
                    <w:pStyle w:val="TableBody"/>
                  </w:pPr>
                  <w:r>
                    <w:t xml:space="preserve">RUCCAPSNAP </w:t>
                  </w:r>
                  <w:proofErr w:type="spellStart"/>
                  <w:r>
                    <w:rPr>
                      <w:i/>
                      <w:vertAlign w:val="subscript"/>
                    </w:rPr>
                    <w:t>ruc</w:t>
                  </w:r>
                  <w:proofErr w:type="spellEnd"/>
                  <w:r>
                    <w:rPr>
                      <w:i/>
                      <w:vertAlign w:val="subscript"/>
                    </w:rPr>
                    <w:t>, q, i</w:t>
                  </w:r>
                </w:p>
              </w:tc>
              <w:tc>
                <w:tcPr>
                  <w:tcW w:w="383" w:type="pct"/>
                </w:tcPr>
                <w:p w14:paraId="464FD368" w14:textId="77777777" w:rsidR="004B6091" w:rsidRDefault="004B6091" w:rsidP="004B6091">
                  <w:pPr>
                    <w:pStyle w:val="TableBody"/>
                    <w:jc w:val="center"/>
                  </w:pPr>
                  <w:r>
                    <w:t>MW</w:t>
                  </w:r>
                </w:p>
              </w:tc>
              <w:tc>
                <w:tcPr>
                  <w:tcW w:w="3521" w:type="pct"/>
                </w:tcPr>
                <w:p w14:paraId="7F6E06BB" w14:textId="77777777" w:rsidR="004B6091" w:rsidRDefault="004B6091" w:rsidP="004B6091">
                  <w:pPr>
                    <w:pStyle w:val="TableBody"/>
                    <w:rPr>
                      <w:i/>
                    </w:rPr>
                  </w:pPr>
                  <w:r>
                    <w:rPr>
                      <w:i/>
                    </w:rPr>
                    <w:t>RUC Capacity Snapshot at time of RUC</w:t>
                  </w:r>
                  <w:r>
                    <w:t>—The amount of the QSE</w:t>
                  </w:r>
                  <w:r>
                    <w:rPr>
                      <w:i/>
                    </w:rPr>
                    <w:t xml:space="preserve"> q</w:t>
                  </w:r>
                  <w:r>
                    <w:t xml:space="preserve">’s calculated capacity in the RUC Snapshot for the RUC process </w:t>
                  </w:r>
                  <w:proofErr w:type="spellStart"/>
                  <w:r w:rsidRPr="00A577B9">
                    <w:rPr>
                      <w:i/>
                    </w:rPr>
                    <w:t>ruc</w:t>
                  </w:r>
                  <w:proofErr w:type="spellEnd"/>
                  <w:r>
                    <w:t xml:space="preserve"> for a 15-minute Settlement Interval</w:t>
                  </w:r>
                  <w:r w:rsidRPr="00921E96">
                    <w:rPr>
                      <w:i/>
                    </w:rPr>
                    <w:t xml:space="preserve"> i</w:t>
                  </w:r>
                  <w:r>
                    <w:t xml:space="preserve">.  </w:t>
                  </w:r>
                </w:p>
              </w:tc>
            </w:tr>
            <w:tr w:rsidR="004B6091" w14:paraId="7FDEE271" w14:textId="77777777" w:rsidTr="0093076E">
              <w:trPr>
                <w:cantSplit/>
              </w:trPr>
              <w:tc>
                <w:tcPr>
                  <w:tcW w:w="1096" w:type="pct"/>
                </w:tcPr>
                <w:p w14:paraId="5349020B" w14:textId="77777777" w:rsidR="004B6091" w:rsidRDefault="004B6091" w:rsidP="004B6091">
                  <w:pPr>
                    <w:pStyle w:val="TableBody"/>
                  </w:pPr>
                  <w:r>
                    <w:t>RCAP</w:t>
                  </w:r>
                  <w:r w:rsidRPr="0043255B">
                    <w:t xml:space="preserve">SNAP </w:t>
                  </w:r>
                  <w:proofErr w:type="spellStart"/>
                  <w:r w:rsidRPr="0014712A">
                    <w:rPr>
                      <w:i/>
                      <w:vertAlign w:val="subscript"/>
                    </w:rPr>
                    <w:t>ruc</w:t>
                  </w:r>
                  <w:proofErr w:type="spellEnd"/>
                  <w:r w:rsidRPr="0014712A">
                    <w:rPr>
                      <w:i/>
                      <w:vertAlign w:val="subscript"/>
                    </w:rPr>
                    <w:t xml:space="preserve">, </w:t>
                  </w:r>
                  <w:r w:rsidRPr="0043255B">
                    <w:rPr>
                      <w:i/>
                      <w:vertAlign w:val="subscript"/>
                    </w:rPr>
                    <w:t>q, r, h</w:t>
                  </w:r>
                </w:p>
              </w:tc>
              <w:tc>
                <w:tcPr>
                  <w:tcW w:w="383" w:type="pct"/>
                </w:tcPr>
                <w:p w14:paraId="32E03976" w14:textId="77777777" w:rsidR="004B6091" w:rsidRDefault="004B6091" w:rsidP="004B6091">
                  <w:pPr>
                    <w:pStyle w:val="TableBody"/>
                    <w:jc w:val="center"/>
                  </w:pPr>
                  <w:r w:rsidRPr="0043255B">
                    <w:t>MW</w:t>
                  </w:r>
                </w:p>
              </w:tc>
              <w:tc>
                <w:tcPr>
                  <w:tcW w:w="3521" w:type="pct"/>
                </w:tcPr>
                <w:p w14:paraId="5F09390F" w14:textId="64F335BD" w:rsidR="004B6091" w:rsidRDefault="004B6091" w:rsidP="004B6091">
                  <w:pPr>
                    <w:pStyle w:val="TableBody"/>
                    <w:rPr>
                      <w:i/>
                    </w:rPr>
                  </w:pPr>
                  <w:r>
                    <w:rPr>
                      <w:i/>
                    </w:rPr>
                    <w:t>Resource Capacity</w:t>
                  </w:r>
                  <w:r w:rsidRPr="0043255B">
                    <w:rPr>
                      <w:i/>
                    </w:rPr>
                    <w:t xml:space="preserve"> at Snapshot</w:t>
                  </w:r>
                  <w:r w:rsidRPr="0043255B">
                    <w:t xml:space="preserve">—The </w:t>
                  </w:r>
                  <w:r>
                    <w:t>available capacity</w:t>
                  </w:r>
                  <w:r w:rsidRPr="0043255B">
                    <w:t xml:space="preserve"> of </w:t>
                  </w:r>
                  <w:r>
                    <w:t xml:space="preserve">Generation </w:t>
                  </w:r>
                  <w:r w:rsidRPr="0043255B">
                    <w:t>Resource</w:t>
                  </w:r>
                  <w:r>
                    <w:t xml:space="preserve"> or ESR</w:t>
                  </w:r>
                  <w:r w:rsidRPr="0043255B">
                    <w:t xml:space="preserve"> </w:t>
                  </w:r>
                  <w:r w:rsidRPr="0043255B">
                    <w:rPr>
                      <w:i/>
                    </w:rPr>
                    <w:t>r</w:t>
                  </w:r>
                  <w:r w:rsidRPr="0043255B">
                    <w:t xml:space="preserve"> represented by the QSE </w:t>
                  </w:r>
                  <w:r w:rsidRPr="0043255B">
                    <w:rPr>
                      <w:i/>
                    </w:rPr>
                    <w:t>q</w:t>
                  </w:r>
                  <w:r w:rsidRPr="0043255B">
                    <w:t xml:space="preserve">, according to the </w:t>
                  </w:r>
                  <w:r>
                    <w:t>RUC S</w:t>
                  </w:r>
                  <w:r w:rsidRPr="0043255B">
                    <w:t xml:space="preserve">napshot for the RUC process </w:t>
                  </w:r>
                  <w:proofErr w:type="spellStart"/>
                  <w:r>
                    <w:rPr>
                      <w:i/>
                    </w:rPr>
                    <w:t>ruc</w:t>
                  </w:r>
                  <w:proofErr w:type="spellEnd"/>
                  <w:r>
                    <w:rPr>
                      <w:i/>
                    </w:rPr>
                    <w:t xml:space="preserve"> </w:t>
                  </w:r>
                  <w:r w:rsidRPr="0043255B">
                    <w:t xml:space="preserve">for the hour </w:t>
                  </w:r>
                  <w:r w:rsidRPr="0043255B">
                    <w:rPr>
                      <w:i/>
                    </w:rPr>
                    <w:t>h</w:t>
                  </w:r>
                  <w:r w:rsidRPr="0043255B">
                    <w:t xml:space="preserve"> that includes the 15-minute Settlement Interval.  </w:t>
                  </w:r>
                  <w:r>
                    <w:t xml:space="preserve">For ESRs and Generation Resources that are not IRRs, the available capacity shall be equal to HSL.  For WGRs and PVGRs, the available capacity shall be equal to the WGRPP and the PVGRPP, respectively. </w:t>
                  </w:r>
                  <w:r w:rsidR="0093076E">
                    <w:t xml:space="preserve"> </w:t>
                  </w:r>
                  <w:r w:rsidRPr="0043255B">
                    <w:t xml:space="preserve">Where for a Combined Cycle Train, the Resource </w:t>
                  </w:r>
                  <w:r w:rsidRPr="0043255B">
                    <w:rPr>
                      <w:i/>
                    </w:rPr>
                    <w:t xml:space="preserve">r </w:t>
                  </w:r>
                  <w:r w:rsidRPr="0043255B">
                    <w:t>is a Combined Cycle Generation Resource within the Combined Cycle Train.</w:t>
                  </w:r>
                  <w:r>
                    <w:t xml:space="preserve"> </w:t>
                  </w:r>
                </w:p>
              </w:tc>
            </w:tr>
            <w:tr w:rsidR="004B6091" w14:paraId="06AC5BB7" w14:textId="77777777" w:rsidTr="0093076E">
              <w:trPr>
                <w:cantSplit/>
              </w:trPr>
              <w:tc>
                <w:tcPr>
                  <w:tcW w:w="1096" w:type="pct"/>
                </w:tcPr>
                <w:p w14:paraId="2E3EC48B" w14:textId="77777777" w:rsidR="004B6091" w:rsidRDefault="004B6091" w:rsidP="004B6091">
                  <w:pPr>
                    <w:pStyle w:val="TableBody"/>
                  </w:pPr>
                  <w:r>
                    <w:t xml:space="preserve">DCIMPSNAP </w:t>
                  </w:r>
                  <w:r w:rsidRPr="00DE1AC6">
                    <w:rPr>
                      <w:i/>
                      <w:vertAlign w:val="subscript"/>
                      <w:lang w:val="it-IT"/>
                    </w:rPr>
                    <w:t>ruc</w:t>
                  </w:r>
                  <w:r>
                    <w:rPr>
                      <w:i/>
                      <w:vertAlign w:val="subscript"/>
                      <w:lang w:val="it-IT"/>
                    </w:rPr>
                    <w:t xml:space="preserve">, </w:t>
                  </w:r>
                  <w:r w:rsidRPr="008342E2">
                    <w:rPr>
                      <w:i/>
                      <w:vertAlign w:val="subscript"/>
                    </w:rPr>
                    <w:t>q, p</w:t>
                  </w:r>
                  <w:r>
                    <w:rPr>
                      <w:i/>
                      <w:vertAlign w:val="subscript"/>
                    </w:rPr>
                    <w:t>, i</w:t>
                  </w:r>
                </w:p>
              </w:tc>
              <w:tc>
                <w:tcPr>
                  <w:tcW w:w="383" w:type="pct"/>
                </w:tcPr>
                <w:p w14:paraId="3906C21E" w14:textId="77777777" w:rsidR="004B6091" w:rsidRDefault="004B6091" w:rsidP="004B6091">
                  <w:pPr>
                    <w:pStyle w:val="TableBody"/>
                    <w:jc w:val="center"/>
                  </w:pPr>
                  <w:r>
                    <w:t>MW</w:t>
                  </w:r>
                </w:p>
              </w:tc>
              <w:tc>
                <w:tcPr>
                  <w:tcW w:w="3521" w:type="pct"/>
                </w:tcPr>
                <w:p w14:paraId="5351DD87" w14:textId="77777777" w:rsidR="004B6091" w:rsidRDefault="004B6091" w:rsidP="004B6091">
                  <w:pPr>
                    <w:pStyle w:val="TableBody"/>
                    <w:rPr>
                      <w:i/>
                    </w:rPr>
                  </w:pPr>
                  <w:r>
                    <w:rPr>
                      <w:i/>
                    </w:rPr>
                    <w:t>DC Import at Snapshot</w:t>
                  </w:r>
                  <w:r>
                    <w:t xml:space="preserve">—The approved aggregated DC Tie Schedule submitted by QSE </w:t>
                  </w:r>
                  <w:r>
                    <w:rPr>
                      <w:i/>
                    </w:rPr>
                    <w:t>q</w:t>
                  </w:r>
                  <w:r>
                    <w:t xml:space="preserve"> as an importer into the ERCOT System through DC Tie </w:t>
                  </w:r>
                  <w:r>
                    <w:rPr>
                      <w:i/>
                    </w:rPr>
                    <w:t>p</w:t>
                  </w:r>
                  <w:r>
                    <w:t xml:space="preserve">, according to the RUC Snapshot for the RUC process </w:t>
                  </w:r>
                  <w:proofErr w:type="spellStart"/>
                  <w:r>
                    <w:rPr>
                      <w:i/>
                    </w:rPr>
                    <w:t>ruc</w:t>
                  </w:r>
                  <w:proofErr w:type="spellEnd"/>
                  <w:r>
                    <w:t xml:space="preserve"> for the 15-minute Settlement Interval</w:t>
                  </w:r>
                  <w:r w:rsidRPr="00921E96">
                    <w:rPr>
                      <w:i/>
                    </w:rPr>
                    <w:t xml:space="preserve"> i</w:t>
                  </w:r>
                  <w:r>
                    <w:t>.</w:t>
                  </w:r>
                </w:p>
              </w:tc>
            </w:tr>
            <w:tr w:rsidR="00417783" w14:paraId="3733E50D" w14:textId="77777777" w:rsidTr="00417783">
              <w:trPr>
                <w:cantSplit/>
              </w:trPr>
              <w:tc>
                <w:tcPr>
                  <w:tcW w:w="1096" w:type="pct"/>
                </w:tcPr>
                <w:p w14:paraId="24A08F3F" w14:textId="4F90D0EA" w:rsidR="00417783" w:rsidRDefault="00417783" w:rsidP="00417783">
                  <w:pPr>
                    <w:pStyle w:val="TableBody"/>
                  </w:pPr>
                  <w:r>
                    <w:t xml:space="preserve">RTDCIMP </w:t>
                  </w:r>
                  <w:r w:rsidRPr="006624C0">
                    <w:rPr>
                      <w:i/>
                      <w:vertAlign w:val="subscript"/>
                    </w:rPr>
                    <w:t>q, p</w:t>
                  </w:r>
                </w:p>
              </w:tc>
              <w:tc>
                <w:tcPr>
                  <w:tcW w:w="383" w:type="pct"/>
                </w:tcPr>
                <w:p w14:paraId="3EA43A34" w14:textId="01AB753B" w:rsidR="00417783" w:rsidRDefault="00417783" w:rsidP="00417783">
                  <w:pPr>
                    <w:pStyle w:val="TableBody"/>
                    <w:jc w:val="center"/>
                  </w:pPr>
                  <w:r>
                    <w:t>MW</w:t>
                  </w:r>
                </w:p>
              </w:tc>
              <w:tc>
                <w:tcPr>
                  <w:tcW w:w="3521" w:type="pct"/>
                </w:tcPr>
                <w:p w14:paraId="3D59C052" w14:textId="29BD1234" w:rsidR="00417783" w:rsidRDefault="00417783" w:rsidP="00417783">
                  <w:pPr>
                    <w:pStyle w:val="TableBody"/>
                    <w:rPr>
                      <w:i/>
                    </w:rPr>
                  </w:pPr>
                  <w:r>
                    <w:rPr>
                      <w:i/>
                    </w:rPr>
                    <w:t>Real-Time DC Import per QSE per Settlement Point</w:t>
                  </w:r>
                  <w:r>
                    <w:t xml:space="preserve">—The aggregated final, approved DC Tie Schedule submitted by QSE </w:t>
                  </w:r>
                  <w:r>
                    <w:rPr>
                      <w:i/>
                    </w:rPr>
                    <w:t>q</w:t>
                  </w:r>
                  <w:r>
                    <w:t xml:space="preserve"> as an importer into the ERCOT System through DC Tie </w:t>
                  </w:r>
                  <w:r>
                    <w:rPr>
                      <w:i/>
                    </w:rPr>
                    <w:t>p</w:t>
                  </w:r>
                  <w:r>
                    <w:t>, for the 15-minute Settlement Interval.</w:t>
                  </w:r>
                </w:p>
              </w:tc>
            </w:tr>
            <w:tr w:rsidR="004B6091" w14:paraId="09DA7C82" w14:textId="77777777" w:rsidTr="00417783">
              <w:trPr>
                <w:cantSplit/>
              </w:trPr>
              <w:tc>
                <w:tcPr>
                  <w:tcW w:w="1096" w:type="pct"/>
                </w:tcPr>
                <w:p w14:paraId="1D471C87" w14:textId="77777777" w:rsidR="004B6091" w:rsidRDefault="004B6091" w:rsidP="004B6091">
                  <w:pPr>
                    <w:pStyle w:val="TableBody"/>
                  </w:pPr>
                  <w:r>
                    <w:t xml:space="preserve">RUCCPSNAP </w:t>
                  </w:r>
                  <w:r w:rsidRPr="00DE1AC6">
                    <w:rPr>
                      <w:i/>
                      <w:vertAlign w:val="subscript"/>
                      <w:lang w:val="it-IT"/>
                    </w:rPr>
                    <w:t>ruc</w:t>
                  </w:r>
                  <w:r>
                    <w:rPr>
                      <w:i/>
                      <w:vertAlign w:val="subscript"/>
                      <w:lang w:val="it-IT"/>
                    </w:rPr>
                    <w:t xml:space="preserve">, </w:t>
                  </w:r>
                  <w:r>
                    <w:rPr>
                      <w:i/>
                      <w:vertAlign w:val="subscript"/>
                    </w:rPr>
                    <w:t>q, h</w:t>
                  </w:r>
                </w:p>
              </w:tc>
              <w:tc>
                <w:tcPr>
                  <w:tcW w:w="383" w:type="pct"/>
                </w:tcPr>
                <w:p w14:paraId="4C1E1E7D" w14:textId="77777777" w:rsidR="004B6091" w:rsidRDefault="004B6091" w:rsidP="004B6091">
                  <w:pPr>
                    <w:pStyle w:val="TableBody"/>
                    <w:jc w:val="center"/>
                  </w:pPr>
                  <w:r>
                    <w:t>MW</w:t>
                  </w:r>
                </w:p>
              </w:tc>
              <w:tc>
                <w:tcPr>
                  <w:tcW w:w="3521" w:type="pct"/>
                </w:tcPr>
                <w:p w14:paraId="3A848B22" w14:textId="77777777" w:rsidR="004B6091" w:rsidRDefault="004B6091" w:rsidP="004B6091">
                  <w:pPr>
                    <w:pStyle w:val="TableBody"/>
                    <w:rPr>
                      <w:i/>
                    </w:rPr>
                  </w:pPr>
                  <w:r>
                    <w:rPr>
                      <w:i/>
                    </w:rPr>
                    <w:t>RUC Capacity Purchase at Snapshot</w:t>
                  </w:r>
                  <w:r>
                    <w:t xml:space="preserve">—The QSE </w:t>
                  </w:r>
                  <w:r>
                    <w:rPr>
                      <w:i/>
                    </w:rPr>
                    <w:t>q</w:t>
                  </w:r>
                  <w:r>
                    <w:t xml:space="preserve">’s capacity purchase, according to the RUC Snapshot for the RUC process </w:t>
                  </w:r>
                  <w:proofErr w:type="spellStart"/>
                  <w:r>
                    <w:rPr>
                      <w:i/>
                    </w:rPr>
                    <w:t>ruc</w:t>
                  </w:r>
                  <w:proofErr w:type="spellEnd"/>
                  <w:r>
                    <w:t xml:space="preserve"> for the hour</w:t>
                  </w:r>
                  <w:r w:rsidRPr="0074109A">
                    <w:rPr>
                      <w:i/>
                    </w:rPr>
                    <w:t xml:space="preserve"> h</w:t>
                  </w:r>
                  <w:r>
                    <w:t xml:space="preserve"> that includes the 15-minute Settlement Interval.</w:t>
                  </w:r>
                </w:p>
              </w:tc>
            </w:tr>
            <w:tr w:rsidR="004B6091" w14:paraId="4EB4776B" w14:textId="77777777" w:rsidTr="00417783">
              <w:trPr>
                <w:cantSplit/>
              </w:trPr>
              <w:tc>
                <w:tcPr>
                  <w:tcW w:w="1096" w:type="pct"/>
                </w:tcPr>
                <w:p w14:paraId="1DE742F2" w14:textId="77777777" w:rsidR="004B6091" w:rsidRDefault="004B6091" w:rsidP="004B6091">
                  <w:pPr>
                    <w:pStyle w:val="TableBody"/>
                  </w:pPr>
                  <w:r>
                    <w:t xml:space="preserve">RUCCSSNAP </w:t>
                  </w:r>
                  <w:r w:rsidRPr="00DE1AC6">
                    <w:rPr>
                      <w:i/>
                      <w:vertAlign w:val="subscript"/>
                      <w:lang w:val="it-IT"/>
                    </w:rPr>
                    <w:t>ruc</w:t>
                  </w:r>
                  <w:r>
                    <w:rPr>
                      <w:i/>
                      <w:vertAlign w:val="subscript"/>
                      <w:lang w:val="it-IT"/>
                    </w:rPr>
                    <w:t xml:space="preserve">, </w:t>
                  </w:r>
                  <w:r>
                    <w:rPr>
                      <w:i/>
                      <w:vertAlign w:val="subscript"/>
                    </w:rPr>
                    <w:t>q, h</w:t>
                  </w:r>
                </w:p>
              </w:tc>
              <w:tc>
                <w:tcPr>
                  <w:tcW w:w="383" w:type="pct"/>
                </w:tcPr>
                <w:p w14:paraId="4C000ED6" w14:textId="77777777" w:rsidR="004B6091" w:rsidRDefault="004B6091" w:rsidP="004B6091">
                  <w:pPr>
                    <w:pStyle w:val="TableBody"/>
                    <w:jc w:val="center"/>
                  </w:pPr>
                  <w:r>
                    <w:t>MW</w:t>
                  </w:r>
                </w:p>
              </w:tc>
              <w:tc>
                <w:tcPr>
                  <w:tcW w:w="3521" w:type="pct"/>
                </w:tcPr>
                <w:p w14:paraId="3946082D" w14:textId="77777777" w:rsidR="004B6091" w:rsidRDefault="004B6091" w:rsidP="004B6091">
                  <w:pPr>
                    <w:pStyle w:val="TableBody"/>
                    <w:rPr>
                      <w:i/>
                    </w:rPr>
                  </w:pPr>
                  <w:r>
                    <w:rPr>
                      <w:i/>
                    </w:rPr>
                    <w:t>RUC Capacity Sale at Snapshot</w:t>
                  </w:r>
                  <w:r>
                    <w:t xml:space="preserve">—The QSE </w:t>
                  </w:r>
                  <w:r>
                    <w:rPr>
                      <w:i/>
                    </w:rPr>
                    <w:t>q</w:t>
                  </w:r>
                  <w:r>
                    <w:t xml:space="preserve">’s capacity sale, according to the RUC Snapshot for the RUC process </w:t>
                  </w:r>
                  <w:proofErr w:type="spellStart"/>
                  <w:r>
                    <w:rPr>
                      <w:i/>
                    </w:rPr>
                    <w:t>ruc</w:t>
                  </w:r>
                  <w:proofErr w:type="spellEnd"/>
                  <w:r>
                    <w:t xml:space="preserve"> for the hour</w:t>
                  </w:r>
                  <w:r w:rsidRPr="0074109A">
                    <w:rPr>
                      <w:i/>
                    </w:rPr>
                    <w:t xml:space="preserve"> h</w:t>
                  </w:r>
                  <w:r>
                    <w:t xml:space="preserve"> that includes the 15-minute Settlement Interval.</w:t>
                  </w:r>
                </w:p>
              </w:tc>
            </w:tr>
            <w:tr w:rsidR="004B6091" w14:paraId="17C1D7B7" w14:textId="77777777" w:rsidTr="00417783">
              <w:trPr>
                <w:cantSplit/>
              </w:trPr>
              <w:tc>
                <w:tcPr>
                  <w:tcW w:w="1096" w:type="pct"/>
                </w:tcPr>
                <w:p w14:paraId="7C56323D" w14:textId="77777777" w:rsidR="004B6091" w:rsidRDefault="004B6091" w:rsidP="004B6091">
                  <w:pPr>
                    <w:pStyle w:val="TableBody"/>
                  </w:pPr>
                  <w:r>
                    <w:t xml:space="preserve">RUCCAPADJ </w:t>
                  </w:r>
                  <w:r>
                    <w:rPr>
                      <w:i/>
                      <w:vertAlign w:val="subscript"/>
                    </w:rPr>
                    <w:t>q, i</w:t>
                  </w:r>
                </w:p>
              </w:tc>
              <w:tc>
                <w:tcPr>
                  <w:tcW w:w="383" w:type="pct"/>
                </w:tcPr>
                <w:p w14:paraId="11D23D5B" w14:textId="77777777" w:rsidR="004B6091" w:rsidRDefault="004B6091" w:rsidP="004B6091">
                  <w:pPr>
                    <w:pStyle w:val="TableBody"/>
                    <w:jc w:val="center"/>
                  </w:pPr>
                  <w:r>
                    <w:t>MW</w:t>
                  </w:r>
                </w:p>
              </w:tc>
              <w:tc>
                <w:tcPr>
                  <w:tcW w:w="3521" w:type="pct"/>
                </w:tcPr>
                <w:p w14:paraId="498894D0" w14:textId="61617298" w:rsidR="004B6091" w:rsidRDefault="004B6091" w:rsidP="0093076E">
                  <w:pPr>
                    <w:pStyle w:val="TableBody"/>
                    <w:rPr>
                      <w:i/>
                    </w:rPr>
                  </w:pPr>
                  <w:r>
                    <w:rPr>
                      <w:i/>
                    </w:rPr>
                    <w:t>RUC Capacity at End of Adjustment Period</w:t>
                  </w:r>
                  <w:r>
                    <w:t>—The amount of the QSE</w:t>
                  </w:r>
                  <w:r>
                    <w:rPr>
                      <w:i/>
                    </w:rPr>
                    <w:t xml:space="preserve"> q</w:t>
                  </w:r>
                  <w:r>
                    <w:t>’s calculated capacity, excluding capacity for IRRs, at the end of the Adjustment Period for a 15-minute Settlement Interval</w:t>
                  </w:r>
                  <w:r w:rsidRPr="0074109A">
                    <w:rPr>
                      <w:i/>
                    </w:rPr>
                    <w:t xml:space="preserve"> i</w:t>
                  </w:r>
                  <w:r>
                    <w:rPr>
                      <w:i/>
                    </w:rPr>
                    <w:t>.</w:t>
                  </w:r>
                </w:p>
              </w:tc>
            </w:tr>
            <w:tr w:rsidR="004B6091" w14:paraId="77F2F344" w14:textId="77777777" w:rsidTr="00417783">
              <w:trPr>
                <w:cantSplit/>
              </w:trPr>
              <w:tc>
                <w:tcPr>
                  <w:tcW w:w="1096" w:type="pct"/>
                </w:tcPr>
                <w:p w14:paraId="027D4D65" w14:textId="77777777" w:rsidR="004B6091" w:rsidRDefault="004B6091" w:rsidP="004B6091">
                  <w:pPr>
                    <w:pStyle w:val="TableBody"/>
                    <w:rPr>
                      <w:i/>
                    </w:rPr>
                  </w:pPr>
                  <w:r>
                    <w:t>RCAPADJ</w:t>
                  </w:r>
                  <w:r w:rsidRPr="0043255B">
                    <w:t xml:space="preserve"> </w:t>
                  </w:r>
                  <w:r w:rsidRPr="0043255B">
                    <w:rPr>
                      <w:i/>
                      <w:vertAlign w:val="subscript"/>
                    </w:rPr>
                    <w:t>q, r, h</w:t>
                  </w:r>
                </w:p>
              </w:tc>
              <w:tc>
                <w:tcPr>
                  <w:tcW w:w="383" w:type="pct"/>
                </w:tcPr>
                <w:p w14:paraId="1C0EBADD" w14:textId="77777777" w:rsidR="004B6091" w:rsidRPr="007820D0" w:rsidRDefault="004B6091" w:rsidP="004B6091">
                  <w:pPr>
                    <w:pStyle w:val="TableBody"/>
                    <w:jc w:val="center"/>
                  </w:pPr>
                  <w:r w:rsidRPr="0043255B">
                    <w:t>MW</w:t>
                  </w:r>
                </w:p>
              </w:tc>
              <w:tc>
                <w:tcPr>
                  <w:tcW w:w="3521" w:type="pct"/>
                </w:tcPr>
                <w:p w14:paraId="7C237957" w14:textId="365F26F1" w:rsidR="004B6091" w:rsidRPr="00827876" w:rsidRDefault="004B6091" w:rsidP="004B6091">
                  <w:pPr>
                    <w:pStyle w:val="TableBody"/>
                    <w:rPr>
                      <w:i/>
                    </w:rPr>
                  </w:pPr>
                  <w:r>
                    <w:rPr>
                      <w:i/>
                    </w:rPr>
                    <w:t>Resource Capacity</w:t>
                  </w:r>
                  <w:r w:rsidRPr="0043255B">
                    <w:rPr>
                      <w:i/>
                    </w:rPr>
                    <w:t xml:space="preserve"> at </w:t>
                  </w:r>
                  <w:r>
                    <w:rPr>
                      <w:i/>
                    </w:rPr>
                    <w:t>End of Adjustment Period</w:t>
                  </w:r>
                  <w:r w:rsidRPr="0043255B">
                    <w:t xml:space="preserve">—The </w:t>
                  </w:r>
                  <w:r>
                    <w:t>HSL</w:t>
                  </w:r>
                  <w:r w:rsidRPr="0043255B">
                    <w:t xml:space="preserve"> of </w:t>
                  </w:r>
                  <w:r>
                    <w:t xml:space="preserve">a non-IRR Generation </w:t>
                  </w:r>
                  <w:r w:rsidRPr="0043255B">
                    <w:t xml:space="preserve">Resource </w:t>
                  </w:r>
                  <w:r>
                    <w:t xml:space="preserve">or ESR </w:t>
                  </w:r>
                  <w:r w:rsidRPr="0043255B">
                    <w:rPr>
                      <w:i/>
                    </w:rPr>
                    <w:t>r</w:t>
                  </w:r>
                  <w:r w:rsidRPr="00156BB7">
                    <w:t xml:space="preserve"> </w:t>
                  </w:r>
                  <w:r w:rsidRPr="0043255B">
                    <w:t xml:space="preserve">represented by the QSE </w:t>
                  </w:r>
                  <w:r w:rsidRPr="0043255B">
                    <w:rPr>
                      <w:i/>
                    </w:rPr>
                    <w:t>q</w:t>
                  </w:r>
                  <w:r w:rsidRPr="003121EB">
                    <w:t xml:space="preserve"> at the end of the Adjustment Period</w:t>
                  </w:r>
                  <w:r>
                    <w:t xml:space="preserve">, </w:t>
                  </w:r>
                  <w:r w:rsidRPr="0043255B">
                    <w:t xml:space="preserve">for the hour </w:t>
                  </w:r>
                  <w:r w:rsidRPr="0043255B">
                    <w:rPr>
                      <w:i/>
                    </w:rPr>
                    <w:t>h</w:t>
                  </w:r>
                  <w:r w:rsidRPr="0043255B">
                    <w:t xml:space="preserve"> that includes the 15-minute Settlement Interval. </w:t>
                  </w:r>
                  <w:r w:rsidR="0093076E">
                    <w:t xml:space="preserve"> </w:t>
                  </w:r>
                  <w:r w:rsidRPr="0043255B">
                    <w:t xml:space="preserve">Where for a Combined Cycle Train, the Resource </w:t>
                  </w:r>
                  <w:r w:rsidRPr="0043255B">
                    <w:rPr>
                      <w:i/>
                    </w:rPr>
                    <w:t xml:space="preserve">r </w:t>
                  </w:r>
                  <w:r w:rsidRPr="0043255B">
                    <w:t>is a Combined Cycle Generation Resource within the Combined Cycle Train.</w:t>
                  </w:r>
                  <w:r>
                    <w:t xml:space="preserve"> </w:t>
                  </w:r>
                </w:p>
              </w:tc>
            </w:tr>
            <w:tr w:rsidR="004B6091" w14:paraId="706CC9F6" w14:textId="77777777" w:rsidTr="00417783">
              <w:trPr>
                <w:cantSplit/>
              </w:trPr>
              <w:tc>
                <w:tcPr>
                  <w:tcW w:w="1096" w:type="pct"/>
                </w:tcPr>
                <w:p w14:paraId="3E6B70DD" w14:textId="77777777" w:rsidR="004B6091" w:rsidRDefault="004B6091" w:rsidP="004B6091">
                  <w:pPr>
                    <w:pStyle w:val="TableBody"/>
                  </w:pPr>
                  <w:r>
                    <w:t xml:space="preserve">RUCCPADJ </w:t>
                  </w:r>
                  <w:r>
                    <w:rPr>
                      <w:i/>
                      <w:vertAlign w:val="subscript"/>
                    </w:rPr>
                    <w:t>q, h</w:t>
                  </w:r>
                </w:p>
              </w:tc>
              <w:tc>
                <w:tcPr>
                  <w:tcW w:w="383" w:type="pct"/>
                </w:tcPr>
                <w:p w14:paraId="3AD59D2F" w14:textId="77777777" w:rsidR="004B6091" w:rsidRDefault="004B6091" w:rsidP="004B6091">
                  <w:pPr>
                    <w:pStyle w:val="TableBody"/>
                    <w:jc w:val="center"/>
                  </w:pPr>
                  <w:r>
                    <w:t>MW</w:t>
                  </w:r>
                </w:p>
              </w:tc>
              <w:tc>
                <w:tcPr>
                  <w:tcW w:w="3521" w:type="pct"/>
                </w:tcPr>
                <w:p w14:paraId="2FFBF82E" w14:textId="77777777" w:rsidR="004B6091" w:rsidRDefault="004B6091" w:rsidP="004B6091">
                  <w:pPr>
                    <w:pStyle w:val="TableBody"/>
                    <w:rPr>
                      <w:i/>
                    </w:rPr>
                  </w:pPr>
                  <w:r>
                    <w:rPr>
                      <w:i/>
                    </w:rPr>
                    <w:t>RUC Capacity Purchase at End of Adjustment Period</w:t>
                  </w:r>
                  <w:r>
                    <w:t xml:space="preserve">—The QSE </w:t>
                  </w:r>
                  <w:r>
                    <w:rPr>
                      <w:i/>
                    </w:rPr>
                    <w:t>q</w:t>
                  </w:r>
                  <w:r>
                    <w:t xml:space="preserve">’s capacity purchase, at the end of Adjustment Period for the hour </w:t>
                  </w:r>
                  <w:r w:rsidRPr="0074109A">
                    <w:rPr>
                      <w:i/>
                    </w:rPr>
                    <w:t>h</w:t>
                  </w:r>
                  <w:r>
                    <w:t xml:space="preserve"> that includes the 15-minute Settlement Interval.</w:t>
                  </w:r>
                </w:p>
              </w:tc>
            </w:tr>
            <w:tr w:rsidR="004B6091" w14:paraId="06A1B0C1" w14:textId="77777777" w:rsidTr="00417783">
              <w:trPr>
                <w:cantSplit/>
              </w:trPr>
              <w:tc>
                <w:tcPr>
                  <w:tcW w:w="1096" w:type="pct"/>
                </w:tcPr>
                <w:p w14:paraId="188CC6A0" w14:textId="77777777" w:rsidR="004B6091" w:rsidRDefault="004B6091" w:rsidP="004B6091">
                  <w:pPr>
                    <w:pStyle w:val="TableBody"/>
                  </w:pPr>
                  <w:r>
                    <w:t xml:space="preserve">RUCCSADJ </w:t>
                  </w:r>
                  <w:r>
                    <w:rPr>
                      <w:i/>
                      <w:vertAlign w:val="subscript"/>
                    </w:rPr>
                    <w:t>q, h</w:t>
                  </w:r>
                </w:p>
              </w:tc>
              <w:tc>
                <w:tcPr>
                  <w:tcW w:w="383" w:type="pct"/>
                </w:tcPr>
                <w:p w14:paraId="6BAC9D19" w14:textId="77777777" w:rsidR="004B6091" w:rsidRDefault="004B6091" w:rsidP="004B6091">
                  <w:pPr>
                    <w:pStyle w:val="TableBody"/>
                    <w:jc w:val="center"/>
                  </w:pPr>
                  <w:r>
                    <w:t>MW</w:t>
                  </w:r>
                </w:p>
              </w:tc>
              <w:tc>
                <w:tcPr>
                  <w:tcW w:w="3521" w:type="pct"/>
                </w:tcPr>
                <w:p w14:paraId="5813B208" w14:textId="77777777" w:rsidR="004B6091" w:rsidRDefault="004B6091" w:rsidP="004B6091">
                  <w:pPr>
                    <w:pStyle w:val="TableBody"/>
                    <w:rPr>
                      <w:i/>
                    </w:rPr>
                  </w:pPr>
                  <w:r>
                    <w:rPr>
                      <w:i/>
                    </w:rPr>
                    <w:t>RUC Capacity Sale at End of Adjustment Period</w:t>
                  </w:r>
                  <w:r>
                    <w:t xml:space="preserve">—The QSE </w:t>
                  </w:r>
                  <w:r>
                    <w:rPr>
                      <w:i/>
                    </w:rPr>
                    <w:t>q</w:t>
                  </w:r>
                  <w:r>
                    <w:t xml:space="preserve">’s capacity sale, at the end of Adjustment Period for the hour </w:t>
                  </w:r>
                  <w:r w:rsidRPr="0074109A">
                    <w:rPr>
                      <w:i/>
                    </w:rPr>
                    <w:t>h</w:t>
                  </w:r>
                  <w:r>
                    <w:t xml:space="preserve"> that includes the 15-minute Settlement Interval.</w:t>
                  </w:r>
                </w:p>
              </w:tc>
            </w:tr>
            <w:tr w:rsidR="004B6091" w14:paraId="27FE0C1D" w14:textId="77777777" w:rsidTr="00417783">
              <w:trPr>
                <w:cantSplit/>
              </w:trPr>
              <w:tc>
                <w:tcPr>
                  <w:tcW w:w="1096" w:type="pct"/>
                </w:tcPr>
                <w:p w14:paraId="04069969" w14:textId="77777777" w:rsidR="004B6091" w:rsidRDefault="004B6091" w:rsidP="004B6091">
                  <w:pPr>
                    <w:pStyle w:val="TableBody"/>
                  </w:pPr>
                  <w:r>
                    <w:lastRenderedPageBreak/>
                    <w:t xml:space="preserve">DAEP </w:t>
                  </w:r>
                  <w:r>
                    <w:rPr>
                      <w:i/>
                      <w:vertAlign w:val="subscript"/>
                    </w:rPr>
                    <w:t>q, p, h</w:t>
                  </w:r>
                </w:p>
              </w:tc>
              <w:tc>
                <w:tcPr>
                  <w:tcW w:w="383" w:type="pct"/>
                </w:tcPr>
                <w:p w14:paraId="0C37F497" w14:textId="77777777" w:rsidR="004B6091" w:rsidRDefault="004B6091" w:rsidP="004B6091">
                  <w:pPr>
                    <w:pStyle w:val="TableBody"/>
                    <w:jc w:val="center"/>
                  </w:pPr>
                  <w:r>
                    <w:t>MW</w:t>
                  </w:r>
                </w:p>
              </w:tc>
              <w:tc>
                <w:tcPr>
                  <w:tcW w:w="3521" w:type="pct"/>
                </w:tcPr>
                <w:p w14:paraId="59AEF51C" w14:textId="77777777" w:rsidR="004B6091" w:rsidRDefault="004B6091" w:rsidP="004B6091">
                  <w:pPr>
                    <w:pStyle w:val="TableBody"/>
                  </w:pPr>
                  <w:r>
                    <w:rPr>
                      <w:i/>
                    </w:rPr>
                    <w:t>Day-Ahead Energy Purchase</w:t>
                  </w:r>
                  <w:r>
                    <w:t xml:space="preserve">—The QSE </w:t>
                  </w:r>
                  <w:r>
                    <w:rPr>
                      <w:i/>
                    </w:rPr>
                    <w:t>q</w:t>
                  </w:r>
                  <w:r>
                    <w:t xml:space="preserve">’s energy purchased in the DAM at the Settlement Point </w:t>
                  </w:r>
                  <w:r>
                    <w:rPr>
                      <w:i/>
                    </w:rPr>
                    <w:t>p</w:t>
                  </w:r>
                  <w:r>
                    <w:t xml:space="preserve"> for the hour</w:t>
                  </w:r>
                  <w:r w:rsidRPr="0074109A">
                    <w:rPr>
                      <w:i/>
                    </w:rPr>
                    <w:t xml:space="preserve"> h</w:t>
                  </w:r>
                  <w:r>
                    <w:t xml:space="preserve"> that includes the 15-minute Settlement Interval.</w:t>
                  </w:r>
                </w:p>
              </w:tc>
            </w:tr>
            <w:tr w:rsidR="004B6091" w14:paraId="184F0AB9" w14:textId="77777777" w:rsidTr="00417783">
              <w:trPr>
                <w:cantSplit/>
              </w:trPr>
              <w:tc>
                <w:tcPr>
                  <w:tcW w:w="1096" w:type="pct"/>
                </w:tcPr>
                <w:p w14:paraId="58237F50" w14:textId="77777777" w:rsidR="004B6091" w:rsidRDefault="004B6091" w:rsidP="004B6091">
                  <w:pPr>
                    <w:pStyle w:val="TableBody"/>
                  </w:pPr>
                  <w:r>
                    <w:t xml:space="preserve">DAES </w:t>
                  </w:r>
                  <w:r>
                    <w:rPr>
                      <w:i/>
                      <w:vertAlign w:val="subscript"/>
                    </w:rPr>
                    <w:t>q, p, h</w:t>
                  </w:r>
                </w:p>
              </w:tc>
              <w:tc>
                <w:tcPr>
                  <w:tcW w:w="383" w:type="pct"/>
                </w:tcPr>
                <w:p w14:paraId="64D8048A" w14:textId="77777777" w:rsidR="004B6091" w:rsidRDefault="004B6091" w:rsidP="004B6091">
                  <w:pPr>
                    <w:pStyle w:val="TableBody"/>
                    <w:jc w:val="center"/>
                  </w:pPr>
                  <w:r>
                    <w:t>MW</w:t>
                  </w:r>
                </w:p>
              </w:tc>
              <w:tc>
                <w:tcPr>
                  <w:tcW w:w="3521" w:type="pct"/>
                </w:tcPr>
                <w:p w14:paraId="4E33123A" w14:textId="77777777" w:rsidR="004B6091" w:rsidRDefault="004B6091" w:rsidP="004B6091">
                  <w:pPr>
                    <w:pStyle w:val="TableBody"/>
                  </w:pPr>
                  <w:r>
                    <w:rPr>
                      <w:i/>
                    </w:rPr>
                    <w:t>Day-Ahead Energy Sale</w:t>
                  </w:r>
                  <w:r>
                    <w:t xml:space="preserve">—The QSE </w:t>
                  </w:r>
                  <w:r>
                    <w:rPr>
                      <w:i/>
                    </w:rPr>
                    <w:t>q</w:t>
                  </w:r>
                  <w:r>
                    <w:t xml:space="preserve">’s energy sold in the DAM at the Settlement Point </w:t>
                  </w:r>
                  <w:r>
                    <w:rPr>
                      <w:i/>
                    </w:rPr>
                    <w:t>p</w:t>
                  </w:r>
                  <w:r>
                    <w:t xml:space="preserve"> for the hour</w:t>
                  </w:r>
                  <w:r w:rsidRPr="0074109A">
                    <w:rPr>
                      <w:i/>
                    </w:rPr>
                    <w:t xml:space="preserve"> h</w:t>
                  </w:r>
                  <w:r>
                    <w:t xml:space="preserve"> that includes the 15-minute Settlement Interval.</w:t>
                  </w:r>
                </w:p>
              </w:tc>
            </w:tr>
            <w:tr w:rsidR="004B6091" w14:paraId="2E7BB5BD" w14:textId="77777777" w:rsidTr="00417783">
              <w:trPr>
                <w:cantSplit/>
              </w:trPr>
              <w:tc>
                <w:tcPr>
                  <w:tcW w:w="1096" w:type="pct"/>
                </w:tcPr>
                <w:p w14:paraId="2B5B11E8" w14:textId="77777777" w:rsidR="004B6091" w:rsidRDefault="004B6091" w:rsidP="004B6091">
                  <w:pPr>
                    <w:pStyle w:val="TableBody"/>
                  </w:pPr>
                  <w:r>
                    <w:t xml:space="preserve">RTQQEPSNAP </w:t>
                  </w:r>
                  <w:proofErr w:type="spellStart"/>
                  <w:r w:rsidRPr="00597278">
                    <w:rPr>
                      <w:i/>
                      <w:vertAlign w:val="subscript"/>
                    </w:rPr>
                    <w:t>ruc</w:t>
                  </w:r>
                  <w:proofErr w:type="spellEnd"/>
                  <w:r>
                    <w:rPr>
                      <w:i/>
                      <w:vertAlign w:val="subscript"/>
                    </w:rPr>
                    <w:t>, q, p, i</w:t>
                  </w:r>
                </w:p>
              </w:tc>
              <w:tc>
                <w:tcPr>
                  <w:tcW w:w="383" w:type="pct"/>
                </w:tcPr>
                <w:p w14:paraId="5FCABBAF" w14:textId="77777777" w:rsidR="004B6091" w:rsidRDefault="004B6091" w:rsidP="004B6091">
                  <w:pPr>
                    <w:pStyle w:val="TableBody"/>
                    <w:jc w:val="center"/>
                  </w:pPr>
                  <w:r>
                    <w:t>MW</w:t>
                  </w:r>
                </w:p>
              </w:tc>
              <w:tc>
                <w:tcPr>
                  <w:tcW w:w="3521" w:type="pct"/>
                </w:tcPr>
                <w:p w14:paraId="7F8F1092" w14:textId="77777777" w:rsidR="004B6091" w:rsidRDefault="004B6091" w:rsidP="004B6091">
                  <w:pPr>
                    <w:pStyle w:val="TableBody"/>
                    <w:rPr>
                      <w:i/>
                    </w:rPr>
                  </w:pPr>
                  <w:r>
                    <w:rPr>
                      <w:i/>
                    </w:rPr>
                    <w:t>Real-Time QSE-to-QSE Energy Purchase at Snapshot</w:t>
                  </w:r>
                  <w:r>
                    <w:t xml:space="preserve">—The QSE </w:t>
                  </w:r>
                  <w:r>
                    <w:rPr>
                      <w:i/>
                    </w:rPr>
                    <w:t>q</w:t>
                  </w:r>
                  <w:r>
                    <w:t xml:space="preserve">’s Energy Trades in which the QSE is the buyer at the delivery Settlement Point </w:t>
                  </w:r>
                  <w:r>
                    <w:rPr>
                      <w:i/>
                    </w:rPr>
                    <w:t>p</w:t>
                  </w:r>
                  <w:r>
                    <w:t xml:space="preserve"> for the 15-minute Settlement Interval</w:t>
                  </w:r>
                  <w:r w:rsidRPr="0074109A">
                    <w:rPr>
                      <w:i/>
                    </w:rPr>
                    <w:t xml:space="preserve"> i</w:t>
                  </w:r>
                  <w:r>
                    <w:t xml:space="preserve">, in the RUC Snapshot for the RUC process </w:t>
                  </w:r>
                  <w:proofErr w:type="spellStart"/>
                  <w:r>
                    <w:rPr>
                      <w:i/>
                    </w:rPr>
                    <w:t>ruc</w:t>
                  </w:r>
                  <w:proofErr w:type="spellEnd"/>
                  <w:r>
                    <w:t>.</w:t>
                  </w:r>
                </w:p>
              </w:tc>
            </w:tr>
            <w:tr w:rsidR="004B6091" w14:paraId="7F5EBEBB" w14:textId="77777777" w:rsidTr="00417783">
              <w:trPr>
                <w:cantSplit/>
              </w:trPr>
              <w:tc>
                <w:tcPr>
                  <w:tcW w:w="1096" w:type="pct"/>
                </w:tcPr>
                <w:p w14:paraId="5AF7E182" w14:textId="77777777" w:rsidR="004B6091" w:rsidRDefault="004B6091" w:rsidP="004B6091">
                  <w:pPr>
                    <w:pStyle w:val="TableBody"/>
                  </w:pPr>
                  <w:r>
                    <w:t xml:space="preserve">RTQQESSNAP </w:t>
                  </w:r>
                  <w:proofErr w:type="spellStart"/>
                  <w:r w:rsidRPr="00597278">
                    <w:rPr>
                      <w:i/>
                      <w:vertAlign w:val="subscript"/>
                    </w:rPr>
                    <w:t>ruc</w:t>
                  </w:r>
                  <w:proofErr w:type="spellEnd"/>
                  <w:r>
                    <w:rPr>
                      <w:i/>
                      <w:vertAlign w:val="subscript"/>
                    </w:rPr>
                    <w:t>, q, p, i</w:t>
                  </w:r>
                </w:p>
              </w:tc>
              <w:tc>
                <w:tcPr>
                  <w:tcW w:w="383" w:type="pct"/>
                </w:tcPr>
                <w:p w14:paraId="72932DDC" w14:textId="77777777" w:rsidR="004B6091" w:rsidRDefault="004B6091" w:rsidP="004B6091">
                  <w:pPr>
                    <w:pStyle w:val="TableBody"/>
                    <w:jc w:val="center"/>
                  </w:pPr>
                  <w:r>
                    <w:t>MW</w:t>
                  </w:r>
                </w:p>
              </w:tc>
              <w:tc>
                <w:tcPr>
                  <w:tcW w:w="3521" w:type="pct"/>
                </w:tcPr>
                <w:p w14:paraId="135357DF" w14:textId="77777777" w:rsidR="004B6091" w:rsidRDefault="004B6091" w:rsidP="004B6091">
                  <w:pPr>
                    <w:pStyle w:val="TableBody"/>
                    <w:rPr>
                      <w:i/>
                    </w:rPr>
                  </w:pPr>
                  <w:r>
                    <w:rPr>
                      <w:i/>
                    </w:rPr>
                    <w:t>Real-Time QSE-to-QSE Energy Sale at Snapshot</w:t>
                  </w:r>
                  <w:r>
                    <w:t xml:space="preserve">—The QSE </w:t>
                  </w:r>
                  <w:r>
                    <w:rPr>
                      <w:i/>
                    </w:rPr>
                    <w:t>q</w:t>
                  </w:r>
                  <w:r>
                    <w:t xml:space="preserve">’s Energy Trades in which the QSE is the seller at the delivery Settlement Point </w:t>
                  </w:r>
                  <w:r>
                    <w:rPr>
                      <w:i/>
                    </w:rPr>
                    <w:t>p</w:t>
                  </w:r>
                  <w:r>
                    <w:t xml:space="preserve"> for the 15-minute Settlement Interval</w:t>
                  </w:r>
                  <w:r w:rsidRPr="0074109A">
                    <w:rPr>
                      <w:i/>
                    </w:rPr>
                    <w:t xml:space="preserve"> i</w:t>
                  </w:r>
                  <w:r>
                    <w:t xml:space="preserve">, in the RUC Snapshot for the RUC process </w:t>
                  </w:r>
                  <w:proofErr w:type="spellStart"/>
                  <w:r>
                    <w:rPr>
                      <w:i/>
                    </w:rPr>
                    <w:t>ruc</w:t>
                  </w:r>
                  <w:proofErr w:type="spellEnd"/>
                  <w:r>
                    <w:t>.</w:t>
                  </w:r>
                </w:p>
              </w:tc>
            </w:tr>
            <w:tr w:rsidR="004B6091" w14:paraId="2F68CC73" w14:textId="77777777" w:rsidTr="00417783">
              <w:trPr>
                <w:cantSplit/>
              </w:trPr>
              <w:tc>
                <w:tcPr>
                  <w:tcW w:w="1096" w:type="pct"/>
                </w:tcPr>
                <w:p w14:paraId="70C7F907" w14:textId="77777777" w:rsidR="004B6091" w:rsidRDefault="004B6091" w:rsidP="004B6091">
                  <w:pPr>
                    <w:pStyle w:val="TableBody"/>
                  </w:pPr>
                  <w:r>
                    <w:t xml:space="preserve">RTQQEPADJ </w:t>
                  </w:r>
                  <w:r>
                    <w:rPr>
                      <w:i/>
                      <w:vertAlign w:val="subscript"/>
                    </w:rPr>
                    <w:t>q, p, i</w:t>
                  </w:r>
                </w:p>
              </w:tc>
              <w:tc>
                <w:tcPr>
                  <w:tcW w:w="383" w:type="pct"/>
                </w:tcPr>
                <w:p w14:paraId="42A96D5D" w14:textId="77777777" w:rsidR="004B6091" w:rsidRDefault="004B6091" w:rsidP="004B6091">
                  <w:pPr>
                    <w:pStyle w:val="TableBody"/>
                    <w:jc w:val="center"/>
                  </w:pPr>
                  <w:r>
                    <w:t>MW</w:t>
                  </w:r>
                </w:p>
              </w:tc>
              <w:tc>
                <w:tcPr>
                  <w:tcW w:w="3521" w:type="pct"/>
                </w:tcPr>
                <w:p w14:paraId="78D5714F" w14:textId="77777777" w:rsidR="004B6091" w:rsidRDefault="004B6091" w:rsidP="004B6091">
                  <w:pPr>
                    <w:pStyle w:val="TableBody"/>
                    <w:rPr>
                      <w:i/>
                    </w:rPr>
                  </w:pPr>
                  <w:r>
                    <w:rPr>
                      <w:i/>
                    </w:rPr>
                    <w:t>Real-Time QSE-to-QSE Energy Purchase at End of Adjustment Period</w:t>
                  </w:r>
                  <w:r>
                    <w:t xml:space="preserve">—The QSE </w:t>
                  </w:r>
                  <w:r>
                    <w:rPr>
                      <w:i/>
                    </w:rPr>
                    <w:t>q</w:t>
                  </w:r>
                  <w:r>
                    <w:t xml:space="preserve">’s Energy Trades in which the QSE is the buyer at the delivery Settlement Point </w:t>
                  </w:r>
                  <w:r>
                    <w:rPr>
                      <w:i/>
                    </w:rPr>
                    <w:t>p</w:t>
                  </w:r>
                  <w:r>
                    <w:t xml:space="preserve"> for the 15-minute Settlement Interval</w:t>
                  </w:r>
                  <w:r w:rsidRPr="0074109A">
                    <w:rPr>
                      <w:i/>
                    </w:rPr>
                    <w:t xml:space="preserve"> i</w:t>
                  </w:r>
                  <w:r>
                    <w:t>, at the end of the Adjustment Period for that Settlement Interval.</w:t>
                  </w:r>
                </w:p>
              </w:tc>
            </w:tr>
            <w:tr w:rsidR="004B6091" w14:paraId="0CF99D33" w14:textId="77777777" w:rsidTr="00417783">
              <w:trPr>
                <w:cantSplit/>
              </w:trPr>
              <w:tc>
                <w:tcPr>
                  <w:tcW w:w="1096" w:type="pct"/>
                </w:tcPr>
                <w:p w14:paraId="62782F38" w14:textId="77777777" w:rsidR="004B6091" w:rsidRDefault="004B6091" w:rsidP="004B6091">
                  <w:pPr>
                    <w:pStyle w:val="TableBody"/>
                  </w:pPr>
                  <w:r>
                    <w:t xml:space="preserve">RTQQESADJ </w:t>
                  </w:r>
                  <w:r>
                    <w:rPr>
                      <w:i/>
                      <w:vertAlign w:val="subscript"/>
                    </w:rPr>
                    <w:t>q, p, i</w:t>
                  </w:r>
                </w:p>
              </w:tc>
              <w:tc>
                <w:tcPr>
                  <w:tcW w:w="383" w:type="pct"/>
                </w:tcPr>
                <w:p w14:paraId="37B85036" w14:textId="77777777" w:rsidR="004B6091" w:rsidRDefault="004B6091" w:rsidP="004B6091">
                  <w:pPr>
                    <w:pStyle w:val="TableBody"/>
                    <w:jc w:val="center"/>
                  </w:pPr>
                  <w:r>
                    <w:t>MW</w:t>
                  </w:r>
                </w:p>
              </w:tc>
              <w:tc>
                <w:tcPr>
                  <w:tcW w:w="3521" w:type="pct"/>
                </w:tcPr>
                <w:p w14:paraId="34E9EB6E" w14:textId="77777777" w:rsidR="004B6091" w:rsidRDefault="004B6091" w:rsidP="004B6091">
                  <w:pPr>
                    <w:pStyle w:val="TableBody"/>
                    <w:rPr>
                      <w:i/>
                    </w:rPr>
                  </w:pPr>
                  <w:r>
                    <w:rPr>
                      <w:i/>
                    </w:rPr>
                    <w:t>Real-Time QSE-to-QSE Energy Sale at End of Adjustment Period</w:t>
                  </w:r>
                  <w:r>
                    <w:t xml:space="preserve">—The QSE </w:t>
                  </w:r>
                  <w:r>
                    <w:rPr>
                      <w:i/>
                    </w:rPr>
                    <w:t>q</w:t>
                  </w:r>
                  <w:r>
                    <w:t xml:space="preserve">’s Energy Trades in which the QSE is the seller at the delivery Settlement Point </w:t>
                  </w:r>
                  <w:r>
                    <w:rPr>
                      <w:i/>
                    </w:rPr>
                    <w:t>p</w:t>
                  </w:r>
                  <w:r>
                    <w:t xml:space="preserve"> for the 15-minute Settlement Interval</w:t>
                  </w:r>
                  <w:r w:rsidRPr="0074109A">
                    <w:rPr>
                      <w:i/>
                    </w:rPr>
                    <w:t xml:space="preserve"> i</w:t>
                  </w:r>
                  <w:r>
                    <w:t>, at the end of the Adjustment Period for that Settlement Interval.</w:t>
                  </w:r>
                </w:p>
              </w:tc>
            </w:tr>
            <w:tr w:rsidR="004B6091" w14:paraId="402663D4" w14:textId="77777777" w:rsidTr="00417783">
              <w:trPr>
                <w:cantSplit/>
              </w:trPr>
              <w:tc>
                <w:tcPr>
                  <w:tcW w:w="1096" w:type="pct"/>
                </w:tcPr>
                <w:p w14:paraId="5F1076E1" w14:textId="77777777" w:rsidR="004B6091" w:rsidRDefault="004B6091" w:rsidP="004B6091">
                  <w:pPr>
                    <w:pStyle w:val="TableBody"/>
                    <w:rPr>
                      <w:i/>
                    </w:rPr>
                  </w:pPr>
                  <w:r>
                    <w:rPr>
                      <w:i/>
                    </w:rPr>
                    <w:t>q</w:t>
                  </w:r>
                </w:p>
              </w:tc>
              <w:tc>
                <w:tcPr>
                  <w:tcW w:w="383" w:type="pct"/>
                </w:tcPr>
                <w:p w14:paraId="15AD8F46" w14:textId="77777777" w:rsidR="004B6091" w:rsidRDefault="004B6091" w:rsidP="004B6091">
                  <w:pPr>
                    <w:pStyle w:val="TableBody"/>
                    <w:jc w:val="center"/>
                  </w:pPr>
                  <w:r>
                    <w:t>none</w:t>
                  </w:r>
                </w:p>
              </w:tc>
              <w:tc>
                <w:tcPr>
                  <w:tcW w:w="3521" w:type="pct"/>
                </w:tcPr>
                <w:p w14:paraId="3E5E3BBC" w14:textId="77777777" w:rsidR="004B6091" w:rsidRDefault="004B6091" w:rsidP="004B6091">
                  <w:pPr>
                    <w:pStyle w:val="TableBody"/>
                  </w:pPr>
                  <w:r>
                    <w:t>A QSE.</w:t>
                  </w:r>
                </w:p>
              </w:tc>
            </w:tr>
            <w:tr w:rsidR="004B6091" w14:paraId="7B98AF08" w14:textId="77777777" w:rsidTr="00417783">
              <w:trPr>
                <w:cantSplit/>
              </w:trPr>
              <w:tc>
                <w:tcPr>
                  <w:tcW w:w="1096" w:type="pct"/>
                </w:tcPr>
                <w:p w14:paraId="1BD08F43" w14:textId="77777777" w:rsidR="004B6091" w:rsidRDefault="004B6091" w:rsidP="004B6091">
                  <w:pPr>
                    <w:pStyle w:val="TableBody"/>
                    <w:rPr>
                      <w:i/>
                    </w:rPr>
                  </w:pPr>
                  <w:r>
                    <w:rPr>
                      <w:i/>
                    </w:rPr>
                    <w:t>p</w:t>
                  </w:r>
                </w:p>
              </w:tc>
              <w:tc>
                <w:tcPr>
                  <w:tcW w:w="383" w:type="pct"/>
                </w:tcPr>
                <w:p w14:paraId="2B14CF9D" w14:textId="77777777" w:rsidR="004B6091" w:rsidRDefault="004B6091" w:rsidP="004B6091">
                  <w:pPr>
                    <w:pStyle w:val="TableBody"/>
                    <w:jc w:val="center"/>
                  </w:pPr>
                  <w:r>
                    <w:t>none</w:t>
                  </w:r>
                </w:p>
              </w:tc>
              <w:tc>
                <w:tcPr>
                  <w:tcW w:w="3521" w:type="pct"/>
                </w:tcPr>
                <w:p w14:paraId="586D7E72" w14:textId="77777777" w:rsidR="004B6091" w:rsidRDefault="004B6091" w:rsidP="004B6091">
                  <w:pPr>
                    <w:pStyle w:val="TableBody"/>
                  </w:pPr>
                  <w:r>
                    <w:t>A Settlement Point.</w:t>
                  </w:r>
                </w:p>
              </w:tc>
            </w:tr>
            <w:tr w:rsidR="004B6091" w14:paraId="21AE0608" w14:textId="77777777" w:rsidTr="00417783">
              <w:trPr>
                <w:cantSplit/>
              </w:trPr>
              <w:tc>
                <w:tcPr>
                  <w:tcW w:w="1096" w:type="pct"/>
                </w:tcPr>
                <w:p w14:paraId="2B7FBB05" w14:textId="77777777" w:rsidR="004B6091" w:rsidRDefault="004B6091" w:rsidP="004B6091">
                  <w:pPr>
                    <w:pStyle w:val="TableBody"/>
                    <w:rPr>
                      <w:i/>
                    </w:rPr>
                  </w:pPr>
                  <w:r>
                    <w:rPr>
                      <w:i/>
                    </w:rPr>
                    <w:t>r</w:t>
                  </w:r>
                </w:p>
              </w:tc>
              <w:tc>
                <w:tcPr>
                  <w:tcW w:w="383" w:type="pct"/>
                </w:tcPr>
                <w:p w14:paraId="5E36850F" w14:textId="77777777" w:rsidR="004B6091" w:rsidRDefault="004B6091" w:rsidP="004B6091">
                  <w:pPr>
                    <w:pStyle w:val="TableBody"/>
                    <w:jc w:val="center"/>
                  </w:pPr>
                  <w:r>
                    <w:t>none</w:t>
                  </w:r>
                </w:p>
              </w:tc>
              <w:tc>
                <w:tcPr>
                  <w:tcW w:w="3521" w:type="pct"/>
                </w:tcPr>
                <w:p w14:paraId="6C9B6CE9" w14:textId="77777777" w:rsidR="004B6091" w:rsidRDefault="004B6091" w:rsidP="004B6091">
                  <w:pPr>
                    <w:pStyle w:val="TableBody"/>
                  </w:pPr>
                  <w:r w:rsidRPr="007C1298">
                    <w:t>A Generation Resource</w:t>
                  </w:r>
                  <w:r>
                    <w:t>, an ESR,</w:t>
                  </w:r>
                  <w:r w:rsidRPr="00597278">
                    <w:t xml:space="preserve"> </w:t>
                  </w:r>
                  <w:r>
                    <w:t>or a Load Resource.</w:t>
                  </w:r>
                </w:p>
              </w:tc>
            </w:tr>
            <w:tr w:rsidR="004B6091" w14:paraId="7CDF2970" w14:textId="77777777" w:rsidTr="00417783">
              <w:trPr>
                <w:cantSplit/>
              </w:trPr>
              <w:tc>
                <w:tcPr>
                  <w:tcW w:w="1096" w:type="pct"/>
                </w:tcPr>
                <w:p w14:paraId="2C2A1D3A" w14:textId="77777777" w:rsidR="004B6091" w:rsidRDefault="004B6091" w:rsidP="004B6091">
                  <w:pPr>
                    <w:pStyle w:val="TableBody"/>
                    <w:rPr>
                      <w:i/>
                    </w:rPr>
                  </w:pPr>
                  <w:r>
                    <w:rPr>
                      <w:i/>
                    </w:rPr>
                    <w:t>z</w:t>
                  </w:r>
                </w:p>
              </w:tc>
              <w:tc>
                <w:tcPr>
                  <w:tcW w:w="383" w:type="pct"/>
                </w:tcPr>
                <w:p w14:paraId="66AFF603" w14:textId="77777777" w:rsidR="004B6091" w:rsidRDefault="004B6091" w:rsidP="004B6091">
                  <w:pPr>
                    <w:pStyle w:val="TableBody"/>
                    <w:jc w:val="center"/>
                  </w:pPr>
                  <w:r>
                    <w:t>none</w:t>
                  </w:r>
                </w:p>
              </w:tc>
              <w:tc>
                <w:tcPr>
                  <w:tcW w:w="3521" w:type="pct"/>
                </w:tcPr>
                <w:p w14:paraId="077DB6EC" w14:textId="77777777" w:rsidR="004B6091" w:rsidRDefault="004B6091" w:rsidP="004B6091">
                  <w:pPr>
                    <w:pStyle w:val="TableBody"/>
                  </w:pPr>
                  <w:r>
                    <w:t>A previous RUC process for the Operating Day.</w:t>
                  </w:r>
                </w:p>
              </w:tc>
            </w:tr>
            <w:tr w:rsidR="004B6091" w14:paraId="602E3643" w14:textId="77777777" w:rsidTr="00417783">
              <w:trPr>
                <w:cantSplit/>
              </w:trPr>
              <w:tc>
                <w:tcPr>
                  <w:tcW w:w="1096" w:type="pct"/>
                </w:tcPr>
                <w:p w14:paraId="1845A640" w14:textId="77777777" w:rsidR="004B6091" w:rsidRDefault="004B6091" w:rsidP="004B6091">
                  <w:pPr>
                    <w:pStyle w:val="TableBody"/>
                    <w:rPr>
                      <w:i/>
                    </w:rPr>
                  </w:pPr>
                  <w:r>
                    <w:rPr>
                      <w:i/>
                    </w:rPr>
                    <w:t>i</w:t>
                  </w:r>
                </w:p>
              </w:tc>
              <w:tc>
                <w:tcPr>
                  <w:tcW w:w="383" w:type="pct"/>
                </w:tcPr>
                <w:p w14:paraId="4307A2C4" w14:textId="77777777" w:rsidR="004B6091" w:rsidRDefault="004B6091" w:rsidP="004B6091">
                  <w:pPr>
                    <w:pStyle w:val="TableBody"/>
                    <w:jc w:val="center"/>
                  </w:pPr>
                  <w:r>
                    <w:t>none</w:t>
                  </w:r>
                </w:p>
              </w:tc>
              <w:tc>
                <w:tcPr>
                  <w:tcW w:w="3521" w:type="pct"/>
                </w:tcPr>
                <w:p w14:paraId="16FC17EA" w14:textId="77777777" w:rsidR="004B6091" w:rsidRDefault="004B6091" w:rsidP="004B6091">
                  <w:pPr>
                    <w:pStyle w:val="TableBody"/>
                  </w:pPr>
                  <w:r>
                    <w:t>A 15-minute Settlement Interval.</w:t>
                  </w:r>
                </w:p>
              </w:tc>
            </w:tr>
            <w:tr w:rsidR="004B6091" w14:paraId="6126A71B" w14:textId="77777777" w:rsidTr="00417783">
              <w:trPr>
                <w:cantSplit/>
              </w:trPr>
              <w:tc>
                <w:tcPr>
                  <w:tcW w:w="1096" w:type="pct"/>
                </w:tcPr>
                <w:p w14:paraId="67E48267" w14:textId="77777777" w:rsidR="004B6091" w:rsidRDefault="004B6091" w:rsidP="004B6091">
                  <w:pPr>
                    <w:pStyle w:val="TableBody"/>
                    <w:rPr>
                      <w:i/>
                    </w:rPr>
                  </w:pPr>
                  <w:r>
                    <w:rPr>
                      <w:i/>
                    </w:rPr>
                    <w:t>h</w:t>
                  </w:r>
                </w:p>
              </w:tc>
              <w:tc>
                <w:tcPr>
                  <w:tcW w:w="383" w:type="pct"/>
                </w:tcPr>
                <w:p w14:paraId="446B8FFF" w14:textId="77777777" w:rsidR="004B6091" w:rsidRDefault="004B6091" w:rsidP="004B6091">
                  <w:pPr>
                    <w:pStyle w:val="TableBody"/>
                    <w:jc w:val="center"/>
                  </w:pPr>
                  <w:r>
                    <w:t>none</w:t>
                  </w:r>
                </w:p>
              </w:tc>
              <w:tc>
                <w:tcPr>
                  <w:tcW w:w="3521" w:type="pct"/>
                </w:tcPr>
                <w:p w14:paraId="6D7FF6A9" w14:textId="77777777" w:rsidR="004B6091" w:rsidRDefault="004B6091" w:rsidP="004B6091">
                  <w:pPr>
                    <w:pStyle w:val="TableBody"/>
                  </w:pPr>
                  <w:r>
                    <w:t xml:space="preserve">The hour that includes the Settlement Interval </w:t>
                  </w:r>
                  <w:r>
                    <w:rPr>
                      <w:i/>
                    </w:rPr>
                    <w:t>i</w:t>
                  </w:r>
                  <w:r>
                    <w:t xml:space="preserve">. </w:t>
                  </w:r>
                </w:p>
              </w:tc>
            </w:tr>
            <w:tr w:rsidR="004B6091" w14:paraId="3D566427" w14:textId="77777777" w:rsidTr="00417783">
              <w:trPr>
                <w:cantSplit/>
              </w:trPr>
              <w:tc>
                <w:tcPr>
                  <w:tcW w:w="1096" w:type="pct"/>
                </w:tcPr>
                <w:p w14:paraId="22E59E70" w14:textId="77777777" w:rsidR="004B6091" w:rsidRDefault="004B6091" w:rsidP="004B6091">
                  <w:pPr>
                    <w:pStyle w:val="TableBody"/>
                    <w:rPr>
                      <w:i/>
                    </w:rPr>
                  </w:pPr>
                  <w:proofErr w:type="spellStart"/>
                  <w:r>
                    <w:rPr>
                      <w:i/>
                    </w:rPr>
                    <w:t>ruc</w:t>
                  </w:r>
                  <w:proofErr w:type="spellEnd"/>
                </w:p>
              </w:tc>
              <w:tc>
                <w:tcPr>
                  <w:tcW w:w="383" w:type="pct"/>
                </w:tcPr>
                <w:p w14:paraId="5DFBEA2E" w14:textId="77777777" w:rsidR="004B6091" w:rsidRDefault="004B6091" w:rsidP="004B6091">
                  <w:pPr>
                    <w:pStyle w:val="TableBody"/>
                    <w:jc w:val="center"/>
                  </w:pPr>
                  <w:r>
                    <w:t>none</w:t>
                  </w:r>
                </w:p>
              </w:tc>
              <w:tc>
                <w:tcPr>
                  <w:tcW w:w="3521" w:type="pct"/>
                </w:tcPr>
                <w:p w14:paraId="2453C918" w14:textId="77777777" w:rsidR="004B6091" w:rsidRDefault="004B6091" w:rsidP="004B6091">
                  <w:pPr>
                    <w:pStyle w:val="TableBody"/>
                  </w:pPr>
                  <w:r>
                    <w:t>The RUC process for which this RUC Shortfall Ratio Share is calculated.</w:t>
                  </w:r>
                </w:p>
              </w:tc>
            </w:tr>
          </w:tbl>
          <w:p w14:paraId="46BC273C" w14:textId="2F6072F5" w:rsidR="00786898" w:rsidRPr="00FC4D30" w:rsidRDefault="00786898" w:rsidP="006278E4">
            <w:pPr>
              <w:spacing w:after="240"/>
              <w:ind w:left="720" w:hanging="720"/>
              <w:rPr>
                <w:szCs w:val="24"/>
              </w:rPr>
            </w:pPr>
          </w:p>
        </w:tc>
      </w:tr>
    </w:tbl>
    <w:p w14:paraId="29CDB540" w14:textId="77777777" w:rsidR="00F80C33" w:rsidRDefault="00723BFB" w:rsidP="000B7479">
      <w:pPr>
        <w:pStyle w:val="H5"/>
        <w:spacing w:before="480"/>
        <w:ind w:left="1627" w:hanging="1627"/>
      </w:pPr>
      <w:bookmarkStart w:id="307" w:name="_Toc60038365"/>
      <w:r>
        <w:lastRenderedPageBreak/>
        <w:t>5.7.4.1.2</w:t>
      </w:r>
      <w:r>
        <w:tab/>
        <w:t>RUC Capacity Credit</w:t>
      </w:r>
      <w:bookmarkEnd w:id="300"/>
      <w:bookmarkEnd w:id="301"/>
      <w:bookmarkEnd w:id="302"/>
      <w:bookmarkEnd w:id="303"/>
      <w:bookmarkEnd w:id="304"/>
      <w:bookmarkEnd w:id="305"/>
      <w:bookmarkEnd w:id="306"/>
      <w:bookmarkEnd w:id="307"/>
    </w:p>
    <w:p w14:paraId="53AF33A9" w14:textId="77777777" w:rsidR="00F80C33" w:rsidRPr="00404ADD" w:rsidRDefault="001609AC" w:rsidP="00083F9B">
      <w:pPr>
        <w:pStyle w:val="BodyTextNumbered"/>
      </w:pPr>
      <w:r>
        <w:t>(1)</w:t>
      </w:r>
      <w:r>
        <w:tab/>
      </w:r>
      <w:r w:rsidR="00723BFB">
        <w:t>A QSE that is charged for a capacity shortfall in one RUC process gets a capacity credit equal to the minimum of the QSE’s RUC shortfall (MW) or the total RUC capacity purchased multiplied by the QSE’s shortfall ratio share.  The capacity credit to be used in future RUC processes for the same 15-minute Settlement Interval is calculated as follows:</w:t>
      </w:r>
    </w:p>
    <w:p w14:paraId="035DCB51" w14:textId="77777777" w:rsidR="00F80C33" w:rsidRDefault="00723BFB" w:rsidP="00C078A2">
      <w:pPr>
        <w:pStyle w:val="FormulaBold"/>
      </w:pPr>
      <w:proofErr w:type="spellStart"/>
      <w:r>
        <w:t>RUCCAPCREDIT</w:t>
      </w:r>
      <w:r>
        <w:rPr>
          <w:i/>
          <w:vertAlign w:val="subscript"/>
        </w:rPr>
        <w:t>ruc,i,q</w:t>
      </w:r>
      <w:proofErr w:type="spellEnd"/>
      <w:r>
        <w:tab/>
        <w:t>=</w:t>
      </w:r>
      <w:r>
        <w:tab/>
        <w:t>Min [</w:t>
      </w:r>
      <w:proofErr w:type="spellStart"/>
      <w:r>
        <w:t>RUCSF</w:t>
      </w:r>
      <w:r>
        <w:rPr>
          <w:i/>
          <w:vertAlign w:val="subscript"/>
        </w:rPr>
        <w:t>ruc,i,q</w:t>
      </w:r>
      <w:proofErr w:type="spellEnd"/>
      <w:r>
        <w:t>, (</w:t>
      </w:r>
      <w:proofErr w:type="spellStart"/>
      <w:r>
        <w:t>RUCCAPTOT</w:t>
      </w:r>
      <w:r>
        <w:rPr>
          <w:i/>
          <w:vertAlign w:val="subscript"/>
        </w:rPr>
        <w:t>ruc,h</w:t>
      </w:r>
      <w:proofErr w:type="spellEnd"/>
      <w:r>
        <w:t xml:space="preserve">* </w:t>
      </w:r>
      <w:proofErr w:type="spellStart"/>
      <w:r>
        <w:t>RUCSFRS</w:t>
      </w:r>
      <w:r>
        <w:rPr>
          <w:i/>
          <w:vertAlign w:val="subscript"/>
        </w:rPr>
        <w:t>ruc,i,q</w:t>
      </w:r>
      <w:proofErr w:type="spellEnd"/>
      <w:r>
        <w:t>)]</w:t>
      </w:r>
    </w:p>
    <w:p w14:paraId="404D8BA3" w14:textId="77777777" w:rsidR="00F80C33" w:rsidRDefault="00723BFB">
      <w:pPr>
        <w:pStyle w:val="BodyText"/>
      </w:pPr>
      <w:r>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371"/>
        <w:gridCol w:w="640"/>
        <w:gridCol w:w="6339"/>
      </w:tblGrid>
      <w:tr w:rsidR="00F80C33" w14:paraId="23485FD0" w14:textId="77777777">
        <w:trPr>
          <w:tblHeader/>
        </w:trPr>
        <w:tc>
          <w:tcPr>
            <w:tcW w:w="1268" w:type="pct"/>
          </w:tcPr>
          <w:p w14:paraId="79F2C24E" w14:textId="77777777" w:rsidR="00F80C33" w:rsidRDefault="00723BFB">
            <w:pPr>
              <w:pStyle w:val="TableHead"/>
            </w:pPr>
            <w:r>
              <w:t>Variable</w:t>
            </w:r>
          </w:p>
        </w:tc>
        <w:tc>
          <w:tcPr>
            <w:tcW w:w="342" w:type="pct"/>
          </w:tcPr>
          <w:p w14:paraId="71151F39" w14:textId="77777777" w:rsidR="00F80C33" w:rsidRDefault="00723BFB">
            <w:pPr>
              <w:pStyle w:val="TableHead"/>
              <w:jc w:val="center"/>
            </w:pPr>
            <w:r>
              <w:t>Unit</w:t>
            </w:r>
          </w:p>
        </w:tc>
        <w:tc>
          <w:tcPr>
            <w:tcW w:w="3390" w:type="pct"/>
          </w:tcPr>
          <w:p w14:paraId="525BB555" w14:textId="77777777" w:rsidR="00F80C33" w:rsidRDefault="00723BFB">
            <w:pPr>
              <w:pStyle w:val="TableHead"/>
            </w:pPr>
            <w:r>
              <w:t>Definition</w:t>
            </w:r>
          </w:p>
        </w:tc>
      </w:tr>
      <w:tr w:rsidR="00F80C33" w14:paraId="6889CFC5" w14:textId="77777777">
        <w:tc>
          <w:tcPr>
            <w:tcW w:w="1268" w:type="pct"/>
          </w:tcPr>
          <w:p w14:paraId="2A90718D" w14:textId="77777777" w:rsidR="00F80C33" w:rsidRDefault="00723BFB">
            <w:pPr>
              <w:pStyle w:val="TableBody"/>
            </w:pPr>
            <w:proofErr w:type="spellStart"/>
            <w:r>
              <w:t>RUCCAPCREDIT</w:t>
            </w:r>
            <w:r>
              <w:rPr>
                <w:i/>
                <w:vertAlign w:val="subscript"/>
              </w:rPr>
              <w:t>ruc,i,q</w:t>
            </w:r>
            <w:proofErr w:type="spellEnd"/>
          </w:p>
        </w:tc>
        <w:tc>
          <w:tcPr>
            <w:tcW w:w="342" w:type="pct"/>
          </w:tcPr>
          <w:p w14:paraId="0260F08A" w14:textId="77777777" w:rsidR="00F80C33" w:rsidRDefault="00723BFB">
            <w:pPr>
              <w:pStyle w:val="TableBody"/>
              <w:jc w:val="center"/>
            </w:pPr>
            <w:r>
              <w:t>MW</w:t>
            </w:r>
          </w:p>
        </w:tc>
        <w:tc>
          <w:tcPr>
            <w:tcW w:w="3390" w:type="pct"/>
          </w:tcPr>
          <w:p w14:paraId="5BF88817" w14:textId="77777777" w:rsidR="00F80C33" w:rsidRDefault="00723BFB">
            <w:pPr>
              <w:pStyle w:val="TableBody"/>
            </w:pPr>
            <w:r>
              <w:rPr>
                <w:i/>
              </w:rPr>
              <w:t>RUC Capacity Credit by QSE</w:t>
            </w:r>
            <w:r>
              <w:t xml:space="preserve">—The capacity credit resulting from capacity paid through the RUC Capacity-Short Charge for the 15-minute Settlement Interval.  </w:t>
            </w:r>
          </w:p>
        </w:tc>
      </w:tr>
      <w:tr w:rsidR="00F80C33" w14:paraId="2B3A4F8F" w14:textId="77777777">
        <w:tc>
          <w:tcPr>
            <w:tcW w:w="1268" w:type="pct"/>
          </w:tcPr>
          <w:p w14:paraId="09F49B40" w14:textId="77777777" w:rsidR="00F80C33" w:rsidRDefault="00723BFB">
            <w:pPr>
              <w:pStyle w:val="TableBody"/>
            </w:pPr>
            <w:proofErr w:type="spellStart"/>
            <w:r>
              <w:lastRenderedPageBreak/>
              <w:t>RUCSF</w:t>
            </w:r>
            <w:r>
              <w:rPr>
                <w:i/>
                <w:vertAlign w:val="subscript"/>
              </w:rPr>
              <w:t>ruc,i,q</w:t>
            </w:r>
            <w:proofErr w:type="spellEnd"/>
          </w:p>
        </w:tc>
        <w:tc>
          <w:tcPr>
            <w:tcW w:w="342" w:type="pct"/>
          </w:tcPr>
          <w:p w14:paraId="07F4A232" w14:textId="77777777" w:rsidR="00F80C33" w:rsidRDefault="00723BFB">
            <w:pPr>
              <w:pStyle w:val="TableBody"/>
              <w:jc w:val="center"/>
            </w:pPr>
            <w:r>
              <w:t>MW</w:t>
            </w:r>
          </w:p>
        </w:tc>
        <w:tc>
          <w:tcPr>
            <w:tcW w:w="3390" w:type="pct"/>
          </w:tcPr>
          <w:p w14:paraId="4EFF17A1" w14:textId="77777777" w:rsidR="00F80C33" w:rsidRDefault="00723BFB">
            <w:pPr>
              <w:pStyle w:val="TableBody"/>
            </w:pPr>
            <w:r>
              <w:rPr>
                <w:i/>
              </w:rPr>
              <w:t>RUC Shortfall</w:t>
            </w:r>
            <w:r>
              <w:t>—The QSE’s capacity shortfall for the RUC process for the 15-minute Settlement Interval.</w:t>
            </w:r>
          </w:p>
        </w:tc>
      </w:tr>
      <w:tr w:rsidR="00F80C33" w14:paraId="1967FCF1" w14:textId="77777777">
        <w:tc>
          <w:tcPr>
            <w:tcW w:w="1268" w:type="pct"/>
          </w:tcPr>
          <w:p w14:paraId="770AF324" w14:textId="77777777" w:rsidR="00F80C33" w:rsidRDefault="00723BFB">
            <w:pPr>
              <w:pStyle w:val="TableBody"/>
            </w:pPr>
            <w:proofErr w:type="spellStart"/>
            <w:r>
              <w:t>RUCSFRS</w:t>
            </w:r>
            <w:r>
              <w:rPr>
                <w:i/>
                <w:vertAlign w:val="subscript"/>
              </w:rPr>
              <w:t>ruc,i,q</w:t>
            </w:r>
            <w:proofErr w:type="spellEnd"/>
          </w:p>
        </w:tc>
        <w:tc>
          <w:tcPr>
            <w:tcW w:w="342" w:type="pct"/>
          </w:tcPr>
          <w:p w14:paraId="7A1EB63E" w14:textId="77777777" w:rsidR="00F80C33" w:rsidRDefault="00723BFB">
            <w:pPr>
              <w:pStyle w:val="TableBody"/>
              <w:jc w:val="center"/>
            </w:pPr>
            <w:r>
              <w:t>none</w:t>
            </w:r>
          </w:p>
        </w:tc>
        <w:tc>
          <w:tcPr>
            <w:tcW w:w="3390" w:type="pct"/>
          </w:tcPr>
          <w:p w14:paraId="074266A2" w14:textId="77777777" w:rsidR="00F80C33" w:rsidRDefault="00723BFB">
            <w:pPr>
              <w:pStyle w:val="TableBody"/>
              <w:rPr>
                <w:i/>
              </w:rPr>
            </w:pPr>
            <w:r>
              <w:rPr>
                <w:i/>
              </w:rPr>
              <w:t>RUC Shortfall Ratio Share</w:t>
            </w:r>
            <w:r>
              <w:t>—The ratio of the QSE’s capacity shortfall to the sum of all QSEs’ capacity shortfalls, for the RUC process, for the 15-minute Settlement Interval.</w:t>
            </w:r>
          </w:p>
        </w:tc>
      </w:tr>
      <w:tr w:rsidR="00F80C33" w14:paraId="5E9D0730" w14:textId="77777777">
        <w:tc>
          <w:tcPr>
            <w:tcW w:w="1268" w:type="pct"/>
            <w:tcBorders>
              <w:top w:val="single" w:sz="6" w:space="0" w:color="auto"/>
              <w:left w:val="single" w:sz="4" w:space="0" w:color="auto"/>
              <w:bottom w:val="single" w:sz="6" w:space="0" w:color="auto"/>
              <w:right w:val="single" w:sz="6" w:space="0" w:color="auto"/>
            </w:tcBorders>
          </w:tcPr>
          <w:p w14:paraId="455F63D8" w14:textId="77777777" w:rsidR="00F80C33" w:rsidRDefault="00723BFB">
            <w:pPr>
              <w:pStyle w:val="TableBody"/>
            </w:pPr>
            <w:proofErr w:type="spellStart"/>
            <w:r>
              <w:t>RUCCAPTOT</w:t>
            </w:r>
            <w:r>
              <w:rPr>
                <w:i/>
                <w:vertAlign w:val="subscript"/>
              </w:rPr>
              <w:t>ruc,h</w:t>
            </w:r>
            <w:proofErr w:type="spellEnd"/>
          </w:p>
        </w:tc>
        <w:tc>
          <w:tcPr>
            <w:tcW w:w="342" w:type="pct"/>
            <w:tcBorders>
              <w:top w:val="single" w:sz="6" w:space="0" w:color="auto"/>
              <w:left w:val="single" w:sz="6" w:space="0" w:color="auto"/>
              <w:bottom w:val="single" w:sz="6" w:space="0" w:color="auto"/>
              <w:right w:val="single" w:sz="6" w:space="0" w:color="auto"/>
            </w:tcBorders>
          </w:tcPr>
          <w:p w14:paraId="77863B71" w14:textId="77777777" w:rsidR="00F80C33" w:rsidRDefault="00723BFB">
            <w:pPr>
              <w:pStyle w:val="TableBody"/>
              <w:jc w:val="center"/>
            </w:pPr>
            <w:r>
              <w:t>MW</w:t>
            </w:r>
          </w:p>
        </w:tc>
        <w:tc>
          <w:tcPr>
            <w:tcW w:w="3390" w:type="pct"/>
            <w:tcBorders>
              <w:top w:val="single" w:sz="6" w:space="0" w:color="auto"/>
              <w:left w:val="single" w:sz="6" w:space="0" w:color="auto"/>
              <w:bottom w:val="single" w:sz="6" w:space="0" w:color="auto"/>
              <w:right w:val="single" w:sz="4" w:space="0" w:color="auto"/>
            </w:tcBorders>
          </w:tcPr>
          <w:p w14:paraId="73A3666B" w14:textId="77777777" w:rsidR="00F80C33" w:rsidRDefault="00723BFB">
            <w:pPr>
              <w:pStyle w:val="TableBody"/>
              <w:rPr>
                <w:i/>
              </w:rPr>
            </w:pPr>
            <w:r>
              <w:rPr>
                <w:i/>
              </w:rPr>
              <w:t>RUC Capacity Total</w:t>
            </w:r>
            <w:r>
              <w:t xml:space="preserve">—The total capacity of all RUC-committed Resources during the RUC process, for the hour that includes the 15-minute Settlement Interval.  </w:t>
            </w:r>
          </w:p>
        </w:tc>
      </w:tr>
      <w:tr w:rsidR="00F80C33" w14:paraId="4CD6C02F" w14:textId="77777777">
        <w:tc>
          <w:tcPr>
            <w:tcW w:w="1268" w:type="pct"/>
          </w:tcPr>
          <w:p w14:paraId="4929A111" w14:textId="77777777" w:rsidR="00F80C33" w:rsidRDefault="00723BFB">
            <w:pPr>
              <w:pStyle w:val="TableBody"/>
              <w:rPr>
                <w:i/>
              </w:rPr>
            </w:pPr>
            <w:r>
              <w:rPr>
                <w:i/>
              </w:rPr>
              <w:t>q</w:t>
            </w:r>
          </w:p>
        </w:tc>
        <w:tc>
          <w:tcPr>
            <w:tcW w:w="342" w:type="pct"/>
          </w:tcPr>
          <w:p w14:paraId="5D14E0D7" w14:textId="77777777" w:rsidR="00F80C33" w:rsidRDefault="00723BFB">
            <w:pPr>
              <w:pStyle w:val="TableBody"/>
              <w:jc w:val="center"/>
            </w:pPr>
            <w:r>
              <w:t>none</w:t>
            </w:r>
          </w:p>
        </w:tc>
        <w:tc>
          <w:tcPr>
            <w:tcW w:w="3390" w:type="pct"/>
          </w:tcPr>
          <w:p w14:paraId="050285E1" w14:textId="77777777" w:rsidR="00F80C33" w:rsidRDefault="00723BFB">
            <w:pPr>
              <w:pStyle w:val="TableBody"/>
            </w:pPr>
            <w:r>
              <w:t>A QSE.</w:t>
            </w:r>
          </w:p>
        </w:tc>
      </w:tr>
      <w:tr w:rsidR="00F80C33" w14:paraId="6B0AAF28" w14:textId="77777777">
        <w:tc>
          <w:tcPr>
            <w:tcW w:w="1268" w:type="pct"/>
          </w:tcPr>
          <w:p w14:paraId="6597B4CC" w14:textId="77777777" w:rsidR="00F80C33" w:rsidRDefault="00723BFB">
            <w:pPr>
              <w:pStyle w:val="TableBody"/>
              <w:rPr>
                <w:i/>
              </w:rPr>
            </w:pPr>
            <w:r>
              <w:rPr>
                <w:i/>
              </w:rPr>
              <w:t>i</w:t>
            </w:r>
          </w:p>
        </w:tc>
        <w:tc>
          <w:tcPr>
            <w:tcW w:w="342" w:type="pct"/>
          </w:tcPr>
          <w:p w14:paraId="07FFDB44" w14:textId="77777777" w:rsidR="00F80C33" w:rsidRDefault="00723BFB">
            <w:pPr>
              <w:pStyle w:val="TableBody"/>
              <w:jc w:val="center"/>
            </w:pPr>
            <w:r>
              <w:t>none</w:t>
            </w:r>
          </w:p>
        </w:tc>
        <w:tc>
          <w:tcPr>
            <w:tcW w:w="3390" w:type="pct"/>
          </w:tcPr>
          <w:p w14:paraId="7D8B7B6B" w14:textId="77777777" w:rsidR="00F80C33" w:rsidRDefault="00723BFB">
            <w:pPr>
              <w:pStyle w:val="TableBody"/>
            </w:pPr>
            <w:r>
              <w:t>A 15-minute Settlement Interval.</w:t>
            </w:r>
          </w:p>
        </w:tc>
      </w:tr>
      <w:tr w:rsidR="00F80C33" w14:paraId="01868832" w14:textId="77777777">
        <w:tc>
          <w:tcPr>
            <w:tcW w:w="1268" w:type="pct"/>
          </w:tcPr>
          <w:p w14:paraId="13EE71F8" w14:textId="77777777" w:rsidR="00F80C33" w:rsidRDefault="00723BFB">
            <w:pPr>
              <w:pStyle w:val="TableBody"/>
              <w:rPr>
                <w:i/>
              </w:rPr>
            </w:pPr>
            <w:r>
              <w:rPr>
                <w:i/>
              </w:rPr>
              <w:t>h</w:t>
            </w:r>
          </w:p>
        </w:tc>
        <w:tc>
          <w:tcPr>
            <w:tcW w:w="342" w:type="pct"/>
          </w:tcPr>
          <w:p w14:paraId="3D96E1E1" w14:textId="77777777" w:rsidR="00F80C33" w:rsidRDefault="00723BFB">
            <w:pPr>
              <w:pStyle w:val="TableBody"/>
              <w:jc w:val="center"/>
            </w:pPr>
            <w:r>
              <w:t>none</w:t>
            </w:r>
          </w:p>
        </w:tc>
        <w:tc>
          <w:tcPr>
            <w:tcW w:w="3390" w:type="pct"/>
          </w:tcPr>
          <w:p w14:paraId="606443B6" w14:textId="77777777" w:rsidR="00F80C33" w:rsidRDefault="00723BFB">
            <w:pPr>
              <w:pStyle w:val="TableBody"/>
            </w:pPr>
            <w:r>
              <w:t xml:space="preserve">The hour that includes the Settlement Interval </w:t>
            </w:r>
            <w:r>
              <w:rPr>
                <w:i/>
              </w:rPr>
              <w:t>i</w:t>
            </w:r>
            <w:r>
              <w:t xml:space="preserve">. </w:t>
            </w:r>
          </w:p>
        </w:tc>
      </w:tr>
      <w:tr w:rsidR="00F80C33" w14:paraId="4052BAC6" w14:textId="77777777">
        <w:tc>
          <w:tcPr>
            <w:tcW w:w="1268" w:type="pct"/>
            <w:tcBorders>
              <w:top w:val="single" w:sz="6" w:space="0" w:color="auto"/>
              <w:left w:val="single" w:sz="4" w:space="0" w:color="auto"/>
              <w:bottom w:val="single" w:sz="4" w:space="0" w:color="auto"/>
              <w:right w:val="single" w:sz="6" w:space="0" w:color="auto"/>
            </w:tcBorders>
          </w:tcPr>
          <w:p w14:paraId="212388EF" w14:textId="77777777" w:rsidR="00F80C33" w:rsidRDefault="00723BFB">
            <w:pPr>
              <w:pStyle w:val="TableBody"/>
            </w:pPr>
            <w:proofErr w:type="spellStart"/>
            <w:r>
              <w:rPr>
                <w:i/>
              </w:rPr>
              <w:t>ruc</w:t>
            </w:r>
            <w:proofErr w:type="spellEnd"/>
          </w:p>
        </w:tc>
        <w:tc>
          <w:tcPr>
            <w:tcW w:w="342" w:type="pct"/>
            <w:tcBorders>
              <w:top w:val="single" w:sz="6" w:space="0" w:color="auto"/>
              <w:left w:val="single" w:sz="6" w:space="0" w:color="auto"/>
              <w:bottom w:val="single" w:sz="4" w:space="0" w:color="auto"/>
              <w:right w:val="single" w:sz="6" w:space="0" w:color="auto"/>
            </w:tcBorders>
          </w:tcPr>
          <w:p w14:paraId="6B48F717" w14:textId="77777777" w:rsidR="00F80C33" w:rsidRDefault="00723BFB">
            <w:pPr>
              <w:pStyle w:val="TableBody"/>
              <w:jc w:val="center"/>
            </w:pPr>
            <w:r>
              <w:t>none</w:t>
            </w:r>
          </w:p>
        </w:tc>
        <w:tc>
          <w:tcPr>
            <w:tcW w:w="3390" w:type="pct"/>
            <w:tcBorders>
              <w:top w:val="single" w:sz="6" w:space="0" w:color="auto"/>
              <w:left w:val="single" w:sz="6" w:space="0" w:color="auto"/>
              <w:bottom w:val="single" w:sz="4" w:space="0" w:color="auto"/>
              <w:right w:val="single" w:sz="4" w:space="0" w:color="auto"/>
            </w:tcBorders>
          </w:tcPr>
          <w:p w14:paraId="693C1085" w14:textId="77777777" w:rsidR="00F80C33" w:rsidRDefault="00723BFB">
            <w:pPr>
              <w:pStyle w:val="TableBody"/>
            </w:pPr>
            <w:r>
              <w:t>The RUC process for which this RUC Capacity Credit is calculated.</w:t>
            </w:r>
          </w:p>
        </w:tc>
      </w:tr>
    </w:tbl>
    <w:p w14:paraId="40D40C74" w14:textId="77777777" w:rsidR="00F80C33" w:rsidRDefault="00723BFB" w:rsidP="000B7479">
      <w:pPr>
        <w:pStyle w:val="H4"/>
        <w:spacing w:before="480"/>
        <w:ind w:left="1267" w:hanging="1267"/>
      </w:pPr>
      <w:bookmarkStart w:id="308" w:name="_Toc400547198"/>
      <w:bookmarkStart w:id="309" w:name="_Toc405384303"/>
      <w:bookmarkStart w:id="310" w:name="_Toc405543570"/>
      <w:bookmarkStart w:id="311" w:name="_Toc428178079"/>
      <w:bookmarkStart w:id="312" w:name="_Toc440872709"/>
      <w:bookmarkStart w:id="313" w:name="_Toc458766254"/>
      <w:bookmarkStart w:id="314" w:name="_Toc459292659"/>
      <w:bookmarkStart w:id="315" w:name="_Toc60038366"/>
      <w:r>
        <w:t>5.7.4.2</w:t>
      </w:r>
      <w:r>
        <w:tab/>
        <w:t>RUC Make-Whole Uplift Charge</w:t>
      </w:r>
      <w:bookmarkEnd w:id="308"/>
      <w:bookmarkEnd w:id="309"/>
      <w:bookmarkEnd w:id="310"/>
      <w:bookmarkEnd w:id="311"/>
      <w:bookmarkEnd w:id="312"/>
      <w:bookmarkEnd w:id="313"/>
      <w:bookmarkEnd w:id="314"/>
      <w:bookmarkEnd w:id="315"/>
    </w:p>
    <w:p w14:paraId="21EEA5C5" w14:textId="77777777" w:rsidR="00F80C33" w:rsidRDefault="001609AC" w:rsidP="00083F9B">
      <w:pPr>
        <w:pStyle w:val="BodyTextNumbered"/>
      </w:pPr>
      <w:r>
        <w:t>(1)</w:t>
      </w:r>
      <w:r>
        <w:tab/>
      </w:r>
      <w:r w:rsidR="00723BFB">
        <w:t xml:space="preserve">If the revenues from the charges under Section 5.7.4.1, RUC Capacity-Short Charge, are not enough to cover all RUC Make-Whole Payments, including amounts for RMR Units, for a 15-minute Settlement Interval, then the difference will be uplifted to all QSEs on a Load Ratio Share basis, as a RUC Make-Whole Uplift Charge, calculated as follows: </w:t>
      </w:r>
    </w:p>
    <w:p w14:paraId="5B5A320F" w14:textId="77777777" w:rsidR="00F80C33" w:rsidRDefault="00723BFB" w:rsidP="00C078A2">
      <w:pPr>
        <w:pStyle w:val="FormulaBold"/>
      </w:pPr>
      <w:proofErr w:type="spellStart"/>
      <w:r>
        <w:t>LARUCAMT</w:t>
      </w:r>
      <w:r>
        <w:rPr>
          <w:i/>
          <w:vertAlign w:val="subscript"/>
        </w:rPr>
        <w:t>q,i</w:t>
      </w:r>
      <w:proofErr w:type="spellEnd"/>
      <w:r>
        <w:tab/>
        <w:t>=</w:t>
      </w:r>
      <w:r>
        <w:tab/>
        <w:t xml:space="preserve">(-1) * ( </w:t>
      </w:r>
      <w:proofErr w:type="spellStart"/>
      <w:r>
        <w:t>RUCMWAMTTOT</w:t>
      </w:r>
      <w:r>
        <w:rPr>
          <w:i/>
          <w:vertAlign w:val="subscript"/>
        </w:rPr>
        <w:t>h</w:t>
      </w:r>
      <w:proofErr w:type="spellEnd"/>
      <w:r>
        <w:t xml:space="preserve"> / 4 + </w:t>
      </w:r>
      <w:proofErr w:type="spellStart"/>
      <w:r>
        <w:t>RUCCSAMTTOT</w:t>
      </w:r>
      <w:r>
        <w:rPr>
          <w:i/>
          <w:vertAlign w:val="subscript"/>
        </w:rPr>
        <w:t>i</w:t>
      </w:r>
      <w:proofErr w:type="spellEnd"/>
      <w:r>
        <w:t xml:space="preserve">) * </w:t>
      </w:r>
      <w:proofErr w:type="spellStart"/>
      <w:r>
        <w:t>LRS</w:t>
      </w:r>
      <w:r>
        <w:rPr>
          <w:i/>
          <w:vertAlign w:val="subscript"/>
        </w:rPr>
        <w:t>q,i</w:t>
      </w:r>
      <w:proofErr w:type="spellEnd"/>
    </w:p>
    <w:p w14:paraId="2E3F4BD5" w14:textId="77777777" w:rsidR="00F80C33" w:rsidRDefault="00723BFB" w:rsidP="00C078A2">
      <w:pPr>
        <w:pStyle w:val="FormulaBold"/>
      </w:pPr>
      <w:r>
        <w:t>Where:</w:t>
      </w:r>
    </w:p>
    <w:p w14:paraId="4D4CF0D0" w14:textId="77777777" w:rsidR="00F80C33" w:rsidRDefault="00723BFB" w:rsidP="0063616C">
      <w:pPr>
        <w:pStyle w:val="Formula"/>
        <w:rPr>
          <w:i/>
          <w:vertAlign w:val="subscript"/>
        </w:rPr>
      </w:pPr>
      <w:r>
        <w:tab/>
      </w:r>
      <w:proofErr w:type="spellStart"/>
      <w:r>
        <w:t>RUCMWAMTTOT</w:t>
      </w:r>
      <w:r>
        <w:rPr>
          <w:i/>
          <w:vertAlign w:val="subscript"/>
        </w:rPr>
        <w:t>h</w:t>
      </w:r>
      <w:proofErr w:type="spellEnd"/>
      <w:r>
        <w:rPr>
          <w:i/>
          <w:vertAlign w:val="subscript"/>
        </w:rPr>
        <w:t xml:space="preserve"> </w:t>
      </w:r>
      <w:r>
        <w:tab/>
      </w:r>
      <w:r>
        <w:tab/>
        <w:t>=</w:t>
      </w:r>
      <w:r>
        <w:tab/>
      </w:r>
      <w:r w:rsidR="00F80C33" w:rsidRPr="00F80C33">
        <w:rPr>
          <w:position w:val="-20"/>
        </w:rPr>
        <w:object w:dxaOrig="280" w:dyaOrig="440" w14:anchorId="532274A2">
          <v:shape id="_x0000_i1093" type="#_x0000_t75" style="width:14.4pt;height:22.8pt" o:ole="">
            <v:imagedata r:id="rId105" o:title=""/>
          </v:shape>
          <o:OLEObject Type="Embed" ProgID="Equation.3" ShapeID="_x0000_i1093" DrawAspect="Content" ObjectID="_1775281623" r:id="rId106"/>
        </w:object>
      </w:r>
      <w:proofErr w:type="spellStart"/>
      <w:r>
        <w:t>RUCMWAMTRUCTOT</w:t>
      </w:r>
      <w:r>
        <w:rPr>
          <w:i/>
          <w:vertAlign w:val="subscript"/>
        </w:rPr>
        <w:t>ruc,h</w:t>
      </w:r>
      <w:proofErr w:type="spellEnd"/>
    </w:p>
    <w:p w14:paraId="1BBF2B83" w14:textId="77777777" w:rsidR="00F80C33" w:rsidRDefault="00723BFB">
      <w:pPr>
        <w:pStyle w:val="Formula"/>
        <w:rPr>
          <w:lang w:val="it-IT"/>
        </w:rPr>
      </w:pPr>
      <w:r>
        <w:rPr>
          <w:lang w:val="it-IT"/>
        </w:rPr>
        <w:tab/>
        <w:t>RUCCSAMTTOT</w:t>
      </w:r>
      <w:r>
        <w:rPr>
          <w:i/>
          <w:vertAlign w:val="subscript"/>
          <w:lang w:val="it-IT"/>
        </w:rPr>
        <w:t>i</w:t>
      </w:r>
      <w:r>
        <w:rPr>
          <w:lang w:val="it-IT"/>
        </w:rPr>
        <w:tab/>
        <w:t xml:space="preserve">    </w:t>
      </w:r>
      <w:r>
        <w:rPr>
          <w:lang w:val="it-IT"/>
        </w:rPr>
        <w:tab/>
        <w:t xml:space="preserve"> =</w:t>
      </w:r>
      <w:r>
        <w:rPr>
          <w:lang w:val="it-IT"/>
        </w:rPr>
        <w:tab/>
      </w:r>
      <w:r w:rsidR="00F80C33" w:rsidRPr="00F80C33">
        <w:rPr>
          <w:position w:val="-20"/>
        </w:rPr>
        <w:object w:dxaOrig="280" w:dyaOrig="440" w14:anchorId="6BE13A6C">
          <v:shape id="_x0000_i1094" type="#_x0000_t75" style="width:14.4pt;height:22.8pt" o:ole="">
            <v:imagedata r:id="rId107" o:title=""/>
          </v:shape>
          <o:OLEObject Type="Embed" ProgID="Equation.3" ShapeID="_x0000_i1094" DrawAspect="Content" ObjectID="_1775281624" r:id="rId108"/>
        </w:object>
      </w:r>
      <w:r w:rsidR="00F80C33" w:rsidRPr="00F80C33">
        <w:rPr>
          <w:position w:val="-22"/>
        </w:rPr>
        <w:object w:dxaOrig="220" w:dyaOrig="460" w14:anchorId="3A8B3DB1">
          <v:shape id="_x0000_i1095" type="#_x0000_t75" style="width:9.6pt;height:22.8pt" o:ole="">
            <v:imagedata r:id="rId38" o:title=""/>
          </v:shape>
          <o:OLEObject Type="Embed" ProgID="Equation.3" ShapeID="_x0000_i1095" DrawAspect="Content" ObjectID="_1775281625" r:id="rId109"/>
        </w:object>
      </w:r>
      <w:r>
        <w:rPr>
          <w:lang w:val="it-IT"/>
        </w:rPr>
        <w:t>RUCCSAMT</w:t>
      </w:r>
      <w:r>
        <w:rPr>
          <w:i/>
          <w:vertAlign w:val="subscript"/>
          <w:lang w:val="it-IT"/>
        </w:rPr>
        <w:t>ruc,i,q</w:t>
      </w:r>
    </w:p>
    <w:p w14:paraId="0FF5132A" w14:textId="77777777" w:rsidR="00F80C33" w:rsidRDefault="00F80C33">
      <w:pPr>
        <w:pStyle w:val="BodyText"/>
        <w:rPr>
          <w:lang w:val="it-IT"/>
        </w:rPr>
      </w:pPr>
    </w:p>
    <w:p w14:paraId="47ECEC2D" w14:textId="77777777" w:rsidR="00F80C33" w:rsidRDefault="00723BFB">
      <w:pPr>
        <w:pStyle w:val="BodyText"/>
      </w:pPr>
      <w:r>
        <w:t>The above variables are defined as follows:</w:t>
      </w:r>
    </w:p>
    <w:tbl>
      <w:tblPr>
        <w:tblW w:w="4991"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204"/>
        <w:gridCol w:w="665"/>
        <w:gridCol w:w="6464"/>
      </w:tblGrid>
      <w:tr w:rsidR="00F80C33" w14:paraId="18B2DAEB" w14:textId="77777777">
        <w:tc>
          <w:tcPr>
            <w:tcW w:w="1181" w:type="pct"/>
          </w:tcPr>
          <w:p w14:paraId="672D63D8" w14:textId="77777777" w:rsidR="00F80C33" w:rsidRDefault="00723BFB">
            <w:pPr>
              <w:pStyle w:val="TableHead"/>
            </w:pPr>
            <w:r>
              <w:t>Variable</w:t>
            </w:r>
          </w:p>
        </w:tc>
        <w:tc>
          <w:tcPr>
            <w:tcW w:w="356" w:type="pct"/>
          </w:tcPr>
          <w:p w14:paraId="535C4C14" w14:textId="77777777" w:rsidR="00F80C33" w:rsidRDefault="00723BFB">
            <w:pPr>
              <w:pStyle w:val="TableHead"/>
              <w:jc w:val="center"/>
            </w:pPr>
            <w:r>
              <w:t>Unit</w:t>
            </w:r>
          </w:p>
        </w:tc>
        <w:tc>
          <w:tcPr>
            <w:tcW w:w="3463" w:type="pct"/>
          </w:tcPr>
          <w:p w14:paraId="16DF89B6" w14:textId="77777777" w:rsidR="00F80C33" w:rsidRDefault="00723BFB">
            <w:pPr>
              <w:pStyle w:val="TableHead"/>
            </w:pPr>
            <w:r>
              <w:t>Definition</w:t>
            </w:r>
          </w:p>
        </w:tc>
      </w:tr>
      <w:tr w:rsidR="00F80C33" w14:paraId="5D6F1245" w14:textId="77777777">
        <w:tc>
          <w:tcPr>
            <w:tcW w:w="1181" w:type="pct"/>
          </w:tcPr>
          <w:p w14:paraId="20852E02" w14:textId="77777777" w:rsidR="00F80C33" w:rsidRDefault="00723BFB">
            <w:pPr>
              <w:pStyle w:val="TableBody"/>
            </w:pPr>
            <w:proofErr w:type="spellStart"/>
            <w:r>
              <w:t>LARUCAMT</w:t>
            </w:r>
            <w:r>
              <w:rPr>
                <w:i/>
                <w:vertAlign w:val="subscript"/>
              </w:rPr>
              <w:t>q,i</w:t>
            </w:r>
            <w:proofErr w:type="spellEnd"/>
          </w:p>
        </w:tc>
        <w:tc>
          <w:tcPr>
            <w:tcW w:w="356" w:type="pct"/>
          </w:tcPr>
          <w:p w14:paraId="3042C4E4" w14:textId="77777777" w:rsidR="00F80C33" w:rsidRDefault="00723BFB">
            <w:pPr>
              <w:pStyle w:val="TableBody"/>
              <w:jc w:val="center"/>
            </w:pPr>
            <w:r>
              <w:t>$</w:t>
            </w:r>
          </w:p>
        </w:tc>
        <w:tc>
          <w:tcPr>
            <w:tcW w:w="3463" w:type="pct"/>
          </w:tcPr>
          <w:p w14:paraId="0C882138" w14:textId="77777777" w:rsidR="00F80C33" w:rsidRDefault="00723BFB">
            <w:pPr>
              <w:pStyle w:val="TableBody"/>
            </w:pPr>
            <w:r>
              <w:rPr>
                <w:i/>
              </w:rPr>
              <w:t>RUC Make-Whole Uplift Charge</w:t>
            </w:r>
            <w:r>
              <w:t>—The amount owed from the QSE based on Load Ratio Share, for the 15-minute Settlement Interval.</w:t>
            </w:r>
          </w:p>
        </w:tc>
      </w:tr>
      <w:tr w:rsidR="00F80C33" w14:paraId="6B483198" w14:textId="77777777">
        <w:tc>
          <w:tcPr>
            <w:tcW w:w="1181" w:type="pct"/>
          </w:tcPr>
          <w:p w14:paraId="091CD25D" w14:textId="77777777" w:rsidR="00F80C33" w:rsidRDefault="00723BFB">
            <w:pPr>
              <w:pStyle w:val="TableBody"/>
            </w:pPr>
            <w:proofErr w:type="spellStart"/>
            <w:r>
              <w:t>RUCMWAMTTOT</w:t>
            </w:r>
            <w:r>
              <w:rPr>
                <w:i/>
                <w:vertAlign w:val="subscript"/>
              </w:rPr>
              <w:t>h</w:t>
            </w:r>
            <w:proofErr w:type="spellEnd"/>
          </w:p>
        </w:tc>
        <w:tc>
          <w:tcPr>
            <w:tcW w:w="356" w:type="pct"/>
          </w:tcPr>
          <w:p w14:paraId="31BEDF7A" w14:textId="77777777" w:rsidR="00F80C33" w:rsidRDefault="00723BFB">
            <w:pPr>
              <w:pStyle w:val="TableBody"/>
              <w:jc w:val="center"/>
            </w:pPr>
            <w:r>
              <w:t>$</w:t>
            </w:r>
          </w:p>
        </w:tc>
        <w:tc>
          <w:tcPr>
            <w:tcW w:w="3463" w:type="pct"/>
          </w:tcPr>
          <w:p w14:paraId="02900CD0" w14:textId="77777777" w:rsidR="00F80C33" w:rsidRDefault="00723BFB">
            <w:pPr>
              <w:pStyle w:val="TableBody"/>
            </w:pPr>
            <w:r>
              <w:rPr>
                <w:i/>
              </w:rPr>
              <w:t>RUC Make-Whole Amount Total</w:t>
            </w:r>
            <w:r>
              <w:t>—The sum of RUC Make-Whole Payments for all RUC processes, including amounts for RMR Units, for the hour that includes the 15-minute Settlement Interval.</w:t>
            </w:r>
          </w:p>
        </w:tc>
      </w:tr>
      <w:tr w:rsidR="00F80C33" w14:paraId="05DAEDB2" w14:textId="77777777">
        <w:tc>
          <w:tcPr>
            <w:tcW w:w="1181" w:type="pct"/>
          </w:tcPr>
          <w:p w14:paraId="4BA3909A" w14:textId="77777777" w:rsidR="00F80C33" w:rsidRDefault="00723BFB">
            <w:pPr>
              <w:pStyle w:val="TableBody"/>
            </w:pPr>
            <w:proofErr w:type="spellStart"/>
            <w:r>
              <w:t>RUCMWAMTRUCTOT</w:t>
            </w:r>
            <w:r>
              <w:rPr>
                <w:i/>
                <w:vertAlign w:val="subscript"/>
              </w:rPr>
              <w:t>ruc,h</w:t>
            </w:r>
            <w:proofErr w:type="spellEnd"/>
          </w:p>
        </w:tc>
        <w:tc>
          <w:tcPr>
            <w:tcW w:w="356" w:type="pct"/>
          </w:tcPr>
          <w:p w14:paraId="5CEF4294" w14:textId="77777777" w:rsidR="00F80C33" w:rsidRDefault="00723BFB">
            <w:pPr>
              <w:pStyle w:val="TableBody"/>
              <w:jc w:val="center"/>
            </w:pPr>
            <w:r>
              <w:t>$</w:t>
            </w:r>
          </w:p>
        </w:tc>
        <w:tc>
          <w:tcPr>
            <w:tcW w:w="3463" w:type="pct"/>
          </w:tcPr>
          <w:p w14:paraId="61DA116A" w14:textId="77777777" w:rsidR="00F80C33" w:rsidRDefault="00723BFB">
            <w:pPr>
              <w:pStyle w:val="TableBody"/>
            </w:pPr>
            <w:r>
              <w:rPr>
                <w:i/>
              </w:rPr>
              <w:t>RUC Make-Whole Amount Total per RUC</w:t>
            </w:r>
            <w:r>
              <w:t>—The sum of RUC Make-Whole Payments for a particular RUC process, including payments for RMR Units, for the hour that includes the 15-minute Settlement Interval.</w:t>
            </w:r>
          </w:p>
        </w:tc>
      </w:tr>
      <w:tr w:rsidR="00F80C33" w14:paraId="2C006AC3" w14:textId="77777777">
        <w:tc>
          <w:tcPr>
            <w:tcW w:w="1181" w:type="pct"/>
          </w:tcPr>
          <w:p w14:paraId="3ADD8581" w14:textId="77777777" w:rsidR="00F80C33" w:rsidRDefault="00723BFB">
            <w:pPr>
              <w:pStyle w:val="TableBody"/>
            </w:pPr>
            <w:proofErr w:type="spellStart"/>
            <w:r>
              <w:t>RUCCSAMTTOT</w:t>
            </w:r>
            <w:r>
              <w:rPr>
                <w:i/>
                <w:vertAlign w:val="subscript"/>
              </w:rPr>
              <w:t>i</w:t>
            </w:r>
            <w:proofErr w:type="spellEnd"/>
          </w:p>
        </w:tc>
        <w:tc>
          <w:tcPr>
            <w:tcW w:w="356" w:type="pct"/>
          </w:tcPr>
          <w:p w14:paraId="5F577669" w14:textId="77777777" w:rsidR="00F80C33" w:rsidRDefault="00723BFB">
            <w:pPr>
              <w:pStyle w:val="TableBody"/>
              <w:jc w:val="center"/>
            </w:pPr>
            <w:r>
              <w:t>$</w:t>
            </w:r>
          </w:p>
        </w:tc>
        <w:tc>
          <w:tcPr>
            <w:tcW w:w="3463" w:type="pct"/>
          </w:tcPr>
          <w:p w14:paraId="39667E19" w14:textId="77777777" w:rsidR="00F80C33" w:rsidRDefault="00723BFB">
            <w:pPr>
              <w:pStyle w:val="TableBody"/>
            </w:pPr>
            <w:r>
              <w:rPr>
                <w:i/>
              </w:rPr>
              <w:t>RUC Capacity Amount Total</w:t>
            </w:r>
            <w:r>
              <w:t>—The sum of RUC Capacity-Short Charges for all QSEs and RUC processes, including payments for RMR Units, for the 15-minute Settlement Interval.</w:t>
            </w:r>
          </w:p>
        </w:tc>
      </w:tr>
      <w:tr w:rsidR="00F80C33" w14:paraId="3D97ADAC" w14:textId="77777777">
        <w:tc>
          <w:tcPr>
            <w:tcW w:w="1181" w:type="pct"/>
          </w:tcPr>
          <w:p w14:paraId="270C80F9" w14:textId="77777777" w:rsidR="00F80C33" w:rsidRDefault="00723BFB">
            <w:pPr>
              <w:pStyle w:val="TableBody"/>
            </w:pPr>
            <w:proofErr w:type="spellStart"/>
            <w:r>
              <w:lastRenderedPageBreak/>
              <w:t>RUCCSAMT</w:t>
            </w:r>
            <w:r>
              <w:rPr>
                <w:i/>
                <w:vertAlign w:val="subscript"/>
              </w:rPr>
              <w:t>ruc,i,q</w:t>
            </w:r>
            <w:proofErr w:type="spellEnd"/>
          </w:p>
        </w:tc>
        <w:tc>
          <w:tcPr>
            <w:tcW w:w="356" w:type="pct"/>
          </w:tcPr>
          <w:p w14:paraId="25BCAAE6" w14:textId="77777777" w:rsidR="00F80C33" w:rsidRDefault="00723BFB">
            <w:pPr>
              <w:pStyle w:val="TableBody"/>
              <w:jc w:val="center"/>
            </w:pPr>
            <w:r>
              <w:t>$</w:t>
            </w:r>
          </w:p>
        </w:tc>
        <w:tc>
          <w:tcPr>
            <w:tcW w:w="3463" w:type="pct"/>
          </w:tcPr>
          <w:p w14:paraId="51F4F63F" w14:textId="77777777" w:rsidR="00F80C33" w:rsidRDefault="00723BFB">
            <w:pPr>
              <w:pStyle w:val="TableBody"/>
            </w:pPr>
            <w:r>
              <w:rPr>
                <w:i/>
              </w:rPr>
              <w:t>RUC Capacity-Short Amount</w:t>
            </w:r>
            <w:r>
              <w:t>—The charge to a QSE, due to capacity shortfall for a particular RUC process, for the 15-minute Settlement Interval.</w:t>
            </w:r>
          </w:p>
        </w:tc>
      </w:tr>
      <w:tr w:rsidR="00F80C33" w14:paraId="07C24AC7" w14:textId="77777777">
        <w:tc>
          <w:tcPr>
            <w:tcW w:w="1181" w:type="pct"/>
          </w:tcPr>
          <w:p w14:paraId="7EEE70B4" w14:textId="77777777" w:rsidR="00F80C33" w:rsidRDefault="00723BFB">
            <w:pPr>
              <w:pStyle w:val="TableBody"/>
            </w:pPr>
            <w:proofErr w:type="spellStart"/>
            <w:r>
              <w:t>LRS</w:t>
            </w:r>
            <w:r>
              <w:rPr>
                <w:i/>
                <w:vertAlign w:val="subscript"/>
              </w:rPr>
              <w:t>q,i</w:t>
            </w:r>
            <w:proofErr w:type="spellEnd"/>
          </w:p>
        </w:tc>
        <w:tc>
          <w:tcPr>
            <w:tcW w:w="356" w:type="pct"/>
          </w:tcPr>
          <w:p w14:paraId="1C66A5B3" w14:textId="77777777" w:rsidR="00F80C33" w:rsidRDefault="00723BFB">
            <w:pPr>
              <w:pStyle w:val="TableBody"/>
              <w:jc w:val="center"/>
            </w:pPr>
            <w:r>
              <w:t>none</w:t>
            </w:r>
          </w:p>
        </w:tc>
        <w:tc>
          <w:tcPr>
            <w:tcW w:w="3463" w:type="pct"/>
          </w:tcPr>
          <w:p w14:paraId="28EF84B1" w14:textId="77777777" w:rsidR="00F80C33" w:rsidRDefault="00723BFB">
            <w:pPr>
              <w:pStyle w:val="TableBody"/>
              <w:rPr>
                <w:i/>
              </w:rPr>
            </w:pPr>
            <w:r>
              <w:rPr>
                <w:i/>
              </w:rPr>
              <w:t>Load Ratio Share</w:t>
            </w:r>
            <w:r>
              <w:t>—The ratio of Adjusted Metered Load to the total ERCOT Adjusted Metered Load for the 15-minute Settlement Interval.  See Section 6.6.2, Load Ratio Share, item (2).</w:t>
            </w:r>
          </w:p>
        </w:tc>
      </w:tr>
      <w:tr w:rsidR="00F80C33" w14:paraId="5FCC52F6" w14:textId="77777777">
        <w:tc>
          <w:tcPr>
            <w:tcW w:w="1181" w:type="pct"/>
          </w:tcPr>
          <w:p w14:paraId="43BB6AEA" w14:textId="77777777" w:rsidR="00F80C33" w:rsidRDefault="00723BFB">
            <w:pPr>
              <w:pStyle w:val="TableBody"/>
              <w:rPr>
                <w:i/>
              </w:rPr>
            </w:pPr>
            <w:r>
              <w:rPr>
                <w:i/>
              </w:rPr>
              <w:t>i</w:t>
            </w:r>
          </w:p>
        </w:tc>
        <w:tc>
          <w:tcPr>
            <w:tcW w:w="356" w:type="pct"/>
          </w:tcPr>
          <w:p w14:paraId="08017CCF" w14:textId="77777777" w:rsidR="00F80C33" w:rsidRDefault="00723BFB">
            <w:pPr>
              <w:pStyle w:val="TableBody"/>
              <w:jc w:val="center"/>
            </w:pPr>
            <w:r>
              <w:t>none</w:t>
            </w:r>
          </w:p>
        </w:tc>
        <w:tc>
          <w:tcPr>
            <w:tcW w:w="3463" w:type="pct"/>
          </w:tcPr>
          <w:p w14:paraId="3C1DD6F5" w14:textId="77777777" w:rsidR="00F80C33" w:rsidRDefault="00723BFB">
            <w:pPr>
              <w:pStyle w:val="TableBody"/>
            </w:pPr>
            <w:r>
              <w:t>A 15-minute Settlement Interval.</w:t>
            </w:r>
          </w:p>
        </w:tc>
      </w:tr>
      <w:tr w:rsidR="00F80C33" w14:paraId="7D67DA55" w14:textId="77777777">
        <w:tc>
          <w:tcPr>
            <w:tcW w:w="1181" w:type="pct"/>
          </w:tcPr>
          <w:p w14:paraId="3C979F07" w14:textId="77777777" w:rsidR="00F80C33" w:rsidRDefault="00723BFB">
            <w:pPr>
              <w:pStyle w:val="TableBody"/>
              <w:rPr>
                <w:i/>
              </w:rPr>
            </w:pPr>
            <w:r>
              <w:rPr>
                <w:i/>
              </w:rPr>
              <w:t>h</w:t>
            </w:r>
          </w:p>
        </w:tc>
        <w:tc>
          <w:tcPr>
            <w:tcW w:w="356" w:type="pct"/>
          </w:tcPr>
          <w:p w14:paraId="1FBCAC75" w14:textId="77777777" w:rsidR="00F80C33" w:rsidRDefault="00723BFB">
            <w:pPr>
              <w:pStyle w:val="TableBody"/>
              <w:jc w:val="center"/>
            </w:pPr>
            <w:r>
              <w:t>none</w:t>
            </w:r>
          </w:p>
        </w:tc>
        <w:tc>
          <w:tcPr>
            <w:tcW w:w="3462" w:type="pct"/>
          </w:tcPr>
          <w:p w14:paraId="2430C0F9" w14:textId="77777777" w:rsidR="00F80C33" w:rsidRDefault="00723BFB">
            <w:pPr>
              <w:pStyle w:val="TableBody"/>
            </w:pPr>
            <w:r>
              <w:t xml:space="preserve">The hour that includes the Settlement Interval </w:t>
            </w:r>
            <w:r>
              <w:rPr>
                <w:i/>
              </w:rPr>
              <w:t>i</w:t>
            </w:r>
            <w:r>
              <w:t xml:space="preserve">. </w:t>
            </w:r>
          </w:p>
        </w:tc>
      </w:tr>
      <w:tr w:rsidR="00F80C33" w14:paraId="4B62630A" w14:textId="77777777">
        <w:tc>
          <w:tcPr>
            <w:tcW w:w="1181" w:type="pct"/>
            <w:tcBorders>
              <w:top w:val="single" w:sz="6" w:space="0" w:color="auto"/>
              <w:left w:val="single" w:sz="4" w:space="0" w:color="auto"/>
              <w:bottom w:val="single" w:sz="4" w:space="0" w:color="auto"/>
              <w:right w:val="single" w:sz="6" w:space="0" w:color="auto"/>
            </w:tcBorders>
          </w:tcPr>
          <w:p w14:paraId="142FF2D5" w14:textId="77777777" w:rsidR="00F80C33" w:rsidRDefault="00723BFB">
            <w:pPr>
              <w:pStyle w:val="TableBody"/>
            </w:pPr>
            <w:proofErr w:type="spellStart"/>
            <w:r>
              <w:rPr>
                <w:i/>
              </w:rPr>
              <w:t>ruc</w:t>
            </w:r>
            <w:proofErr w:type="spellEnd"/>
          </w:p>
        </w:tc>
        <w:tc>
          <w:tcPr>
            <w:tcW w:w="356" w:type="pct"/>
            <w:tcBorders>
              <w:top w:val="single" w:sz="6" w:space="0" w:color="auto"/>
              <w:left w:val="single" w:sz="6" w:space="0" w:color="auto"/>
              <w:bottom w:val="single" w:sz="4" w:space="0" w:color="auto"/>
              <w:right w:val="single" w:sz="6" w:space="0" w:color="auto"/>
            </w:tcBorders>
          </w:tcPr>
          <w:p w14:paraId="0E8383EA" w14:textId="77777777" w:rsidR="00F80C33" w:rsidRDefault="00723BFB">
            <w:pPr>
              <w:pStyle w:val="TableBody"/>
              <w:jc w:val="center"/>
            </w:pPr>
            <w:r>
              <w:t>none</w:t>
            </w:r>
          </w:p>
        </w:tc>
        <w:tc>
          <w:tcPr>
            <w:tcW w:w="3463" w:type="pct"/>
            <w:tcBorders>
              <w:top w:val="single" w:sz="6" w:space="0" w:color="auto"/>
              <w:left w:val="single" w:sz="6" w:space="0" w:color="auto"/>
              <w:bottom w:val="single" w:sz="4" w:space="0" w:color="auto"/>
              <w:right w:val="single" w:sz="4" w:space="0" w:color="auto"/>
            </w:tcBorders>
          </w:tcPr>
          <w:p w14:paraId="666853C4" w14:textId="77777777" w:rsidR="00F80C33" w:rsidRDefault="00723BFB">
            <w:pPr>
              <w:pStyle w:val="TableBody"/>
            </w:pPr>
            <w:r>
              <w:t>A RUC Process.</w:t>
            </w:r>
          </w:p>
        </w:tc>
      </w:tr>
      <w:tr w:rsidR="00F80C33" w14:paraId="584ACB70" w14:textId="77777777">
        <w:tc>
          <w:tcPr>
            <w:tcW w:w="1181" w:type="pct"/>
            <w:tcBorders>
              <w:top w:val="single" w:sz="6" w:space="0" w:color="auto"/>
              <w:left w:val="single" w:sz="4" w:space="0" w:color="auto"/>
              <w:bottom w:val="single" w:sz="6" w:space="0" w:color="auto"/>
              <w:right w:val="single" w:sz="6" w:space="0" w:color="auto"/>
            </w:tcBorders>
          </w:tcPr>
          <w:p w14:paraId="187E527F" w14:textId="77777777" w:rsidR="00F80C33" w:rsidRDefault="00723BFB">
            <w:pPr>
              <w:pStyle w:val="TableBody"/>
              <w:rPr>
                <w:i/>
              </w:rPr>
            </w:pPr>
            <w:r>
              <w:rPr>
                <w:i/>
              </w:rPr>
              <w:t>q</w:t>
            </w:r>
          </w:p>
        </w:tc>
        <w:tc>
          <w:tcPr>
            <w:tcW w:w="356" w:type="pct"/>
            <w:tcBorders>
              <w:top w:val="single" w:sz="6" w:space="0" w:color="auto"/>
              <w:left w:val="single" w:sz="6" w:space="0" w:color="auto"/>
              <w:bottom w:val="single" w:sz="6" w:space="0" w:color="auto"/>
              <w:right w:val="single" w:sz="6" w:space="0" w:color="auto"/>
            </w:tcBorders>
          </w:tcPr>
          <w:p w14:paraId="412FA023" w14:textId="77777777" w:rsidR="00F80C33" w:rsidRDefault="00723BFB">
            <w:pPr>
              <w:pStyle w:val="TableBody"/>
              <w:jc w:val="center"/>
            </w:pPr>
            <w:r>
              <w:t>none</w:t>
            </w:r>
          </w:p>
        </w:tc>
        <w:tc>
          <w:tcPr>
            <w:tcW w:w="3463" w:type="pct"/>
            <w:tcBorders>
              <w:top w:val="single" w:sz="6" w:space="0" w:color="auto"/>
              <w:left w:val="single" w:sz="6" w:space="0" w:color="auto"/>
              <w:bottom w:val="single" w:sz="6" w:space="0" w:color="auto"/>
              <w:right w:val="single" w:sz="4" w:space="0" w:color="auto"/>
            </w:tcBorders>
          </w:tcPr>
          <w:p w14:paraId="5B1F3BED" w14:textId="77777777" w:rsidR="00F80C33" w:rsidRDefault="00723BFB">
            <w:pPr>
              <w:pStyle w:val="TableBody"/>
            </w:pPr>
            <w:r>
              <w:t>A QSE.</w:t>
            </w:r>
          </w:p>
        </w:tc>
      </w:tr>
    </w:tbl>
    <w:p w14:paraId="486B6772" w14:textId="77777777" w:rsidR="00F80C33" w:rsidRPr="000B7479" w:rsidRDefault="00723BFB" w:rsidP="000B7479">
      <w:pPr>
        <w:pStyle w:val="H3"/>
        <w:spacing w:before="480"/>
        <w:rPr>
          <w:b/>
          <w:i/>
        </w:rPr>
      </w:pPr>
      <w:bookmarkStart w:id="316" w:name="_Toc400547199"/>
      <w:bookmarkStart w:id="317" w:name="_Toc405384304"/>
      <w:bookmarkStart w:id="318" w:name="_Toc405543571"/>
      <w:bookmarkStart w:id="319" w:name="_Toc428178080"/>
      <w:bookmarkStart w:id="320" w:name="_Toc440872710"/>
      <w:bookmarkStart w:id="321" w:name="_Toc458766255"/>
      <w:bookmarkStart w:id="322" w:name="_Toc459292660"/>
      <w:bookmarkStart w:id="323" w:name="_Toc60038367"/>
      <w:bookmarkStart w:id="324" w:name="_Toc101091060"/>
      <w:r w:rsidRPr="000B7479">
        <w:rPr>
          <w:b/>
          <w:i/>
        </w:rPr>
        <w:t>5.7.5</w:t>
      </w:r>
      <w:r w:rsidRPr="000B7479">
        <w:rPr>
          <w:b/>
          <w:i/>
        </w:rPr>
        <w:tab/>
        <w:t xml:space="preserve">RUC </w:t>
      </w:r>
      <w:proofErr w:type="spellStart"/>
      <w:r w:rsidRPr="000B7479">
        <w:rPr>
          <w:b/>
          <w:i/>
        </w:rPr>
        <w:t>Clawback</w:t>
      </w:r>
      <w:proofErr w:type="spellEnd"/>
      <w:r w:rsidRPr="000B7479">
        <w:rPr>
          <w:b/>
          <w:i/>
        </w:rPr>
        <w:t xml:space="preserve"> Payment</w:t>
      </w:r>
      <w:bookmarkEnd w:id="316"/>
      <w:bookmarkEnd w:id="317"/>
      <w:bookmarkEnd w:id="318"/>
      <w:bookmarkEnd w:id="319"/>
      <w:bookmarkEnd w:id="320"/>
      <w:bookmarkEnd w:id="321"/>
      <w:bookmarkEnd w:id="322"/>
      <w:bookmarkEnd w:id="323"/>
    </w:p>
    <w:p w14:paraId="5B6C5F7F" w14:textId="77777777" w:rsidR="00F80C33" w:rsidRDefault="001609AC" w:rsidP="00083F9B">
      <w:pPr>
        <w:pStyle w:val="BodyTextNumbered"/>
      </w:pPr>
      <w:r>
        <w:t>(1)</w:t>
      </w:r>
      <w:r>
        <w:tab/>
      </w:r>
      <w:r w:rsidR="00723BFB">
        <w:t xml:space="preserve">ERCOT shall pay the revenues from all RUC </w:t>
      </w:r>
      <w:proofErr w:type="spellStart"/>
      <w:r w:rsidR="00723BFB">
        <w:t>Clawback</w:t>
      </w:r>
      <w:proofErr w:type="spellEnd"/>
      <w:r w:rsidR="00723BFB">
        <w:t xml:space="preserve"> Charges, including amounts for RMR </w:t>
      </w:r>
      <w:r w:rsidR="003667DB">
        <w:t>U</w:t>
      </w:r>
      <w:r w:rsidR="00723BFB">
        <w:t xml:space="preserve">nits, in a 15-minute Settlement Interval to all QSEs, on </w:t>
      </w:r>
      <w:r w:rsidR="003667DB">
        <w:t>an LRS</w:t>
      </w:r>
      <w:r w:rsidR="00723BFB">
        <w:t xml:space="preserve"> basis, as the RUC </w:t>
      </w:r>
      <w:proofErr w:type="spellStart"/>
      <w:r w:rsidR="00723BFB">
        <w:t>Clawback</w:t>
      </w:r>
      <w:proofErr w:type="spellEnd"/>
      <w:r w:rsidR="00723BFB">
        <w:t xml:space="preserve"> Payment. </w:t>
      </w:r>
      <w:r w:rsidR="002A1E32">
        <w:t xml:space="preserve"> </w:t>
      </w:r>
      <w:r w:rsidR="00723BFB">
        <w:t xml:space="preserve">The RUC </w:t>
      </w:r>
      <w:proofErr w:type="spellStart"/>
      <w:r w:rsidR="00723BFB">
        <w:t>Clawback</w:t>
      </w:r>
      <w:proofErr w:type="spellEnd"/>
      <w:r w:rsidR="00723BFB">
        <w:t xml:space="preserve"> Payment is calculated </w:t>
      </w:r>
      <w:bookmarkEnd w:id="324"/>
      <w:r w:rsidR="00723BFB">
        <w:t xml:space="preserve">as follows for each QSE for each 15-minute Settlement Interval: </w:t>
      </w:r>
    </w:p>
    <w:p w14:paraId="6798783B" w14:textId="77777777" w:rsidR="00F80C33" w:rsidRDefault="00723BFB" w:rsidP="00C078A2">
      <w:pPr>
        <w:pStyle w:val="FormulaBold"/>
      </w:pPr>
      <w:proofErr w:type="spellStart"/>
      <w:r>
        <w:t>LARUCCBAMT</w:t>
      </w:r>
      <w:r>
        <w:rPr>
          <w:i/>
          <w:vertAlign w:val="subscript"/>
        </w:rPr>
        <w:t>q,i</w:t>
      </w:r>
      <w:proofErr w:type="spellEnd"/>
      <w:r>
        <w:tab/>
        <w:t>=</w:t>
      </w:r>
      <w:r>
        <w:tab/>
        <w:t>(-1) * (</w:t>
      </w:r>
      <w:proofErr w:type="spellStart"/>
      <w:r>
        <w:t>RUCCBAMTTOT</w:t>
      </w:r>
      <w:r>
        <w:rPr>
          <w:i/>
          <w:vertAlign w:val="subscript"/>
        </w:rPr>
        <w:t>h</w:t>
      </w:r>
      <w:proofErr w:type="spellEnd"/>
      <w:r>
        <w:t xml:space="preserve"> / 4 * </w:t>
      </w:r>
      <w:proofErr w:type="spellStart"/>
      <w:r>
        <w:t>LRS</w:t>
      </w:r>
      <w:r>
        <w:rPr>
          <w:i/>
          <w:vertAlign w:val="subscript"/>
        </w:rPr>
        <w:t>q,i</w:t>
      </w:r>
      <w:proofErr w:type="spellEnd"/>
      <w:r>
        <w:t>)</w:t>
      </w:r>
    </w:p>
    <w:p w14:paraId="5F495B41" w14:textId="77777777" w:rsidR="00F80C33" w:rsidRDefault="00723BFB" w:rsidP="00C078A2">
      <w:pPr>
        <w:pStyle w:val="FormulaBold"/>
      </w:pPr>
      <w:r w:rsidRPr="00D04430">
        <w:t>Where</w:t>
      </w:r>
      <w:r>
        <w:t>:</w:t>
      </w:r>
    </w:p>
    <w:p w14:paraId="1C3EB511" w14:textId="77777777" w:rsidR="00F80C33" w:rsidRDefault="00723BFB" w:rsidP="0063616C">
      <w:pPr>
        <w:pStyle w:val="Formula"/>
      </w:pPr>
      <w:r>
        <w:tab/>
      </w:r>
      <w:proofErr w:type="spellStart"/>
      <w:r>
        <w:t>RUCCBAMTTOT</w:t>
      </w:r>
      <w:r>
        <w:rPr>
          <w:i/>
          <w:vertAlign w:val="subscript"/>
        </w:rPr>
        <w:t>h</w:t>
      </w:r>
      <w:proofErr w:type="spellEnd"/>
      <w:r>
        <w:tab/>
        <w:t>=</w:t>
      </w:r>
      <w:r>
        <w:tab/>
      </w:r>
      <w:r w:rsidR="00F80C33" w:rsidRPr="00F80C33">
        <w:rPr>
          <w:position w:val="-22"/>
        </w:rPr>
        <w:object w:dxaOrig="220" w:dyaOrig="460" w14:anchorId="0ACA7DE7">
          <v:shape id="_x0000_i1096" type="#_x0000_t75" style="width:9.6pt;height:22.8pt" o:ole="">
            <v:imagedata r:id="rId110" o:title=""/>
          </v:shape>
          <o:OLEObject Type="Embed" ProgID="Equation.3" ShapeID="_x0000_i1096" DrawAspect="Content" ObjectID="_1775281626" r:id="rId111"/>
        </w:object>
      </w:r>
      <w:r w:rsidR="00F80C33" w:rsidRPr="00F80C33">
        <w:rPr>
          <w:position w:val="-18"/>
        </w:rPr>
        <w:object w:dxaOrig="220" w:dyaOrig="420" w14:anchorId="154CCF27">
          <v:shape id="_x0000_i1097" type="#_x0000_t75" style="width:9.6pt;height:21pt" o:ole="">
            <v:imagedata r:id="rId112" o:title=""/>
          </v:shape>
          <o:OLEObject Type="Embed" ProgID="Equation.3" ShapeID="_x0000_i1097" DrawAspect="Content" ObjectID="_1775281627" r:id="rId113"/>
        </w:object>
      </w:r>
      <w:proofErr w:type="spellStart"/>
      <w:r>
        <w:t>RUCCBAMT</w:t>
      </w:r>
      <w:r>
        <w:rPr>
          <w:i/>
          <w:vertAlign w:val="subscript"/>
        </w:rPr>
        <w:t>q,r,h</w:t>
      </w:r>
      <w:proofErr w:type="spellEnd"/>
    </w:p>
    <w:p w14:paraId="2CB50898" w14:textId="77777777" w:rsidR="00E2667F" w:rsidRDefault="00723BFB">
      <w:pPr>
        <w:pStyle w:val="BodyText"/>
        <w:spacing w:after="0"/>
      </w:pPr>
      <w:r>
        <w:t>The above variables are defined as follows:</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6"/>
        <w:gridCol w:w="712"/>
        <w:gridCol w:w="6178"/>
      </w:tblGrid>
      <w:tr w:rsidR="00F80C33" w14:paraId="4256354D" w14:textId="77777777" w:rsidTr="00120456">
        <w:trPr>
          <w:cantSplit/>
          <w:tblHeader/>
        </w:trPr>
        <w:tc>
          <w:tcPr>
            <w:tcW w:w="1966" w:type="dxa"/>
          </w:tcPr>
          <w:p w14:paraId="38178AA2" w14:textId="77777777" w:rsidR="00F80C33" w:rsidRDefault="00723BFB">
            <w:pPr>
              <w:pStyle w:val="TableHead"/>
            </w:pPr>
            <w:r>
              <w:t>Variable</w:t>
            </w:r>
          </w:p>
        </w:tc>
        <w:tc>
          <w:tcPr>
            <w:tcW w:w="712" w:type="dxa"/>
          </w:tcPr>
          <w:p w14:paraId="7A2E3367" w14:textId="77777777" w:rsidR="00F80C33" w:rsidRDefault="00723BFB">
            <w:pPr>
              <w:pStyle w:val="TableHead"/>
              <w:jc w:val="center"/>
            </w:pPr>
            <w:r>
              <w:t>Unit</w:t>
            </w:r>
          </w:p>
        </w:tc>
        <w:tc>
          <w:tcPr>
            <w:tcW w:w="6178" w:type="dxa"/>
          </w:tcPr>
          <w:p w14:paraId="5976EC5B" w14:textId="77777777" w:rsidR="00F80C33" w:rsidRDefault="00723BFB">
            <w:pPr>
              <w:pStyle w:val="TableHead"/>
            </w:pPr>
            <w:r>
              <w:t>Definition</w:t>
            </w:r>
          </w:p>
        </w:tc>
      </w:tr>
      <w:tr w:rsidR="00F80C33" w14:paraId="5B34F925" w14:textId="77777777" w:rsidTr="00120456">
        <w:trPr>
          <w:cantSplit/>
        </w:trPr>
        <w:tc>
          <w:tcPr>
            <w:tcW w:w="1966" w:type="dxa"/>
          </w:tcPr>
          <w:p w14:paraId="0047A770" w14:textId="77777777" w:rsidR="00F80C33" w:rsidRDefault="00723BFB">
            <w:pPr>
              <w:pStyle w:val="TableBody"/>
            </w:pPr>
            <w:proofErr w:type="spellStart"/>
            <w:r>
              <w:t>LARUCCBAMT</w:t>
            </w:r>
            <w:r>
              <w:rPr>
                <w:i/>
                <w:vertAlign w:val="subscript"/>
              </w:rPr>
              <w:t>q,i</w:t>
            </w:r>
            <w:proofErr w:type="spellEnd"/>
          </w:p>
        </w:tc>
        <w:tc>
          <w:tcPr>
            <w:tcW w:w="712" w:type="dxa"/>
          </w:tcPr>
          <w:p w14:paraId="57EF2CB5" w14:textId="77777777" w:rsidR="00F80C33" w:rsidRDefault="00723BFB">
            <w:pPr>
              <w:pStyle w:val="TableBody"/>
              <w:jc w:val="center"/>
            </w:pPr>
            <w:r>
              <w:t>$</w:t>
            </w:r>
          </w:p>
        </w:tc>
        <w:tc>
          <w:tcPr>
            <w:tcW w:w="6178" w:type="dxa"/>
          </w:tcPr>
          <w:p w14:paraId="0D92FE5D" w14:textId="77777777" w:rsidR="00F80C33" w:rsidRDefault="00723BFB">
            <w:pPr>
              <w:pStyle w:val="TableBody"/>
            </w:pPr>
            <w:r>
              <w:rPr>
                <w:i/>
              </w:rPr>
              <w:t xml:space="preserve">RUC </w:t>
            </w:r>
            <w:proofErr w:type="spellStart"/>
            <w:r>
              <w:rPr>
                <w:i/>
              </w:rPr>
              <w:t>Clawback</w:t>
            </w:r>
            <w:proofErr w:type="spellEnd"/>
            <w:r>
              <w:rPr>
                <w:i/>
              </w:rPr>
              <w:t xml:space="preserve"> Payment</w:t>
            </w:r>
            <w:r>
              <w:t xml:space="preserve">—The RUC </w:t>
            </w:r>
            <w:r w:rsidR="003667DB">
              <w:t>m</w:t>
            </w:r>
            <w:r>
              <w:t>ake-</w:t>
            </w:r>
            <w:r w:rsidR="003667DB">
              <w:t>w</w:t>
            </w:r>
            <w:r>
              <w:t xml:space="preserve">hole </w:t>
            </w:r>
            <w:proofErr w:type="spellStart"/>
            <w:r w:rsidR="003667DB">
              <w:t>c</w:t>
            </w:r>
            <w:r>
              <w:t>lawback</w:t>
            </w:r>
            <w:proofErr w:type="spellEnd"/>
            <w:r>
              <w:t xml:space="preserve"> </w:t>
            </w:r>
            <w:r w:rsidR="003667DB">
              <w:t>p</w:t>
            </w:r>
            <w:r>
              <w:t xml:space="preserve">ayment to a QSE to uplift RUC Make-Whole </w:t>
            </w:r>
            <w:proofErr w:type="spellStart"/>
            <w:r>
              <w:t>Clawback</w:t>
            </w:r>
            <w:proofErr w:type="spellEnd"/>
            <w:r>
              <w:t xml:space="preserve"> Charges received, for a 15-minute Settlement Interval.</w:t>
            </w:r>
          </w:p>
        </w:tc>
      </w:tr>
      <w:tr w:rsidR="00F80C33" w14:paraId="6F730D9F" w14:textId="77777777" w:rsidTr="00120456">
        <w:trPr>
          <w:cantSplit/>
        </w:trPr>
        <w:tc>
          <w:tcPr>
            <w:tcW w:w="1966" w:type="dxa"/>
          </w:tcPr>
          <w:p w14:paraId="1A46E599" w14:textId="77777777" w:rsidR="00F80C33" w:rsidRDefault="00723BFB">
            <w:pPr>
              <w:pStyle w:val="TableBody"/>
            </w:pPr>
            <w:proofErr w:type="spellStart"/>
            <w:r>
              <w:t>RUCCBAMTTOT</w:t>
            </w:r>
            <w:r>
              <w:rPr>
                <w:i/>
                <w:vertAlign w:val="subscript"/>
              </w:rPr>
              <w:t>h</w:t>
            </w:r>
            <w:proofErr w:type="spellEnd"/>
          </w:p>
        </w:tc>
        <w:tc>
          <w:tcPr>
            <w:tcW w:w="712" w:type="dxa"/>
          </w:tcPr>
          <w:p w14:paraId="2CE2DA4D" w14:textId="77777777" w:rsidR="00F80C33" w:rsidRDefault="00723BFB">
            <w:pPr>
              <w:pStyle w:val="TableBody"/>
              <w:jc w:val="center"/>
            </w:pPr>
            <w:r>
              <w:t>$</w:t>
            </w:r>
          </w:p>
        </w:tc>
        <w:tc>
          <w:tcPr>
            <w:tcW w:w="6178" w:type="dxa"/>
          </w:tcPr>
          <w:p w14:paraId="15DD8CE6" w14:textId="77777777" w:rsidR="00F80C33" w:rsidRDefault="00723BFB">
            <w:pPr>
              <w:pStyle w:val="TableBody"/>
            </w:pPr>
            <w:r>
              <w:rPr>
                <w:i/>
              </w:rPr>
              <w:t xml:space="preserve">RUC </w:t>
            </w:r>
            <w:proofErr w:type="spellStart"/>
            <w:r>
              <w:rPr>
                <w:i/>
              </w:rPr>
              <w:t>Clawback</w:t>
            </w:r>
            <w:proofErr w:type="spellEnd"/>
            <w:r>
              <w:rPr>
                <w:i/>
              </w:rPr>
              <w:t xml:space="preserve"> Charge Total </w:t>
            </w:r>
            <w:r>
              <w:t xml:space="preserve">—The sum of RUC </w:t>
            </w:r>
            <w:proofErr w:type="spellStart"/>
            <w:r>
              <w:t>Clawback</w:t>
            </w:r>
            <w:proofErr w:type="spellEnd"/>
            <w:r>
              <w:t xml:space="preserve"> Charges to all QSEs, including amounts for RMR Units, for </w:t>
            </w:r>
            <w:r w:rsidR="003667DB">
              <w:t xml:space="preserve">the </w:t>
            </w:r>
            <w:r>
              <w:t>hour that includes the 15-minute Settlement Interval.</w:t>
            </w:r>
          </w:p>
        </w:tc>
      </w:tr>
      <w:tr w:rsidR="00F80C33" w14:paraId="2DE8207C" w14:textId="77777777" w:rsidTr="00120456">
        <w:trPr>
          <w:cantSplit/>
        </w:trPr>
        <w:tc>
          <w:tcPr>
            <w:tcW w:w="1966" w:type="dxa"/>
          </w:tcPr>
          <w:p w14:paraId="2BDE8433" w14:textId="77777777" w:rsidR="00F80C33" w:rsidRDefault="00723BFB">
            <w:pPr>
              <w:pStyle w:val="TableBody"/>
            </w:pPr>
            <w:proofErr w:type="spellStart"/>
            <w:r>
              <w:t>LRS</w:t>
            </w:r>
            <w:r>
              <w:rPr>
                <w:i/>
                <w:vertAlign w:val="subscript"/>
              </w:rPr>
              <w:t>q,i</w:t>
            </w:r>
            <w:proofErr w:type="spellEnd"/>
          </w:p>
        </w:tc>
        <w:tc>
          <w:tcPr>
            <w:tcW w:w="712" w:type="dxa"/>
          </w:tcPr>
          <w:p w14:paraId="128260B0" w14:textId="77777777" w:rsidR="00F80C33" w:rsidRDefault="00723BFB">
            <w:pPr>
              <w:pStyle w:val="TableBody"/>
            </w:pPr>
            <w:r>
              <w:t>none</w:t>
            </w:r>
          </w:p>
        </w:tc>
        <w:tc>
          <w:tcPr>
            <w:tcW w:w="6178" w:type="dxa"/>
          </w:tcPr>
          <w:p w14:paraId="2EC3F058" w14:textId="77777777" w:rsidR="00F80C33" w:rsidRDefault="00723BFB" w:rsidP="003667DB">
            <w:pPr>
              <w:pStyle w:val="TableBody"/>
            </w:pPr>
            <w:r>
              <w:rPr>
                <w:i/>
              </w:rPr>
              <w:t>Load Ratio Share</w:t>
            </w:r>
            <w:r>
              <w:t xml:space="preserve">—The </w:t>
            </w:r>
            <w:r w:rsidR="003667DB">
              <w:t xml:space="preserve">LRS </w:t>
            </w:r>
            <w:r>
              <w:t>for the 15-minute Settlement Interval.  See Section 6.6.2, Load Ratio Share.</w:t>
            </w:r>
          </w:p>
        </w:tc>
      </w:tr>
      <w:tr w:rsidR="00F80C33" w14:paraId="53316EF9" w14:textId="77777777" w:rsidTr="00120456">
        <w:trPr>
          <w:cantSplit/>
        </w:trPr>
        <w:tc>
          <w:tcPr>
            <w:tcW w:w="1966" w:type="dxa"/>
          </w:tcPr>
          <w:p w14:paraId="3D32F795" w14:textId="77777777" w:rsidR="00F80C33" w:rsidRDefault="00723BFB">
            <w:pPr>
              <w:pStyle w:val="TableBody"/>
            </w:pPr>
            <w:proofErr w:type="spellStart"/>
            <w:r>
              <w:t>RUCCBAMT</w:t>
            </w:r>
            <w:r>
              <w:rPr>
                <w:i/>
                <w:vertAlign w:val="subscript"/>
              </w:rPr>
              <w:t>q,r,h</w:t>
            </w:r>
            <w:proofErr w:type="spellEnd"/>
          </w:p>
        </w:tc>
        <w:tc>
          <w:tcPr>
            <w:tcW w:w="712" w:type="dxa"/>
          </w:tcPr>
          <w:p w14:paraId="6750F45B" w14:textId="77777777" w:rsidR="00F80C33" w:rsidRDefault="00723BFB">
            <w:pPr>
              <w:pStyle w:val="TableBody"/>
              <w:jc w:val="center"/>
            </w:pPr>
            <w:r>
              <w:t>$</w:t>
            </w:r>
          </w:p>
        </w:tc>
        <w:tc>
          <w:tcPr>
            <w:tcW w:w="6178" w:type="dxa"/>
          </w:tcPr>
          <w:p w14:paraId="27BB301C" w14:textId="77777777" w:rsidR="00F80C33" w:rsidRDefault="00723BFB">
            <w:pPr>
              <w:pStyle w:val="TableBody"/>
            </w:pPr>
            <w:r>
              <w:rPr>
                <w:i/>
              </w:rPr>
              <w:t xml:space="preserve">RUC </w:t>
            </w:r>
            <w:proofErr w:type="spellStart"/>
            <w:r>
              <w:rPr>
                <w:i/>
              </w:rPr>
              <w:t>Clawback</w:t>
            </w:r>
            <w:proofErr w:type="spellEnd"/>
            <w:r>
              <w:rPr>
                <w:i/>
              </w:rPr>
              <w:t xml:space="preserve"> Charge</w:t>
            </w:r>
            <w:r>
              <w:t xml:space="preserve">—The RUC </w:t>
            </w:r>
            <w:proofErr w:type="spellStart"/>
            <w:r>
              <w:t>Clawback</w:t>
            </w:r>
            <w:proofErr w:type="spellEnd"/>
            <w:r>
              <w:t xml:space="preserve"> Charge to the QSE </w:t>
            </w:r>
            <w:r>
              <w:rPr>
                <w:i/>
              </w:rPr>
              <w:t>q</w:t>
            </w:r>
            <w:r>
              <w:t xml:space="preserve"> for the Resource </w:t>
            </w:r>
            <w:r>
              <w:rPr>
                <w:i/>
              </w:rPr>
              <w:t>r</w:t>
            </w:r>
            <w:r>
              <w:t>, for the hour that includes the 15-minute Settlement Interval.</w:t>
            </w:r>
            <w:r w:rsidR="003667DB">
              <w:t xml:space="preserve">  When one or more Combined Cycle Generation Resources are committed by RUC, a charge is made to the Combined Cycle Train for all RUC-committed Combined Cycle Generation Resources.</w:t>
            </w:r>
          </w:p>
        </w:tc>
      </w:tr>
      <w:tr w:rsidR="00F80C33" w14:paraId="3D2D5FF1" w14:textId="77777777" w:rsidTr="00120456">
        <w:trPr>
          <w:cantSplit/>
          <w:trHeight w:val="53"/>
        </w:trPr>
        <w:tc>
          <w:tcPr>
            <w:tcW w:w="1966" w:type="dxa"/>
            <w:tcBorders>
              <w:top w:val="single" w:sz="4" w:space="0" w:color="auto"/>
              <w:left w:val="single" w:sz="4" w:space="0" w:color="auto"/>
              <w:bottom w:val="single" w:sz="4" w:space="0" w:color="auto"/>
              <w:right w:val="single" w:sz="4" w:space="0" w:color="auto"/>
            </w:tcBorders>
          </w:tcPr>
          <w:p w14:paraId="2A7B2744" w14:textId="77777777" w:rsidR="00F80C33" w:rsidRDefault="00723BFB">
            <w:pPr>
              <w:pStyle w:val="TableBody"/>
              <w:rPr>
                <w:i/>
              </w:rPr>
            </w:pPr>
            <w:r>
              <w:rPr>
                <w:i/>
              </w:rPr>
              <w:t>q</w:t>
            </w:r>
          </w:p>
        </w:tc>
        <w:tc>
          <w:tcPr>
            <w:tcW w:w="712" w:type="dxa"/>
            <w:tcBorders>
              <w:top w:val="single" w:sz="4" w:space="0" w:color="auto"/>
              <w:left w:val="single" w:sz="4" w:space="0" w:color="auto"/>
              <w:bottom w:val="single" w:sz="4" w:space="0" w:color="auto"/>
              <w:right w:val="single" w:sz="4" w:space="0" w:color="auto"/>
            </w:tcBorders>
          </w:tcPr>
          <w:p w14:paraId="519E2941" w14:textId="77777777" w:rsidR="00F80C33" w:rsidRDefault="00723BFB">
            <w:pPr>
              <w:pStyle w:val="TableBody"/>
              <w:jc w:val="center"/>
            </w:pPr>
            <w:r>
              <w:t>None</w:t>
            </w:r>
          </w:p>
        </w:tc>
        <w:tc>
          <w:tcPr>
            <w:tcW w:w="6178" w:type="dxa"/>
            <w:tcBorders>
              <w:top w:val="single" w:sz="4" w:space="0" w:color="auto"/>
              <w:left w:val="single" w:sz="4" w:space="0" w:color="auto"/>
              <w:bottom w:val="single" w:sz="4" w:space="0" w:color="auto"/>
              <w:right w:val="single" w:sz="4" w:space="0" w:color="auto"/>
            </w:tcBorders>
          </w:tcPr>
          <w:p w14:paraId="3BA17C61" w14:textId="77777777" w:rsidR="00F80C33" w:rsidRDefault="00723BFB">
            <w:pPr>
              <w:pStyle w:val="TableBody"/>
            </w:pPr>
            <w:r>
              <w:t>A QSE.</w:t>
            </w:r>
          </w:p>
        </w:tc>
      </w:tr>
      <w:tr w:rsidR="00F80C33" w14:paraId="6BB3197D" w14:textId="77777777" w:rsidTr="00120456">
        <w:tblPrEx>
          <w:tblBorders>
            <w:insideH w:val="single" w:sz="6" w:space="0" w:color="auto"/>
            <w:insideV w:val="single" w:sz="6" w:space="0" w:color="auto"/>
          </w:tblBorders>
        </w:tblPrEx>
        <w:trPr>
          <w:cantSplit/>
        </w:trPr>
        <w:tc>
          <w:tcPr>
            <w:tcW w:w="1966" w:type="dxa"/>
          </w:tcPr>
          <w:p w14:paraId="10C67E11" w14:textId="77777777" w:rsidR="00F80C33" w:rsidRDefault="00723BFB">
            <w:pPr>
              <w:pStyle w:val="TableBody"/>
              <w:rPr>
                <w:i/>
              </w:rPr>
            </w:pPr>
            <w:r>
              <w:rPr>
                <w:i/>
              </w:rPr>
              <w:t>i</w:t>
            </w:r>
          </w:p>
        </w:tc>
        <w:tc>
          <w:tcPr>
            <w:tcW w:w="712" w:type="dxa"/>
          </w:tcPr>
          <w:p w14:paraId="29DEF9AA" w14:textId="77777777" w:rsidR="00F80C33" w:rsidRDefault="00723BFB">
            <w:pPr>
              <w:pStyle w:val="TableBody"/>
              <w:jc w:val="center"/>
            </w:pPr>
            <w:r>
              <w:t>none</w:t>
            </w:r>
          </w:p>
        </w:tc>
        <w:tc>
          <w:tcPr>
            <w:tcW w:w="6178" w:type="dxa"/>
          </w:tcPr>
          <w:p w14:paraId="6A1CBE08" w14:textId="77777777" w:rsidR="00F80C33" w:rsidRDefault="00723BFB">
            <w:pPr>
              <w:pStyle w:val="TableBody"/>
            </w:pPr>
            <w:r>
              <w:t>A 15-minute Settlement Interval.</w:t>
            </w:r>
          </w:p>
        </w:tc>
      </w:tr>
      <w:tr w:rsidR="00F80C33" w14:paraId="0DFD2CD8" w14:textId="77777777" w:rsidTr="00120456">
        <w:tblPrEx>
          <w:tblBorders>
            <w:insideH w:val="single" w:sz="6" w:space="0" w:color="auto"/>
            <w:insideV w:val="single" w:sz="6" w:space="0" w:color="auto"/>
          </w:tblBorders>
        </w:tblPrEx>
        <w:trPr>
          <w:cantSplit/>
        </w:trPr>
        <w:tc>
          <w:tcPr>
            <w:tcW w:w="1966" w:type="dxa"/>
          </w:tcPr>
          <w:p w14:paraId="50E5AF6B" w14:textId="77777777" w:rsidR="00F80C33" w:rsidRDefault="00723BFB">
            <w:pPr>
              <w:pStyle w:val="TableBody"/>
              <w:rPr>
                <w:i/>
              </w:rPr>
            </w:pPr>
            <w:r>
              <w:rPr>
                <w:i/>
              </w:rPr>
              <w:t>h</w:t>
            </w:r>
          </w:p>
        </w:tc>
        <w:tc>
          <w:tcPr>
            <w:tcW w:w="712" w:type="dxa"/>
          </w:tcPr>
          <w:p w14:paraId="16878200" w14:textId="77777777" w:rsidR="00F80C33" w:rsidRDefault="00723BFB">
            <w:pPr>
              <w:pStyle w:val="TableBody"/>
              <w:jc w:val="center"/>
            </w:pPr>
            <w:r>
              <w:t>none</w:t>
            </w:r>
          </w:p>
        </w:tc>
        <w:tc>
          <w:tcPr>
            <w:tcW w:w="6178" w:type="dxa"/>
          </w:tcPr>
          <w:p w14:paraId="67930394" w14:textId="77777777" w:rsidR="00F80C33" w:rsidRDefault="00723BFB">
            <w:pPr>
              <w:pStyle w:val="TableBody"/>
            </w:pPr>
            <w:r>
              <w:t xml:space="preserve">The hour that includes the Settlement Interval </w:t>
            </w:r>
            <w:r>
              <w:rPr>
                <w:i/>
              </w:rPr>
              <w:t>i</w:t>
            </w:r>
            <w:r>
              <w:t xml:space="preserve">. </w:t>
            </w:r>
          </w:p>
        </w:tc>
      </w:tr>
      <w:tr w:rsidR="00F80C33" w14:paraId="778A8059" w14:textId="77777777" w:rsidTr="00120456">
        <w:trPr>
          <w:cantSplit/>
        </w:trPr>
        <w:tc>
          <w:tcPr>
            <w:tcW w:w="1966" w:type="dxa"/>
            <w:tcBorders>
              <w:top w:val="single" w:sz="4" w:space="0" w:color="auto"/>
              <w:left w:val="single" w:sz="4" w:space="0" w:color="auto"/>
              <w:bottom w:val="single" w:sz="4" w:space="0" w:color="auto"/>
              <w:right w:val="single" w:sz="4" w:space="0" w:color="auto"/>
            </w:tcBorders>
          </w:tcPr>
          <w:p w14:paraId="44AE1969" w14:textId="77777777" w:rsidR="00F80C33" w:rsidRDefault="00723BFB">
            <w:pPr>
              <w:pStyle w:val="TableBody"/>
              <w:rPr>
                <w:i/>
              </w:rPr>
            </w:pPr>
            <w:r>
              <w:rPr>
                <w:i/>
              </w:rPr>
              <w:t>r</w:t>
            </w:r>
          </w:p>
        </w:tc>
        <w:tc>
          <w:tcPr>
            <w:tcW w:w="712" w:type="dxa"/>
            <w:tcBorders>
              <w:top w:val="single" w:sz="4" w:space="0" w:color="auto"/>
              <w:left w:val="single" w:sz="4" w:space="0" w:color="auto"/>
              <w:bottom w:val="single" w:sz="4" w:space="0" w:color="auto"/>
              <w:right w:val="single" w:sz="4" w:space="0" w:color="auto"/>
            </w:tcBorders>
          </w:tcPr>
          <w:p w14:paraId="66119ACC" w14:textId="77777777" w:rsidR="00F80C33" w:rsidRDefault="00723BFB">
            <w:pPr>
              <w:pStyle w:val="TableBody"/>
              <w:jc w:val="center"/>
            </w:pPr>
            <w:r>
              <w:t>none</w:t>
            </w:r>
          </w:p>
        </w:tc>
        <w:tc>
          <w:tcPr>
            <w:tcW w:w="6178" w:type="dxa"/>
            <w:tcBorders>
              <w:top w:val="single" w:sz="4" w:space="0" w:color="auto"/>
              <w:left w:val="single" w:sz="4" w:space="0" w:color="auto"/>
              <w:bottom w:val="single" w:sz="4" w:space="0" w:color="auto"/>
              <w:right w:val="single" w:sz="4" w:space="0" w:color="auto"/>
            </w:tcBorders>
          </w:tcPr>
          <w:p w14:paraId="4C6C7327" w14:textId="77777777" w:rsidR="00F80C33" w:rsidRDefault="00723BFB">
            <w:pPr>
              <w:pStyle w:val="TableBody"/>
            </w:pPr>
            <w:r>
              <w:t xml:space="preserve">A </w:t>
            </w:r>
            <w:r w:rsidR="003667DB">
              <w:t xml:space="preserve">RUC-committed </w:t>
            </w:r>
            <w:r>
              <w:t>Generation Resource.</w:t>
            </w:r>
          </w:p>
        </w:tc>
      </w:tr>
    </w:tbl>
    <w:p w14:paraId="176AC6BA" w14:textId="77777777" w:rsidR="00F80C33" w:rsidRPr="000B7479" w:rsidRDefault="00723BFB" w:rsidP="00CC3DC9">
      <w:pPr>
        <w:pStyle w:val="H3"/>
        <w:spacing w:before="480"/>
        <w:rPr>
          <w:b/>
          <w:i/>
        </w:rPr>
      </w:pPr>
      <w:bookmarkStart w:id="325" w:name="_Toc101091061"/>
      <w:bookmarkStart w:id="326" w:name="_Toc400547200"/>
      <w:bookmarkStart w:id="327" w:name="_Toc405384305"/>
      <w:bookmarkStart w:id="328" w:name="_Toc405543572"/>
      <w:bookmarkStart w:id="329" w:name="_Toc428178081"/>
      <w:bookmarkStart w:id="330" w:name="_Toc440872711"/>
      <w:bookmarkStart w:id="331" w:name="_Toc458766256"/>
      <w:bookmarkStart w:id="332" w:name="_Toc459292661"/>
      <w:bookmarkStart w:id="333" w:name="_Toc60038368"/>
      <w:r w:rsidRPr="000B7479">
        <w:rPr>
          <w:b/>
          <w:i/>
        </w:rPr>
        <w:lastRenderedPageBreak/>
        <w:t>5.7.6</w:t>
      </w:r>
      <w:r w:rsidRPr="000B7479">
        <w:rPr>
          <w:b/>
          <w:i/>
        </w:rPr>
        <w:tab/>
        <w:t>RUC Decommitment Charge</w:t>
      </w:r>
      <w:bookmarkEnd w:id="325"/>
      <w:bookmarkEnd w:id="326"/>
      <w:bookmarkEnd w:id="327"/>
      <w:bookmarkEnd w:id="328"/>
      <w:bookmarkEnd w:id="329"/>
      <w:bookmarkEnd w:id="330"/>
      <w:bookmarkEnd w:id="331"/>
      <w:bookmarkEnd w:id="332"/>
      <w:bookmarkEnd w:id="333"/>
      <w:r w:rsidRPr="000B7479">
        <w:rPr>
          <w:b/>
          <w:i/>
        </w:rPr>
        <w:t xml:space="preserve"> </w:t>
      </w:r>
    </w:p>
    <w:p w14:paraId="765692BA" w14:textId="77777777" w:rsidR="00F80C33" w:rsidRDefault="001609AC" w:rsidP="00083F9B">
      <w:pPr>
        <w:pStyle w:val="BodyTextNumbered"/>
      </w:pPr>
      <w:r>
        <w:t>(1)</w:t>
      </w:r>
      <w:r>
        <w:tab/>
      </w:r>
      <w:r w:rsidR="00723BFB">
        <w:t xml:space="preserve">ERCOT shall charge each QSE a RUC Decommitment Charge, on </w:t>
      </w:r>
      <w:r w:rsidR="003667DB">
        <w:t>an LRS</w:t>
      </w:r>
      <w:r w:rsidR="00723BFB">
        <w:t xml:space="preserve"> basis, all revenues paid </w:t>
      </w:r>
      <w:proofErr w:type="gramStart"/>
      <w:r w:rsidR="00723BFB">
        <w:t>as a result of</w:t>
      </w:r>
      <w:proofErr w:type="gramEnd"/>
      <w:r w:rsidR="00723BFB">
        <w:t xml:space="preserve"> RUC Decommitment Payments, including amounts for RMR </w:t>
      </w:r>
      <w:r w:rsidR="003667DB">
        <w:t>U</w:t>
      </w:r>
      <w:r w:rsidR="00723BFB">
        <w:t xml:space="preserve">nits. </w:t>
      </w:r>
      <w:r w:rsidR="003667DB">
        <w:t xml:space="preserve"> </w:t>
      </w:r>
      <w:r w:rsidR="00723BFB">
        <w:t>The RUC Decommitment Charge for a 15-minute Settlement Interval is calculated as follows:</w:t>
      </w:r>
    </w:p>
    <w:p w14:paraId="7247DC82" w14:textId="77777777" w:rsidR="00F80C33" w:rsidRDefault="00723BFB" w:rsidP="00C078A2">
      <w:pPr>
        <w:pStyle w:val="FormulaBold"/>
      </w:pPr>
      <w:proofErr w:type="spellStart"/>
      <w:r>
        <w:t>LARUCDCAMT</w:t>
      </w:r>
      <w:r>
        <w:rPr>
          <w:i/>
          <w:vertAlign w:val="subscript"/>
        </w:rPr>
        <w:t>q,i</w:t>
      </w:r>
      <w:proofErr w:type="spellEnd"/>
      <w:r>
        <w:tab/>
        <w:t>=</w:t>
      </w:r>
      <w:r>
        <w:tab/>
        <w:t>(-1) * [(</w:t>
      </w:r>
      <w:proofErr w:type="spellStart"/>
      <w:r>
        <w:t>RUCDCAMTTOT</w:t>
      </w:r>
      <w:r>
        <w:rPr>
          <w:i/>
          <w:vertAlign w:val="subscript"/>
        </w:rPr>
        <w:t>h</w:t>
      </w:r>
      <w:proofErr w:type="spellEnd"/>
      <w:r>
        <w:t xml:space="preserve"> / 4) * </w:t>
      </w:r>
      <w:proofErr w:type="spellStart"/>
      <w:r>
        <w:t>LRS</w:t>
      </w:r>
      <w:r>
        <w:rPr>
          <w:i/>
          <w:vertAlign w:val="subscript"/>
        </w:rPr>
        <w:t>q,i</w:t>
      </w:r>
      <w:proofErr w:type="spellEnd"/>
      <w:r>
        <w:t>]</w:t>
      </w:r>
    </w:p>
    <w:p w14:paraId="49E359A4" w14:textId="77777777" w:rsidR="00F80C33" w:rsidRDefault="00723BFB" w:rsidP="0065372F">
      <w:pPr>
        <w:pStyle w:val="BodyText"/>
        <w:ind w:firstLine="720"/>
      </w:pPr>
      <w:r>
        <w:t>Where:</w:t>
      </w:r>
    </w:p>
    <w:p w14:paraId="31F2D081" w14:textId="77777777" w:rsidR="00F80C33" w:rsidRDefault="00723BFB" w:rsidP="0063616C">
      <w:pPr>
        <w:pStyle w:val="Formula"/>
      </w:pPr>
      <w:r>
        <w:tab/>
      </w:r>
      <w:proofErr w:type="spellStart"/>
      <w:r>
        <w:t>RUCDCAMTTOT</w:t>
      </w:r>
      <w:r>
        <w:rPr>
          <w:i/>
          <w:vertAlign w:val="subscript"/>
        </w:rPr>
        <w:t>h</w:t>
      </w:r>
      <w:proofErr w:type="spellEnd"/>
      <w:r>
        <w:tab/>
        <w:t>=</w:t>
      </w:r>
      <w:r>
        <w:tab/>
      </w:r>
      <w:r w:rsidR="00F80C33" w:rsidRPr="00F80C33">
        <w:rPr>
          <w:position w:val="-22"/>
        </w:rPr>
        <w:object w:dxaOrig="220" w:dyaOrig="460" w14:anchorId="3EB3C28A">
          <v:shape id="_x0000_i1098" type="#_x0000_t75" style="width:9.6pt;height:22.8pt" o:ole="">
            <v:imagedata r:id="rId114" o:title=""/>
          </v:shape>
          <o:OLEObject Type="Embed" ProgID="Equation.3" ShapeID="_x0000_i1098" DrawAspect="Content" ObjectID="_1775281628" r:id="rId115"/>
        </w:object>
      </w:r>
      <w:r w:rsidR="00F80C33" w:rsidRPr="00F80C33">
        <w:rPr>
          <w:position w:val="-18"/>
        </w:rPr>
        <w:object w:dxaOrig="220" w:dyaOrig="420" w14:anchorId="113B0AE4">
          <v:shape id="_x0000_i1099" type="#_x0000_t75" style="width:9.6pt;height:21pt" o:ole="">
            <v:imagedata r:id="rId112" o:title=""/>
          </v:shape>
          <o:OLEObject Type="Embed" ProgID="Equation.3" ShapeID="_x0000_i1099" DrawAspect="Content" ObjectID="_1775281629" r:id="rId116"/>
        </w:object>
      </w:r>
      <w:proofErr w:type="spellStart"/>
      <w:r>
        <w:t>RUCDCAMT</w:t>
      </w:r>
      <w:r>
        <w:rPr>
          <w:i/>
          <w:vertAlign w:val="subscript"/>
        </w:rPr>
        <w:t>q,r,h</w:t>
      </w:r>
      <w:proofErr w:type="spellEnd"/>
    </w:p>
    <w:p w14:paraId="4B35BC3B" w14:textId="77777777" w:rsidR="00F80C33" w:rsidRDefault="00723BFB" w:rsidP="00F75DBA">
      <w:pPr>
        <w:pStyle w:val="BodyText"/>
        <w:spacing w:after="0"/>
      </w:pPr>
      <w:r>
        <w:t>The above variables are defined as follows:</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8"/>
        <w:gridCol w:w="869"/>
        <w:gridCol w:w="6179"/>
      </w:tblGrid>
      <w:tr w:rsidR="00F80C33" w14:paraId="5CB3A879" w14:textId="77777777" w:rsidTr="00BA251F">
        <w:trPr>
          <w:cantSplit/>
          <w:tblHeader/>
        </w:trPr>
        <w:tc>
          <w:tcPr>
            <w:tcW w:w="1808" w:type="dxa"/>
          </w:tcPr>
          <w:p w14:paraId="6782F554" w14:textId="77777777" w:rsidR="00F80C33" w:rsidRDefault="00723BFB" w:rsidP="0065372F">
            <w:pPr>
              <w:pStyle w:val="TableHead"/>
            </w:pPr>
            <w:r>
              <w:t>Variable</w:t>
            </w:r>
          </w:p>
        </w:tc>
        <w:tc>
          <w:tcPr>
            <w:tcW w:w="869" w:type="dxa"/>
          </w:tcPr>
          <w:p w14:paraId="260A85D0" w14:textId="77777777" w:rsidR="00F80C33" w:rsidRDefault="00723BFB" w:rsidP="0065372F">
            <w:pPr>
              <w:pStyle w:val="TableHead"/>
              <w:jc w:val="center"/>
            </w:pPr>
            <w:r>
              <w:t>Unit</w:t>
            </w:r>
          </w:p>
        </w:tc>
        <w:tc>
          <w:tcPr>
            <w:tcW w:w="6179" w:type="dxa"/>
          </w:tcPr>
          <w:p w14:paraId="7CBC3E6C" w14:textId="77777777" w:rsidR="00F80C33" w:rsidRDefault="00723BFB" w:rsidP="0065372F">
            <w:pPr>
              <w:pStyle w:val="TableHead"/>
            </w:pPr>
            <w:r>
              <w:t>Definition</w:t>
            </w:r>
          </w:p>
        </w:tc>
      </w:tr>
      <w:tr w:rsidR="00F80C33" w14:paraId="0EF85473" w14:textId="77777777" w:rsidTr="00BA251F">
        <w:trPr>
          <w:cantSplit/>
        </w:trPr>
        <w:tc>
          <w:tcPr>
            <w:tcW w:w="1808" w:type="dxa"/>
          </w:tcPr>
          <w:p w14:paraId="735311E1" w14:textId="77777777" w:rsidR="00F80C33" w:rsidRDefault="00723BFB" w:rsidP="0065372F">
            <w:pPr>
              <w:pStyle w:val="TableBody"/>
            </w:pPr>
            <w:proofErr w:type="spellStart"/>
            <w:r>
              <w:t>LARUCDCAMT</w:t>
            </w:r>
            <w:r w:rsidRPr="00B34C5D">
              <w:rPr>
                <w:i/>
                <w:vertAlign w:val="subscript"/>
              </w:rPr>
              <w:t>q,i</w:t>
            </w:r>
            <w:proofErr w:type="spellEnd"/>
          </w:p>
        </w:tc>
        <w:tc>
          <w:tcPr>
            <w:tcW w:w="869" w:type="dxa"/>
          </w:tcPr>
          <w:p w14:paraId="54E1E278" w14:textId="77777777" w:rsidR="00F80C33" w:rsidRDefault="00723BFB" w:rsidP="0065372F">
            <w:pPr>
              <w:pStyle w:val="TableBody"/>
              <w:jc w:val="center"/>
            </w:pPr>
            <w:r>
              <w:t>$</w:t>
            </w:r>
          </w:p>
        </w:tc>
        <w:tc>
          <w:tcPr>
            <w:tcW w:w="6179" w:type="dxa"/>
          </w:tcPr>
          <w:p w14:paraId="78B9E7A3" w14:textId="77777777" w:rsidR="00F80C33" w:rsidRDefault="00723BFB" w:rsidP="0065372F">
            <w:pPr>
              <w:pStyle w:val="TableBody"/>
            </w:pPr>
            <w:r w:rsidRPr="00B34C5D">
              <w:rPr>
                <w:i/>
              </w:rPr>
              <w:t>RUC Decommitment Charge</w:t>
            </w:r>
            <w:r>
              <w:t>—The RUC Decommitment Charge to a QSE, for a 15-minute Settlement Interval.</w:t>
            </w:r>
          </w:p>
        </w:tc>
      </w:tr>
      <w:tr w:rsidR="00F80C33" w14:paraId="36D394E7" w14:textId="77777777" w:rsidTr="00BA251F">
        <w:trPr>
          <w:cantSplit/>
        </w:trPr>
        <w:tc>
          <w:tcPr>
            <w:tcW w:w="1808" w:type="dxa"/>
          </w:tcPr>
          <w:p w14:paraId="67CC798C" w14:textId="77777777" w:rsidR="00F80C33" w:rsidRDefault="00723BFB" w:rsidP="0065372F">
            <w:pPr>
              <w:pStyle w:val="TableBody"/>
            </w:pPr>
            <w:proofErr w:type="spellStart"/>
            <w:r>
              <w:t>RUCDCAMTTOT</w:t>
            </w:r>
            <w:r w:rsidRPr="00B34C5D">
              <w:rPr>
                <w:i/>
                <w:vertAlign w:val="subscript"/>
              </w:rPr>
              <w:t>h</w:t>
            </w:r>
            <w:proofErr w:type="spellEnd"/>
          </w:p>
        </w:tc>
        <w:tc>
          <w:tcPr>
            <w:tcW w:w="869" w:type="dxa"/>
          </w:tcPr>
          <w:p w14:paraId="2A5FCB6C" w14:textId="77777777" w:rsidR="00F80C33" w:rsidRDefault="00723BFB" w:rsidP="0065372F">
            <w:pPr>
              <w:pStyle w:val="TableBody"/>
              <w:jc w:val="center"/>
            </w:pPr>
            <w:r>
              <w:t>$</w:t>
            </w:r>
          </w:p>
        </w:tc>
        <w:tc>
          <w:tcPr>
            <w:tcW w:w="6179" w:type="dxa"/>
          </w:tcPr>
          <w:p w14:paraId="380BC6BA" w14:textId="77777777" w:rsidR="00F80C33" w:rsidRDefault="00723BFB" w:rsidP="0065372F">
            <w:pPr>
              <w:pStyle w:val="TableBody"/>
            </w:pPr>
            <w:r w:rsidRPr="00B34C5D">
              <w:rPr>
                <w:i/>
              </w:rPr>
              <w:t>RUC Decommitment Charge Total</w:t>
            </w:r>
            <w:r>
              <w:t>—The sum of RUC Decommitment Payments to all QSEs, including amounts for RMR Units, for the hour that includes the 15-minute Settlement Interval.</w:t>
            </w:r>
          </w:p>
        </w:tc>
      </w:tr>
      <w:tr w:rsidR="00F80C33" w14:paraId="1FF12E06" w14:textId="77777777" w:rsidTr="00BA251F">
        <w:trPr>
          <w:cantSplit/>
        </w:trPr>
        <w:tc>
          <w:tcPr>
            <w:tcW w:w="1808" w:type="dxa"/>
          </w:tcPr>
          <w:p w14:paraId="6E0438C2" w14:textId="77777777" w:rsidR="00F80C33" w:rsidRDefault="00723BFB" w:rsidP="0065372F">
            <w:pPr>
              <w:pStyle w:val="TableBody"/>
            </w:pPr>
            <w:proofErr w:type="spellStart"/>
            <w:r>
              <w:t>LRS</w:t>
            </w:r>
            <w:r w:rsidRPr="00B34C5D">
              <w:rPr>
                <w:i/>
                <w:vertAlign w:val="subscript"/>
              </w:rPr>
              <w:t>q,i</w:t>
            </w:r>
            <w:proofErr w:type="spellEnd"/>
          </w:p>
        </w:tc>
        <w:tc>
          <w:tcPr>
            <w:tcW w:w="869" w:type="dxa"/>
          </w:tcPr>
          <w:p w14:paraId="33025853" w14:textId="77777777" w:rsidR="00F80C33" w:rsidRDefault="00723BFB" w:rsidP="0065372F">
            <w:pPr>
              <w:pStyle w:val="TableBody"/>
              <w:jc w:val="center"/>
            </w:pPr>
            <w:r>
              <w:t>none</w:t>
            </w:r>
          </w:p>
        </w:tc>
        <w:tc>
          <w:tcPr>
            <w:tcW w:w="6179" w:type="dxa"/>
          </w:tcPr>
          <w:p w14:paraId="7C0326B7" w14:textId="77777777" w:rsidR="00F80C33" w:rsidRDefault="00723BFB" w:rsidP="0065372F">
            <w:pPr>
              <w:pStyle w:val="TableBody"/>
            </w:pPr>
            <w:r w:rsidRPr="00B34C5D">
              <w:rPr>
                <w:i/>
              </w:rPr>
              <w:t>Load Ratio Share</w:t>
            </w:r>
            <w:r>
              <w:t xml:space="preserve">—The </w:t>
            </w:r>
            <w:r w:rsidR="003667DB">
              <w:t>LRS</w:t>
            </w:r>
            <w:r>
              <w:t xml:space="preserve"> for the 15-minute Settlement Interval.  See Section 6.6.2, Load Ratio Share.</w:t>
            </w:r>
          </w:p>
        </w:tc>
      </w:tr>
      <w:tr w:rsidR="00F80C33" w14:paraId="7EAC2A9D" w14:textId="77777777" w:rsidTr="00BA251F">
        <w:trPr>
          <w:cantSplit/>
        </w:trPr>
        <w:tc>
          <w:tcPr>
            <w:tcW w:w="1808" w:type="dxa"/>
          </w:tcPr>
          <w:p w14:paraId="027F5342" w14:textId="77777777" w:rsidR="00F80C33" w:rsidRDefault="00723BFB" w:rsidP="0065372F">
            <w:pPr>
              <w:pStyle w:val="TableBody"/>
            </w:pPr>
            <w:proofErr w:type="spellStart"/>
            <w:r>
              <w:t>RUCDCAMT</w:t>
            </w:r>
            <w:r w:rsidRPr="00B34C5D">
              <w:rPr>
                <w:i/>
                <w:vertAlign w:val="subscript"/>
              </w:rPr>
              <w:t>q,r,h</w:t>
            </w:r>
            <w:proofErr w:type="spellEnd"/>
          </w:p>
        </w:tc>
        <w:tc>
          <w:tcPr>
            <w:tcW w:w="869" w:type="dxa"/>
          </w:tcPr>
          <w:p w14:paraId="69A9AB7E" w14:textId="77777777" w:rsidR="00F80C33" w:rsidRDefault="00723BFB" w:rsidP="0065372F">
            <w:pPr>
              <w:pStyle w:val="TableBody"/>
              <w:jc w:val="center"/>
            </w:pPr>
            <w:r>
              <w:t>$</w:t>
            </w:r>
          </w:p>
        </w:tc>
        <w:tc>
          <w:tcPr>
            <w:tcW w:w="6179" w:type="dxa"/>
          </w:tcPr>
          <w:p w14:paraId="2D24FA89" w14:textId="77777777" w:rsidR="00F80C33" w:rsidRDefault="00723BFB" w:rsidP="0065372F">
            <w:pPr>
              <w:pStyle w:val="TableBody"/>
            </w:pPr>
            <w:r w:rsidRPr="00B34C5D">
              <w:rPr>
                <w:i/>
              </w:rPr>
              <w:t>RUC Decommitment Charge</w:t>
            </w:r>
            <w:r>
              <w:t xml:space="preserve">—The RUC Decommitment Charge to the QSE </w:t>
            </w:r>
            <w:r w:rsidRPr="00B34C5D">
              <w:rPr>
                <w:i/>
              </w:rPr>
              <w:t>q</w:t>
            </w:r>
            <w:r>
              <w:t xml:space="preserve"> for the Resource </w:t>
            </w:r>
            <w:r w:rsidRPr="00B34C5D">
              <w:rPr>
                <w:i/>
              </w:rPr>
              <w:t>r</w:t>
            </w:r>
            <w:r>
              <w:t>, for the hour that includes the 15-minute Settlement Interval.</w:t>
            </w:r>
            <w:r w:rsidR="003667DB">
              <w:t xml:space="preserve">  When one or more Combined Cycle Generation Resources are decommitted by RUC, payment is made to the Combined Cycle Train for all RUC-decommitted Combined Cycle Generation Resources.</w:t>
            </w:r>
          </w:p>
        </w:tc>
      </w:tr>
      <w:tr w:rsidR="00F80C33" w14:paraId="7656148E" w14:textId="77777777" w:rsidTr="00BA251F">
        <w:trPr>
          <w:cantSplit/>
        </w:trPr>
        <w:tc>
          <w:tcPr>
            <w:tcW w:w="1808" w:type="dxa"/>
          </w:tcPr>
          <w:p w14:paraId="2DEBC8DD" w14:textId="77777777" w:rsidR="00F80C33" w:rsidRPr="00B34C5D" w:rsidRDefault="00723BFB" w:rsidP="0065372F">
            <w:pPr>
              <w:pStyle w:val="TableBody"/>
              <w:rPr>
                <w:i/>
              </w:rPr>
            </w:pPr>
            <w:r w:rsidRPr="00B34C5D">
              <w:rPr>
                <w:i/>
              </w:rPr>
              <w:t>q</w:t>
            </w:r>
          </w:p>
        </w:tc>
        <w:tc>
          <w:tcPr>
            <w:tcW w:w="869" w:type="dxa"/>
          </w:tcPr>
          <w:p w14:paraId="49859BA1" w14:textId="77777777" w:rsidR="00F80C33" w:rsidRDefault="00723BFB" w:rsidP="0065372F">
            <w:pPr>
              <w:pStyle w:val="TableBody"/>
              <w:jc w:val="center"/>
            </w:pPr>
            <w:r>
              <w:t>None</w:t>
            </w:r>
          </w:p>
        </w:tc>
        <w:tc>
          <w:tcPr>
            <w:tcW w:w="6179" w:type="dxa"/>
          </w:tcPr>
          <w:p w14:paraId="25B0450F" w14:textId="77777777" w:rsidR="00F80C33" w:rsidRDefault="00723BFB" w:rsidP="0065372F">
            <w:pPr>
              <w:pStyle w:val="TableBody"/>
            </w:pPr>
            <w:r>
              <w:t>A QSE.</w:t>
            </w:r>
          </w:p>
        </w:tc>
      </w:tr>
      <w:tr w:rsidR="00F80C33" w14:paraId="43BCA241" w14:textId="77777777" w:rsidTr="00BA251F">
        <w:trPr>
          <w:cantSplit/>
        </w:trPr>
        <w:tc>
          <w:tcPr>
            <w:tcW w:w="1808" w:type="dxa"/>
          </w:tcPr>
          <w:p w14:paraId="5F5F900F" w14:textId="77777777" w:rsidR="00F80C33" w:rsidRPr="00B34C5D" w:rsidRDefault="00723BFB" w:rsidP="0065372F">
            <w:pPr>
              <w:pStyle w:val="TableBody"/>
              <w:rPr>
                <w:i/>
              </w:rPr>
            </w:pPr>
            <w:r w:rsidRPr="00B34C5D">
              <w:rPr>
                <w:i/>
              </w:rPr>
              <w:t>i</w:t>
            </w:r>
          </w:p>
        </w:tc>
        <w:tc>
          <w:tcPr>
            <w:tcW w:w="869" w:type="dxa"/>
          </w:tcPr>
          <w:p w14:paraId="70266EAE" w14:textId="77777777" w:rsidR="00F80C33" w:rsidRDefault="00723BFB" w:rsidP="0065372F">
            <w:pPr>
              <w:pStyle w:val="TableBody"/>
              <w:jc w:val="center"/>
            </w:pPr>
            <w:r>
              <w:t>none</w:t>
            </w:r>
          </w:p>
        </w:tc>
        <w:tc>
          <w:tcPr>
            <w:tcW w:w="6179" w:type="dxa"/>
          </w:tcPr>
          <w:p w14:paraId="0D71043F" w14:textId="77777777" w:rsidR="00F80C33" w:rsidRDefault="00723BFB" w:rsidP="0065372F">
            <w:pPr>
              <w:pStyle w:val="TableBody"/>
            </w:pPr>
            <w:r>
              <w:t>A 15-minute Settlement Interval.</w:t>
            </w:r>
          </w:p>
        </w:tc>
      </w:tr>
      <w:tr w:rsidR="00F80C33" w14:paraId="2BA92A55" w14:textId="77777777" w:rsidTr="00BA251F">
        <w:trPr>
          <w:cantSplit/>
        </w:trPr>
        <w:tc>
          <w:tcPr>
            <w:tcW w:w="1808" w:type="dxa"/>
          </w:tcPr>
          <w:p w14:paraId="36A96863" w14:textId="77777777" w:rsidR="00F80C33" w:rsidRPr="00B34C5D" w:rsidRDefault="00723BFB" w:rsidP="0065372F">
            <w:pPr>
              <w:pStyle w:val="TableBody"/>
              <w:rPr>
                <w:i/>
              </w:rPr>
            </w:pPr>
            <w:r w:rsidRPr="00B34C5D">
              <w:rPr>
                <w:i/>
              </w:rPr>
              <w:t>h</w:t>
            </w:r>
          </w:p>
        </w:tc>
        <w:tc>
          <w:tcPr>
            <w:tcW w:w="869" w:type="dxa"/>
          </w:tcPr>
          <w:p w14:paraId="1C167077" w14:textId="77777777" w:rsidR="00F80C33" w:rsidRDefault="00723BFB" w:rsidP="0065372F">
            <w:pPr>
              <w:pStyle w:val="TableBody"/>
              <w:jc w:val="center"/>
            </w:pPr>
            <w:r>
              <w:t>none</w:t>
            </w:r>
          </w:p>
        </w:tc>
        <w:tc>
          <w:tcPr>
            <w:tcW w:w="6179" w:type="dxa"/>
          </w:tcPr>
          <w:p w14:paraId="23E5382F" w14:textId="77777777" w:rsidR="00F80C33" w:rsidRDefault="00723BFB" w:rsidP="0065372F">
            <w:pPr>
              <w:pStyle w:val="TableBody"/>
            </w:pPr>
            <w:r>
              <w:t xml:space="preserve">The hour that includes the Settlement Interval </w:t>
            </w:r>
            <w:r w:rsidRPr="00B34C5D">
              <w:rPr>
                <w:i/>
              </w:rPr>
              <w:t>i</w:t>
            </w:r>
            <w:r>
              <w:t xml:space="preserve">. </w:t>
            </w:r>
          </w:p>
        </w:tc>
      </w:tr>
      <w:tr w:rsidR="00F80C33" w14:paraId="73708C39" w14:textId="77777777" w:rsidTr="00BA251F">
        <w:trPr>
          <w:cantSplit/>
        </w:trPr>
        <w:tc>
          <w:tcPr>
            <w:tcW w:w="1808" w:type="dxa"/>
          </w:tcPr>
          <w:p w14:paraId="13C9CEC1" w14:textId="77777777" w:rsidR="00F80C33" w:rsidRPr="00B34C5D" w:rsidRDefault="00723BFB" w:rsidP="0065372F">
            <w:pPr>
              <w:pStyle w:val="TableBody"/>
              <w:rPr>
                <w:i/>
              </w:rPr>
            </w:pPr>
            <w:r w:rsidRPr="00B34C5D">
              <w:rPr>
                <w:i/>
              </w:rPr>
              <w:t xml:space="preserve">r </w:t>
            </w:r>
          </w:p>
        </w:tc>
        <w:tc>
          <w:tcPr>
            <w:tcW w:w="869" w:type="dxa"/>
          </w:tcPr>
          <w:p w14:paraId="400D8DB7" w14:textId="77777777" w:rsidR="00F80C33" w:rsidRDefault="00723BFB" w:rsidP="0065372F">
            <w:pPr>
              <w:pStyle w:val="TableBody"/>
              <w:jc w:val="center"/>
            </w:pPr>
            <w:r>
              <w:t>None</w:t>
            </w:r>
          </w:p>
        </w:tc>
        <w:tc>
          <w:tcPr>
            <w:tcW w:w="6179" w:type="dxa"/>
          </w:tcPr>
          <w:p w14:paraId="630289E2" w14:textId="77777777" w:rsidR="00F80C33" w:rsidRDefault="00723BFB" w:rsidP="0065372F">
            <w:pPr>
              <w:pStyle w:val="TableBody"/>
            </w:pPr>
            <w:r>
              <w:t xml:space="preserve">A </w:t>
            </w:r>
            <w:r w:rsidR="003667DB">
              <w:t xml:space="preserve">RUC-decommitted </w:t>
            </w:r>
            <w:r>
              <w:t>Generation Resource.</w:t>
            </w:r>
          </w:p>
        </w:tc>
      </w:tr>
    </w:tbl>
    <w:p w14:paraId="3FC060D7" w14:textId="77777777" w:rsidR="00383CF9" w:rsidRPr="00BA251F" w:rsidRDefault="00383CF9" w:rsidP="00383CF9">
      <w:pPr>
        <w:pStyle w:val="H3"/>
        <w:spacing w:before="480"/>
        <w:rPr>
          <w:b/>
          <w:i/>
        </w:rPr>
      </w:pPr>
      <w:bookmarkStart w:id="334" w:name="_Toc60038369"/>
      <w:r w:rsidRPr="00BA251F">
        <w:rPr>
          <w:b/>
          <w:i/>
        </w:rPr>
        <w:t xml:space="preserve">5.7.7 </w:t>
      </w:r>
      <w:r w:rsidRPr="00BA251F">
        <w:rPr>
          <w:b/>
          <w:i/>
        </w:rPr>
        <w:tab/>
        <w:t>Settlement of Switchable Generation Resources (SWGRs) Operating in a Non-ERCOT Control Area</w:t>
      </w:r>
      <w:bookmarkEnd w:id="334"/>
    </w:p>
    <w:p w14:paraId="524FF4F1" w14:textId="77777777" w:rsidR="00BA251F" w:rsidRDefault="00383CF9" w:rsidP="00383CF9">
      <w:pPr>
        <w:pStyle w:val="BodyText"/>
        <w:ind w:left="720" w:hanging="720"/>
      </w:pPr>
      <w:r w:rsidRPr="00BA251F">
        <w:rPr>
          <w:iCs w:val="0"/>
          <w:color w:val="000000"/>
        </w:rPr>
        <w:t>(1)</w:t>
      </w:r>
      <w:r w:rsidRPr="00BA251F">
        <w:rPr>
          <w:iCs w:val="0"/>
          <w:color w:val="000000"/>
        </w:rPr>
        <w:tab/>
        <w:t>A QSE representing a</w:t>
      </w:r>
      <w:r w:rsidR="00C423F2">
        <w:rPr>
          <w:iCs w:val="0"/>
          <w:color w:val="000000"/>
        </w:rPr>
        <w:t xml:space="preserve">n </w:t>
      </w:r>
      <w:r w:rsidRPr="00BA251F">
        <w:rPr>
          <w:iCs w:val="0"/>
          <w:color w:val="000000"/>
        </w:rPr>
        <w:t>SWGR operating in ERCOT due to a RUC instruction for an actual or anticipated EEA condition with a status of ONRUC is not eligible for RUC Settlement as described in Section 5.7.1, RUC Make-</w:t>
      </w:r>
      <w:r w:rsidRPr="00383CF9">
        <w:t>Whole</w:t>
      </w:r>
      <w:r w:rsidRPr="00BA251F">
        <w:rPr>
          <w:iCs w:val="0"/>
          <w:color w:val="000000"/>
        </w:rPr>
        <w:t xml:space="preserve"> Payment, and Section 5.7.2, RUC </w:t>
      </w:r>
      <w:proofErr w:type="spellStart"/>
      <w:r w:rsidRPr="00BA251F">
        <w:rPr>
          <w:iCs w:val="0"/>
          <w:color w:val="000000"/>
        </w:rPr>
        <w:t>Clawback</w:t>
      </w:r>
      <w:proofErr w:type="spellEnd"/>
      <w:r w:rsidRPr="00BA251F">
        <w:rPr>
          <w:iCs w:val="0"/>
          <w:color w:val="000000"/>
        </w:rPr>
        <w:t xml:space="preserve"> Charge, but may obtain compensation by submitting a Settlement and billing dispute </w:t>
      </w:r>
      <w:r w:rsidRPr="00BA251F">
        <w:rPr>
          <w:iCs w:val="0"/>
          <w:szCs w:val="24"/>
        </w:rPr>
        <w:t>pursuant to Section</w:t>
      </w:r>
      <w:r w:rsidRPr="00BA251F">
        <w:rPr>
          <w:iCs w:val="0"/>
          <w:color w:val="000000"/>
        </w:rPr>
        <w:t xml:space="preserve"> 6.6.12, Make-Whole Payment for Switchable Generation Resources Committed for Energy Emergency Alert (EEA).</w:t>
      </w:r>
    </w:p>
    <w:p w14:paraId="60749D69" w14:textId="77777777" w:rsidR="004F1443" w:rsidRPr="000E790D" w:rsidRDefault="004F1443" w:rsidP="003E4676">
      <w:pPr>
        <w:pStyle w:val="H2"/>
      </w:pPr>
      <w:bookmarkStart w:id="335" w:name="_Toc428178082"/>
      <w:bookmarkStart w:id="336" w:name="_Toc440872712"/>
      <w:bookmarkStart w:id="337" w:name="_Toc458766257"/>
      <w:bookmarkStart w:id="338" w:name="_Toc459292662"/>
      <w:bookmarkStart w:id="339" w:name="_Toc60038370"/>
      <w:r w:rsidRPr="004979A0">
        <w:lastRenderedPageBreak/>
        <w:t>5.8</w:t>
      </w:r>
      <w:r w:rsidRPr="004979A0">
        <w:tab/>
        <w:t>Annual RUC Reporting Requirement</w:t>
      </w:r>
      <w:bookmarkEnd w:id="335"/>
      <w:bookmarkEnd w:id="336"/>
      <w:bookmarkEnd w:id="337"/>
      <w:bookmarkEnd w:id="338"/>
      <w:bookmarkEnd w:id="339"/>
    </w:p>
    <w:p w14:paraId="74C7B981" w14:textId="77777777" w:rsidR="004F1443" w:rsidRDefault="004F1443" w:rsidP="004F1443">
      <w:pPr>
        <w:pStyle w:val="BodyText"/>
        <w:ind w:left="720" w:hanging="720"/>
      </w:pPr>
      <w:r w:rsidRPr="003E2069">
        <w:t>(1)</w:t>
      </w:r>
      <w:r w:rsidRPr="003E2069">
        <w:tab/>
      </w:r>
      <w:r>
        <w:t>ERCOT shall report to the Technical Advisory Committee (TAC),</w:t>
      </w:r>
      <w:r w:rsidRPr="00784357">
        <w:t xml:space="preserve"> </w:t>
      </w:r>
      <w:r>
        <w:t>each January, an assessment of market impacts and Settlements for the aggregate Reliability Unit Commitment (RUC) activity, delineated by type of RUC instruction as follows:</w:t>
      </w:r>
    </w:p>
    <w:p w14:paraId="2D248D70" w14:textId="77777777" w:rsidR="004F1443" w:rsidRDefault="004F1443" w:rsidP="004F1443">
      <w:pPr>
        <w:pStyle w:val="BodyText"/>
        <w:ind w:left="1440" w:hanging="720"/>
      </w:pPr>
      <w:r>
        <w:t xml:space="preserve">(a) </w:t>
      </w:r>
      <w:r>
        <w:tab/>
        <w:t>RUC instructions issued for Ancillary Service shortages (failure to sufficiently procure one or more Ancillary Service markets in the Day-Ahead Market (DAM) or subsequent Supplemental Ancillary Service Markets (SASMs));</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CA4DC9" w:rsidRPr="004B32CF" w14:paraId="354DD655" w14:textId="77777777" w:rsidTr="00FD6A54">
        <w:trPr>
          <w:trHeight w:val="683"/>
        </w:trPr>
        <w:tc>
          <w:tcPr>
            <w:tcW w:w="9350" w:type="dxa"/>
            <w:shd w:val="pct12" w:color="auto" w:fill="auto"/>
          </w:tcPr>
          <w:p w14:paraId="0FCFE340" w14:textId="743616E9" w:rsidR="00CA4DC9" w:rsidRPr="00761147" w:rsidRDefault="00CA4DC9" w:rsidP="0093076E">
            <w:pPr>
              <w:spacing w:after="240"/>
              <w:rPr>
                <w:b/>
                <w:i/>
                <w:iCs/>
              </w:rPr>
            </w:pPr>
            <w:r w:rsidRPr="004B32CF">
              <w:rPr>
                <w:b/>
                <w:i/>
                <w:iCs/>
              </w:rPr>
              <w:t>[NPR</w:t>
            </w:r>
            <w:r>
              <w:rPr>
                <w:b/>
                <w:i/>
                <w:iCs/>
              </w:rPr>
              <w:t>R1009</w:t>
            </w:r>
            <w:r w:rsidRPr="004B32CF">
              <w:rPr>
                <w:b/>
                <w:i/>
                <w:iCs/>
              </w:rPr>
              <w:t xml:space="preserve">:  </w:t>
            </w:r>
            <w:r>
              <w:rPr>
                <w:b/>
                <w:i/>
                <w:iCs/>
              </w:rPr>
              <w:t>Delete</w:t>
            </w:r>
            <w:r w:rsidRPr="004B32CF">
              <w:rPr>
                <w:b/>
                <w:i/>
                <w:iCs/>
              </w:rPr>
              <w:t xml:space="preserve"> paragraph (</w:t>
            </w:r>
            <w:r>
              <w:rPr>
                <w:b/>
                <w:i/>
                <w:iCs/>
              </w:rPr>
              <w:t>a</w:t>
            </w:r>
            <w:r w:rsidRPr="004B32CF">
              <w:rPr>
                <w:b/>
                <w:i/>
                <w:iCs/>
              </w:rPr>
              <w:t>) above upon system implementation</w:t>
            </w:r>
            <w:r>
              <w:rPr>
                <w:b/>
                <w:i/>
                <w:iCs/>
              </w:rPr>
              <w:t xml:space="preserve"> of the Real-Time Co-Optimization (RTC) project and renumber accordingly</w:t>
            </w:r>
            <w:r w:rsidR="0093076E">
              <w:rPr>
                <w:b/>
                <w:i/>
                <w:iCs/>
              </w:rPr>
              <w:t>.</w:t>
            </w:r>
            <w:r w:rsidRPr="004B32CF">
              <w:rPr>
                <w:b/>
                <w:i/>
                <w:iCs/>
              </w:rPr>
              <w:t>]</w:t>
            </w:r>
          </w:p>
        </w:tc>
      </w:tr>
    </w:tbl>
    <w:p w14:paraId="6E52DA07" w14:textId="3951B9D9" w:rsidR="004F1443" w:rsidRDefault="004F1443" w:rsidP="00300C4D">
      <w:pPr>
        <w:pStyle w:val="BodyText"/>
        <w:spacing w:before="240"/>
        <w:ind w:left="720"/>
      </w:pPr>
      <w:r>
        <w:t>(b)</w:t>
      </w:r>
      <w:r>
        <w:tab/>
        <w:t>RUC instructions issued for irresolvable transmission system constraints;</w:t>
      </w:r>
    </w:p>
    <w:p w14:paraId="7B831E4C" w14:textId="77777777" w:rsidR="004F1443" w:rsidRDefault="004F1443" w:rsidP="004F1443">
      <w:pPr>
        <w:pStyle w:val="BodyText"/>
        <w:ind w:left="720"/>
      </w:pPr>
      <w:r>
        <w:t xml:space="preserve">(c) </w:t>
      </w:r>
      <w:r>
        <w:tab/>
        <w:t>RUC instructions issued in anticipation of extreme cold weather/startup failures;</w:t>
      </w:r>
    </w:p>
    <w:p w14:paraId="702E4F34" w14:textId="77777777" w:rsidR="004F1443" w:rsidRDefault="004F1443" w:rsidP="004F1443">
      <w:pPr>
        <w:pStyle w:val="BodyText"/>
        <w:ind w:left="720"/>
      </w:pPr>
      <w:r>
        <w:t>(d)</w:t>
      </w:r>
      <w:r>
        <w:tab/>
        <w:t>RUC instructions issued for capacity;</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CellMar>
          <w:top w:w="144" w:type="dxa"/>
          <w:left w:w="115" w:type="dxa"/>
          <w:right w:w="115" w:type="dxa"/>
        </w:tblCellMar>
        <w:tblLook w:val="01E0" w:firstRow="1" w:lastRow="1" w:firstColumn="1" w:lastColumn="1" w:noHBand="0" w:noVBand="0"/>
      </w:tblPr>
      <w:tblGrid>
        <w:gridCol w:w="9350"/>
      </w:tblGrid>
      <w:tr w:rsidR="004954E1" w:rsidRPr="004B32CF" w14:paraId="7AD8160F" w14:textId="77777777" w:rsidTr="00FE6580">
        <w:trPr>
          <w:trHeight w:val="683"/>
        </w:trPr>
        <w:tc>
          <w:tcPr>
            <w:tcW w:w="9350" w:type="dxa"/>
            <w:shd w:val="pct12" w:color="auto" w:fill="auto"/>
          </w:tcPr>
          <w:p w14:paraId="24684AEB" w14:textId="77777777" w:rsidR="004954E1" w:rsidRDefault="004954E1" w:rsidP="00FE6580">
            <w:pPr>
              <w:spacing w:after="240"/>
              <w:rPr>
                <w:b/>
                <w:i/>
                <w:iCs/>
              </w:rPr>
            </w:pPr>
            <w:r w:rsidRPr="004B32CF">
              <w:rPr>
                <w:b/>
                <w:i/>
                <w:iCs/>
              </w:rPr>
              <w:t>[NPR</w:t>
            </w:r>
            <w:r>
              <w:rPr>
                <w:b/>
                <w:i/>
                <w:iCs/>
              </w:rPr>
              <w:t>R1204</w:t>
            </w:r>
            <w:r w:rsidRPr="004B32CF">
              <w:rPr>
                <w:b/>
                <w:i/>
                <w:iCs/>
              </w:rPr>
              <w:t xml:space="preserve">:  </w:t>
            </w:r>
            <w:r>
              <w:rPr>
                <w:b/>
                <w:i/>
                <w:iCs/>
              </w:rPr>
              <w:t>Insert</w:t>
            </w:r>
            <w:r w:rsidRPr="004B32CF">
              <w:rPr>
                <w:b/>
                <w:i/>
                <w:iCs/>
              </w:rPr>
              <w:t xml:space="preserve"> paragraph (</w:t>
            </w:r>
            <w:r>
              <w:rPr>
                <w:b/>
                <w:i/>
                <w:iCs/>
              </w:rPr>
              <w:t>e</w:t>
            </w:r>
            <w:r w:rsidRPr="004B32CF">
              <w:rPr>
                <w:b/>
                <w:i/>
                <w:iCs/>
              </w:rPr>
              <w:t xml:space="preserve">) </w:t>
            </w:r>
            <w:r>
              <w:rPr>
                <w:b/>
                <w:i/>
                <w:iCs/>
              </w:rPr>
              <w:t>below</w:t>
            </w:r>
            <w:r w:rsidRPr="004B32CF">
              <w:rPr>
                <w:b/>
                <w:i/>
                <w:iCs/>
              </w:rPr>
              <w:t xml:space="preserve"> upon system implementation</w:t>
            </w:r>
            <w:r>
              <w:rPr>
                <w:b/>
                <w:i/>
                <w:iCs/>
              </w:rPr>
              <w:t xml:space="preserve"> of the Real-Time Co-Optimization (RTC) project and renumber accordingly:</w:t>
            </w:r>
            <w:r w:rsidRPr="004B32CF">
              <w:rPr>
                <w:b/>
                <w:i/>
                <w:iCs/>
              </w:rPr>
              <w:t>]</w:t>
            </w:r>
          </w:p>
          <w:p w14:paraId="29C4B81E" w14:textId="449B93D3" w:rsidR="004954E1" w:rsidRPr="004954E1" w:rsidRDefault="004954E1" w:rsidP="004954E1">
            <w:pPr>
              <w:pStyle w:val="BodyText"/>
              <w:ind w:left="1440" w:hanging="720"/>
            </w:pPr>
            <w:r>
              <w:t>(e)</w:t>
            </w:r>
            <w:r>
              <w:tab/>
            </w:r>
            <w:r w:rsidRPr="00FA1768">
              <w:t>RUC instructions issued for expected E</w:t>
            </w:r>
            <w:r>
              <w:t>nergy Storage Resource (E</w:t>
            </w:r>
            <w:r w:rsidRPr="00FA1768">
              <w:t>SR</w:t>
            </w:r>
            <w:r>
              <w:t>)</w:t>
            </w:r>
            <w:r w:rsidRPr="00FA1768">
              <w:t xml:space="preserve"> energy consumption</w:t>
            </w:r>
            <w:r>
              <w:t>;</w:t>
            </w:r>
          </w:p>
        </w:tc>
      </w:tr>
    </w:tbl>
    <w:p w14:paraId="3BA17900" w14:textId="7588CEDB" w:rsidR="004F1443" w:rsidRDefault="004F1443" w:rsidP="00AE5718">
      <w:pPr>
        <w:pStyle w:val="BodyText"/>
        <w:spacing w:before="240"/>
        <w:ind w:left="720"/>
      </w:pPr>
      <w:r>
        <w:t>(e)</w:t>
      </w:r>
      <w:r>
        <w:tab/>
        <w:t>RUC instructions issued for system inertia;</w:t>
      </w:r>
    </w:p>
    <w:p w14:paraId="45036BBF" w14:textId="2F49657D" w:rsidR="00D96499" w:rsidRDefault="00D96499" w:rsidP="00D96499">
      <w:pPr>
        <w:pStyle w:val="BodyText"/>
        <w:ind w:left="1440" w:hanging="720"/>
      </w:pPr>
      <w:r w:rsidRPr="00F057BA">
        <w:t>(f)</w:t>
      </w:r>
      <w:r w:rsidRPr="00F057BA">
        <w:tab/>
        <w:t>RUC instructions issued to Resources receiving an Outage Schedule Adjustment</w:t>
      </w:r>
      <w:r>
        <w:t xml:space="preserve"> (OSA)</w:t>
      </w:r>
      <w:r w:rsidRPr="00F057BA">
        <w:t>; and</w:t>
      </w:r>
    </w:p>
    <w:p w14:paraId="187B0368" w14:textId="17ECB6ED" w:rsidR="004F1443" w:rsidRDefault="004F1443" w:rsidP="00B33756">
      <w:pPr>
        <w:pStyle w:val="BodyText"/>
        <w:ind w:left="720"/>
      </w:pPr>
      <w:r>
        <w:t>(</w:t>
      </w:r>
      <w:r w:rsidR="00D96499">
        <w:t>g</w:t>
      </w:r>
      <w:r>
        <w:t>)</w:t>
      </w:r>
      <w:r>
        <w:tab/>
        <w:t>A summary of RUC Settlements;</w:t>
      </w:r>
    </w:p>
    <w:p w14:paraId="423E62F4" w14:textId="77777777" w:rsidR="004F1443" w:rsidRDefault="004F1443" w:rsidP="004F1443">
      <w:pPr>
        <w:pStyle w:val="BodyText"/>
        <w:ind w:left="2160" w:hanging="720"/>
      </w:pPr>
      <w:r>
        <w:t>(i)</w:t>
      </w:r>
      <w:r>
        <w:tab/>
        <w:t>RUC charges associated with RUC Make-Whole Amount Total per RUC, as defined in Section 5.7.4.1, RUC Capacity-Short Charge; and</w:t>
      </w:r>
    </w:p>
    <w:p w14:paraId="6E6710FD" w14:textId="77777777" w:rsidR="004F1443" w:rsidRDefault="004F1443" w:rsidP="004F1443">
      <w:pPr>
        <w:pStyle w:val="BodyText"/>
        <w:ind w:left="2160" w:hanging="720"/>
      </w:pPr>
      <w:r>
        <w:t>(ii)</w:t>
      </w:r>
      <w:r>
        <w:tab/>
        <w:t>RUC Shortfall Total, as defined in Section 5.7.4.1.1, Capacity Shortfall Ratio Share.</w:t>
      </w:r>
    </w:p>
    <w:p w14:paraId="0303BEC3" w14:textId="77777777" w:rsidR="005D3688" w:rsidRDefault="005D3688" w:rsidP="00F75DBA">
      <w:pPr>
        <w:pStyle w:val="BodyTextNumbered"/>
        <w:spacing w:after="0"/>
      </w:pPr>
    </w:p>
    <w:sectPr w:rsidR="005D3688" w:rsidSect="00AA2617">
      <w:headerReference w:type="even" r:id="rId117"/>
      <w:headerReference w:type="default" r:id="rId118"/>
      <w:footerReference w:type="default" r:id="rId119"/>
      <w:pgSz w:w="12240" w:h="15840" w:code="1"/>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33E96" w14:textId="77777777" w:rsidR="00CB5609" w:rsidRDefault="00CB5609">
      <w:r>
        <w:separator/>
      </w:r>
    </w:p>
    <w:p w14:paraId="7174E44B" w14:textId="77777777" w:rsidR="00CB5609" w:rsidRDefault="00CB5609"/>
  </w:endnote>
  <w:endnote w:type="continuationSeparator" w:id="0">
    <w:p w14:paraId="08C4BE26" w14:textId="77777777" w:rsidR="00CB5609" w:rsidRDefault="00CB5609">
      <w:r>
        <w:continuationSeparator/>
      </w:r>
    </w:p>
    <w:p w14:paraId="7EBF7218" w14:textId="77777777" w:rsidR="00CB5609" w:rsidRDefault="00CB56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7D4F3" w14:textId="77777777" w:rsidR="00CB5609" w:rsidRDefault="00CB56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F13F5A" w14:textId="77777777" w:rsidR="00CB5609" w:rsidRDefault="00CB56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7ED38" w14:textId="77777777" w:rsidR="00CB5609" w:rsidRDefault="00CB5609">
    <w:pPr>
      <w:pStyle w:val="Footer"/>
      <w:pBdr>
        <w:top w:val="none" w:sz="0" w:space="0" w:color="auto"/>
      </w:pBdr>
      <w:jc w:val="center"/>
    </w:pPr>
    <w:r>
      <w:t>PUBLIC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C0AFE" w14:textId="71194617" w:rsidR="00CB5609" w:rsidRDefault="00CB5609">
    <w:pPr>
      <w:pStyle w:val="Footer"/>
      <w:spacing w:before="0" w:after="0"/>
    </w:pPr>
    <w:r>
      <w:t xml:space="preserve">ERCOT Nodal Protocols – </w:t>
    </w:r>
    <w:r w:rsidR="004E03B9">
      <w:t>Ma</w:t>
    </w:r>
    <w:r w:rsidR="00CF6344">
      <w:t>y</w:t>
    </w:r>
    <w:r w:rsidR="00B243B1">
      <w:t xml:space="preserve"> </w:t>
    </w:r>
    <w:r w:rsidR="004E03B9">
      <w:t>1</w:t>
    </w:r>
    <w:r>
      <w:t>, 202</w:t>
    </w:r>
    <w:r w:rsidR="00B243B1">
      <w:t>4</w:t>
    </w:r>
  </w:p>
  <w:p w14:paraId="221EA212" w14:textId="77777777" w:rsidR="00CB5609" w:rsidRDefault="00CB5609">
    <w:pPr>
      <w:pStyle w:val="Footer"/>
      <w:spacing w:before="0" w:after="0"/>
      <w:jc w:val="center"/>
    </w:pPr>
    <w:r>
      <w:t>PUBLIC</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07E19" w14:textId="41EEBBD3" w:rsidR="00CB5609" w:rsidRDefault="00CB5609">
    <w:pPr>
      <w:pStyle w:val="Footer"/>
      <w:tabs>
        <w:tab w:val="clear" w:pos="4680"/>
        <w:tab w:val="left" w:pos="-90"/>
      </w:tabs>
      <w:spacing w:before="0" w:after="0"/>
    </w:pPr>
    <w:r>
      <w:t xml:space="preserve">ERCOT Nodal Protocols – </w:t>
    </w:r>
    <w:r w:rsidR="004E03B9">
      <w:t>Ma</w:t>
    </w:r>
    <w:r w:rsidR="00CF6344">
      <w:t>y</w:t>
    </w:r>
    <w:r w:rsidR="00B243B1">
      <w:t xml:space="preserve"> </w:t>
    </w:r>
    <w:r w:rsidR="004E03B9">
      <w:t>1</w:t>
    </w:r>
    <w:r>
      <w:t xml:space="preserve">, </w:t>
    </w:r>
    <w:proofErr w:type="gramStart"/>
    <w:r>
      <w:t>202</w:t>
    </w:r>
    <w:r w:rsidR="00B243B1">
      <w:t>4</w:t>
    </w:r>
    <w:proofErr w:type="gramEnd"/>
    <w:r>
      <w:tab/>
    </w:r>
    <w:r>
      <w:rPr>
        <w:rStyle w:val="PageNumber"/>
      </w:rPr>
      <w:fldChar w:fldCharType="begin"/>
    </w:r>
    <w:r>
      <w:rPr>
        <w:rStyle w:val="PageNumber"/>
      </w:rPr>
      <w:instrText xml:space="preserve"> PAGE </w:instrText>
    </w:r>
    <w:r>
      <w:rPr>
        <w:rStyle w:val="PageNumber"/>
      </w:rPr>
      <w:fldChar w:fldCharType="separate"/>
    </w:r>
    <w:r w:rsidR="00D47EED">
      <w:rPr>
        <w:rStyle w:val="PageNumber"/>
        <w:noProof/>
      </w:rPr>
      <w:t>5-1</w:t>
    </w:r>
    <w:r>
      <w:rPr>
        <w:rStyle w:val="PageNumber"/>
      </w:rPr>
      <w:fldChar w:fldCharType="end"/>
    </w:r>
  </w:p>
  <w:p w14:paraId="21B2435A" w14:textId="77777777" w:rsidR="00CB5609" w:rsidRDefault="00CB5609">
    <w:pPr>
      <w:pStyle w:val="Footer"/>
      <w:tabs>
        <w:tab w:val="clear" w:pos="4680"/>
        <w:tab w:val="left" w:pos="0"/>
      </w:tabs>
      <w:spacing w:before="0" w:after="0"/>
      <w:jc w:val="center"/>
    </w:pPr>
    <w:r>
      <w:t>PUBLIC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036E5" w14:textId="77777777" w:rsidR="00CB5609" w:rsidRDefault="00CB5609">
      <w:r>
        <w:separator/>
      </w:r>
    </w:p>
    <w:p w14:paraId="5E36BE64" w14:textId="77777777" w:rsidR="00CB5609" w:rsidRDefault="00CB5609"/>
  </w:footnote>
  <w:footnote w:type="continuationSeparator" w:id="0">
    <w:p w14:paraId="3B2C8FAE" w14:textId="77777777" w:rsidR="00CB5609" w:rsidRDefault="00CB5609">
      <w:r>
        <w:continuationSeparator/>
      </w:r>
    </w:p>
    <w:p w14:paraId="3790EC0A" w14:textId="77777777" w:rsidR="00CB5609" w:rsidRDefault="00CB56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39488" w14:textId="77777777" w:rsidR="00CB5609" w:rsidRPr="00AA2617" w:rsidRDefault="00CB5609" w:rsidP="00AA2617">
    <w:pPr>
      <w:pStyle w:val="Header"/>
      <w:pBdr>
        <w:bottom w:val="none" w:sz="0" w:space="0" w:color="auto"/>
      </w:pBdr>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1D317" w14:textId="77777777" w:rsidR="00CB5609" w:rsidRDefault="00CB5609">
    <w:pPr>
      <w:pStyle w:val="Header"/>
    </w:pPr>
    <w:r>
      <w:t xml:space="preserve">Table of Contents:  Section 5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C2A9B" w14:textId="77777777" w:rsidR="00CB5609" w:rsidRDefault="00CB560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ADC91" w14:textId="77777777" w:rsidR="00CB5609" w:rsidRDefault="00CB5609">
    <w:pPr>
      <w:pStyle w:val="Header"/>
    </w:pPr>
    <w:r>
      <w:t>Section 5:  Transmission Security Analysis and Reliability Unit Commitment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BC5A541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18"/>
    <w:multiLevelType w:val="singleLevel"/>
    <w:tmpl w:val="DFB241A2"/>
    <w:lvl w:ilvl="0">
      <w:start w:val="1"/>
      <w:numFmt w:val="bullet"/>
      <w:pStyle w:val="BulletIndent"/>
      <w:lvlText w:val=""/>
      <w:lvlJc w:val="left"/>
      <w:pPr>
        <w:tabs>
          <w:tab w:val="num" w:pos="360"/>
        </w:tabs>
        <w:ind w:left="360" w:hanging="360"/>
      </w:pPr>
      <w:rPr>
        <w:rFonts w:ascii="Symbol" w:hAnsi="Symbol" w:hint="default"/>
      </w:rPr>
    </w:lvl>
  </w:abstractNum>
  <w:abstractNum w:abstractNumId="2" w15:restartNumberingAfterBreak="0">
    <w:nsid w:val="05E42166"/>
    <w:multiLevelType w:val="hybridMultilevel"/>
    <w:tmpl w:val="1854A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931F1"/>
    <w:multiLevelType w:val="hybridMultilevel"/>
    <w:tmpl w:val="69488DD0"/>
    <w:lvl w:ilvl="0" w:tplc="F852FF36">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1E6423"/>
    <w:multiLevelType w:val="hybridMultilevel"/>
    <w:tmpl w:val="E3F4A78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952E4A"/>
    <w:multiLevelType w:val="hybridMultilevel"/>
    <w:tmpl w:val="0F581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D3758B"/>
    <w:multiLevelType w:val="hybridMultilevel"/>
    <w:tmpl w:val="5D423848"/>
    <w:lvl w:ilvl="0" w:tplc="F852FF36">
      <w:start w:val="1"/>
      <w:numFmt w:val="lowerLetter"/>
      <w:lvlText w:val="(%1)"/>
      <w:lvlJc w:val="left"/>
      <w:pPr>
        <w:ind w:left="1440" w:hanging="720"/>
      </w:pPr>
      <w:rPr>
        <w:rFonts w:hint="default"/>
      </w:r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DDB462D"/>
    <w:multiLevelType w:val="hybridMultilevel"/>
    <w:tmpl w:val="F384C950"/>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8" w15:restartNumberingAfterBreak="0">
    <w:nsid w:val="136F434C"/>
    <w:multiLevelType w:val="hybridMultilevel"/>
    <w:tmpl w:val="EF46D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B1676E"/>
    <w:multiLevelType w:val="hybridMultilevel"/>
    <w:tmpl w:val="667E7C30"/>
    <w:lvl w:ilvl="0" w:tplc="FFFFFFFF">
      <w:start w:val="1"/>
      <w:numFmt w:val="bullet"/>
      <w:pStyle w:val="TableBulletBullet"/>
      <w:lvlText w:val="o"/>
      <w:lvlJc w:val="left"/>
      <w:pPr>
        <w:tabs>
          <w:tab w:val="num" w:pos="720"/>
        </w:tabs>
        <w:ind w:left="720" w:hanging="360"/>
      </w:pPr>
      <w:rPr>
        <w:rFont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7D86199"/>
    <w:multiLevelType w:val="hybridMultilevel"/>
    <w:tmpl w:val="00E82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07970FB"/>
    <w:multiLevelType w:val="hybridMultilevel"/>
    <w:tmpl w:val="3CD2AD20"/>
    <w:lvl w:ilvl="0" w:tplc="F852FF36">
      <w:start w:val="1"/>
      <w:numFmt w:val="lowerLetter"/>
      <w:lvlText w:val="(%1)"/>
      <w:lvlJc w:val="left"/>
      <w:pPr>
        <w:ind w:left="1440" w:hanging="720"/>
      </w:pPr>
      <w:rPr>
        <w:rFonts w:hint="default"/>
      </w:rPr>
    </w:lvl>
    <w:lvl w:ilvl="1" w:tplc="04090013">
      <w:start w:val="1"/>
      <w:numFmt w:val="upp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0DF51AB"/>
    <w:multiLevelType w:val="hybridMultilevel"/>
    <w:tmpl w:val="C41A9A32"/>
    <w:lvl w:ilvl="0" w:tplc="CDF0F1E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DC01D7"/>
    <w:multiLevelType w:val="hybridMultilevel"/>
    <w:tmpl w:val="CA5E0E18"/>
    <w:lvl w:ilvl="0" w:tplc="055C06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634546E"/>
    <w:multiLevelType w:val="hybridMultilevel"/>
    <w:tmpl w:val="95B24F24"/>
    <w:lvl w:ilvl="0" w:tplc="FBBAB3DA">
      <w:start w:val="1"/>
      <w:numFmt w:val="bullet"/>
      <w:lvlText w:val=""/>
      <w:lvlJc w:val="left"/>
      <w:pPr>
        <w:ind w:left="975"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9B49F1"/>
    <w:multiLevelType w:val="hybridMultilevel"/>
    <w:tmpl w:val="8BAA94E0"/>
    <w:lvl w:ilvl="0" w:tplc="DA3015E8">
      <w:start w:val="1"/>
      <w:numFmt w:val="decimal"/>
      <w:lvlText w:val="(%1)"/>
      <w:lvlJc w:val="left"/>
      <w:pPr>
        <w:ind w:left="1080" w:hanging="720"/>
      </w:pPr>
      <w:rPr>
        <w:rFonts w:ascii="Times New Roman" w:hAnsi="Times New Roman" w:cs="Times New Roman" w:hint="default"/>
      </w:rPr>
    </w:lvl>
    <w:lvl w:ilvl="1" w:tplc="055C060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0520E3"/>
    <w:multiLevelType w:val="hybridMultilevel"/>
    <w:tmpl w:val="BD3E8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F87D58"/>
    <w:multiLevelType w:val="hybridMultilevel"/>
    <w:tmpl w:val="F39062F8"/>
    <w:lvl w:ilvl="0" w:tplc="CDF0F1EA">
      <w:start w:val="1"/>
      <w:numFmt w:val="bullet"/>
      <w:pStyle w:val="Bullet15"/>
      <w:lvlText w:val=""/>
      <w:lvlJc w:val="left"/>
      <w:pPr>
        <w:tabs>
          <w:tab w:val="num" w:pos="2520"/>
        </w:tabs>
        <w:ind w:left="2520" w:hanging="720"/>
      </w:pPr>
      <w:rPr>
        <w:rFonts w:ascii="Symbol" w:hAnsi="Symbol" w:hint="default"/>
      </w:rPr>
    </w:lvl>
    <w:lvl w:ilvl="1" w:tplc="BB2AEBA2"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8" w15:restartNumberingAfterBreak="0">
    <w:nsid w:val="37F33677"/>
    <w:multiLevelType w:val="multilevel"/>
    <w:tmpl w:val="5BD43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D174F46"/>
    <w:multiLevelType w:val="hybridMultilevel"/>
    <w:tmpl w:val="77AA1152"/>
    <w:lvl w:ilvl="0" w:tplc="C23E359E">
      <w:start w:val="1"/>
      <w:numFmt w:val="decimal"/>
      <w:lvlText w:val="(%1)"/>
      <w:lvlJc w:val="left"/>
      <w:pPr>
        <w:ind w:left="1087" w:hanging="360"/>
      </w:pPr>
      <w:rPr>
        <w:rFonts w:hint="default"/>
        <w:color w:val="5B6770"/>
      </w:rPr>
    </w:lvl>
    <w:lvl w:ilvl="1" w:tplc="04090019" w:tentative="1">
      <w:start w:val="1"/>
      <w:numFmt w:val="lowerLetter"/>
      <w:lvlText w:val="%2."/>
      <w:lvlJc w:val="left"/>
      <w:pPr>
        <w:ind w:left="1807" w:hanging="360"/>
      </w:pPr>
    </w:lvl>
    <w:lvl w:ilvl="2" w:tplc="0409001B" w:tentative="1">
      <w:start w:val="1"/>
      <w:numFmt w:val="lowerRoman"/>
      <w:lvlText w:val="%3."/>
      <w:lvlJc w:val="right"/>
      <w:pPr>
        <w:ind w:left="2527" w:hanging="180"/>
      </w:pPr>
    </w:lvl>
    <w:lvl w:ilvl="3" w:tplc="0409000F" w:tentative="1">
      <w:start w:val="1"/>
      <w:numFmt w:val="decimal"/>
      <w:lvlText w:val="%4."/>
      <w:lvlJc w:val="left"/>
      <w:pPr>
        <w:ind w:left="3247" w:hanging="360"/>
      </w:pPr>
    </w:lvl>
    <w:lvl w:ilvl="4" w:tplc="04090019" w:tentative="1">
      <w:start w:val="1"/>
      <w:numFmt w:val="lowerLetter"/>
      <w:lvlText w:val="%5."/>
      <w:lvlJc w:val="left"/>
      <w:pPr>
        <w:ind w:left="3967" w:hanging="360"/>
      </w:pPr>
    </w:lvl>
    <w:lvl w:ilvl="5" w:tplc="0409001B" w:tentative="1">
      <w:start w:val="1"/>
      <w:numFmt w:val="lowerRoman"/>
      <w:lvlText w:val="%6."/>
      <w:lvlJc w:val="right"/>
      <w:pPr>
        <w:ind w:left="4687" w:hanging="180"/>
      </w:pPr>
    </w:lvl>
    <w:lvl w:ilvl="6" w:tplc="0409000F" w:tentative="1">
      <w:start w:val="1"/>
      <w:numFmt w:val="decimal"/>
      <w:lvlText w:val="%7."/>
      <w:lvlJc w:val="left"/>
      <w:pPr>
        <w:ind w:left="5407" w:hanging="360"/>
      </w:pPr>
    </w:lvl>
    <w:lvl w:ilvl="7" w:tplc="04090019" w:tentative="1">
      <w:start w:val="1"/>
      <w:numFmt w:val="lowerLetter"/>
      <w:lvlText w:val="%8."/>
      <w:lvlJc w:val="left"/>
      <w:pPr>
        <w:ind w:left="6127" w:hanging="360"/>
      </w:pPr>
    </w:lvl>
    <w:lvl w:ilvl="8" w:tplc="0409001B" w:tentative="1">
      <w:start w:val="1"/>
      <w:numFmt w:val="lowerRoman"/>
      <w:lvlText w:val="%9."/>
      <w:lvlJc w:val="right"/>
      <w:pPr>
        <w:ind w:left="6847" w:hanging="180"/>
      </w:pPr>
    </w:lvl>
  </w:abstractNum>
  <w:abstractNum w:abstractNumId="20" w15:restartNumberingAfterBreak="0">
    <w:nsid w:val="3FDE6392"/>
    <w:multiLevelType w:val="hybridMultilevel"/>
    <w:tmpl w:val="3E5CA290"/>
    <w:lvl w:ilvl="0" w:tplc="F852FF36">
      <w:start w:val="1"/>
      <w:numFmt w:val="lowerLetter"/>
      <w:lvlText w:val="(%1)"/>
      <w:lvlJc w:val="left"/>
      <w:pPr>
        <w:ind w:left="1440" w:hanging="720"/>
      </w:pPr>
      <w:rPr>
        <w:rFonts w:hint="default"/>
      </w:rPr>
    </w:lvl>
    <w:lvl w:ilvl="1" w:tplc="0409001B">
      <w:start w:val="1"/>
      <w:numFmt w:val="lowerRoman"/>
      <w:lvlText w:val="%2."/>
      <w:lvlJc w:val="right"/>
      <w:pPr>
        <w:ind w:left="1800" w:hanging="360"/>
      </w:pPr>
    </w:lvl>
    <w:lvl w:ilvl="2" w:tplc="04090019">
      <w:start w:val="1"/>
      <w:numFmt w:val="lowerLetter"/>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4134012"/>
    <w:multiLevelType w:val="hybridMultilevel"/>
    <w:tmpl w:val="E3F4A78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823264"/>
    <w:multiLevelType w:val="hybridMultilevel"/>
    <w:tmpl w:val="3DBCD944"/>
    <w:lvl w:ilvl="0" w:tplc="8258020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BB43FCB"/>
    <w:multiLevelType w:val="hybridMultilevel"/>
    <w:tmpl w:val="2D0A6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F00576E"/>
    <w:multiLevelType w:val="hybridMultilevel"/>
    <w:tmpl w:val="9B94FD1C"/>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5" w15:restartNumberingAfterBreak="0">
    <w:nsid w:val="64276D3F"/>
    <w:multiLevelType w:val="hybridMultilevel"/>
    <w:tmpl w:val="616CC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802E81"/>
    <w:multiLevelType w:val="hybridMultilevel"/>
    <w:tmpl w:val="AFBC2F2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15:restartNumberingAfterBreak="0">
    <w:nsid w:val="66510064"/>
    <w:multiLevelType w:val="multilevel"/>
    <w:tmpl w:val="5D7AAC56"/>
    <w:lvl w:ilvl="0">
      <w:start w:val="5"/>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8" w15:restartNumberingAfterBreak="0">
    <w:nsid w:val="66551589"/>
    <w:multiLevelType w:val="hybridMultilevel"/>
    <w:tmpl w:val="F0905D98"/>
    <w:lvl w:ilvl="0" w:tplc="7FAC737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6CF6858"/>
    <w:multiLevelType w:val="hybridMultilevel"/>
    <w:tmpl w:val="84063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E371DD"/>
    <w:multiLevelType w:val="hybridMultilevel"/>
    <w:tmpl w:val="32346D5E"/>
    <w:lvl w:ilvl="0" w:tplc="0848100A">
      <w:start w:val="1"/>
      <w:numFmt w:val="upperLetter"/>
      <w:lvlText w:val="(%1)"/>
      <w:lvlJc w:val="left"/>
      <w:pPr>
        <w:ind w:left="5400" w:hanging="360"/>
      </w:pPr>
      <w:rPr>
        <w:rFonts w:ascii="Times New Roman" w:eastAsia="Times New Roman" w:hAnsi="Times New Roman" w:cs="Times New Roman"/>
      </w:rPr>
    </w:lvl>
    <w:lvl w:ilvl="1" w:tplc="04090019">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1" w15:restartNumberingAfterBreak="0">
    <w:nsid w:val="6AB735B7"/>
    <w:multiLevelType w:val="hybridMultilevel"/>
    <w:tmpl w:val="F252E148"/>
    <w:lvl w:ilvl="0" w:tplc="DD0247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A329B3"/>
    <w:multiLevelType w:val="hybridMultilevel"/>
    <w:tmpl w:val="3EB282C8"/>
    <w:lvl w:ilvl="0" w:tplc="708C4898">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7125694A"/>
    <w:multiLevelType w:val="hybridMultilevel"/>
    <w:tmpl w:val="7BA25B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6060C90"/>
    <w:multiLevelType w:val="hybridMultilevel"/>
    <w:tmpl w:val="246208DE"/>
    <w:lvl w:ilvl="0" w:tplc="9434FC1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781876F3"/>
    <w:multiLevelType w:val="hybridMultilevel"/>
    <w:tmpl w:val="4BD48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B331525"/>
    <w:multiLevelType w:val="singleLevel"/>
    <w:tmpl w:val="0AB409BE"/>
    <w:lvl w:ilvl="0">
      <w:start w:val="1"/>
      <w:numFmt w:val="bullet"/>
      <w:pStyle w:val="Bullet"/>
      <w:lvlText w:val=""/>
      <w:lvlJc w:val="left"/>
      <w:pPr>
        <w:tabs>
          <w:tab w:val="num" w:pos="1080"/>
        </w:tabs>
        <w:ind w:left="1080" w:hanging="360"/>
      </w:pPr>
      <w:rPr>
        <w:rFonts w:ascii="Symbol" w:hAnsi="Symbol" w:hint="default"/>
      </w:rPr>
    </w:lvl>
  </w:abstractNum>
  <w:num w:numId="1" w16cid:durableId="908005783">
    <w:abstractNumId w:val="36"/>
  </w:num>
  <w:num w:numId="2" w16cid:durableId="1411192106">
    <w:abstractNumId w:val="1"/>
  </w:num>
  <w:num w:numId="3" w16cid:durableId="692460665">
    <w:abstractNumId w:val="27"/>
  </w:num>
  <w:num w:numId="4" w16cid:durableId="88815382">
    <w:abstractNumId w:val="17"/>
  </w:num>
  <w:num w:numId="5" w16cid:durableId="411243277">
    <w:abstractNumId w:val="34"/>
  </w:num>
  <w:num w:numId="6" w16cid:durableId="24142428">
    <w:abstractNumId w:val="12"/>
  </w:num>
  <w:num w:numId="7" w16cid:durableId="1153373237">
    <w:abstractNumId w:val="0"/>
  </w:num>
  <w:num w:numId="8" w16cid:durableId="408233232">
    <w:abstractNumId w:val="26"/>
  </w:num>
  <w:num w:numId="9" w16cid:durableId="482627504">
    <w:abstractNumId w:val="32"/>
  </w:num>
  <w:num w:numId="10" w16cid:durableId="205022498">
    <w:abstractNumId w:val="33"/>
  </w:num>
  <w:num w:numId="11" w16cid:durableId="850333214">
    <w:abstractNumId w:val="14"/>
  </w:num>
  <w:num w:numId="12" w16cid:durableId="705521218">
    <w:abstractNumId w:val="29"/>
  </w:num>
  <w:num w:numId="13" w16cid:durableId="621154609">
    <w:abstractNumId w:val="8"/>
  </w:num>
  <w:num w:numId="14" w16cid:durableId="376125699">
    <w:abstractNumId w:val="18"/>
  </w:num>
  <w:num w:numId="15" w16cid:durableId="115877019">
    <w:abstractNumId w:val="25"/>
  </w:num>
  <w:num w:numId="16" w16cid:durableId="1781073199">
    <w:abstractNumId w:val="23"/>
  </w:num>
  <w:num w:numId="17" w16cid:durableId="2015961571">
    <w:abstractNumId w:val="5"/>
  </w:num>
  <w:num w:numId="18" w16cid:durableId="2028293808">
    <w:abstractNumId w:val="13"/>
  </w:num>
  <w:num w:numId="19" w16cid:durableId="1961841203">
    <w:abstractNumId w:val="22"/>
  </w:num>
  <w:num w:numId="20" w16cid:durableId="864556872">
    <w:abstractNumId w:val="31"/>
  </w:num>
  <w:num w:numId="21" w16cid:durableId="1426459298">
    <w:abstractNumId w:val="9"/>
  </w:num>
  <w:num w:numId="22" w16cid:durableId="1313019695">
    <w:abstractNumId w:val="2"/>
  </w:num>
  <w:num w:numId="23" w16cid:durableId="1123232802">
    <w:abstractNumId w:val="24"/>
  </w:num>
  <w:num w:numId="24" w16cid:durableId="1329672724">
    <w:abstractNumId w:val="4"/>
  </w:num>
  <w:num w:numId="25" w16cid:durableId="68161843">
    <w:abstractNumId w:val="21"/>
  </w:num>
  <w:num w:numId="26" w16cid:durableId="1249391228">
    <w:abstractNumId w:val="15"/>
  </w:num>
  <w:num w:numId="27" w16cid:durableId="1369649860">
    <w:abstractNumId w:val="7"/>
  </w:num>
  <w:num w:numId="28" w16cid:durableId="214508055">
    <w:abstractNumId w:val="3"/>
  </w:num>
  <w:num w:numId="29" w16cid:durableId="1492792862">
    <w:abstractNumId w:val="11"/>
  </w:num>
  <w:num w:numId="30" w16cid:durableId="1870332377">
    <w:abstractNumId w:val="6"/>
  </w:num>
  <w:num w:numId="31" w16cid:durableId="1606765752">
    <w:abstractNumId w:val="20"/>
  </w:num>
  <w:num w:numId="32" w16cid:durableId="207495189">
    <w:abstractNumId w:val="30"/>
  </w:num>
  <w:num w:numId="33" w16cid:durableId="1797871823">
    <w:abstractNumId w:val="28"/>
  </w:num>
  <w:num w:numId="34" w16cid:durableId="1644851885">
    <w:abstractNumId w:val="35"/>
  </w:num>
  <w:num w:numId="35" w16cid:durableId="2071222534">
    <w:abstractNumId w:val="10"/>
  </w:num>
  <w:num w:numId="36" w16cid:durableId="816921292">
    <w:abstractNumId w:val="19"/>
  </w:num>
  <w:num w:numId="37" w16cid:durableId="626815357">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38241" fill="f" fillcolor="white" stroke="f">
      <v:fill color="white" on="f"/>
      <v:stroke on="f"/>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C33"/>
    <w:rsid w:val="00000984"/>
    <w:rsid w:val="0000211B"/>
    <w:rsid w:val="000022EC"/>
    <w:rsid w:val="00002549"/>
    <w:rsid w:val="000025C1"/>
    <w:rsid w:val="00006F4D"/>
    <w:rsid w:val="00007909"/>
    <w:rsid w:val="00010CF9"/>
    <w:rsid w:val="00011066"/>
    <w:rsid w:val="00013AFB"/>
    <w:rsid w:val="0001692F"/>
    <w:rsid w:val="0002027A"/>
    <w:rsid w:val="00021A14"/>
    <w:rsid w:val="000252F5"/>
    <w:rsid w:val="000276FB"/>
    <w:rsid w:val="00030CE9"/>
    <w:rsid w:val="00031916"/>
    <w:rsid w:val="00031993"/>
    <w:rsid w:val="0003200B"/>
    <w:rsid w:val="0003312A"/>
    <w:rsid w:val="00035FAA"/>
    <w:rsid w:val="000362C9"/>
    <w:rsid w:val="00036D9C"/>
    <w:rsid w:val="00040100"/>
    <w:rsid w:val="0004156E"/>
    <w:rsid w:val="00042704"/>
    <w:rsid w:val="00044CF8"/>
    <w:rsid w:val="00047C06"/>
    <w:rsid w:val="00050207"/>
    <w:rsid w:val="0005054D"/>
    <w:rsid w:val="00050FE9"/>
    <w:rsid w:val="0005273D"/>
    <w:rsid w:val="0005307A"/>
    <w:rsid w:val="000532AA"/>
    <w:rsid w:val="00053833"/>
    <w:rsid w:val="00054CB1"/>
    <w:rsid w:val="0005504D"/>
    <w:rsid w:val="000556AE"/>
    <w:rsid w:val="000562A6"/>
    <w:rsid w:val="00056434"/>
    <w:rsid w:val="00057B6E"/>
    <w:rsid w:val="00060402"/>
    <w:rsid w:val="00060ECC"/>
    <w:rsid w:val="00061073"/>
    <w:rsid w:val="00062D8F"/>
    <w:rsid w:val="0006360C"/>
    <w:rsid w:val="000652DA"/>
    <w:rsid w:val="00065921"/>
    <w:rsid w:val="00065A8C"/>
    <w:rsid w:val="000663FD"/>
    <w:rsid w:val="000741D7"/>
    <w:rsid w:val="000747AF"/>
    <w:rsid w:val="00074E8E"/>
    <w:rsid w:val="00075D14"/>
    <w:rsid w:val="00080BEB"/>
    <w:rsid w:val="000824CC"/>
    <w:rsid w:val="00083F9B"/>
    <w:rsid w:val="000929BC"/>
    <w:rsid w:val="00094713"/>
    <w:rsid w:val="00096124"/>
    <w:rsid w:val="00096AF9"/>
    <w:rsid w:val="00096D3F"/>
    <w:rsid w:val="000A6A50"/>
    <w:rsid w:val="000B1E0A"/>
    <w:rsid w:val="000B277D"/>
    <w:rsid w:val="000B3D07"/>
    <w:rsid w:val="000B40D5"/>
    <w:rsid w:val="000B4E54"/>
    <w:rsid w:val="000B6B15"/>
    <w:rsid w:val="000B7479"/>
    <w:rsid w:val="000C2E80"/>
    <w:rsid w:val="000C34D6"/>
    <w:rsid w:val="000C398C"/>
    <w:rsid w:val="000D31AA"/>
    <w:rsid w:val="000D427F"/>
    <w:rsid w:val="000D668E"/>
    <w:rsid w:val="000E199C"/>
    <w:rsid w:val="000E4921"/>
    <w:rsid w:val="000E5656"/>
    <w:rsid w:val="000E790D"/>
    <w:rsid w:val="000F0270"/>
    <w:rsid w:val="000F2AFB"/>
    <w:rsid w:val="000F68EC"/>
    <w:rsid w:val="000F6936"/>
    <w:rsid w:val="000F75FE"/>
    <w:rsid w:val="000F767F"/>
    <w:rsid w:val="00103C2C"/>
    <w:rsid w:val="001043F8"/>
    <w:rsid w:val="0010480F"/>
    <w:rsid w:val="00106516"/>
    <w:rsid w:val="00107D6D"/>
    <w:rsid w:val="00107FC4"/>
    <w:rsid w:val="00111A62"/>
    <w:rsid w:val="001122B2"/>
    <w:rsid w:val="001133C1"/>
    <w:rsid w:val="001134B8"/>
    <w:rsid w:val="00116ED1"/>
    <w:rsid w:val="00117953"/>
    <w:rsid w:val="00117B3E"/>
    <w:rsid w:val="00120456"/>
    <w:rsid w:val="0012453F"/>
    <w:rsid w:val="00127BAE"/>
    <w:rsid w:val="00127C46"/>
    <w:rsid w:val="00131638"/>
    <w:rsid w:val="00131FF6"/>
    <w:rsid w:val="00132793"/>
    <w:rsid w:val="00134056"/>
    <w:rsid w:val="00136E19"/>
    <w:rsid w:val="00142D48"/>
    <w:rsid w:val="00142E85"/>
    <w:rsid w:val="001542E5"/>
    <w:rsid w:val="00155E34"/>
    <w:rsid w:val="00156279"/>
    <w:rsid w:val="00156E2D"/>
    <w:rsid w:val="001609AC"/>
    <w:rsid w:val="00160FD3"/>
    <w:rsid w:val="001616EC"/>
    <w:rsid w:val="00163326"/>
    <w:rsid w:val="00165DCA"/>
    <w:rsid w:val="00165EE1"/>
    <w:rsid w:val="00166F53"/>
    <w:rsid w:val="00170C42"/>
    <w:rsid w:val="00171C06"/>
    <w:rsid w:val="00180775"/>
    <w:rsid w:val="00181432"/>
    <w:rsid w:val="001815E8"/>
    <w:rsid w:val="0018228C"/>
    <w:rsid w:val="001836C6"/>
    <w:rsid w:val="001854DC"/>
    <w:rsid w:val="00186F76"/>
    <w:rsid w:val="00192E6D"/>
    <w:rsid w:val="00193ECD"/>
    <w:rsid w:val="001946A2"/>
    <w:rsid w:val="00194DD5"/>
    <w:rsid w:val="00195F7A"/>
    <w:rsid w:val="00196B1A"/>
    <w:rsid w:val="00196FCA"/>
    <w:rsid w:val="001A0CC3"/>
    <w:rsid w:val="001A0DAA"/>
    <w:rsid w:val="001A16E3"/>
    <w:rsid w:val="001A38DC"/>
    <w:rsid w:val="001A41B2"/>
    <w:rsid w:val="001A50B9"/>
    <w:rsid w:val="001A6C1F"/>
    <w:rsid w:val="001A6D3F"/>
    <w:rsid w:val="001A757F"/>
    <w:rsid w:val="001B2D5E"/>
    <w:rsid w:val="001B44F7"/>
    <w:rsid w:val="001B4A65"/>
    <w:rsid w:val="001D0468"/>
    <w:rsid w:val="001D4051"/>
    <w:rsid w:val="001D6962"/>
    <w:rsid w:val="001D7460"/>
    <w:rsid w:val="001E07D5"/>
    <w:rsid w:val="001E08CC"/>
    <w:rsid w:val="001E3C73"/>
    <w:rsid w:val="001E5971"/>
    <w:rsid w:val="001E63BF"/>
    <w:rsid w:val="001E76C4"/>
    <w:rsid w:val="001F1B0A"/>
    <w:rsid w:val="001F3AA6"/>
    <w:rsid w:val="00200196"/>
    <w:rsid w:val="00200270"/>
    <w:rsid w:val="0020055E"/>
    <w:rsid w:val="0020125C"/>
    <w:rsid w:val="0020796F"/>
    <w:rsid w:val="00210762"/>
    <w:rsid w:val="00210947"/>
    <w:rsid w:val="00210DC5"/>
    <w:rsid w:val="0021245A"/>
    <w:rsid w:val="00212E26"/>
    <w:rsid w:val="00213629"/>
    <w:rsid w:val="00214CE1"/>
    <w:rsid w:val="0021567B"/>
    <w:rsid w:val="00216E76"/>
    <w:rsid w:val="002171FE"/>
    <w:rsid w:val="00220751"/>
    <w:rsid w:val="00221051"/>
    <w:rsid w:val="002210D7"/>
    <w:rsid w:val="00221D76"/>
    <w:rsid w:val="002227D6"/>
    <w:rsid w:val="0022292E"/>
    <w:rsid w:val="00224236"/>
    <w:rsid w:val="0022529A"/>
    <w:rsid w:val="00225800"/>
    <w:rsid w:val="00226339"/>
    <w:rsid w:val="0022754A"/>
    <w:rsid w:val="00230195"/>
    <w:rsid w:val="00232755"/>
    <w:rsid w:val="002351BF"/>
    <w:rsid w:val="002359DD"/>
    <w:rsid w:val="00237270"/>
    <w:rsid w:val="00237F08"/>
    <w:rsid w:val="00244950"/>
    <w:rsid w:val="00245446"/>
    <w:rsid w:val="00246A67"/>
    <w:rsid w:val="00251968"/>
    <w:rsid w:val="00255553"/>
    <w:rsid w:val="002565F4"/>
    <w:rsid w:val="00257B8D"/>
    <w:rsid w:val="00260613"/>
    <w:rsid w:val="002612DD"/>
    <w:rsid w:val="002620D4"/>
    <w:rsid w:val="0026343F"/>
    <w:rsid w:val="0026366A"/>
    <w:rsid w:val="00263855"/>
    <w:rsid w:val="0026394E"/>
    <w:rsid w:val="00265139"/>
    <w:rsid w:val="00265829"/>
    <w:rsid w:val="002714C3"/>
    <w:rsid w:val="0027199F"/>
    <w:rsid w:val="002769E3"/>
    <w:rsid w:val="00276DE3"/>
    <w:rsid w:val="00277C2C"/>
    <w:rsid w:val="00281C16"/>
    <w:rsid w:val="00282040"/>
    <w:rsid w:val="00282166"/>
    <w:rsid w:val="00283ACE"/>
    <w:rsid w:val="0028671A"/>
    <w:rsid w:val="00286E7B"/>
    <w:rsid w:val="00291AC2"/>
    <w:rsid w:val="00291B10"/>
    <w:rsid w:val="00292185"/>
    <w:rsid w:val="00293287"/>
    <w:rsid w:val="00293C9B"/>
    <w:rsid w:val="002944A8"/>
    <w:rsid w:val="00295C16"/>
    <w:rsid w:val="00297AEC"/>
    <w:rsid w:val="002A1E32"/>
    <w:rsid w:val="002A2190"/>
    <w:rsid w:val="002A41C9"/>
    <w:rsid w:val="002A49FB"/>
    <w:rsid w:val="002A5958"/>
    <w:rsid w:val="002A5E21"/>
    <w:rsid w:val="002A6303"/>
    <w:rsid w:val="002B1894"/>
    <w:rsid w:val="002B2F24"/>
    <w:rsid w:val="002B5BD4"/>
    <w:rsid w:val="002B6025"/>
    <w:rsid w:val="002C0AA5"/>
    <w:rsid w:val="002C1967"/>
    <w:rsid w:val="002C53B2"/>
    <w:rsid w:val="002C5B6F"/>
    <w:rsid w:val="002C689F"/>
    <w:rsid w:val="002C69E9"/>
    <w:rsid w:val="002D1AFC"/>
    <w:rsid w:val="002D3310"/>
    <w:rsid w:val="002D4633"/>
    <w:rsid w:val="002D6EC6"/>
    <w:rsid w:val="002E26EA"/>
    <w:rsid w:val="002E323F"/>
    <w:rsid w:val="002E75AD"/>
    <w:rsid w:val="002F72BB"/>
    <w:rsid w:val="003008B4"/>
    <w:rsid w:val="00300C4D"/>
    <w:rsid w:val="00301534"/>
    <w:rsid w:val="00304231"/>
    <w:rsid w:val="00304A08"/>
    <w:rsid w:val="00304CFC"/>
    <w:rsid w:val="0031064A"/>
    <w:rsid w:val="00311274"/>
    <w:rsid w:val="0031188E"/>
    <w:rsid w:val="003159CA"/>
    <w:rsid w:val="003161F7"/>
    <w:rsid w:val="003201F1"/>
    <w:rsid w:val="00320A3F"/>
    <w:rsid w:val="00321127"/>
    <w:rsid w:val="00322C28"/>
    <w:rsid w:val="00325CFB"/>
    <w:rsid w:val="00325FF1"/>
    <w:rsid w:val="00326421"/>
    <w:rsid w:val="00327BF0"/>
    <w:rsid w:val="00327CC5"/>
    <w:rsid w:val="0033451A"/>
    <w:rsid w:val="00334E10"/>
    <w:rsid w:val="00341553"/>
    <w:rsid w:val="0034395F"/>
    <w:rsid w:val="0034488A"/>
    <w:rsid w:val="003452D1"/>
    <w:rsid w:val="003509A6"/>
    <w:rsid w:val="00352126"/>
    <w:rsid w:val="00353613"/>
    <w:rsid w:val="003561CF"/>
    <w:rsid w:val="00356451"/>
    <w:rsid w:val="00360A81"/>
    <w:rsid w:val="00360B29"/>
    <w:rsid w:val="00360D4B"/>
    <w:rsid w:val="00362B75"/>
    <w:rsid w:val="0036324C"/>
    <w:rsid w:val="00363660"/>
    <w:rsid w:val="00365151"/>
    <w:rsid w:val="003660D3"/>
    <w:rsid w:val="003667DB"/>
    <w:rsid w:val="003718AE"/>
    <w:rsid w:val="00371B0F"/>
    <w:rsid w:val="0037213B"/>
    <w:rsid w:val="003769AA"/>
    <w:rsid w:val="0038193D"/>
    <w:rsid w:val="00383CF9"/>
    <w:rsid w:val="0038515D"/>
    <w:rsid w:val="00385589"/>
    <w:rsid w:val="00386F27"/>
    <w:rsid w:val="00390338"/>
    <w:rsid w:val="0039084C"/>
    <w:rsid w:val="00392530"/>
    <w:rsid w:val="0039333D"/>
    <w:rsid w:val="0039459A"/>
    <w:rsid w:val="003A03B4"/>
    <w:rsid w:val="003A0999"/>
    <w:rsid w:val="003A2727"/>
    <w:rsid w:val="003A34D5"/>
    <w:rsid w:val="003A4C46"/>
    <w:rsid w:val="003A764B"/>
    <w:rsid w:val="003A7E9E"/>
    <w:rsid w:val="003B0BEE"/>
    <w:rsid w:val="003B0E0D"/>
    <w:rsid w:val="003B1604"/>
    <w:rsid w:val="003B2984"/>
    <w:rsid w:val="003B4141"/>
    <w:rsid w:val="003B4B31"/>
    <w:rsid w:val="003B6BDA"/>
    <w:rsid w:val="003B6F4E"/>
    <w:rsid w:val="003B790B"/>
    <w:rsid w:val="003B7DB7"/>
    <w:rsid w:val="003C0907"/>
    <w:rsid w:val="003C22F2"/>
    <w:rsid w:val="003D22F1"/>
    <w:rsid w:val="003E044A"/>
    <w:rsid w:val="003E22FB"/>
    <w:rsid w:val="003E2880"/>
    <w:rsid w:val="003E4676"/>
    <w:rsid w:val="003F14F8"/>
    <w:rsid w:val="003F1C92"/>
    <w:rsid w:val="003F2225"/>
    <w:rsid w:val="003F3155"/>
    <w:rsid w:val="003F5077"/>
    <w:rsid w:val="003F60CA"/>
    <w:rsid w:val="003F77B5"/>
    <w:rsid w:val="00403A43"/>
    <w:rsid w:val="00403FBE"/>
    <w:rsid w:val="0040469B"/>
    <w:rsid w:val="00404ADD"/>
    <w:rsid w:val="004051E9"/>
    <w:rsid w:val="0040528E"/>
    <w:rsid w:val="00406697"/>
    <w:rsid w:val="00411A42"/>
    <w:rsid w:val="004136F3"/>
    <w:rsid w:val="00417783"/>
    <w:rsid w:val="004251EF"/>
    <w:rsid w:val="00426274"/>
    <w:rsid w:val="00434238"/>
    <w:rsid w:val="00435069"/>
    <w:rsid w:val="00437B8F"/>
    <w:rsid w:val="004402D9"/>
    <w:rsid w:val="0044348B"/>
    <w:rsid w:val="004501A4"/>
    <w:rsid w:val="00450AED"/>
    <w:rsid w:val="0045103A"/>
    <w:rsid w:val="004522A7"/>
    <w:rsid w:val="00452AA1"/>
    <w:rsid w:val="00453C17"/>
    <w:rsid w:val="00453F3F"/>
    <w:rsid w:val="00456A64"/>
    <w:rsid w:val="004721AF"/>
    <w:rsid w:val="004738F9"/>
    <w:rsid w:val="004764F3"/>
    <w:rsid w:val="004775F0"/>
    <w:rsid w:val="00477769"/>
    <w:rsid w:val="00480618"/>
    <w:rsid w:val="00482FA2"/>
    <w:rsid w:val="00485612"/>
    <w:rsid w:val="00487A8C"/>
    <w:rsid w:val="00490DD9"/>
    <w:rsid w:val="00493654"/>
    <w:rsid w:val="00494A14"/>
    <w:rsid w:val="00494A81"/>
    <w:rsid w:val="00494F72"/>
    <w:rsid w:val="004954E1"/>
    <w:rsid w:val="004979A0"/>
    <w:rsid w:val="00497FBA"/>
    <w:rsid w:val="004A0BB4"/>
    <w:rsid w:val="004A1367"/>
    <w:rsid w:val="004A15EC"/>
    <w:rsid w:val="004A2D87"/>
    <w:rsid w:val="004A3F5E"/>
    <w:rsid w:val="004A40D1"/>
    <w:rsid w:val="004A747B"/>
    <w:rsid w:val="004B14ED"/>
    <w:rsid w:val="004B3608"/>
    <w:rsid w:val="004B3CB5"/>
    <w:rsid w:val="004B6091"/>
    <w:rsid w:val="004B750D"/>
    <w:rsid w:val="004C20F6"/>
    <w:rsid w:val="004C26BA"/>
    <w:rsid w:val="004C2D6F"/>
    <w:rsid w:val="004C75EF"/>
    <w:rsid w:val="004C7C45"/>
    <w:rsid w:val="004D0A1B"/>
    <w:rsid w:val="004D1A57"/>
    <w:rsid w:val="004D47A6"/>
    <w:rsid w:val="004D7EAA"/>
    <w:rsid w:val="004E0225"/>
    <w:rsid w:val="004E03B9"/>
    <w:rsid w:val="004E6ECA"/>
    <w:rsid w:val="004F11F8"/>
    <w:rsid w:val="004F1443"/>
    <w:rsid w:val="004F2485"/>
    <w:rsid w:val="004F4CA6"/>
    <w:rsid w:val="004F4D57"/>
    <w:rsid w:val="004F4F0E"/>
    <w:rsid w:val="00500370"/>
    <w:rsid w:val="00503A9F"/>
    <w:rsid w:val="00503C62"/>
    <w:rsid w:val="005065B1"/>
    <w:rsid w:val="0050739D"/>
    <w:rsid w:val="00514437"/>
    <w:rsid w:val="005151E0"/>
    <w:rsid w:val="00515EE0"/>
    <w:rsid w:val="00516E94"/>
    <w:rsid w:val="00524596"/>
    <w:rsid w:val="005306CA"/>
    <w:rsid w:val="005314CE"/>
    <w:rsid w:val="00533152"/>
    <w:rsid w:val="00533E48"/>
    <w:rsid w:val="0053532D"/>
    <w:rsid w:val="005355F7"/>
    <w:rsid w:val="00540B9C"/>
    <w:rsid w:val="005414B8"/>
    <w:rsid w:val="00541875"/>
    <w:rsid w:val="00542DD0"/>
    <w:rsid w:val="00543F55"/>
    <w:rsid w:val="00545AA2"/>
    <w:rsid w:val="00546C38"/>
    <w:rsid w:val="00546D25"/>
    <w:rsid w:val="005476A1"/>
    <w:rsid w:val="0055195C"/>
    <w:rsid w:val="00554B43"/>
    <w:rsid w:val="005558CA"/>
    <w:rsid w:val="00561365"/>
    <w:rsid w:val="00561B1F"/>
    <w:rsid w:val="005626A4"/>
    <w:rsid w:val="0056409D"/>
    <w:rsid w:val="005648AF"/>
    <w:rsid w:val="00567391"/>
    <w:rsid w:val="00567D12"/>
    <w:rsid w:val="0057451E"/>
    <w:rsid w:val="00576FC7"/>
    <w:rsid w:val="00582326"/>
    <w:rsid w:val="00583E14"/>
    <w:rsid w:val="00584369"/>
    <w:rsid w:val="005857B1"/>
    <w:rsid w:val="00585D76"/>
    <w:rsid w:val="00591169"/>
    <w:rsid w:val="00594941"/>
    <w:rsid w:val="00596244"/>
    <w:rsid w:val="00597052"/>
    <w:rsid w:val="005A03E7"/>
    <w:rsid w:val="005A1867"/>
    <w:rsid w:val="005A3CDC"/>
    <w:rsid w:val="005A4202"/>
    <w:rsid w:val="005A5394"/>
    <w:rsid w:val="005A5B0E"/>
    <w:rsid w:val="005B30C8"/>
    <w:rsid w:val="005B61D2"/>
    <w:rsid w:val="005C1092"/>
    <w:rsid w:val="005C1354"/>
    <w:rsid w:val="005C1690"/>
    <w:rsid w:val="005C3267"/>
    <w:rsid w:val="005C3A0B"/>
    <w:rsid w:val="005D1312"/>
    <w:rsid w:val="005D3688"/>
    <w:rsid w:val="005D5F32"/>
    <w:rsid w:val="005E14F6"/>
    <w:rsid w:val="005E169F"/>
    <w:rsid w:val="005E4CE6"/>
    <w:rsid w:val="005F1845"/>
    <w:rsid w:val="00602AF2"/>
    <w:rsid w:val="006058E4"/>
    <w:rsid w:val="00610129"/>
    <w:rsid w:val="0061063B"/>
    <w:rsid w:val="0061210F"/>
    <w:rsid w:val="0061258C"/>
    <w:rsid w:val="0061374C"/>
    <w:rsid w:val="00613E5B"/>
    <w:rsid w:val="0062001F"/>
    <w:rsid w:val="00621546"/>
    <w:rsid w:val="00621584"/>
    <w:rsid w:val="00621E81"/>
    <w:rsid w:val="00623A7C"/>
    <w:rsid w:val="00624B13"/>
    <w:rsid w:val="00627799"/>
    <w:rsid w:val="006278E4"/>
    <w:rsid w:val="0063020F"/>
    <w:rsid w:val="0063052D"/>
    <w:rsid w:val="00635174"/>
    <w:rsid w:val="0063616C"/>
    <w:rsid w:val="00636187"/>
    <w:rsid w:val="006370A1"/>
    <w:rsid w:val="00641719"/>
    <w:rsid w:val="00643CA8"/>
    <w:rsid w:val="00646994"/>
    <w:rsid w:val="00647DC8"/>
    <w:rsid w:val="0065372F"/>
    <w:rsid w:val="00656C5C"/>
    <w:rsid w:val="006602B4"/>
    <w:rsid w:val="006618A6"/>
    <w:rsid w:val="00662F10"/>
    <w:rsid w:val="0066326D"/>
    <w:rsid w:val="0066451A"/>
    <w:rsid w:val="00664813"/>
    <w:rsid w:val="00665FD4"/>
    <w:rsid w:val="006668B8"/>
    <w:rsid w:val="00667F43"/>
    <w:rsid w:val="006705EC"/>
    <w:rsid w:val="00670A9C"/>
    <w:rsid w:val="00670BCE"/>
    <w:rsid w:val="00671465"/>
    <w:rsid w:val="006753F0"/>
    <w:rsid w:val="00677548"/>
    <w:rsid w:val="0068063E"/>
    <w:rsid w:val="00680F45"/>
    <w:rsid w:val="00685AAA"/>
    <w:rsid w:val="006933CC"/>
    <w:rsid w:val="0069478E"/>
    <w:rsid w:val="006967E3"/>
    <w:rsid w:val="006A2DF1"/>
    <w:rsid w:val="006A3147"/>
    <w:rsid w:val="006A3D79"/>
    <w:rsid w:val="006A4F2C"/>
    <w:rsid w:val="006A5578"/>
    <w:rsid w:val="006A7B7F"/>
    <w:rsid w:val="006B108B"/>
    <w:rsid w:val="006B128A"/>
    <w:rsid w:val="006B4CDE"/>
    <w:rsid w:val="006B5CA0"/>
    <w:rsid w:val="006B6B01"/>
    <w:rsid w:val="006C45CE"/>
    <w:rsid w:val="006C467D"/>
    <w:rsid w:val="006C7B1C"/>
    <w:rsid w:val="006D1005"/>
    <w:rsid w:val="006D12D3"/>
    <w:rsid w:val="006D1C55"/>
    <w:rsid w:val="006D4891"/>
    <w:rsid w:val="006D57DA"/>
    <w:rsid w:val="006D6A8C"/>
    <w:rsid w:val="006D6E07"/>
    <w:rsid w:val="006D701E"/>
    <w:rsid w:val="006E1F1E"/>
    <w:rsid w:val="006E315A"/>
    <w:rsid w:val="006E5674"/>
    <w:rsid w:val="006E5740"/>
    <w:rsid w:val="006F0EFE"/>
    <w:rsid w:val="006F24F0"/>
    <w:rsid w:val="006F4323"/>
    <w:rsid w:val="006F56C9"/>
    <w:rsid w:val="00700861"/>
    <w:rsid w:val="0070368B"/>
    <w:rsid w:val="007059E6"/>
    <w:rsid w:val="00707B1C"/>
    <w:rsid w:val="00711030"/>
    <w:rsid w:val="0071139A"/>
    <w:rsid w:val="00711553"/>
    <w:rsid w:val="007126AD"/>
    <w:rsid w:val="00716571"/>
    <w:rsid w:val="007211EB"/>
    <w:rsid w:val="00723828"/>
    <w:rsid w:val="00723BFB"/>
    <w:rsid w:val="00731DC7"/>
    <w:rsid w:val="00732E00"/>
    <w:rsid w:val="00736FA5"/>
    <w:rsid w:val="007378D5"/>
    <w:rsid w:val="00741F3F"/>
    <w:rsid w:val="0074370F"/>
    <w:rsid w:val="00744CFF"/>
    <w:rsid w:val="00745D50"/>
    <w:rsid w:val="0074746F"/>
    <w:rsid w:val="007527AC"/>
    <w:rsid w:val="00753370"/>
    <w:rsid w:val="0075508D"/>
    <w:rsid w:val="00755BB7"/>
    <w:rsid w:val="00757509"/>
    <w:rsid w:val="00761147"/>
    <w:rsid w:val="007621B0"/>
    <w:rsid w:val="007636D5"/>
    <w:rsid w:val="00765C12"/>
    <w:rsid w:val="00766B2B"/>
    <w:rsid w:val="007671D8"/>
    <w:rsid w:val="00775BD0"/>
    <w:rsid w:val="00781562"/>
    <w:rsid w:val="00784751"/>
    <w:rsid w:val="00784ABB"/>
    <w:rsid w:val="007864AD"/>
    <w:rsid w:val="00786898"/>
    <w:rsid w:val="007868E7"/>
    <w:rsid w:val="00790B74"/>
    <w:rsid w:val="007911A9"/>
    <w:rsid w:val="00792985"/>
    <w:rsid w:val="007931FC"/>
    <w:rsid w:val="0079445E"/>
    <w:rsid w:val="0079662B"/>
    <w:rsid w:val="007A0A30"/>
    <w:rsid w:val="007A19EF"/>
    <w:rsid w:val="007A2AC2"/>
    <w:rsid w:val="007A7A3D"/>
    <w:rsid w:val="007B0091"/>
    <w:rsid w:val="007B0CE3"/>
    <w:rsid w:val="007B26D5"/>
    <w:rsid w:val="007C113F"/>
    <w:rsid w:val="007C1960"/>
    <w:rsid w:val="007C2C7C"/>
    <w:rsid w:val="007C32DC"/>
    <w:rsid w:val="007C3B91"/>
    <w:rsid w:val="007C5C6C"/>
    <w:rsid w:val="007C60DD"/>
    <w:rsid w:val="007C719E"/>
    <w:rsid w:val="007C7FEC"/>
    <w:rsid w:val="007D42C6"/>
    <w:rsid w:val="007D7FE6"/>
    <w:rsid w:val="007E2EFA"/>
    <w:rsid w:val="007E4FCA"/>
    <w:rsid w:val="007E513C"/>
    <w:rsid w:val="007E7A9F"/>
    <w:rsid w:val="007F0455"/>
    <w:rsid w:val="007F05AD"/>
    <w:rsid w:val="007F7FF3"/>
    <w:rsid w:val="008031ED"/>
    <w:rsid w:val="008032E7"/>
    <w:rsid w:val="00804A95"/>
    <w:rsid w:val="00806301"/>
    <w:rsid w:val="008116E8"/>
    <w:rsid w:val="00811FC4"/>
    <w:rsid w:val="00812AB5"/>
    <w:rsid w:val="00813C44"/>
    <w:rsid w:val="00816C8E"/>
    <w:rsid w:val="008172A4"/>
    <w:rsid w:val="0082056F"/>
    <w:rsid w:val="00820E56"/>
    <w:rsid w:val="008214A2"/>
    <w:rsid w:val="00821A49"/>
    <w:rsid w:val="008241A0"/>
    <w:rsid w:val="00824887"/>
    <w:rsid w:val="0082497B"/>
    <w:rsid w:val="00825FAD"/>
    <w:rsid w:val="0083094B"/>
    <w:rsid w:val="00830DF7"/>
    <w:rsid w:val="00831208"/>
    <w:rsid w:val="00833459"/>
    <w:rsid w:val="008342E2"/>
    <w:rsid w:val="008363AC"/>
    <w:rsid w:val="008363D2"/>
    <w:rsid w:val="00836F20"/>
    <w:rsid w:val="0084146E"/>
    <w:rsid w:val="00843161"/>
    <w:rsid w:val="008434FF"/>
    <w:rsid w:val="008436F6"/>
    <w:rsid w:val="008446FE"/>
    <w:rsid w:val="0084495C"/>
    <w:rsid w:val="00852AC3"/>
    <w:rsid w:val="008538EE"/>
    <w:rsid w:val="00854D63"/>
    <w:rsid w:val="00855C2F"/>
    <w:rsid w:val="0085700C"/>
    <w:rsid w:val="00862548"/>
    <w:rsid w:val="008626AA"/>
    <w:rsid w:val="00863982"/>
    <w:rsid w:val="00864906"/>
    <w:rsid w:val="0086492E"/>
    <w:rsid w:val="008711DB"/>
    <w:rsid w:val="00871ECA"/>
    <w:rsid w:val="00872217"/>
    <w:rsid w:val="008724C9"/>
    <w:rsid w:val="008760B4"/>
    <w:rsid w:val="0087740F"/>
    <w:rsid w:val="0088025F"/>
    <w:rsid w:val="00881E79"/>
    <w:rsid w:val="00883AF1"/>
    <w:rsid w:val="00884414"/>
    <w:rsid w:val="00885235"/>
    <w:rsid w:val="00887E6E"/>
    <w:rsid w:val="00893D29"/>
    <w:rsid w:val="008961D9"/>
    <w:rsid w:val="008A064B"/>
    <w:rsid w:val="008A1ADA"/>
    <w:rsid w:val="008A1C73"/>
    <w:rsid w:val="008A3907"/>
    <w:rsid w:val="008A6D05"/>
    <w:rsid w:val="008A7EF2"/>
    <w:rsid w:val="008B2E17"/>
    <w:rsid w:val="008B2E28"/>
    <w:rsid w:val="008B5567"/>
    <w:rsid w:val="008B6E5F"/>
    <w:rsid w:val="008B75CA"/>
    <w:rsid w:val="008C182E"/>
    <w:rsid w:val="008C3552"/>
    <w:rsid w:val="008C50AF"/>
    <w:rsid w:val="008C550D"/>
    <w:rsid w:val="008C5E25"/>
    <w:rsid w:val="008C7952"/>
    <w:rsid w:val="008D05C2"/>
    <w:rsid w:val="008D2212"/>
    <w:rsid w:val="008D3CC1"/>
    <w:rsid w:val="008D477B"/>
    <w:rsid w:val="008D7599"/>
    <w:rsid w:val="008D7B4F"/>
    <w:rsid w:val="008E0A8D"/>
    <w:rsid w:val="008E39AD"/>
    <w:rsid w:val="008E4CEF"/>
    <w:rsid w:val="008E6AAA"/>
    <w:rsid w:val="008E7638"/>
    <w:rsid w:val="008F01BF"/>
    <w:rsid w:val="008F1141"/>
    <w:rsid w:val="008F4077"/>
    <w:rsid w:val="008F6AC8"/>
    <w:rsid w:val="008F6C16"/>
    <w:rsid w:val="008F7140"/>
    <w:rsid w:val="00904635"/>
    <w:rsid w:val="0090516D"/>
    <w:rsid w:val="00907DFF"/>
    <w:rsid w:val="0091502B"/>
    <w:rsid w:val="009163FC"/>
    <w:rsid w:val="0092033F"/>
    <w:rsid w:val="009224B6"/>
    <w:rsid w:val="009235A8"/>
    <w:rsid w:val="009260CF"/>
    <w:rsid w:val="00927A64"/>
    <w:rsid w:val="0093076E"/>
    <w:rsid w:val="009308B0"/>
    <w:rsid w:val="009369D5"/>
    <w:rsid w:val="00936FC2"/>
    <w:rsid w:val="00942011"/>
    <w:rsid w:val="0094334F"/>
    <w:rsid w:val="009437F4"/>
    <w:rsid w:val="009508DA"/>
    <w:rsid w:val="0095173A"/>
    <w:rsid w:val="00954294"/>
    <w:rsid w:val="009543BA"/>
    <w:rsid w:val="00954AFA"/>
    <w:rsid w:val="00954EE7"/>
    <w:rsid w:val="0095512F"/>
    <w:rsid w:val="00962048"/>
    <w:rsid w:val="009620E9"/>
    <w:rsid w:val="009644C1"/>
    <w:rsid w:val="00964C88"/>
    <w:rsid w:val="009653D4"/>
    <w:rsid w:val="009676FC"/>
    <w:rsid w:val="00970FDF"/>
    <w:rsid w:val="00971BA9"/>
    <w:rsid w:val="00971E92"/>
    <w:rsid w:val="00972609"/>
    <w:rsid w:val="00973278"/>
    <w:rsid w:val="0097546B"/>
    <w:rsid w:val="00976C9D"/>
    <w:rsid w:val="00976CE1"/>
    <w:rsid w:val="0097784F"/>
    <w:rsid w:val="009809CA"/>
    <w:rsid w:val="00982294"/>
    <w:rsid w:val="00982D13"/>
    <w:rsid w:val="00984BA1"/>
    <w:rsid w:val="00986828"/>
    <w:rsid w:val="009918AB"/>
    <w:rsid w:val="0099260E"/>
    <w:rsid w:val="00993849"/>
    <w:rsid w:val="00993B4D"/>
    <w:rsid w:val="00995A54"/>
    <w:rsid w:val="00995F07"/>
    <w:rsid w:val="009A26EA"/>
    <w:rsid w:val="009A38AE"/>
    <w:rsid w:val="009A3A3E"/>
    <w:rsid w:val="009A5D7D"/>
    <w:rsid w:val="009B319E"/>
    <w:rsid w:val="009B4456"/>
    <w:rsid w:val="009C118F"/>
    <w:rsid w:val="009C2C85"/>
    <w:rsid w:val="009C3B47"/>
    <w:rsid w:val="009C73FC"/>
    <w:rsid w:val="009C7E0B"/>
    <w:rsid w:val="009D0949"/>
    <w:rsid w:val="009D5B22"/>
    <w:rsid w:val="009D69DE"/>
    <w:rsid w:val="009E15D0"/>
    <w:rsid w:val="009E2856"/>
    <w:rsid w:val="009E34B1"/>
    <w:rsid w:val="009E76F2"/>
    <w:rsid w:val="009E7C55"/>
    <w:rsid w:val="009F1339"/>
    <w:rsid w:val="009F3B04"/>
    <w:rsid w:val="009F4824"/>
    <w:rsid w:val="009F4CC8"/>
    <w:rsid w:val="009F6EA9"/>
    <w:rsid w:val="009F7325"/>
    <w:rsid w:val="009F7B25"/>
    <w:rsid w:val="00A0065A"/>
    <w:rsid w:val="00A014A1"/>
    <w:rsid w:val="00A02714"/>
    <w:rsid w:val="00A04153"/>
    <w:rsid w:val="00A0446F"/>
    <w:rsid w:val="00A04A0B"/>
    <w:rsid w:val="00A04ED8"/>
    <w:rsid w:val="00A06C79"/>
    <w:rsid w:val="00A077F6"/>
    <w:rsid w:val="00A11569"/>
    <w:rsid w:val="00A122A8"/>
    <w:rsid w:val="00A13C44"/>
    <w:rsid w:val="00A157A8"/>
    <w:rsid w:val="00A15921"/>
    <w:rsid w:val="00A15A78"/>
    <w:rsid w:val="00A15F4A"/>
    <w:rsid w:val="00A1601C"/>
    <w:rsid w:val="00A16291"/>
    <w:rsid w:val="00A23255"/>
    <w:rsid w:val="00A237E1"/>
    <w:rsid w:val="00A316E8"/>
    <w:rsid w:val="00A32E68"/>
    <w:rsid w:val="00A3409E"/>
    <w:rsid w:val="00A3434F"/>
    <w:rsid w:val="00A364A4"/>
    <w:rsid w:val="00A36DFA"/>
    <w:rsid w:val="00A40374"/>
    <w:rsid w:val="00A40DD2"/>
    <w:rsid w:val="00A41C43"/>
    <w:rsid w:val="00A4246C"/>
    <w:rsid w:val="00A463E0"/>
    <w:rsid w:val="00A50280"/>
    <w:rsid w:val="00A5452F"/>
    <w:rsid w:val="00A54A3D"/>
    <w:rsid w:val="00A56540"/>
    <w:rsid w:val="00A57182"/>
    <w:rsid w:val="00A60D4C"/>
    <w:rsid w:val="00A61AFD"/>
    <w:rsid w:val="00A649B9"/>
    <w:rsid w:val="00A6626A"/>
    <w:rsid w:val="00A706D5"/>
    <w:rsid w:val="00A74775"/>
    <w:rsid w:val="00A758F8"/>
    <w:rsid w:val="00A77605"/>
    <w:rsid w:val="00A7798A"/>
    <w:rsid w:val="00A838F8"/>
    <w:rsid w:val="00A83CF6"/>
    <w:rsid w:val="00A85446"/>
    <w:rsid w:val="00A86BDE"/>
    <w:rsid w:val="00A87B82"/>
    <w:rsid w:val="00A90618"/>
    <w:rsid w:val="00A90740"/>
    <w:rsid w:val="00A9143F"/>
    <w:rsid w:val="00A918CD"/>
    <w:rsid w:val="00A93E25"/>
    <w:rsid w:val="00A941ED"/>
    <w:rsid w:val="00AA0692"/>
    <w:rsid w:val="00AA1185"/>
    <w:rsid w:val="00AA2617"/>
    <w:rsid w:val="00AA5F9D"/>
    <w:rsid w:val="00AB05B9"/>
    <w:rsid w:val="00AB5C1E"/>
    <w:rsid w:val="00AC0289"/>
    <w:rsid w:val="00AC1933"/>
    <w:rsid w:val="00AC2F99"/>
    <w:rsid w:val="00AD04DF"/>
    <w:rsid w:val="00AD1500"/>
    <w:rsid w:val="00AD1C00"/>
    <w:rsid w:val="00AD3CD3"/>
    <w:rsid w:val="00AD7ACB"/>
    <w:rsid w:val="00AD7AE6"/>
    <w:rsid w:val="00AE0C90"/>
    <w:rsid w:val="00AE1C81"/>
    <w:rsid w:val="00AE2253"/>
    <w:rsid w:val="00AE3D09"/>
    <w:rsid w:val="00AE525D"/>
    <w:rsid w:val="00AE5718"/>
    <w:rsid w:val="00AF054B"/>
    <w:rsid w:val="00AF1173"/>
    <w:rsid w:val="00AF24DC"/>
    <w:rsid w:val="00AF2DDE"/>
    <w:rsid w:val="00AF344D"/>
    <w:rsid w:val="00AF4945"/>
    <w:rsid w:val="00AF5656"/>
    <w:rsid w:val="00AF69E5"/>
    <w:rsid w:val="00AF6F22"/>
    <w:rsid w:val="00B00195"/>
    <w:rsid w:val="00B001FF"/>
    <w:rsid w:val="00B01AB5"/>
    <w:rsid w:val="00B04D3E"/>
    <w:rsid w:val="00B137F2"/>
    <w:rsid w:val="00B13A09"/>
    <w:rsid w:val="00B13B0A"/>
    <w:rsid w:val="00B16C43"/>
    <w:rsid w:val="00B16F32"/>
    <w:rsid w:val="00B17EA4"/>
    <w:rsid w:val="00B21155"/>
    <w:rsid w:val="00B2138F"/>
    <w:rsid w:val="00B243B1"/>
    <w:rsid w:val="00B25F00"/>
    <w:rsid w:val="00B312D9"/>
    <w:rsid w:val="00B33756"/>
    <w:rsid w:val="00B3434B"/>
    <w:rsid w:val="00B34C5D"/>
    <w:rsid w:val="00B35648"/>
    <w:rsid w:val="00B35973"/>
    <w:rsid w:val="00B430BB"/>
    <w:rsid w:val="00B47C1C"/>
    <w:rsid w:val="00B5010A"/>
    <w:rsid w:val="00B50316"/>
    <w:rsid w:val="00B515B3"/>
    <w:rsid w:val="00B6124C"/>
    <w:rsid w:val="00B6228E"/>
    <w:rsid w:val="00B627A9"/>
    <w:rsid w:val="00B67973"/>
    <w:rsid w:val="00B70762"/>
    <w:rsid w:val="00B71B17"/>
    <w:rsid w:val="00B71D08"/>
    <w:rsid w:val="00B73F90"/>
    <w:rsid w:val="00B74429"/>
    <w:rsid w:val="00B752D1"/>
    <w:rsid w:val="00B757C5"/>
    <w:rsid w:val="00B76686"/>
    <w:rsid w:val="00B76947"/>
    <w:rsid w:val="00B76CE6"/>
    <w:rsid w:val="00B854C9"/>
    <w:rsid w:val="00B904FC"/>
    <w:rsid w:val="00B910B0"/>
    <w:rsid w:val="00B92350"/>
    <w:rsid w:val="00B93E5F"/>
    <w:rsid w:val="00B970B6"/>
    <w:rsid w:val="00B9713B"/>
    <w:rsid w:val="00BA0B84"/>
    <w:rsid w:val="00BA251F"/>
    <w:rsid w:val="00BA4AF1"/>
    <w:rsid w:val="00BB08EB"/>
    <w:rsid w:val="00BB2E80"/>
    <w:rsid w:val="00BB32E8"/>
    <w:rsid w:val="00BB32F3"/>
    <w:rsid w:val="00BB4465"/>
    <w:rsid w:val="00BC1120"/>
    <w:rsid w:val="00BC1A34"/>
    <w:rsid w:val="00BC2BC7"/>
    <w:rsid w:val="00BC332A"/>
    <w:rsid w:val="00BC79B3"/>
    <w:rsid w:val="00BD2457"/>
    <w:rsid w:val="00BD547B"/>
    <w:rsid w:val="00BD6F11"/>
    <w:rsid w:val="00BE03CB"/>
    <w:rsid w:val="00BE411E"/>
    <w:rsid w:val="00BE4472"/>
    <w:rsid w:val="00BE7CF0"/>
    <w:rsid w:val="00BE7F4F"/>
    <w:rsid w:val="00BF1F9B"/>
    <w:rsid w:val="00BF3162"/>
    <w:rsid w:val="00BF34D8"/>
    <w:rsid w:val="00BF7399"/>
    <w:rsid w:val="00C02CA2"/>
    <w:rsid w:val="00C03383"/>
    <w:rsid w:val="00C078A2"/>
    <w:rsid w:val="00C14A48"/>
    <w:rsid w:val="00C16730"/>
    <w:rsid w:val="00C17000"/>
    <w:rsid w:val="00C2122A"/>
    <w:rsid w:val="00C22096"/>
    <w:rsid w:val="00C221CE"/>
    <w:rsid w:val="00C23C7A"/>
    <w:rsid w:val="00C256F1"/>
    <w:rsid w:val="00C266EA"/>
    <w:rsid w:val="00C27BF7"/>
    <w:rsid w:val="00C34260"/>
    <w:rsid w:val="00C37199"/>
    <w:rsid w:val="00C403FA"/>
    <w:rsid w:val="00C423F2"/>
    <w:rsid w:val="00C42CBB"/>
    <w:rsid w:val="00C4362F"/>
    <w:rsid w:val="00C454FE"/>
    <w:rsid w:val="00C46732"/>
    <w:rsid w:val="00C50A0C"/>
    <w:rsid w:val="00C512FA"/>
    <w:rsid w:val="00C53F53"/>
    <w:rsid w:val="00C56A01"/>
    <w:rsid w:val="00C60364"/>
    <w:rsid w:val="00C6039A"/>
    <w:rsid w:val="00C63ED0"/>
    <w:rsid w:val="00C70DCD"/>
    <w:rsid w:val="00C71107"/>
    <w:rsid w:val="00C71E2C"/>
    <w:rsid w:val="00C73148"/>
    <w:rsid w:val="00C760D2"/>
    <w:rsid w:val="00C77945"/>
    <w:rsid w:val="00C80EA7"/>
    <w:rsid w:val="00C81A7B"/>
    <w:rsid w:val="00C84291"/>
    <w:rsid w:val="00C84416"/>
    <w:rsid w:val="00C84810"/>
    <w:rsid w:val="00C86E14"/>
    <w:rsid w:val="00C91180"/>
    <w:rsid w:val="00C9426C"/>
    <w:rsid w:val="00CA00EB"/>
    <w:rsid w:val="00CA01EF"/>
    <w:rsid w:val="00CA2425"/>
    <w:rsid w:val="00CA34AC"/>
    <w:rsid w:val="00CA4C0E"/>
    <w:rsid w:val="00CA4DC9"/>
    <w:rsid w:val="00CA5737"/>
    <w:rsid w:val="00CB0050"/>
    <w:rsid w:val="00CB0A33"/>
    <w:rsid w:val="00CB5609"/>
    <w:rsid w:val="00CB58B8"/>
    <w:rsid w:val="00CC04DB"/>
    <w:rsid w:val="00CC1084"/>
    <w:rsid w:val="00CC2940"/>
    <w:rsid w:val="00CC3DC9"/>
    <w:rsid w:val="00CC438C"/>
    <w:rsid w:val="00CC4A9F"/>
    <w:rsid w:val="00CC6490"/>
    <w:rsid w:val="00CC7A99"/>
    <w:rsid w:val="00CD159E"/>
    <w:rsid w:val="00CD1FC5"/>
    <w:rsid w:val="00CD2FD0"/>
    <w:rsid w:val="00CD4CD5"/>
    <w:rsid w:val="00CD504D"/>
    <w:rsid w:val="00CD5631"/>
    <w:rsid w:val="00CD6AD7"/>
    <w:rsid w:val="00CE3F62"/>
    <w:rsid w:val="00CE591B"/>
    <w:rsid w:val="00CE6EA0"/>
    <w:rsid w:val="00CF0B68"/>
    <w:rsid w:val="00CF3294"/>
    <w:rsid w:val="00CF391C"/>
    <w:rsid w:val="00CF6344"/>
    <w:rsid w:val="00CF6ABB"/>
    <w:rsid w:val="00CF6C33"/>
    <w:rsid w:val="00CF7E9A"/>
    <w:rsid w:val="00D009C6"/>
    <w:rsid w:val="00D013CD"/>
    <w:rsid w:val="00D01478"/>
    <w:rsid w:val="00D01E5A"/>
    <w:rsid w:val="00D0336D"/>
    <w:rsid w:val="00D04363"/>
    <w:rsid w:val="00D04430"/>
    <w:rsid w:val="00D05862"/>
    <w:rsid w:val="00D15B3B"/>
    <w:rsid w:val="00D15FED"/>
    <w:rsid w:val="00D17141"/>
    <w:rsid w:val="00D20618"/>
    <w:rsid w:val="00D21C52"/>
    <w:rsid w:val="00D265EF"/>
    <w:rsid w:val="00D27692"/>
    <w:rsid w:val="00D32EC6"/>
    <w:rsid w:val="00D34AA2"/>
    <w:rsid w:val="00D35704"/>
    <w:rsid w:val="00D36089"/>
    <w:rsid w:val="00D37955"/>
    <w:rsid w:val="00D40A32"/>
    <w:rsid w:val="00D436E8"/>
    <w:rsid w:val="00D438B2"/>
    <w:rsid w:val="00D44C27"/>
    <w:rsid w:val="00D4756C"/>
    <w:rsid w:val="00D47EED"/>
    <w:rsid w:val="00D51292"/>
    <w:rsid w:val="00D515BC"/>
    <w:rsid w:val="00D536B1"/>
    <w:rsid w:val="00D540BB"/>
    <w:rsid w:val="00D5476E"/>
    <w:rsid w:val="00D56FFD"/>
    <w:rsid w:val="00D578CB"/>
    <w:rsid w:val="00D61884"/>
    <w:rsid w:val="00D63C42"/>
    <w:rsid w:val="00D71F21"/>
    <w:rsid w:val="00D73B8F"/>
    <w:rsid w:val="00D75181"/>
    <w:rsid w:val="00D827FE"/>
    <w:rsid w:val="00D82AA9"/>
    <w:rsid w:val="00D94286"/>
    <w:rsid w:val="00D951D6"/>
    <w:rsid w:val="00D95AAD"/>
    <w:rsid w:val="00D96499"/>
    <w:rsid w:val="00DA2F9E"/>
    <w:rsid w:val="00DA3416"/>
    <w:rsid w:val="00DA44A7"/>
    <w:rsid w:val="00DA4BAF"/>
    <w:rsid w:val="00DB0205"/>
    <w:rsid w:val="00DB1E66"/>
    <w:rsid w:val="00DB2A2A"/>
    <w:rsid w:val="00DB6DB6"/>
    <w:rsid w:val="00DC4FC6"/>
    <w:rsid w:val="00DC5688"/>
    <w:rsid w:val="00DC5894"/>
    <w:rsid w:val="00DD00C3"/>
    <w:rsid w:val="00DD01F2"/>
    <w:rsid w:val="00DD0BC0"/>
    <w:rsid w:val="00DD541C"/>
    <w:rsid w:val="00DD7561"/>
    <w:rsid w:val="00DD7A12"/>
    <w:rsid w:val="00DD7B7F"/>
    <w:rsid w:val="00DE0767"/>
    <w:rsid w:val="00DE13E4"/>
    <w:rsid w:val="00DE298C"/>
    <w:rsid w:val="00DF5A3F"/>
    <w:rsid w:val="00DF70B6"/>
    <w:rsid w:val="00E01A84"/>
    <w:rsid w:val="00E0402A"/>
    <w:rsid w:val="00E06210"/>
    <w:rsid w:val="00E0686B"/>
    <w:rsid w:val="00E06B01"/>
    <w:rsid w:val="00E06B8F"/>
    <w:rsid w:val="00E1112C"/>
    <w:rsid w:val="00E132D5"/>
    <w:rsid w:val="00E13ACE"/>
    <w:rsid w:val="00E16AB3"/>
    <w:rsid w:val="00E218CD"/>
    <w:rsid w:val="00E22558"/>
    <w:rsid w:val="00E22567"/>
    <w:rsid w:val="00E234CB"/>
    <w:rsid w:val="00E260F3"/>
    <w:rsid w:val="00E263C3"/>
    <w:rsid w:val="00E2667F"/>
    <w:rsid w:val="00E27663"/>
    <w:rsid w:val="00E30266"/>
    <w:rsid w:val="00E31EA3"/>
    <w:rsid w:val="00E32789"/>
    <w:rsid w:val="00E3326A"/>
    <w:rsid w:val="00E34B45"/>
    <w:rsid w:val="00E40741"/>
    <w:rsid w:val="00E457E1"/>
    <w:rsid w:val="00E45ECE"/>
    <w:rsid w:val="00E46C77"/>
    <w:rsid w:val="00E47F71"/>
    <w:rsid w:val="00E525D5"/>
    <w:rsid w:val="00E575B2"/>
    <w:rsid w:val="00E60247"/>
    <w:rsid w:val="00E6027F"/>
    <w:rsid w:val="00E6037B"/>
    <w:rsid w:val="00E6091F"/>
    <w:rsid w:val="00E67D2A"/>
    <w:rsid w:val="00E70D52"/>
    <w:rsid w:val="00E70D6F"/>
    <w:rsid w:val="00E71288"/>
    <w:rsid w:val="00E72D95"/>
    <w:rsid w:val="00E766A8"/>
    <w:rsid w:val="00E77C7D"/>
    <w:rsid w:val="00E808C5"/>
    <w:rsid w:val="00E81FC5"/>
    <w:rsid w:val="00E932C0"/>
    <w:rsid w:val="00EA07E6"/>
    <w:rsid w:val="00EA2251"/>
    <w:rsid w:val="00EA6A77"/>
    <w:rsid w:val="00EA7450"/>
    <w:rsid w:val="00EA7893"/>
    <w:rsid w:val="00EB48AF"/>
    <w:rsid w:val="00EB5E8B"/>
    <w:rsid w:val="00EB62F2"/>
    <w:rsid w:val="00EC53BC"/>
    <w:rsid w:val="00ED0E66"/>
    <w:rsid w:val="00ED2152"/>
    <w:rsid w:val="00ED27CF"/>
    <w:rsid w:val="00ED386C"/>
    <w:rsid w:val="00ED3A17"/>
    <w:rsid w:val="00ED58C1"/>
    <w:rsid w:val="00EE37AD"/>
    <w:rsid w:val="00EE5970"/>
    <w:rsid w:val="00EE5C79"/>
    <w:rsid w:val="00EF0A58"/>
    <w:rsid w:val="00EF0FB5"/>
    <w:rsid w:val="00EF268E"/>
    <w:rsid w:val="00EF3BD8"/>
    <w:rsid w:val="00EF4552"/>
    <w:rsid w:val="00EF609B"/>
    <w:rsid w:val="00EF6349"/>
    <w:rsid w:val="00F007FD"/>
    <w:rsid w:val="00F023B4"/>
    <w:rsid w:val="00F05084"/>
    <w:rsid w:val="00F05182"/>
    <w:rsid w:val="00F07446"/>
    <w:rsid w:val="00F1000A"/>
    <w:rsid w:val="00F10CB8"/>
    <w:rsid w:val="00F10E99"/>
    <w:rsid w:val="00F126DF"/>
    <w:rsid w:val="00F14119"/>
    <w:rsid w:val="00F1530C"/>
    <w:rsid w:val="00F169DD"/>
    <w:rsid w:val="00F16EBD"/>
    <w:rsid w:val="00F2134B"/>
    <w:rsid w:val="00F21C1B"/>
    <w:rsid w:val="00F21C1E"/>
    <w:rsid w:val="00F22419"/>
    <w:rsid w:val="00F237F5"/>
    <w:rsid w:val="00F262BC"/>
    <w:rsid w:val="00F31E64"/>
    <w:rsid w:val="00F3209A"/>
    <w:rsid w:val="00F32967"/>
    <w:rsid w:val="00F32C97"/>
    <w:rsid w:val="00F33842"/>
    <w:rsid w:val="00F33EF9"/>
    <w:rsid w:val="00F34122"/>
    <w:rsid w:val="00F34196"/>
    <w:rsid w:val="00F35FD3"/>
    <w:rsid w:val="00F426A1"/>
    <w:rsid w:val="00F4348B"/>
    <w:rsid w:val="00F445DD"/>
    <w:rsid w:val="00F44F68"/>
    <w:rsid w:val="00F454FE"/>
    <w:rsid w:val="00F55E06"/>
    <w:rsid w:val="00F6040F"/>
    <w:rsid w:val="00F640E0"/>
    <w:rsid w:val="00F702A5"/>
    <w:rsid w:val="00F708E2"/>
    <w:rsid w:val="00F73FAE"/>
    <w:rsid w:val="00F745B7"/>
    <w:rsid w:val="00F75DBA"/>
    <w:rsid w:val="00F762BD"/>
    <w:rsid w:val="00F7787F"/>
    <w:rsid w:val="00F80C33"/>
    <w:rsid w:val="00F81695"/>
    <w:rsid w:val="00F820D6"/>
    <w:rsid w:val="00F8316F"/>
    <w:rsid w:val="00F83F08"/>
    <w:rsid w:val="00F85FD3"/>
    <w:rsid w:val="00F9030B"/>
    <w:rsid w:val="00F93436"/>
    <w:rsid w:val="00FA01AB"/>
    <w:rsid w:val="00FA2FDC"/>
    <w:rsid w:val="00FA3373"/>
    <w:rsid w:val="00FA4880"/>
    <w:rsid w:val="00FA5184"/>
    <w:rsid w:val="00FA6566"/>
    <w:rsid w:val="00FB10C2"/>
    <w:rsid w:val="00FB4EF8"/>
    <w:rsid w:val="00FB7272"/>
    <w:rsid w:val="00FB77E3"/>
    <w:rsid w:val="00FC2154"/>
    <w:rsid w:val="00FC3BCE"/>
    <w:rsid w:val="00FC4684"/>
    <w:rsid w:val="00FC4C8B"/>
    <w:rsid w:val="00FC4D30"/>
    <w:rsid w:val="00FD1677"/>
    <w:rsid w:val="00FD29DF"/>
    <w:rsid w:val="00FD44DA"/>
    <w:rsid w:val="00FD6A54"/>
    <w:rsid w:val="00FE026E"/>
    <w:rsid w:val="00FE0516"/>
    <w:rsid w:val="00FE1692"/>
    <w:rsid w:val="00FE44A1"/>
    <w:rsid w:val="00FE5364"/>
    <w:rsid w:val="00FE5A6B"/>
    <w:rsid w:val="00FF64D5"/>
    <w:rsid w:val="00FF6BD3"/>
    <w:rsid w:val="00FF6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8241" fill="f" fillcolor="white" stroke="f">
      <v:fill color="white" on="f"/>
      <v:stroke on="f"/>
    </o:shapedefaults>
    <o:shapelayout v:ext="edit">
      <o:idmap v:ext="edit" data="1"/>
    </o:shapelayout>
  </w:shapeDefaults>
  <w:decimalSymbol w:val="."/>
  <w:listSeparator w:val=","/>
  <w14:docId w14:val="536F2994"/>
  <w15:chartTrackingRefBased/>
  <w15:docId w15:val="{69130AEF-6B3E-4B9F-9CC7-1F4AB25B1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0C33"/>
    <w:rPr>
      <w:sz w:val="24"/>
    </w:rPr>
  </w:style>
  <w:style w:type="paragraph" w:styleId="Heading1">
    <w:name w:val="heading 1"/>
    <w:aliases w:val="h1"/>
    <w:basedOn w:val="Normal"/>
    <w:next w:val="BodyText"/>
    <w:link w:val="Heading1Char"/>
    <w:qFormat/>
    <w:rsid w:val="00F80C33"/>
    <w:pPr>
      <w:keepNext/>
      <w:numPr>
        <w:numId w:val="3"/>
      </w:numPr>
      <w:spacing w:after="240"/>
      <w:outlineLvl w:val="0"/>
    </w:pPr>
    <w:rPr>
      <w:b/>
      <w:caps/>
    </w:rPr>
  </w:style>
  <w:style w:type="paragraph" w:styleId="Heading2">
    <w:name w:val="heading 2"/>
    <w:aliases w:val="h2"/>
    <w:basedOn w:val="Normal"/>
    <w:next w:val="BodyText"/>
    <w:link w:val="Heading2Char"/>
    <w:qFormat/>
    <w:rsid w:val="00F80C33"/>
    <w:pPr>
      <w:keepNext/>
      <w:numPr>
        <w:ilvl w:val="1"/>
        <w:numId w:val="3"/>
      </w:numPr>
      <w:tabs>
        <w:tab w:val="left" w:pos="720"/>
      </w:tabs>
      <w:spacing w:before="240" w:after="240"/>
      <w:outlineLvl w:val="1"/>
    </w:pPr>
    <w:rPr>
      <w:b/>
    </w:rPr>
  </w:style>
  <w:style w:type="paragraph" w:styleId="Heading3">
    <w:name w:val="heading 3"/>
    <w:aliases w:val="h3"/>
    <w:basedOn w:val="Normal"/>
    <w:next w:val="BodyText"/>
    <w:link w:val="Heading3Char"/>
    <w:qFormat/>
    <w:rsid w:val="00F80C33"/>
    <w:pPr>
      <w:keepNext/>
      <w:numPr>
        <w:ilvl w:val="2"/>
        <w:numId w:val="3"/>
      </w:numPr>
      <w:tabs>
        <w:tab w:val="left" w:pos="1008"/>
      </w:tabs>
      <w:spacing w:before="240" w:after="240"/>
      <w:outlineLvl w:val="2"/>
    </w:pPr>
    <w:rPr>
      <w:b/>
      <w:bCs/>
      <w:i/>
      <w:lang w:val="x-none" w:eastAsia="x-none"/>
    </w:rPr>
  </w:style>
  <w:style w:type="paragraph" w:styleId="Heading4">
    <w:name w:val="heading 4"/>
    <w:aliases w:val="h4,delete"/>
    <w:basedOn w:val="Normal"/>
    <w:next w:val="BodyText"/>
    <w:link w:val="Heading4Char"/>
    <w:qFormat/>
    <w:rsid w:val="00F80C33"/>
    <w:pPr>
      <w:keepNext/>
      <w:widowControl w:val="0"/>
      <w:numPr>
        <w:ilvl w:val="3"/>
        <w:numId w:val="3"/>
      </w:numPr>
      <w:tabs>
        <w:tab w:val="left" w:pos="1296"/>
      </w:tabs>
      <w:spacing w:before="240" w:after="240"/>
      <w:outlineLvl w:val="3"/>
    </w:pPr>
    <w:rPr>
      <w:b/>
      <w:bCs/>
      <w:snapToGrid w:val="0"/>
    </w:rPr>
  </w:style>
  <w:style w:type="paragraph" w:styleId="Heading5">
    <w:name w:val="heading 5"/>
    <w:aliases w:val="h5"/>
    <w:basedOn w:val="Normal"/>
    <w:next w:val="BodyText"/>
    <w:link w:val="Heading5Char"/>
    <w:qFormat/>
    <w:rsid w:val="00F80C33"/>
    <w:pPr>
      <w:keepNext/>
      <w:numPr>
        <w:ilvl w:val="4"/>
        <w:numId w:val="3"/>
      </w:numPr>
      <w:tabs>
        <w:tab w:val="left" w:pos="1440"/>
      </w:tabs>
      <w:spacing w:before="240" w:after="240"/>
      <w:outlineLvl w:val="4"/>
    </w:pPr>
    <w:rPr>
      <w:b/>
      <w:bCs/>
      <w:i/>
      <w:iCs/>
      <w:szCs w:val="26"/>
    </w:rPr>
  </w:style>
  <w:style w:type="paragraph" w:styleId="Heading6">
    <w:name w:val="heading 6"/>
    <w:aliases w:val="h6"/>
    <w:basedOn w:val="Normal"/>
    <w:next w:val="BodyText"/>
    <w:link w:val="Heading6Char"/>
    <w:qFormat/>
    <w:rsid w:val="00F80C33"/>
    <w:pPr>
      <w:keepNext/>
      <w:numPr>
        <w:ilvl w:val="5"/>
        <w:numId w:val="3"/>
      </w:numPr>
      <w:tabs>
        <w:tab w:val="left" w:pos="1584"/>
      </w:tabs>
      <w:spacing w:before="240" w:after="240"/>
      <w:outlineLvl w:val="5"/>
    </w:pPr>
    <w:rPr>
      <w:b/>
      <w:bCs/>
      <w:szCs w:val="22"/>
    </w:rPr>
  </w:style>
  <w:style w:type="paragraph" w:styleId="Heading7">
    <w:name w:val="heading 7"/>
    <w:basedOn w:val="Normal"/>
    <w:next w:val="BodyText"/>
    <w:link w:val="Heading7Char"/>
    <w:qFormat/>
    <w:rsid w:val="00F80C33"/>
    <w:pPr>
      <w:keepNext/>
      <w:numPr>
        <w:ilvl w:val="6"/>
        <w:numId w:val="3"/>
      </w:numPr>
      <w:tabs>
        <w:tab w:val="left" w:pos="1728"/>
      </w:tabs>
      <w:spacing w:before="240" w:after="240"/>
      <w:outlineLvl w:val="6"/>
    </w:pPr>
    <w:rPr>
      <w:szCs w:val="24"/>
    </w:rPr>
  </w:style>
  <w:style w:type="paragraph" w:styleId="Heading8">
    <w:name w:val="heading 8"/>
    <w:basedOn w:val="Normal"/>
    <w:next w:val="BodyText"/>
    <w:link w:val="Heading8Char"/>
    <w:qFormat/>
    <w:rsid w:val="00F80C33"/>
    <w:pPr>
      <w:keepNext/>
      <w:numPr>
        <w:ilvl w:val="7"/>
        <w:numId w:val="3"/>
      </w:numPr>
      <w:tabs>
        <w:tab w:val="left" w:pos="1872"/>
      </w:tabs>
      <w:spacing w:before="240" w:after="240"/>
      <w:outlineLvl w:val="7"/>
    </w:pPr>
    <w:rPr>
      <w:i/>
      <w:iCs/>
      <w:szCs w:val="24"/>
    </w:rPr>
  </w:style>
  <w:style w:type="paragraph" w:styleId="Heading9">
    <w:name w:val="heading 9"/>
    <w:basedOn w:val="Normal"/>
    <w:next w:val="BodyText"/>
    <w:link w:val="Heading9Char"/>
    <w:qFormat/>
    <w:rsid w:val="00F80C33"/>
    <w:pPr>
      <w:keepNext/>
      <w:numPr>
        <w:ilvl w:val="8"/>
        <w:numId w:val="3"/>
      </w:numPr>
      <w:tabs>
        <w:tab w:val="left" w:pos="2160"/>
      </w:tabs>
      <w:spacing w:before="240" w:after="240"/>
      <w:outlineLvl w:val="8"/>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 Char Char Char, Char1,Body Text Char Char, Char Char Char Char Char, Char1 Char Char,Body Text Char2 Char Char,Body Text Char2 Char Char Char Char Char Char Char Char Char Char Char,Body Text Char2 Char,Body Text Char2,Body Text Char1 Char Ch"/>
    <w:basedOn w:val="Normal"/>
    <w:link w:val="BodyTextChar3"/>
    <w:rsid w:val="00F80C33"/>
    <w:pPr>
      <w:spacing w:after="240"/>
    </w:pPr>
    <w:rPr>
      <w:iCs/>
    </w:rPr>
  </w:style>
  <w:style w:type="character" w:customStyle="1" w:styleId="BodyTextChar3">
    <w:name w:val="Body Text Char3"/>
    <w:aliases w:val=" Char Char Char Char, Char1 Char,Body Text Char Char Char1, Char Char Char Char Char Char1, Char1 Char Char Char1,Body Text Char2 Char Char Char,Body Text Char2 Char Char Char Char Char Char Char Char Char Char Char Char"/>
    <w:link w:val="BodyText"/>
    <w:rsid w:val="00F80C33"/>
    <w:rPr>
      <w:iCs/>
      <w:sz w:val="24"/>
      <w:lang w:val="en-US" w:eastAsia="en-US" w:bidi="ar-SA"/>
    </w:rPr>
  </w:style>
  <w:style w:type="character" w:customStyle="1" w:styleId="Heading3Char">
    <w:name w:val="Heading 3 Char"/>
    <w:aliases w:val="h3 Char"/>
    <w:link w:val="Heading3"/>
    <w:uiPriority w:val="9"/>
    <w:rsid w:val="00F80C33"/>
    <w:rPr>
      <w:b/>
      <w:bCs/>
      <w:i/>
      <w:sz w:val="24"/>
    </w:rPr>
  </w:style>
  <w:style w:type="paragraph" w:customStyle="1" w:styleId="Instructions">
    <w:name w:val="Instructions"/>
    <w:basedOn w:val="BodyText"/>
    <w:link w:val="InstructionsChar"/>
    <w:rsid w:val="00F80C33"/>
    <w:rPr>
      <w:b/>
      <w:i/>
      <w:szCs w:val="24"/>
    </w:rPr>
  </w:style>
  <w:style w:type="character" w:customStyle="1" w:styleId="InstructionsChar">
    <w:name w:val="Instructions Char"/>
    <w:link w:val="Instructions"/>
    <w:rsid w:val="00F80C33"/>
    <w:rPr>
      <w:b/>
      <w:i/>
      <w:iCs/>
      <w:sz w:val="24"/>
      <w:szCs w:val="24"/>
      <w:lang w:val="en-US" w:eastAsia="en-US" w:bidi="ar-SA"/>
    </w:rPr>
  </w:style>
  <w:style w:type="paragraph" w:styleId="List">
    <w:name w:val="List"/>
    <w:aliases w:val=" Char2 Char Char Char Char,Char1"/>
    <w:basedOn w:val="Normal"/>
    <w:link w:val="ListChar"/>
    <w:rsid w:val="00F80C33"/>
    <w:pPr>
      <w:spacing w:after="240"/>
      <w:ind w:left="990" w:hanging="630"/>
    </w:pPr>
  </w:style>
  <w:style w:type="character" w:customStyle="1" w:styleId="ListChar">
    <w:name w:val="List Char"/>
    <w:aliases w:val=" Char2 Char Char Char Char Char,Char1 Char"/>
    <w:link w:val="List"/>
    <w:rsid w:val="00F80C33"/>
    <w:rPr>
      <w:sz w:val="24"/>
      <w:lang w:val="en-US" w:eastAsia="en-US" w:bidi="ar-SA"/>
    </w:rPr>
  </w:style>
  <w:style w:type="paragraph" w:styleId="BodyTextIndent">
    <w:name w:val="Body Text Indent"/>
    <w:aliases w:val=" Char"/>
    <w:basedOn w:val="Normal"/>
    <w:link w:val="BodyTextIndentChar"/>
    <w:rsid w:val="00F80C33"/>
    <w:pPr>
      <w:spacing w:after="240"/>
      <w:ind w:left="720"/>
    </w:pPr>
    <w:rPr>
      <w:iCs/>
    </w:rPr>
  </w:style>
  <w:style w:type="paragraph" w:customStyle="1" w:styleId="Bullet">
    <w:name w:val="Bullet"/>
    <w:basedOn w:val="Normal"/>
    <w:link w:val="BulletChar"/>
    <w:rsid w:val="00F80C33"/>
    <w:pPr>
      <w:numPr>
        <w:numId w:val="1"/>
      </w:numPr>
      <w:spacing w:after="180"/>
    </w:pPr>
    <w:rPr>
      <w:lang w:val="x-none" w:eastAsia="x-none"/>
    </w:rPr>
  </w:style>
  <w:style w:type="character" w:customStyle="1" w:styleId="BulletChar">
    <w:name w:val="Bullet Char"/>
    <w:link w:val="Bullet"/>
    <w:rsid w:val="00F80C33"/>
    <w:rPr>
      <w:sz w:val="24"/>
    </w:rPr>
  </w:style>
  <w:style w:type="paragraph" w:customStyle="1" w:styleId="BulletIndent">
    <w:name w:val="Bullet Indent"/>
    <w:basedOn w:val="Normal"/>
    <w:link w:val="BulletIndentChar"/>
    <w:rsid w:val="00F80C33"/>
    <w:pPr>
      <w:numPr>
        <w:numId w:val="2"/>
      </w:numPr>
      <w:tabs>
        <w:tab w:val="clear" w:pos="360"/>
      </w:tabs>
      <w:spacing w:after="180"/>
      <w:ind w:left="1987" w:hanging="547"/>
    </w:pPr>
    <w:rPr>
      <w:lang w:val="x-none" w:eastAsia="x-none"/>
    </w:rPr>
  </w:style>
  <w:style w:type="paragraph" w:styleId="Footer">
    <w:name w:val="footer"/>
    <w:basedOn w:val="Normal"/>
    <w:link w:val="FooterChar"/>
    <w:rsid w:val="00F80C33"/>
    <w:pPr>
      <w:pBdr>
        <w:top w:val="single" w:sz="4" w:space="0" w:color="auto"/>
      </w:pBdr>
      <w:tabs>
        <w:tab w:val="center" w:pos="4680"/>
        <w:tab w:val="right" w:pos="9360"/>
      </w:tabs>
      <w:spacing w:before="120" w:after="120"/>
    </w:pPr>
    <w:rPr>
      <w:smallCaps/>
      <w:sz w:val="20"/>
    </w:rPr>
  </w:style>
  <w:style w:type="paragraph" w:styleId="FootnoteText">
    <w:name w:val="footnote text"/>
    <w:basedOn w:val="Normal"/>
    <w:link w:val="FootnoteTextChar"/>
    <w:rsid w:val="00F80C33"/>
    <w:rPr>
      <w:sz w:val="18"/>
    </w:rPr>
  </w:style>
  <w:style w:type="paragraph" w:styleId="Header">
    <w:name w:val="header"/>
    <w:basedOn w:val="Normal"/>
    <w:link w:val="HeaderChar"/>
    <w:rsid w:val="00F80C33"/>
    <w:pPr>
      <w:pBdr>
        <w:bottom w:val="single" w:sz="4" w:space="1" w:color="auto"/>
      </w:pBdr>
      <w:tabs>
        <w:tab w:val="center" w:pos="4680"/>
        <w:tab w:val="right" w:pos="9360"/>
      </w:tabs>
      <w:jc w:val="right"/>
    </w:pPr>
    <w:rPr>
      <w:smallCaps/>
      <w:sz w:val="20"/>
    </w:rPr>
  </w:style>
  <w:style w:type="character" w:styleId="Hyperlink">
    <w:name w:val="Hyperlink"/>
    <w:uiPriority w:val="99"/>
    <w:rsid w:val="00F80C33"/>
    <w:rPr>
      <w:color w:val="0000FF"/>
      <w:u w:val="single"/>
    </w:rPr>
  </w:style>
  <w:style w:type="paragraph" w:styleId="TOC1">
    <w:name w:val="toc 1"/>
    <w:basedOn w:val="Normal"/>
    <w:next w:val="Normal"/>
    <w:autoRedefine/>
    <w:uiPriority w:val="39"/>
    <w:rsid w:val="003E4676"/>
    <w:pPr>
      <w:tabs>
        <w:tab w:val="left" w:pos="540"/>
        <w:tab w:val="right" w:leader="dot" w:pos="9360"/>
      </w:tabs>
      <w:spacing w:before="120" w:after="120"/>
      <w:ind w:left="540" w:right="720" w:hanging="540"/>
    </w:pPr>
    <w:rPr>
      <w:b/>
      <w:bCs/>
      <w:noProof/>
      <w:szCs w:val="24"/>
    </w:rPr>
  </w:style>
  <w:style w:type="paragraph" w:styleId="TOC2">
    <w:name w:val="toc 2"/>
    <w:basedOn w:val="Normal"/>
    <w:next w:val="Normal"/>
    <w:autoRedefine/>
    <w:uiPriority w:val="39"/>
    <w:rsid w:val="00F80C33"/>
    <w:pPr>
      <w:tabs>
        <w:tab w:val="left" w:pos="1260"/>
        <w:tab w:val="right" w:leader="dot" w:pos="9360"/>
      </w:tabs>
      <w:ind w:left="1260" w:right="720" w:hanging="720"/>
    </w:pPr>
    <w:rPr>
      <w:sz w:val="20"/>
    </w:rPr>
  </w:style>
  <w:style w:type="paragraph" w:styleId="TOC3">
    <w:name w:val="toc 3"/>
    <w:basedOn w:val="Normal"/>
    <w:next w:val="Normal"/>
    <w:autoRedefine/>
    <w:uiPriority w:val="39"/>
    <w:rsid w:val="00F80C33"/>
    <w:pPr>
      <w:tabs>
        <w:tab w:val="left" w:pos="1980"/>
        <w:tab w:val="right" w:leader="dot" w:pos="9360"/>
      </w:tabs>
      <w:ind w:left="1980" w:right="720" w:hanging="900"/>
    </w:pPr>
    <w:rPr>
      <w:i/>
      <w:iCs/>
      <w:sz w:val="20"/>
    </w:rPr>
  </w:style>
  <w:style w:type="character" w:styleId="PageNumber">
    <w:name w:val="page number"/>
    <w:basedOn w:val="DefaultParagraphFont"/>
    <w:rsid w:val="00F80C33"/>
  </w:style>
  <w:style w:type="table" w:styleId="TableGrid">
    <w:name w:val="Table Grid"/>
    <w:basedOn w:val="TableNormal"/>
    <w:rsid w:val="00F80C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F80C33"/>
    <w:pPr>
      <w:tabs>
        <w:tab w:val="left" w:pos="2700"/>
        <w:tab w:val="right" w:leader="dot" w:pos="9360"/>
      </w:tabs>
      <w:ind w:left="2700" w:right="720" w:hanging="1080"/>
    </w:pPr>
    <w:rPr>
      <w:sz w:val="18"/>
      <w:szCs w:val="18"/>
    </w:rPr>
  </w:style>
  <w:style w:type="paragraph" w:styleId="TOC5">
    <w:name w:val="toc 5"/>
    <w:basedOn w:val="Normal"/>
    <w:next w:val="Normal"/>
    <w:autoRedefine/>
    <w:uiPriority w:val="39"/>
    <w:rsid w:val="00F80C33"/>
    <w:pPr>
      <w:tabs>
        <w:tab w:val="left" w:pos="3600"/>
        <w:tab w:val="right" w:leader="dot" w:pos="9360"/>
      </w:tabs>
      <w:ind w:left="3600" w:right="720" w:hanging="1260"/>
    </w:pPr>
    <w:rPr>
      <w:i/>
      <w:noProof/>
      <w:sz w:val="18"/>
      <w:szCs w:val="18"/>
    </w:rPr>
  </w:style>
  <w:style w:type="paragraph" w:styleId="List2">
    <w:name w:val="List 2"/>
    <w:aliases w:val=" Char2 Char Char, Char2,Char2 Char Char"/>
    <w:basedOn w:val="Normal"/>
    <w:link w:val="List2Char"/>
    <w:rsid w:val="00F80C33"/>
    <w:pPr>
      <w:spacing w:after="240"/>
      <w:ind w:left="1440" w:hanging="720"/>
    </w:pPr>
  </w:style>
  <w:style w:type="paragraph" w:styleId="List3">
    <w:name w:val="List 3"/>
    <w:basedOn w:val="Normal"/>
    <w:rsid w:val="00F80C33"/>
    <w:pPr>
      <w:spacing w:after="240"/>
      <w:ind w:left="2160" w:hanging="720"/>
    </w:pPr>
  </w:style>
  <w:style w:type="paragraph" w:styleId="TOC6">
    <w:name w:val="toc 6"/>
    <w:basedOn w:val="Normal"/>
    <w:next w:val="Normal"/>
    <w:autoRedefine/>
    <w:rsid w:val="00F80C33"/>
    <w:pPr>
      <w:tabs>
        <w:tab w:val="left" w:pos="4500"/>
        <w:tab w:val="right" w:leader="dot" w:pos="9360"/>
      </w:tabs>
      <w:ind w:left="4500" w:right="720" w:hanging="1440"/>
    </w:pPr>
    <w:rPr>
      <w:sz w:val="18"/>
      <w:szCs w:val="18"/>
    </w:rPr>
  </w:style>
  <w:style w:type="paragraph" w:styleId="TOC7">
    <w:name w:val="toc 7"/>
    <w:basedOn w:val="Normal"/>
    <w:next w:val="Normal"/>
    <w:autoRedefine/>
    <w:rsid w:val="00F80C33"/>
    <w:pPr>
      <w:tabs>
        <w:tab w:val="left" w:pos="5400"/>
        <w:tab w:val="right" w:leader="dot" w:pos="9360"/>
      </w:tabs>
      <w:ind w:left="5400" w:right="720" w:hanging="1620"/>
    </w:pPr>
    <w:rPr>
      <w:i/>
      <w:noProof/>
      <w:sz w:val="18"/>
      <w:szCs w:val="18"/>
    </w:rPr>
  </w:style>
  <w:style w:type="paragraph" w:styleId="TOC8">
    <w:name w:val="toc 8"/>
    <w:basedOn w:val="Normal"/>
    <w:next w:val="Normal"/>
    <w:autoRedefine/>
    <w:rsid w:val="00F80C33"/>
    <w:pPr>
      <w:ind w:left="1680"/>
    </w:pPr>
    <w:rPr>
      <w:sz w:val="18"/>
      <w:szCs w:val="18"/>
    </w:rPr>
  </w:style>
  <w:style w:type="paragraph" w:styleId="TOC9">
    <w:name w:val="toc 9"/>
    <w:basedOn w:val="Normal"/>
    <w:next w:val="Normal"/>
    <w:autoRedefine/>
    <w:rsid w:val="00F80C33"/>
    <w:pPr>
      <w:ind w:left="1920"/>
    </w:pPr>
    <w:rPr>
      <w:sz w:val="18"/>
      <w:szCs w:val="18"/>
    </w:rPr>
  </w:style>
  <w:style w:type="paragraph" w:customStyle="1" w:styleId="H5">
    <w:name w:val="H5"/>
    <w:basedOn w:val="Heading5"/>
    <w:next w:val="BodyText"/>
    <w:link w:val="H5Char"/>
    <w:rsid w:val="00F80C33"/>
    <w:pPr>
      <w:numPr>
        <w:ilvl w:val="0"/>
        <w:numId w:val="0"/>
      </w:numPr>
      <w:tabs>
        <w:tab w:val="clear" w:pos="1440"/>
        <w:tab w:val="left" w:pos="1620"/>
      </w:tabs>
      <w:ind w:left="1620" w:hanging="1620"/>
    </w:pPr>
  </w:style>
  <w:style w:type="character" w:customStyle="1" w:styleId="H5Char">
    <w:name w:val="H5 Char"/>
    <w:link w:val="H5"/>
    <w:rsid w:val="00F80C33"/>
    <w:rPr>
      <w:b/>
      <w:bCs/>
      <w:i/>
      <w:iCs/>
      <w:sz w:val="24"/>
      <w:szCs w:val="26"/>
      <w:lang w:val="en-US" w:eastAsia="en-US" w:bidi="ar-SA"/>
    </w:rPr>
  </w:style>
  <w:style w:type="paragraph" w:customStyle="1" w:styleId="H2">
    <w:name w:val="H2"/>
    <w:basedOn w:val="Heading2"/>
    <w:next w:val="BodyText"/>
    <w:link w:val="H2Char"/>
    <w:rsid w:val="00F80C33"/>
    <w:pPr>
      <w:numPr>
        <w:ilvl w:val="0"/>
        <w:numId w:val="0"/>
      </w:numPr>
      <w:tabs>
        <w:tab w:val="clear" w:pos="720"/>
        <w:tab w:val="left" w:pos="900"/>
      </w:tabs>
      <w:ind w:left="900" w:hanging="900"/>
    </w:pPr>
  </w:style>
  <w:style w:type="character" w:customStyle="1" w:styleId="H2Char">
    <w:name w:val="H2 Char"/>
    <w:link w:val="H2"/>
    <w:rsid w:val="00F80C33"/>
    <w:rPr>
      <w:b/>
      <w:sz w:val="24"/>
      <w:lang w:val="en-US" w:eastAsia="en-US" w:bidi="ar-SA"/>
    </w:rPr>
  </w:style>
  <w:style w:type="paragraph" w:customStyle="1" w:styleId="H3">
    <w:name w:val="H3"/>
    <w:basedOn w:val="Heading3"/>
    <w:next w:val="BodyText"/>
    <w:link w:val="H3Char"/>
    <w:rsid w:val="00F80C33"/>
    <w:pPr>
      <w:numPr>
        <w:ilvl w:val="0"/>
        <w:numId w:val="0"/>
      </w:numPr>
      <w:tabs>
        <w:tab w:val="clear" w:pos="1008"/>
        <w:tab w:val="left" w:pos="1080"/>
      </w:tabs>
      <w:ind w:left="1080" w:hanging="1080"/>
    </w:pPr>
    <w:rPr>
      <w:b w:val="0"/>
      <w:bCs w:val="0"/>
      <w:i w:val="0"/>
    </w:rPr>
  </w:style>
  <w:style w:type="character" w:customStyle="1" w:styleId="H3Char">
    <w:name w:val="H3 Char"/>
    <w:link w:val="H3"/>
    <w:rsid w:val="00F80C33"/>
    <w:rPr>
      <w:b w:val="0"/>
      <w:bCs w:val="0"/>
      <w:i w:val="0"/>
      <w:sz w:val="24"/>
      <w:lang w:val="en-US" w:eastAsia="en-US" w:bidi="ar-SA"/>
    </w:rPr>
  </w:style>
  <w:style w:type="paragraph" w:customStyle="1" w:styleId="H4">
    <w:name w:val="H4"/>
    <w:basedOn w:val="Heading4"/>
    <w:next w:val="BodyText"/>
    <w:link w:val="H4Char"/>
    <w:rsid w:val="00F80C33"/>
    <w:pPr>
      <w:numPr>
        <w:ilvl w:val="0"/>
        <w:numId w:val="0"/>
      </w:numPr>
      <w:tabs>
        <w:tab w:val="clear" w:pos="1296"/>
        <w:tab w:val="left" w:pos="1260"/>
      </w:tabs>
      <w:ind w:left="1260" w:hanging="1260"/>
    </w:pPr>
  </w:style>
  <w:style w:type="paragraph" w:customStyle="1" w:styleId="H6">
    <w:name w:val="H6"/>
    <w:basedOn w:val="Heading6"/>
    <w:next w:val="BodyText"/>
    <w:link w:val="H6Char"/>
    <w:rsid w:val="00F80C33"/>
    <w:pPr>
      <w:numPr>
        <w:ilvl w:val="0"/>
        <w:numId w:val="0"/>
      </w:numPr>
      <w:tabs>
        <w:tab w:val="clear" w:pos="1584"/>
        <w:tab w:val="left" w:pos="1800"/>
      </w:tabs>
      <w:ind w:left="1800" w:hanging="1800"/>
    </w:pPr>
  </w:style>
  <w:style w:type="character" w:customStyle="1" w:styleId="H6Char">
    <w:name w:val="H6 Char"/>
    <w:link w:val="H6"/>
    <w:rsid w:val="00F80C33"/>
    <w:rPr>
      <w:b/>
      <w:bCs/>
      <w:sz w:val="24"/>
      <w:szCs w:val="22"/>
      <w:lang w:val="en-US" w:eastAsia="en-US" w:bidi="ar-SA"/>
    </w:rPr>
  </w:style>
  <w:style w:type="paragraph" w:customStyle="1" w:styleId="H7">
    <w:name w:val="H7"/>
    <w:basedOn w:val="Heading7"/>
    <w:next w:val="BodyText"/>
    <w:rsid w:val="00F80C33"/>
    <w:pPr>
      <w:numPr>
        <w:ilvl w:val="0"/>
        <w:numId w:val="0"/>
      </w:numPr>
      <w:tabs>
        <w:tab w:val="clear" w:pos="1728"/>
        <w:tab w:val="left" w:pos="1980"/>
      </w:tabs>
      <w:ind w:left="1980" w:hanging="1980"/>
    </w:pPr>
    <w:rPr>
      <w:b/>
      <w:i/>
    </w:rPr>
  </w:style>
  <w:style w:type="paragraph" w:customStyle="1" w:styleId="H8">
    <w:name w:val="H8"/>
    <w:basedOn w:val="Heading8"/>
    <w:next w:val="BodyText"/>
    <w:rsid w:val="00F80C33"/>
    <w:pPr>
      <w:numPr>
        <w:ilvl w:val="0"/>
        <w:numId w:val="0"/>
      </w:numPr>
      <w:tabs>
        <w:tab w:val="clear" w:pos="1872"/>
        <w:tab w:val="left" w:pos="2160"/>
      </w:tabs>
      <w:ind w:left="2160" w:hanging="2160"/>
    </w:pPr>
    <w:rPr>
      <w:b/>
      <w:i w:val="0"/>
    </w:rPr>
  </w:style>
  <w:style w:type="paragraph" w:customStyle="1" w:styleId="H9">
    <w:name w:val="H9"/>
    <w:basedOn w:val="Heading9"/>
    <w:next w:val="BodyText"/>
    <w:rsid w:val="00F80C33"/>
    <w:pPr>
      <w:numPr>
        <w:ilvl w:val="0"/>
        <w:numId w:val="0"/>
      </w:numPr>
      <w:tabs>
        <w:tab w:val="clear" w:pos="2160"/>
        <w:tab w:val="left" w:pos="2340"/>
      </w:tabs>
      <w:ind w:left="2340" w:hanging="2340"/>
    </w:pPr>
    <w:rPr>
      <w:i/>
    </w:rPr>
  </w:style>
  <w:style w:type="table" w:customStyle="1" w:styleId="BoxedLanguage">
    <w:name w:val="Boxed Language"/>
    <w:basedOn w:val="TableNormal"/>
    <w:rsid w:val="00F80C33"/>
    <w:tblPr>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Pr>
    <w:tcPr>
      <w:shd w:val="clear" w:color="auto" w:fill="E0E0E0"/>
    </w:tcPr>
  </w:style>
  <w:style w:type="paragraph" w:customStyle="1" w:styleId="Spaceafterbox">
    <w:name w:val="Space after box"/>
    <w:basedOn w:val="Normal"/>
    <w:rsid w:val="00F80C33"/>
  </w:style>
  <w:style w:type="paragraph" w:customStyle="1" w:styleId="ListIntroduction">
    <w:name w:val="List Introduction"/>
    <w:basedOn w:val="BodyText"/>
    <w:link w:val="ListIntroductionChar"/>
    <w:rsid w:val="00F80C33"/>
    <w:pPr>
      <w:keepNext/>
    </w:pPr>
  </w:style>
  <w:style w:type="paragraph" w:customStyle="1" w:styleId="VariableDefinition">
    <w:name w:val="Variable Definition"/>
    <w:basedOn w:val="BodyTextIndent"/>
    <w:link w:val="VariableDefinitionChar"/>
    <w:rsid w:val="00F80C33"/>
    <w:pPr>
      <w:tabs>
        <w:tab w:val="left" w:pos="2160"/>
      </w:tabs>
      <w:ind w:left="2160" w:hanging="1440"/>
      <w:contextualSpacing/>
    </w:pPr>
  </w:style>
  <w:style w:type="paragraph" w:customStyle="1" w:styleId="FormulaBold">
    <w:name w:val="Formula Bold"/>
    <w:basedOn w:val="Normal"/>
    <w:link w:val="FormulaBoldChar"/>
    <w:autoRedefine/>
    <w:rsid w:val="00C078A2"/>
    <w:pPr>
      <w:tabs>
        <w:tab w:val="left" w:pos="2340"/>
        <w:tab w:val="left" w:pos="2880"/>
      </w:tabs>
      <w:spacing w:after="240"/>
      <w:ind w:left="3067" w:hanging="2347"/>
    </w:pPr>
    <w:rPr>
      <w:b/>
      <w:szCs w:val="24"/>
      <w:lang w:val="x-none" w:eastAsia="x-none"/>
    </w:rPr>
  </w:style>
  <w:style w:type="paragraph" w:customStyle="1" w:styleId="Formula">
    <w:name w:val="Formula"/>
    <w:basedOn w:val="Normal"/>
    <w:link w:val="FormulaChar"/>
    <w:autoRedefine/>
    <w:rsid w:val="0063616C"/>
    <w:pPr>
      <w:tabs>
        <w:tab w:val="left" w:pos="1440"/>
        <w:tab w:val="left" w:pos="2340"/>
      </w:tabs>
      <w:spacing w:after="240"/>
      <w:ind w:left="720"/>
    </w:pPr>
    <w:rPr>
      <w:bCs/>
      <w:szCs w:val="24"/>
      <w:lang w:val="x-none" w:eastAsia="x-none"/>
    </w:rPr>
  </w:style>
  <w:style w:type="paragraph" w:customStyle="1" w:styleId="ListSub">
    <w:name w:val="List Sub"/>
    <w:basedOn w:val="List"/>
    <w:link w:val="ListSubChar"/>
    <w:rsid w:val="00F80C33"/>
    <w:pPr>
      <w:ind w:firstLine="0"/>
    </w:pPr>
  </w:style>
  <w:style w:type="table" w:customStyle="1" w:styleId="VariableTable">
    <w:name w:val="Variable Table"/>
    <w:basedOn w:val="TableNormal"/>
    <w:rsid w:val="00F80C33"/>
    <w:tblPr/>
  </w:style>
  <w:style w:type="table" w:customStyle="1" w:styleId="FormulaVariableTable">
    <w:name w:val="Formula Variable Table"/>
    <w:basedOn w:val="TableNormal"/>
    <w:rsid w:val="00F80C33"/>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i w:val="0"/>
      </w:rPr>
    </w:tblStylePr>
    <w:tblStylePr w:type="firstCol">
      <w:rPr>
        <w:rFonts w:ascii="Times New Roman" w:hAnsi="Times New Roman"/>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paragraph" w:customStyle="1" w:styleId="tablecontents">
    <w:name w:val="table contents"/>
    <w:basedOn w:val="Normal"/>
    <w:rsid w:val="00F80C33"/>
    <w:rPr>
      <w:sz w:val="20"/>
    </w:rPr>
  </w:style>
  <w:style w:type="paragraph" w:styleId="BalloonText">
    <w:name w:val="Balloon Text"/>
    <w:basedOn w:val="Normal"/>
    <w:link w:val="BalloonTextChar"/>
    <w:rsid w:val="00F80C33"/>
    <w:rPr>
      <w:rFonts w:ascii="Tahoma" w:hAnsi="Tahoma" w:cs="Tahoma"/>
      <w:sz w:val="16"/>
      <w:szCs w:val="16"/>
    </w:rPr>
  </w:style>
  <w:style w:type="character" w:styleId="CommentReference">
    <w:name w:val="annotation reference"/>
    <w:rsid w:val="00F80C33"/>
    <w:rPr>
      <w:sz w:val="16"/>
      <w:szCs w:val="16"/>
    </w:rPr>
  </w:style>
  <w:style w:type="paragraph" w:styleId="CommentText">
    <w:name w:val="annotation text"/>
    <w:basedOn w:val="Normal"/>
    <w:link w:val="CommentTextChar"/>
    <w:rsid w:val="00F80C33"/>
    <w:rPr>
      <w:sz w:val="20"/>
    </w:rPr>
  </w:style>
  <w:style w:type="paragraph" w:styleId="CommentSubject">
    <w:name w:val="annotation subject"/>
    <w:basedOn w:val="CommentText"/>
    <w:next w:val="CommentText"/>
    <w:link w:val="CommentSubjectChar"/>
    <w:rsid w:val="00F80C33"/>
    <w:rPr>
      <w:b/>
      <w:bCs/>
    </w:rPr>
  </w:style>
  <w:style w:type="paragraph" w:customStyle="1" w:styleId="HeadSub">
    <w:name w:val="Head Sub"/>
    <w:basedOn w:val="BodyText"/>
    <w:next w:val="BodyText"/>
    <w:rsid w:val="00F80C33"/>
    <w:pPr>
      <w:keepNext/>
      <w:spacing w:before="240"/>
    </w:pPr>
    <w:rPr>
      <w:b/>
    </w:rPr>
  </w:style>
  <w:style w:type="paragraph" w:customStyle="1" w:styleId="TableBody">
    <w:name w:val="Table Body"/>
    <w:basedOn w:val="BodyText"/>
    <w:rsid w:val="00F80C33"/>
    <w:pPr>
      <w:spacing w:after="60"/>
    </w:pPr>
    <w:rPr>
      <w:sz w:val="20"/>
    </w:rPr>
  </w:style>
  <w:style w:type="paragraph" w:customStyle="1" w:styleId="TableHead">
    <w:name w:val="Table Head"/>
    <w:basedOn w:val="BodyText"/>
    <w:rsid w:val="00F80C33"/>
    <w:pPr>
      <w:spacing w:after="120"/>
    </w:pPr>
    <w:rPr>
      <w:b/>
      <w:sz w:val="20"/>
    </w:rPr>
  </w:style>
  <w:style w:type="paragraph" w:customStyle="1" w:styleId="TableBullet">
    <w:name w:val="Table Bullet"/>
    <w:basedOn w:val="TableBody"/>
    <w:rsid w:val="00F80C33"/>
    <w:pPr>
      <w:tabs>
        <w:tab w:val="num" w:pos="360"/>
      </w:tabs>
      <w:ind w:left="360" w:hanging="360"/>
    </w:pPr>
  </w:style>
  <w:style w:type="paragraph" w:customStyle="1" w:styleId="equals">
    <w:name w:val="equals"/>
    <w:basedOn w:val="BodyText"/>
    <w:rsid w:val="00F80C33"/>
    <w:pPr>
      <w:ind w:left="3168" w:hanging="2880"/>
    </w:pPr>
  </w:style>
  <w:style w:type="character" w:customStyle="1" w:styleId="TableHeadChar">
    <w:name w:val="Table Head Char"/>
    <w:rsid w:val="00F80C33"/>
    <w:rPr>
      <w:b/>
      <w:iCs/>
      <w:sz w:val="24"/>
      <w:lang w:val="en-US" w:eastAsia="en-US" w:bidi="ar-SA"/>
    </w:rPr>
  </w:style>
  <w:style w:type="character" w:customStyle="1" w:styleId="ListIntroductionChar">
    <w:name w:val="List Introduction Char"/>
    <w:link w:val="ListIntroduction"/>
    <w:rsid w:val="00F80C33"/>
    <w:rPr>
      <w:iCs/>
      <w:sz w:val="24"/>
      <w:lang w:val="en-US" w:eastAsia="en-US" w:bidi="ar-SA"/>
    </w:rPr>
  </w:style>
  <w:style w:type="character" w:customStyle="1" w:styleId="H4Char">
    <w:name w:val="H4 Char"/>
    <w:link w:val="H4"/>
    <w:rsid w:val="00F80C33"/>
    <w:rPr>
      <w:b/>
      <w:bCs/>
      <w:snapToGrid w:val="0"/>
      <w:sz w:val="24"/>
      <w:lang w:val="en-US" w:eastAsia="en-US" w:bidi="ar-SA"/>
    </w:rPr>
  </w:style>
  <w:style w:type="paragraph" w:styleId="DocumentMap">
    <w:name w:val="Document Map"/>
    <w:basedOn w:val="Normal"/>
    <w:link w:val="DocumentMapChar"/>
    <w:rsid w:val="00F80C33"/>
    <w:pPr>
      <w:shd w:val="clear" w:color="auto" w:fill="000080"/>
    </w:pPr>
    <w:rPr>
      <w:rFonts w:ascii="Tahoma" w:hAnsi="Tahoma" w:cs="Tahoma"/>
      <w:sz w:val="20"/>
    </w:rPr>
  </w:style>
  <w:style w:type="character" w:styleId="FollowedHyperlink">
    <w:name w:val="FollowedHyperlink"/>
    <w:rsid w:val="00F80C33"/>
    <w:rPr>
      <w:color w:val="800080"/>
      <w:u w:val="single"/>
    </w:rPr>
  </w:style>
  <w:style w:type="character" w:customStyle="1" w:styleId="CharCharCharCharChar">
    <w:name w:val="Char Char Char Char Char"/>
    <w:aliases w:val="Body Text Char2 Char2, Char Char Char Char Char1,Char Char Char Char Char1"/>
    <w:rsid w:val="00F80C33"/>
    <w:rPr>
      <w:iCs/>
      <w:sz w:val="24"/>
      <w:lang w:val="en-US" w:eastAsia="en-US" w:bidi="ar-SA"/>
    </w:rPr>
  </w:style>
  <w:style w:type="character" w:customStyle="1" w:styleId="CharChar1">
    <w:name w:val="Char Char1"/>
    <w:rsid w:val="00F80C33"/>
    <w:rPr>
      <w:sz w:val="24"/>
      <w:lang w:val="en-US" w:eastAsia="en-US" w:bidi="ar-SA"/>
    </w:rPr>
  </w:style>
  <w:style w:type="character" w:customStyle="1" w:styleId="CharCharCharChar">
    <w:name w:val="Char Char Char Char"/>
    <w:rsid w:val="00F80C33"/>
    <w:rPr>
      <w:iCs/>
      <w:sz w:val="24"/>
      <w:lang w:val="en-US" w:eastAsia="en-US" w:bidi="ar-SA"/>
    </w:rPr>
  </w:style>
  <w:style w:type="character" w:customStyle="1" w:styleId="List2Char">
    <w:name w:val="List 2 Char"/>
    <w:aliases w:val=" Char2 Char Char Char, Char2 Char,Char2 Char Char Char"/>
    <w:link w:val="List2"/>
    <w:rsid w:val="00F80C33"/>
    <w:rPr>
      <w:sz w:val="24"/>
      <w:lang w:val="en-US" w:eastAsia="en-US" w:bidi="ar-SA"/>
    </w:rPr>
  </w:style>
  <w:style w:type="character" w:customStyle="1" w:styleId="Char1CharChar">
    <w:name w:val="Char1 Char Char"/>
    <w:rsid w:val="00F80C33"/>
    <w:rPr>
      <w:iCs/>
      <w:sz w:val="24"/>
      <w:lang w:val="en-US" w:eastAsia="en-US" w:bidi="ar-SA"/>
    </w:rPr>
  </w:style>
  <w:style w:type="character" w:customStyle="1" w:styleId="CharChar2">
    <w:name w:val="Char Char2"/>
    <w:rsid w:val="00F80C33"/>
    <w:rPr>
      <w:b/>
      <w:bCs/>
      <w:i/>
      <w:sz w:val="24"/>
      <w:lang w:val="en-US" w:eastAsia="en-US" w:bidi="ar-SA"/>
    </w:rPr>
  </w:style>
  <w:style w:type="character" w:customStyle="1" w:styleId="Char2">
    <w:name w:val="Char2"/>
    <w:rsid w:val="00F80C33"/>
    <w:rPr>
      <w:b/>
      <w:bCs/>
      <w:i/>
      <w:sz w:val="24"/>
      <w:lang w:val="en-US" w:eastAsia="en-US" w:bidi="ar-SA"/>
    </w:rPr>
  </w:style>
  <w:style w:type="character" w:customStyle="1" w:styleId="CharCharChar">
    <w:name w:val="Char Char Char"/>
    <w:rsid w:val="00F80C33"/>
    <w:rPr>
      <w:sz w:val="24"/>
      <w:lang w:val="en-US" w:eastAsia="en-US" w:bidi="ar-SA"/>
    </w:rPr>
  </w:style>
  <w:style w:type="paragraph" w:styleId="BodyText2">
    <w:name w:val="Body Text 2"/>
    <w:basedOn w:val="Normal"/>
    <w:link w:val="BodyText2Char"/>
    <w:rsid w:val="00F80C33"/>
    <w:pPr>
      <w:spacing w:after="120" w:line="480" w:lineRule="auto"/>
      <w:ind w:left="1440" w:hanging="720"/>
    </w:pPr>
  </w:style>
  <w:style w:type="character" w:customStyle="1" w:styleId="BulletIndentChar">
    <w:name w:val="Bullet Indent Char"/>
    <w:link w:val="BulletIndent"/>
    <w:rsid w:val="00F80C33"/>
    <w:rPr>
      <w:sz w:val="24"/>
    </w:rPr>
  </w:style>
  <w:style w:type="character" w:customStyle="1" w:styleId="BodyTextCharCharChar">
    <w:name w:val="Body Text Char Char Char"/>
    <w:aliases w:val=" Char Char Char Char Char Char, Char1 Char Char Char,Body Text Char2 Char Char Char Char,Body Text Char Char2, Char Char Char Char Char Char Char Char1,Body Text Char1 Char Char Char,Body Text Char Char Char Char Char"/>
    <w:rsid w:val="00F80C33"/>
    <w:rPr>
      <w:iCs/>
      <w:sz w:val="24"/>
      <w:lang w:val="en-US" w:eastAsia="en-US" w:bidi="ar-SA"/>
    </w:rPr>
  </w:style>
  <w:style w:type="character" w:customStyle="1" w:styleId="h3CharChar">
    <w:name w:val="h3 Char Char"/>
    <w:rsid w:val="00F80C33"/>
    <w:rPr>
      <w:b/>
      <w:bCs/>
      <w:i/>
      <w:sz w:val="24"/>
      <w:lang w:val="en-US" w:eastAsia="en-US" w:bidi="ar-SA"/>
    </w:rPr>
  </w:style>
  <w:style w:type="character" w:customStyle="1" w:styleId="InstructionsCharChar">
    <w:name w:val="Instructions Char Char"/>
    <w:rsid w:val="00F80C33"/>
    <w:rPr>
      <w:b/>
      <w:i/>
      <w:iCs/>
      <w:sz w:val="24"/>
      <w:szCs w:val="24"/>
      <w:lang w:val="en-US" w:eastAsia="en-US" w:bidi="ar-SA"/>
    </w:rPr>
  </w:style>
  <w:style w:type="character" w:customStyle="1" w:styleId="CharCharCharChar1">
    <w:name w:val="Char Char Char Char1"/>
    <w:aliases w:val=" Char1 Char Char Char Char,Char1 Char Char Char Char"/>
    <w:rsid w:val="00F80C33"/>
    <w:rPr>
      <w:sz w:val="24"/>
      <w:lang w:val="en-US" w:eastAsia="en-US" w:bidi="ar-SA"/>
    </w:rPr>
  </w:style>
  <w:style w:type="character" w:customStyle="1" w:styleId="H3CharChar0">
    <w:name w:val="H3 Char Char"/>
    <w:rsid w:val="00F80C33"/>
    <w:rPr>
      <w:b w:val="0"/>
      <w:bCs w:val="0"/>
      <w:i w:val="0"/>
      <w:sz w:val="24"/>
      <w:lang w:val="en-US" w:eastAsia="en-US" w:bidi="ar-SA"/>
    </w:rPr>
  </w:style>
  <w:style w:type="character" w:customStyle="1" w:styleId="ListIntroductionCharChar">
    <w:name w:val="List Introduction Char Char"/>
    <w:rsid w:val="00F80C33"/>
    <w:rPr>
      <w:iCs/>
      <w:sz w:val="24"/>
      <w:lang w:val="en-US" w:eastAsia="en-US" w:bidi="ar-SA"/>
    </w:rPr>
  </w:style>
  <w:style w:type="character" w:customStyle="1" w:styleId="H4CharChar">
    <w:name w:val="H4 Char Char"/>
    <w:rsid w:val="00F80C33"/>
    <w:rPr>
      <w:b/>
      <w:bCs/>
      <w:snapToGrid w:val="0"/>
      <w:sz w:val="24"/>
      <w:lang w:val="en-US" w:eastAsia="en-US" w:bidi="ar-SA"/>
    </w:rPr>
  </w:style>
  <w:style w:type="character" w:customStyle="1" w:styleId="Char2CharChar1">
    <w:name w:val="Char2 Char Char1"/>
    <w:rsid w:val="00F80C33"/>
    <w:rPr>
      <w:sz w:val="24"/>
      <w:lang w:val="en-US" w:eastAsia="en-US" w:bidi="ar-SA"/>
    </w:rPr>
  </w:style>
  <w:style w:type="character" w:customStyle="1" w:styleId="VariableDefinitionChar">
    <w:name w:val="Variable Definition Char"/>
    <w:link w:val="VariableDefinition"/>
    <w:rsid w:val="00F80C33"/>
    <w:rPr>
      <w:iCs/>
      <w:sz w:val="24"/>
      <w:lang w:val="en-US" w:eastAsia="en-US" w:bidi="ar-SA"/>
    </w:rPr>
  </w:style>
  <w:style w:type="character" w:customStyle="1" w:styleId="BodyTextChar2Char1">
    <w:name w:val="Body Text Char2 Char1"/>
    <w:aliases w:val="Char Char Char Char11,Char Char Char Char111"/>
    <w:rsid w:val="00F80C33"/>
    <w:rPr>
      <w:iCs/>
      <w:sz w:val="24"/>
      <w:lang w:val="en-US" w:eastAsia="en-US" w:bidi="ar-SA"/>
    </w:rPr>
  </w:style>
  <w:style w:type="character" w:customStyle="1" w:styleId="CharChar3">
    <w:name w:val="Char Char3"/>
    <w:rsid w:val="00F80C33"/>
    <w:rPr>
      <w:sz w:val="24"/>
      <w:lang w:val="en-US" w:eastAsia="en-US" w:bidi="ar-SA"/>
    </w:rPr>
  </w:style>
  <w:style w:type="paragraph" w:customStyle="1" w:styleId="Default">
    <w:name w:val="Default"/>
    <w:rsid w:val="00F80C33"/>
    <w:pPr>
      <w:autoSpaceDE w:val="0"/>
      <w:autoSpaceDN w:val="0"/>
      <w:adjustRightInd w:val="0"/>
    </w:pPr>
    <w:rPr>
      <w:rFonts w:ascii="Arial" w:hAnsi="Arial" w:cs="Arial"/>
      <w:color w:val="000000"/>
      <w:sz w:val="24"/>
      <w:szCs w:val="24"/>
    </w:rPr>
  </w:style>
  <w:style w:type="paragraph" w:customStyle="1" w:styleId="PJMNormal">
    <w:name w:val="PJM_Normal"/>
    <w:basedOn w:val="Default"/>
    <w:next w:val="Default"/>
    <w:rsid w:val="00F80C33"/>
    <w:pPr>
      <w:spacing w:before="120" w:after="120"/>
    </w:pPr>
    <w:rPr>
      <w:rFonts w:cs="Times New Roman"/>
      <w:color w:val="auto"/>
    </w:rPr>
  </w:style>
  <w:style w:type="paragraph" w:customStyle="1" w:styleId="PJMListOutline1">
    <w:name w:val="PJM_List_Outline_1"/>
    <w:basedOn w:val="Default"/>
    <w:next w:val="Default"/>
    <w:rsid w:val="00F80C33"/>
    <w:pPr>
      <w:spacing w:before="120" w:after="120"/>
    </w:pPr>
    <w:rPr>
      <w:rFonts w:cs="Times New Roman"/>
      <w:color w:val="auto"/>
    </w:rPr>
  </w:style>
  <w:style w:type="character" w:customStyle="1" w:styleId="ListSubChar">
    <w:name w:val="List Sub Char"/>
    <w:link w:val="ListSub"/>
    <w:rsid w:val="00F80C33"/>
    <w:rPr>
      <w:sz w:val="24"/>
      <w:lang w:val="en-US" w:eastAsia="en-US" w:bidi="ar-SA"/>
    </w:rPr>
  </w:style>
  <w:style w:type="character" w:customStyle="1" w:styleId="BodyTextChar1">
    <w:name w:val="Body Text Char1"/>
    <w:aliases w:val="Char Char Char Char Char Char Char,Char Char Char Char Char Char Charh2 Char,... Char, Char Char Char Char Char Char Char1, Char Char Char Char Char Char Char Char2,Body Text Char Char Char2,Body Text Char1 Char Char Char2"/>
    <w:locked/>
    <w:rsid w:val="00F80C33"/>
    <w:rPr>
      <w:iCs/>
      <w:sz w:val="24"/>
      <w:lang w:val="en-US" w:eastAsia="en-US" w:bidi="ar-SA"/>
    </w:rPr>
  </w:style>
  <w:style w:type="paragraph" w:customStyle="1" w:styleId="VariableDefinitionwide">
    <w:name w:val="Variable Definition wide"/>
    <w:basedOn w:val="BodyTextIndent"/>
    <w:rsid w:val="00F80C33"/>
    <w:pPr>
      <w:tabs>
        <w:tab w:val="left" w:pos="2160"/>
      </w:tabs>
      <w:ind w:left="4320" w:hanging="3600"/>
      <w:contextualSpacing/>
    </w:pPr>
  </w:style>
  <w:style w:type="paragraph" w:styleId="BlockText">
    <w:name w:val="Block Text"/>
    <w:basedOn w:val="Normal"/>
    <w:rsid w:val="00F80C33"/>
    <w:pPr>
      <w:spacing w:after="120"/>
      <w:ind w:left="1440" w:right="1440"/>
    </w:pPr>
  </w:style>
  <w:style w:type="character" w:customStyle="1" w:styleId="CharCharChar1">
    <w:name w:val="Char Char Char1"/>
    <w:aliases w:val=" Char11,Body Text Char Char1, Char Char Char Char Char2, Char1 Char Char1,Body Text Char2 Char Char2,Body Text Char2 Char Char Char Char Char Char Char Char Char Char Char1,Body Text Char2 Char3,Body Text Char2 Char4"/>
    <w:rsid w:val="00F80C33"/>
    <w:rPr>
      <w:sz w:val="24"/>
      <w:lang w:val="en-US" w:eastAsia="en-US" w:bidi="ar-SA"/>
    </w:rPr>
  </w:style>
  <w:style w:type="character" w:customStyle="1" w:styleId="CharChar4">
    <w:name w:val="Char Char4"/>
    <w:rsid w:val="00F80C33"/>
    <w:rPr>
      <w:sz w:val="24"/>
      <w:lang w:val="en-US" w:eastAsia="en-US" w:bidi="ar-SA"/>
    </w:rPr>
  </w:style>
  <w:style w:type="character" w:customStyle="1" w:styleId="Char1CharChar1">
    <w:name w:val="Char1 Char Char1"/>
    <w:rsid w:val="00F80C33"/>
    <w:rPr>
      <w:sz w:val="24"/>
      <w:lang w:val="en-US" w:eastAsia="en-US" w:bidi="ar-SA"/>
    </w:rPr>
  </w:style>
  <w:style w:type="character" w:customStyle="1" w:styleId="CharChar12">
    <w:name w:val="Char Char12"/>
    <w:rsid w:val="00F80C33"/>
    <w:rPr>
      <w:sz w:val="24"/>
      <w:lang w:val="en-US" w:eastAsia="en-US" w:bidi="ar-SA"/>
    </w:rPr>
  </w:style>
  <w:style w:type="paragraph" w:customStyle="1" w:styleId="BodyTextNumberedChar">
    <w:name w:val="Body Text Numbered Char"/>
    <w:basedOn w:val="BodyText"/>
    <w:link w:val="BodyTextNumberedCharChar"/>
    <w:rsid w:val="00F80C33"/>
    <w:pPr>
      <w:ind w:left="720" w:hanging="720"/>
    </w:pPr>
    <w:rPr>
      <w:iCs w:val="0"/>
    </w:rPr>
  </w:style>
  <w:style w:type="character" w:customStyle="1" w:styleId="BodyTextNumberedCharChar">
    <w:name w:val="Body Text Numbered Char Char"/>
    <w:link w:val="BodyTextNumberedChar"/>
    <w:rsid w:val="00F80C33"/>
    <w:rPr>
      <w:iCs w:val="0"/>
      <w:sz w:val="24"/>
      <w:lang w:val="en-US" w:eastAsia="en-US" w:bidi="ar-SA"/>
    </w:rPr>
  </w:style>
  <w:style w:type="character" w:customStyle="1" w:styleId="BodyTextIndentChar">
    <w:name w:val="Body Text Indent Char"/>
    <w:aliases w:val=" Char Char"/>
    <w:link w:val="BodyTextIndent"/>
    <w:rsid w:val="00F80C33"/>
    <w:rPr>
      <w:iCs/>
      <w:sz w:val="24"/>
      <w:lang w:val="en-US" w:eastAsia="en-US" w:bidi="ar-SA"/>
    </w:rPr>
  </w:style>
  <w:style w:type="character" w:customStyle="1" w:styleId="BodyTextChar">
    <w:name w:val="Body Text Char"/>
    <w:aliases w:val="Char1 Char1,Char1 Char Char Char,Body Text Char2 Char Char Char1,Body Text Char2 Char Char Char Char Char Char Char Char Char Char Char Char1,Body Text Char1 Char Ch Char,List Char1, Char Char Char Char Char Char Char Char"/>
    <w:rsid w:val="00F80C33"/>
    <w:rPr>
      <w:iCs/>
      <w:sz w:val="24"/>
      <w:lang w:val="en-US" w:eastAsia="en-US" w:bidi="ar-SA"/>
    </w:rPr>
  </w:style>
  <w:style w:type="character" w:customStyle="1" w:styleId="CharChar">
    <w:name w:val="Char Char"/>
    <w:rsid w:val="00F80C33"/>
    <w:rPr>
      <w:iCs/>
      <w:sz w:val="24"/>
      <w:lang w:val="en-US" w:eastAsia="en-US" w:bidi="ar-SA"/>
    </w:rPr>
  </w:style>
  <w:style w:type="character" w:customStyle="1" w:styleId="CharChar5">
    <w:name w:val="Char Char5"/>
    <w:rsid w:val="00F80C33"/>
    <w:rPr>
      <w:iCs/>
      <w:sz w:val="24"/>
      <w:lang w:val="en-US" w:eastAsia="en-US" w:bidi="ar-SA"/>
    </w:rPr>
  </w:style>
  <w:style w:type="paragraph" w:styleId="NormalWeb">
    <w:name w:val="Normal (Web)"/>
    <w:basedOn w:val="Normal"/>
    <w:uiPriority w:val="99"/>
    <w:rsid w:val="00F80C33"/>
    <w:pPr>
      <w:spacing w:before="100" w:beforeAutospacing="1" w:after="100" w:afterAutospacing="1"/>
    </w:pPr>
    <w:rPr>
      <w:szCs w:val="24"/>
    </w:rPr>
  </w:style>
  <w:style w:type="character" w:customStyle="1" w:styleId="CharCharCharChar3">
    <w:name w:val="Char Char Char Char3"/>
    <w:rsid w:val="00F80C33"/>
    <w:rPr>
      <w:iCs/>
      <w:sz w:val="24"/>
      <w:lang w:val="en-US" w:eastAsia="en-US" w:bidi="ar-SA"/>
    </w:rPr>
  </w:style>
  <w:style w:type="paragraph" w:customStyle="1" w:styleId="Bullet15">
    <w:name w:val="Bullet (1.5)"/>
    <w:basedOn w:val="Normal"/>
    <w:rsid w:val="00F80C33"/>
    <w:pPr>
      <w:numPr>
        <w:numId w:val="4"/>
      </w:numPr>
      <w:spacing w:after="120"/>
    </w:pPr>
  </w:style>
  <w:style w:type="character" w:customStyle="1" w:styleId="CharChar42">
    <w:name w:val="Char Char42"/>
    <w:rsid w:val="00F80C33"/>
    <w:rPr>
      <w:sz w:val="24"/>
      <w:lang w:val="en-US" w:eastAsia="en-US" w:bidi="ar-SA"/>
    </w:rPr>
  </w:style>
  <w:style w:type="paragraph" w:customStyle="1" w:styleId="BulletCharChar">
    <w:name w:val="Bullet Char Char"/>
    <w:basedOn w:val="Normal"/>
    <w:link w:val="BulletCharCharChar"/>
    <w:rsid w:val="00F80C33"/>
    <w:pPr>
      <w:tabs>
        <w:tab w:val="num" w:pos="450"/>
      </w:tabs>
      <w:spacing w:after="180"/>
      <w:ind w:left="450" w:hanging="360"/>
    </w:pPr>
  </w:style>
  <w:style w:type="character" w:customStyle="1" w:styleId="BulletCharCharChar">
    <w:name w:val="Bullet Char Char Char"/>
    <w:link w:val="BulletCharChar"/>
    <w:rsid w:val="00F80C33"/>
    <w:rPr>
      <w:sz w:val="24"/>
      <w:lang w:val="en-US" w:eastAsia="en-US" w:bidi="ar-SA"/>
    </w:rPr>
  </w:style>
  <w:style w:type="character" w:customStyle="1" w:styleId="CharCharChar2">
    <w:name w:val="Char Char Char2"/>
    <w:rsid w:val="00F80C33"/>
    <w:rPr>
      <w:iCs/>
      <w:sz w:val="24"/>
      <w:lang w:val="en-US" w:eastAsia="en-US" w:bidi="ar-SA"/>
    </w:rPr>
  </w:style>
  <w:style w:type="character" w:customStyle="1" w:styleId="Char1CharChar12">
    <w:name w:val="Char1 Char Char12"/>
    <w:rsid w:val="00F80C33"/>
    <w:rPr>
      <w:sz w:val="24"/>
      <w:lang w:val="en-US" w:eastAsia="en-US" w:bidi="ar-SA"/>
    </w:rPr>
  </w:style>
  <w:style w:type="character" w:customStyle="1" w:styleId="CharCharChar22">
    <w:name w:val="Char Char Char22"/>
    <w:rsid w:val="00F80C33"/>
    <w:rPr>
      <w:iCs/>
      <w:sz w:val="24"/>
      <w:lang w:val="en-US" w:eastAsia="en-US" w:bidi="ar-SA"/>
    </w:rPr>
  </w:style>
  <w:style w:type="paragraph" w:customStyle="1" w:styleId="note">
    <w:name w:val="note"/>
    <w:basedOn w:val="Spaceafterbox"/>
    <w:rsid w:val="00F80C33"/>
    <w:rPr>
      <w:sz w:val="22"/>
    </w:rPr>
  </w:style>
  <w:style w:type="character" w:customStyle="1" w:styleId="CharChar6">
    <w:name w:val="Char Char6"/>
    <w:rsid w:val="00F80C33"/>
    <w:rPr>
      <w:sz w:val="24"/>
      <w:lang w:val="en-US" w:eastAsia="en-US" w:bidi="ar-SA"/>
    </w:rPr>
  </w:style>
  <w:style w:type="paragraph" w:customStyle="1" w:styleId="BodyTextNumbered">
    <w:name w:val="Body Text Numbered"/>
    <w:basedOn w:val="BodyText"/>
    <w:link w:val="BodyTextNumberedChar1"/>
    <w:rsid w:val="00F80C33"/>
    <w:pPr>
      <w:ind w:left="720" w:hanging="720"/>
    </w:pPr>
    <w:rPr>
      <w:iCs w:val="0"/>
    </w:rPr>
  </w:style>
  <w:style w:type="character" w:customStyle="1" w:styleId="ListCharChar">
    <w:name w:val="List Char Char"/>
    <w:rsid w:val="00F80C33"/>
    <w:rPr>
      <w:sz w:val="24"/>
      <w:lang w:val="en-US" w:eastAsia="en-US" w:bidi="ar-SA"/>
    </w:rPr>
  </w:style>
  <w:style w:type="character" w:customStyle="1" w:styleId="CharChar11">
    <w:name w:val="Char Char11"/>
    <w:rsid w:val="00F80C33"/>
    <w:rPr>
      <w:sz w:val="24"/>
      <w:lang w:val="en-US" w:eastAsia="en-US" w:bidi="ar-SA"/>
    </w:rPr>
  </w:style>
  <w:style w:type="character" w:customStyle="1" w:styleId="CharCharCharChar2">
    <w:name w:val="Char Char Char Char2"/>
    <w:aliases w:val="Body Text Char2 Char Char1,Char Char Char Char Char Char1"/>
    <w:rsid w:val="00F80C33"/>
    <w:rPr>
      <w:iCs/>
      <w:sz w:val="24"/>
      <w:lang w:val="en-US" w:eastAsia="en-US" w:bidi="ar-SA"/>
    </w:rPr>
  </w:style>
  <w:style w:type="character" w:customStyle="1" w:styleId="CharChar41">
    <w:name w:val="Char Char41"/>
    <w:rsid w:val="00F80C33"/>
    <w:rPr>
      <w:sz w:val="24"/>
      <w:lang w:val="en-US" w:eastAsia="en-US" w:bidi="ar-SA"/>
    </w:rPr>
  </w:style>
  <w:style w:type="character" w:customStyle="1" w:styleId="Char1CharChar11">
    <w:name w:val="Char1 Char Char11"/>
    <w:aliases w:val="Char Char Char11,Char111,Body Text Char Char11,Char Char Char Char Char21,Body Text Char2 Char Char21,Body Text Char2 Char Char Char Char Char Char Char Char Char Char Char11,Body Text Char2 Char31,Body Text Char2 Char41"/>
    <w:rsid w:val="00F80C33"/>
    <w:rPr>
      <w:sz w:val="24"/>
      <w:lang w:val="en-US" w:eastAsia="en-US" w:bidi="ar-SA"/>
    </w:rPr>
  </w:style>
  <w:style w:type="character" w:customStyle="1" w:styleId="CharCharChar21">
    <w:name w:val="Char Char Char21"/>
    <w:rsid w:val="00F80C33"/>
    <w:rPr>
      <w:iCs/>
      <w:sz w:val="24"/>
      <w:lang w:val="en-US" w:eastAsia="en-US" w:bidi="ar-SA"/>
    </w:rPr>
  </w:style>
  <w:style w:type="character" w:customStyle="1" w:styleId="BodyTextNumberedChar1">
    <w:name w:val="Body Text Numbered Char1"/>
    <w:link w:val="BodyTextNumbered"/>
    <w:rsid w:val="00F80C33"/>
    <w:rPr>
      <w:iCs w:val="0"/>
      <w:sz w:val="24"/>
      <w:lang w:val="en-US" w:eastAsia="en-US" w:bidi="ar-SA"/>
    </w:rPr>
  </w:style>
  <w:style w:type="paragraph" w:customStyle="1" w:styleId="NormalArial">
    <w:name w:val="Normal+Arial"/>
    <w:basedOn w:val="Normal"/>
    <w:link w:val="NormalArialChar"/>
    <w:rsid w:val="00F80C33"/>
    <w:rPr>
      <w:rFonts w:ascii="Arial" w:hAnsi="Arial"/>
      <w:szCs w:val="24"/>
    </w:rPr>
  </w:style>
  <w:style w:type="character" w:customStyle="1" w:styleId="NormalArialChar">
    <w:name w:val="Normal+Arial Char"/>
    <w:link w:val="NormalArial"/>
    <w:rsid w:val="00F80C33"/>
    <w:rPr>
      <w:rFonts w:ascii="Arial" w:hAnsi="Arial"/>
      <w:sz w:val="24"/>
      <w:szCs w:val="24"/>
      <w:lang w:val="en-US" w:eastAsia="en-US" w:bidi="ar-SA"/>
    </w:rPr>
  </w:style>
  <w:style w:type="paragraph" w:customStyle="1" w:styleId="Char3">
    <w:name w:val="Char3"/>
    <w:basedOn w:val="Normal"/>
    <w:rsid w:val="00F80C33"/>
    <w:pPr>
      <w:spacing w:after="160" w:line="240" w:lineRule="exact"/>
    </w:pPr>
    <w:rPr>
      <w:rFonts w:ascii="Verdana" w:hAnsi="Verdana"/>
      <w:sz w:val="16"/>
    </w:rPr>
  </w:style>
  <w:style w:type="paragraph" w:styleId="Revision">
    <w:name w:val="Revision"/>
    <w:hidden/>
    <w:uiPriority w:val="99"/>
    <w:rsid w:val="001E5971"/>
    <w:rPr>
      <w:sz w:val="24"/>
    </w:rPr>
  </w:style>
  <w:style w:type="character" w:customStyle="1" w:styleId="FormulaBoldChar">
    <w:name w:val="Formula Bold Char"/>
    <w:link w:val="FormulaBold"/>
    <w:locked/>
    <w:rsid w:val="00C078A2"/>
    <w:rPr>
      <w:b/>
      <w:sz w:val="24"/>
      <w:szCs w:val="24"/>
      <w:lang w:val="x-none" w:eastAsia="x-none"/>
    </w:rPr>
  </w:style>
  <w:style w:type="character" w:customStyle="1" w:styleId="FormulaChar">
    <w:name w:val="Formula Char"/>
    <w:link w:val="Formula"/>
    <w:locked/>
    <w:rsid w:val="0063616C"/>
    <w:rPr>
      <w:bCs/>
      <w:sz w:val="24"/>
      <w:szCs w:val="24"/>
      <w:lang w:val="x-none" w:eastAsia="x-none"/>
    </w:rPr>
  </w:style>
  <w:style w:type="paragraph" w:customStyle="1" w:styleId="tablebody0">
    <w:name w:val="tablebody"/>
    <w:basedOn w:val="Normal"/>
    <w:rsid w:val="005306CA"/>
    <w:pPr>
      <w:spacing w:after="60"/>
    </w:pPr>
    <w:rPr>
      <w:sz w:val="20"/>
    </w:rPr>
  </w:style>
  <w:style w:type="character" w:customStyle="1" w:styleId="DeltaViewInsertion">
    <w:name w:val="DeltaView Insertion"/>
    <w:rsid w:val="00D578CB"/>
    <w:rPr>
      <w:color w:val="0000FF"/>
      <w:spacing w:val="0"/>
      <w:u w:val="double"/>
    </w:rPr>
  </w:style>
  <w:style w:type="character" w:customStyle="1" w:styleId="CommentTextChar">
    <w:name w:val="Comment Text Char"/>
    <w:link w:val="CommentText"/>
    <w:locked/>
    <w:rsid w:val="00761147"/>
  </w:style>
  <w:style w:type="paragraph" w:customStyle="1" w:styleId="TXUNormal">
    <w:name w:val="TXUNormal"/>
    <w:rsid w:val="00CA4DC9"/>
    <w:pPr>
      <w:spacing w:after="120"/>
    </w:pPr>
  </w:style>
  <w:style w:type="paragraph" w:customStyle="1" w:styleId="TXUHeader">
    <w:name w:val="TXUHeader"/>
    <w:basedOn w:val="TXUNormal"/>
    <w:rsid w:val="00CA4DC9"/>
    <w:pPr>
      <w:tabs>
        <w:tab w:val="right" w:pos="9360"/>
      </w:tabs>
      <w:spacing w:after="0"/>
    </w:pPr>
    <w:rPr>
      <w:noProof/>
      <w:sz w:val="16"/>
    </w:rPr>
  </w:style>
  <w:style w:type="paragraph" w:customStyle="1" w:styleId="TXUHeaderForm">
    <w:name w:val="TXUHeaderForm"/>
    <w:basedOn w:val="TXUHeader"/>
    <w:next w:val="Normal"/>
    <w:rsid w:val="00CA4DC9"/>
    <w:rPr>
      <w:sz w:val="24"/>
    </w:rPr>
  </w:style>
  <w:style w:type="paragraph" w:customStyle="1" w:styleId="TXUSubject">
    <w:name w:val="TXUSubject"/>
    <w:basedOn w:val="TXUNormal"/>
    <w:next w:val="TXUNormal"/>
    <w:rsid w:val="00CA4DC9"/>
    <w:pPr>
      <w:spacing w:after="240"/>
    </w:pPr>
    <w:rPr>
      <w:b/>
    </w:rPr>
  </w:style>
  <w:style w:type="paragraph" w:customStyle="1" w:styleId="TXUFooter">
    <w:name w:val="TXUFooter"/>
    <w:basedOn w:val="TXUNormal"/>
    <w:rsid w:val="00CA4DC9"/>
    <w:pPr>
      <w:pBdr>
        <w:top w:val="single" w:sz="4" w:space="1" w:color="auto"/>
      </w:pBdr>
      <w:tabs>
        <w:tab w:val="center" w:pos="4536"/>
        <w:tab w:val="right" w:pos="9360"/>
      </w:tabs>
      <w:spacing w:after="0"/>
    </w:pPr>
    <w:rPr>
      <w:sz w:val="16"/>
    </w:rPr>
  </w:style>
  <w:style w:type="paragraph" w:customStyle="1" w:styleId="TXUFooterPage">
    <w:name w:val="TXUFooterPage"/>
    <w:basedOn w:val="TXUFooter"/>
    <w:next w:val="TXUFooter"/>
    <w:rsid w:val="00CA4DC9"/>
    <w:rPr>
      <w:sz w:val="20"/>
    </w:rPr>
  </w:style>
  <w:style w:type="paragraph" w:customStyle="1" w:styleId="Comments">
    <w:name w:val="Comments"/>
    <w:basedOn w:val="Normal"/>
    <w:rsid w:val="00CA4DC9"/>
    <w:pPr>
      <w:pBdr>
        <w:top w:val="single" w:sz="4" w:space="1" w:color="auto"/>
        <w:left w:val="single" w:sz="4" w:space="4" w:color="auto"/>
        <w:bottom w:val="single" w:sz="4" w:space="1" w:color="auto"/>
        <w:right w:val="single" w:sz="4" w:space="4" w:color="auto"/>
      </w:pBdr>
      <w:shd w:val="clear" w:color="auto" w:fill="CCCCCC"/>
      <w:spacing w:before="120" w:after="120"/>
      <w:ind w:left="720" w:right="720"/>
    </w:pPr>
  </w:style>
  <w:style w:type="numbering" w:customStyle="1" w:styleId="NoList1">
    <w:name w:val="No List1"/>
    <w:next w:val="NoList"/>
    <w:uiPriority w:val="99"/>
    <w:semiHidden/>
    <w:unhideWhenUsed/>
    <w:rsid w:val="00CA4DC9"/>
  </w:style>
  <w:style w:type="character" w:customStyle="1" w:styleId="Heading2Char">
    <w:name w:val="Heading 2 Char"/>
    <w:aliases w:val="h2 Char"/>
    <w:link w:val="Heading2"/>
    <w:rsid w:val="00CA4DC9"/>
    <w:rPr>
      <w:b/>
      <w:sz w:val="24"/>
    </w:rPr>
  </w:style>
  <w:style w:type="paragraph" w:customStyle="1" w:styleId="InstructionsCharCharCharCharCharChar">
    <w:name w:val="Instructions Char Char Char Char Char Char"/>
    <w:basedOn w:val="BodyText"/>
    <w:link w:val="InstructionsCharCharCharCharCharCharChar"/>
    <w:rsid w:val="00CA4DC9"/>
    <w:rPr>
      <w:b/>
      <w:i/>
      <w:iCs w:val="0"/>
      <w:szCs w:val="24"/>
    </w:rPr>
  </w:style>
  <w:style w:type="character" w:customStyle="1" w:styleId="CharCharCharCharCharCharCharChar">
    <w:name w:val="Char Char Char Char Char Char Char Char"/>
    <w:rsid w:val="00CA4DC9"/>
    <w:rPr>
      <w:iCs/>
      <w:sz w:val="24"/>
      <w:lang w:val="en-US" w:eastAsia="en-US" w:bidi="ar-SA"/>
    </w:rPr>
  </w:style>
  <w:style w:type="character" w:customStyle="1" w:styleId="InstructionsCharCharCharCharCharCharChar">
    <w:name w:val="Instructions Char Char Char Char Char Char Char"/>
    <w:link w:val="InstructionsCharCharCharCharCharChar"/>
    <w:rsid w:val="00CA4DC9"/>
    <w:rPr>
      <w:b/>
      <w:i/>
      <w:sz w:val="24"/>
      <w:szCs w:val="24"/>
    </w:rPr>
  </w:style>
  <w:style w:type="paragraph" w:customStyle="1" w:styleId="TermDefinition">
    <w:name w:val="Term Definition"/>
    <w:basedOn w:val="Normal"/>
    <w:rsid w:val="00CA4DC9"/>
    <w:pPr>
      <w:spacing w:after="60"/>
      <w:ind w:left="720"/>
    </w:pPr>
  </w:style>
  <w:style w:type="paragraph" w:customStyle="1" w:styleId="TermTitle">
    <w:name w:val="Term Title"/>
    <w:basedOn w:val="Normal"/>
    <w:link w:val="TermTitleChar"/>
    <w:rsid w:val="00CA4DC9"/>
    <w:pPr>
      <w:spacing w:before="120"/>
      <w:ind w:left="720"/>
    </w:pPr>
    <w:rPr>
      <w:b/>
    </w:rPr>
  </w:style>
  <w:style w:type="paragraph" w:customStyle="1" w:styleId="Style1">
    <w:name w:val="Style1"/>
    <w:basedOn w:val="BodyText3"/>
    <w:rsid w:val="00CA4DC9"/>
    <w:rPr>
      <w:b/>
      <w:sz w:val="40"/>
      <w:szCs w:val="40"/>
    </w:rPr>
  </w:style>
  <w:style w:type="character" w:customStyle="1" w:styleId="Heading1Char">
    <w:name w:val="Heading 1 Char"/>
    <w:aliases w:val="h1 Char"/>
    <w:link w:val="Heading1"/>
    <w:rsid w:val="00CA4DC9"/>
    <w:rPr>
      <w:b/>
      <w:caps/>
      <w:sz w:val="24"/>
    </w:rPr>
  </w:style>
  <w:style w:type="paragraph" w:styleId="BodyText3">
    <w:name w:val="Body Text 3"/>
    <w:basedOn w:val="Normal"/>
    <w:link w:val="BodyText3Char"/>
    <w:rsid w:val="00CA4DC9"/>
    <w:pPr>
      <w:spacing w:after="120"/>
    </w:pPr>
    <w:rPr>
      <w:sz w:val="16"/>
      <w:szCs w:val="16"/>
    </w:rPr>
  </w:style>
  <w:style w:type="character" w:customStyle="1" w:styleId="BodyText3Char">
    <w:name w:val="Body Text 3 Char"/>
    <w:basedOn w:val="DefaultParagraphFont"/>
    <w:link w:val="BodyText3"/>
    <w:rsid w:val="00CA4DC9"/>
    <w:rPr>
      <w:sz w:val="16"/>
      <w:szCs w:val="16"/>
    </w:rPr>
  </w:style>
  <w:style w:type="character" w:customStyle="1" w:styleId="CharCharCharCharCharCharCharChar1">
    <w:name w:val="Char Char Char Char Char Char Char Char1"/>
    <w:rsid w:val="00CA4DC9"/>
    <w:rPr>
      <w:iCs/>
      <w:sz w:val="24"/>
      <w:lang w:val="en-US" w:eastAsia="en-US" w:bidi="ar-SA"/>
    </w:rPr>
  </w:style>
  <w:style w:type="character" w:customStyle="1" w:styleId="msoins0">
    <w:name w:val="msoins"/>
    <w:rsid w:val="00CA4DC9"/>
  </w:style>
  <w:style w:type="character" w:customStyle="1" w:styleId="BodyTextChar1Char">
    <w:name w:val="Body Text Char1 Char"/>
    <w:aliases w:val="Char Char Char Char Char Char Char1 Char,Char Char Char Char Char Char Char Char2 Char,Body Text Char Char Char1 Char,Body Text Char1 Char Char Char1 Char,Body Text Char Char Char Char Char1 Char"/>
    <w:rsid w:val="00CA4DC9"/>
    <w:rPr>
      <w:iCs/>
      <w:sz w:val="24"/>
      <w:lang w:val="en-US" w:eastAsia="en-US" w:bidi="ar-SA"/>
    </w:rPr>
  </w:style>
  <w:style w:type="character" w:customStyle="1" w:styleId="H2CharChar">
    <w:name w:val="H2 Char Char"/>
    <w:rsid w:val="00CA4DC9"/>
    <w:rPr>
      <w:b w:val="0"/>
      <w:sz w:val="24"/>
      <w:lang w:val="en-US" w:eastAsia="en-US" w:bidi="ar-SA"/>
    </w:rPr>
  </w:style>
  <w:style w:type="character" w:customStyle="1" w:styleId="TermTitleChar">
    <w:name w:val="Term Title Char"/>
    <w:link w:val="TermTitle"/>
    <w:rsid w:val="00CA4DC9"/>
    <w:rPr>
      <w:b/>
      <w:sz w:val="24"/>
    </w:rPr>
  </w:style>
  <w:style w:type="paragraph" w:customStyle="1" w:styleId="Char4">
    <w:name w:val="Char4"/>
    <w:basedOn w:val="Normal"/>
    <w:rsid w:val="00CA4DC9"/>
    <w:pPr>
      <w:spacing w:after="160" w:line="240" w:lineRule="exact"/>
    </w:pPr>
    <w:rPr>
      <w:rFonts w:ascii="Verdana" w:hAnsi="Verdana"/>
      <w:sz w:val="16"/>
    </w:rPr>
  </w:style>
  <w:style w:type="character" w:customStyle="1" w:styleId="DocumentMapChar">
    <w:name w:val="Document Map Char"/>
    <w:basedOn w:val="DefaultParagraphFont"/>
    <w:link w:val="DocumentMap"/>
    <w:rsid w:val="00CA4DC9"/>
    <w:rPr>
      <w:rFonts w:ascii="Tahoma" w:hAnsi="Tahoma" w:cs="Tahoma"/>
      <w:shd w:val="clear" w:color="auto" w:fill="000080"/>
    </w:rPr>
  </w:style>
  <w:style w:type="paragraph" w:customStyle="1" w:styleId="Char31">
    <w:name w:val="Char31"/>
    <w:basedOn w:val="Normal"/>
    <w:rsid w:val="00CA4DC9"/>
    <w:pPr>
      <w:spacing w:after="160" w:line="240" w:lineRule="exact"/>
    </w:pPr>
    <w:rPr>
      <w:rFonts w:ascii="Verdana" w:hAnsi="Verdana"/>
      <w:sz w:val="16"/>
    </w:rPr>
  </w:style>
  <w:style w:type="paragraph" w:customStyle="1" w:styleId="Acronym">
    <w:name w:val="Acronym"/>
    <w:basedOn w:val="BodyText"/>
    <w:rsid w:val="00CA4DC9"/>
    <w:pPr>
      <w:tabs>
        <w:tab w:val="left" w:pos="1440"/>
      </w:tabs>
      <w:spacing w:after="0"/>
    </w:pPr>
  </w:style>
  <w:style w:type="numbering" w:customStyle="1" w:styleId="NoList2">
    <w:name w:val="No List2"/>
    <w:next w:val="NoList"/>
    <w:uiPriority w:val="99"/>
    <w:semiHidden/>
    <w:unhideWhenUsed/>
    <w:rsid w:val="00CA4DC9"/>
  </w:style>
  <w:style w:type="character" w:customStyle="1" w:styleId="Heading4Char">
    <w:name w:val="Heading 4 Char"/>
    <w:aliases w:val="h4 Char,delete Char"/>
    <w:link w:val="Heading4"/>
    <w:uiPriority w:val="9"/>
    <w:rsid w:val="00CA4DC9"/>
    <w:rPr>
      <w:b/>
      <w:bCs/>
      <w:snapToGrid w:val="0"/>
      <w:sz w:val="24"/>
    </w:rPr>
  </w:style>
  <w:style w:type="paragraph" w:customStyle="1" w:styleId="List1">
    <w:name w:val="List1"/>
    <w:basedOn w:val="H4"/>
    <w:rsid w:val="00CA4DC9"/>
    <w:pPr>
      <w:tabs>
        <w:tab w:val="clear" w:pos="1260"/>
      </w:tabs>
      <w:ind w:left="1440" w:hanging="720"/>
    </w:pPr>
    <w:rPr>
      <w:b w:val="0"/>
      <w:bCs w:val="0"/>
    </w:rPr>
  </w:style>
  <w:style w:type="paragraph" w:customStyle="1" w:styleId="Char">
    <w:name w:val="Char"/>
    <w:basedOn w:val="Normal"/>
    <w:rsid w:val="00CA4DC9"/>
    <w:pPr>
      <w:spacing w:after="160" w:line="240" w:lineRule="exact"/>
    </w:pPr>
    <w:rPr>
      <w:rFonts w:ascii="Verdana" w:hAnsi="Verdana"/>
      <w:sz w:val="16"/>
    </w:rPr>
  </w:style>
  <w:style w:type="character" w:customStyle="1" w:styleId="DeltaViewMoveDestination">
    <w:name w:val="DeltaView Move Destination"/>
    <w:rsid w:val="00CA4DC9"/>
    <w:rPr>
      <w:color w:val="00C000"/>
      <w:spacing w:val="0"/>
      <w:u w:val="double"/>
    </w:rPr>
  </w:style>
  <w:style w:type="character" w:customStyle="1" w:styleId="BodyText2Char">
    <w:name w:val="Body Text 2 Char"/>
    <w:basedOn w:val="DefaultParagraphFont"/>
    <w:link w:val="BodyText2"/>
    <w:rsid w:val="00CA4DC9"/>
    <w:rPr>
      <w:sz w:val="24"/>
    </w:rPr>
  </w:style>
  <w:style w:type="paragraph" w:styleId="BodyTextFirstIndent">
    <w:name w:val="Body Text First Indent"/>
    <w:basedOn w:val="BodyText"/>
    <w:link w:val="BodyTextFirstIndentChar"/>
    <w:rsid w:val="00CA4DC9"/>
    <w:pPr>
      <w:spacing w:after="120"/>
      <w:ind w:firstLine="210"/>
    </w:pPr>
    <w:rPr>
      <w:iCs w:val="0"/>
    </w:rPr>
  </w:style>
  <w:style w:type="character" w:customStyle="1" w:styleId="BodyTextFirstIndentChar">
    <w:name w:val="Body Text First Indent Char"/>
    <w:basedOn w:val="BodyTextChar3"/>
    <w:link w:val="BodyTextFirstIndent"/>
    <w:rsid w:val="00CA4DC9"/>
    <w:rPr>
      <w:iCs w:val="0"/>
      <w:sz w:val="24"/>
      <w:lang w:val="en-US" w:eastAsia="en-US" w:bidi="ar-SA"/>
    </w:rPr>
  </w:style>
  <w:style w:type="paragraph" w:styleId="BodyTextFirstIndent2">
    <w:name w:val="Body Text First Indent 2"/>
    <w:basedOn w:val="BodyTextIndent"/>
    <w:link w:val="BodyTextFirstIndent2Char"/>
    <w:rsid w:val="00CA4DC9"/>
    <w:pPr>
      <w:spacing w:after="120"/>
      <w:ind w:left="360" w:firstLine="210"/>
    </w:pPr>
    <w:rPr>
      <w:iCs w:val="0"/>
    </w:rPr>
  </w:style>
  <w:style w:type="character" w:customStyle="1" w:styleId="BodyTextFirstIndent2Char">
    <w:name w:val="Body Text First Indent 2 Char"/>
    <w:basedOn w:val="BodyTextIndentChar"/>
    <w:link w:val="BodyTextFirstIndent2"/>
    <w:rsid w:val="00CA4DC9"/>
    <w:rPr>
      <w:iCs w:val="0"/>
      <w:sz w:val="24"/>
      <w:lang w:val="en-US" w:eastAsia="en-US" w:bidi="ar-SA"/>
    </w:rPr>
  </w:style>
  <w:style w:type="paragraph" w:styleId="BodyTextIndent2">
    <w:name w:val="Body Text Indent 2"/>
    <w:basedOn w:val="Normal"/>
    <w:link w:val="BodyTextIndent2Char"/>
    <w:rsid w:val="00CA4DC9"/>
    <w:pPr>
      <w:spacing w:after="120" w:line="480" w:lineRule="auto"/>
      <w:ind w:left="360"/>
    </w:pPr>
  </w:style>
  <w:style w:type="character" w:customStyle="1" w:styleId="BodyTextIndent2Char">
    <w:name w:val="Body Text Indent 2 Char"/>
    <w:basedOn w:val="DefaultParagraphFont"/>
    <w:link w:val="BodyTextIndent2"/>
    <w:rsid w:val="00CA4DC9"/>
    <w:rPr>
      <w:sz w:val="24"/>
    </w:rPr>
  </w:style>
  <w:style w:type="paragraph" w:styleId="BodyTextIndent3">
    <w:name w:val="Body Text Indent 3"/>
    <w:basedOn w:val="Normal"/>
    <w:link w:val="BodyTextIndent3Char"/>
    <w:rsid w:val="00CA4DC9"/>
    <w:pPr>
      <w:spacing w:after="120"/>
      <w:ind w:left="360"/>
    </w:pPr>
    <w:rPr>
      <w:sz w:val="16"/>
      <w:szCs w:val="16"/>
    </w:rPr>
  </w:style>
  <w:style w:type="character" w:customStyle="1" w:styleId="BodyTextIndent3Char">
    <w:name w:val="Body Text Indent 3 Char"/>
    <w:basedOn w:val="DefaultParagraphFont"/>
    <w:link w:val="BodyTextIndent3"/>
    <w:rsid w:val="00CA4DC9"/>
    <w:rPr>
      <w:sz w:val="16"/>
      <w:szCs w:val="16"/>
    </w:rPr>
  </w:style>
  <w:style w:type="paragraph" w:styleId="Caption">
    <w:name w:val="caption"/>
    <w:basedOn w:val="Normal"/>
    <w:next w:val="Normal"/>
    <w:qFormat/>
    <w:rsid w:val="00CA4DC9"/>
    <w:rPr>
      <w:b/>
      <w:bCs/>
      <w:sz w:val="20"/>
    </w:rPr>
  </w:style>
  <w:style w:type="paragraph" w:styleId="Closing">
    <w:name w:val="Closing"/>
    <w:basedOn w:val="Normal"/>
    <w:link w:val="ClosingChar"/>
    <w:rsid w:val="00CA4DC9"/>
    <w:pPr>
      <w:ind w:left="4320"/>
    </w:pPr>
  </w:style>
  <w:style w:type="character" w:customStyle="1" w:styleId="ClosingChar">
    <w:name w:val="Closing Char"/>
    <w:basedOn w:val="DefaultParagraphFont"/>
    <w:link w:val="Closing"/>
    <w:rsid w:val="00CA4DC9"/>
    <w:rPr>
      <w:sz w:val="24"/>
    </w:rPr>
  </w:style>
  <w:style w:type="paragraph" w:styleId="Date">
    <w:name w:val="Date"/>
    <w:basedOn w:val="Normal"/>
    <w:next w:val="Normal"/>
    <w:link w:val="DateChar"/>
    <w:rsid w:val="00CA4DC9"/>
  </w:style>
  <w:style w:type="character" w:customStyle="1" w:styleId="DateChar">
    <w:name w:val="Date Char"/>
    <w:basedOn w:val="DefaultParagraphFont"/>
    <w:link w:val="Date"/>
    <w:rsid w:val="00CA4DC9"/>
    <w:rPr>
      <w:sz w:val="24"/>
    </w:rPr>
  </w:style>
  <w:style w:type="paragraph" w:styleId="E-mailSignature">
    <w:name w:val="E-mail Signature"/>
    <w:basedOn w:val="Normal"/>
    <w:link w:val="E-mailSignatureChar"/>
    <w:rsid w:val="00CA4DC9"/>
  </w:style>
  <w:style w:type="character" w:customStyle="1" w:styleId="E-mailSignatureChar">
    <w:name w:val="E-mail Signature Char"/>
    <w:basedOn w:val="DefaultParagraphFont"/>
    <w:link w:val="E-mailSignature"/>
    <w:rsid w:val="00CA4DC9"/>
    <w:rPr>
      <w:sz w:val="24"/>
    </w:rPr>
  </w:style>
  <w:style w:type="paragraph" w:styleId="EndnoteText">
    <w:name w:val="endnote text"/>
    <w:basedOn w:val="Normal"/>
    <w:link w:val="EndnoteTextChar"/>
    <w:rsid w:val="00CA4DC9"/>
    <w:rPr>
      <w:sz w:val="20"/>
    </w:rPr>
  </w:style>
  <w:style w:type="character" w:customStyle="1" w:styleId="EndnoteTextChar">
    <w:name w:val="Endnote Text Char"/>
    <w:basedOn w:val="DefaultParagraphFont"/>
    <w:link w:val="EndnoteText"/>
    <w:rsid w:val="00CA4DC9"/>
  </w:style>
  <w:style w:type="paragraph" w:styleId="EnvelopeAddress">
    <w:name w:val="envelope address"/>
    <w:basedOn w:val="Normal"/>
    <w:rsid w:val="00CA4DC9"/>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CA4DC9"/>
    <w:rPr>
      <w:rFonts w:ascii="Arial" w:hAnsi="Arial" w:cs="Arial"/>
      <w:sz w:val="20"/>
    </w:rPr>
  </w:style>
  <w:style w:type="paragraph" w:styleId="HTMLAddress">
    <w:name w:val="HTML Address"/>
    <w:basedOn w:val="Normal"/>
    <w:link w:val="HTMLAddressChar"/>
    <w:rsid w:val="00CA4DC9"/>
    <w:rPr>
      <w:i/>
      <w:iCs/>
    </w:rPr>
  </w:style>
  <w:style w:type="character" w:customStyle="1" w:styleId="HTMLAddressChar">
    <w:name w:val="HTML Address Char"/>
    <w:basedOn w:val="DefaultParagraphFont"/>
    <w:link w:val="HTMLAddress"/>
    <w:rsid w:val="00CA4DC9"/>
    <w:rPr>
      <w:i/>
      <w:iCs/>
      <w:sz w:val="24"/>
    </w:rPr>
  </w:style>
  <w:style w:type="paragraph" w:styleId="HTMLPreformatted">
    <w:name w:val="HTML Preformatted"/>
    <w:basedOn w:val="Normal"/>
    <w:link w:val="HTMLPreformattedChar"/>
    <w:rsid w:val="00CA4DC9"/>
    <w:rPr>
      <w:rFonts w:ascii="Courier New" w:hAnsi="Courier New" w:cs="Courier New"/>
      <w:sz w:val="20"/>
    </w:rPr>
  </w:style>
  <w:style w:type="character" w:customStyle="1" w:styleId="HTMLPreformattedChar">
    <w:name w:val="HTML Preformatted Char"/>
    <w:basedOn w:val="DefaultParagraphFont"/>
    <w:link w:val="HTMLPreformatted"/>
    <w:rsid w:val="00CA4DC9"/>
    <w:rPr>
      <w:rFonts w:ascii="Courier New" w:hAnsi="Courier New" w:cs="Courier New"/>
    </w:rPr>
  </w:style>
  <w:style w:type="paragraph" w:styleId="Index1">
    <w:name w:val="index 1"/>
    <w:basedOn w:val="Normal"/>
    <w:next w:val="Normal"/>
    <w:autoRedefine/>
    <w:rsid w:val="00CA4DC9"/>
    <w:pPr>
      <w:ind w:left="240" w:hanging="240"/>
    </w:pPr>
  </w:style>
  <w:style w:type="paragraph" w:styleId="Index2">
    <w:name w:val="index 2"/>
    <w:basedOn w:val="Normal"/>
    <w:next w:val="Normal"/>
    <w:autoRedefine/>
    <w:rsid w:val="00CA4DC9"/>
    <w:pPr>
      <w:ind w:left="480" w:hanging="240"/>
    </w:pPr>
  </w:style>
  <w:style w:type="paragraph" w:styleId="Index3">
    <w:name w:val="index 3"/>
    <w:basedOn w:val="Normal"/>
    <w:next w:val="Normal"/>
    <w:autoRedefine/>
    <w:rsid w:val="00CA4DC9"/>
    <w:pPr>
      <w:ind w:left="720" w:hanging="240"/>
    </w:pPr>
  </w:style>
  <w:style w:type="paragraph" w:styleId="Index4">
    <w:name w:val="index 4"/>
    <w:basedOn w:val="Normal"/>
    <w:next w:val="Normal"/>
    <w:autoRedefine/>
    <w:rsid w:val="00CA4DC9"/>
    <w:pPr>
      <w:ind w:left="960" w:hanging="240"/>
    </w:pPr>
  </w:style>
  <w:style w:type="paragraph" w:styleId="Index5">
    <w:name w:val="index 5"/>
    <w:basedOn w:val="Normal"/>
    <w:next w:val="Normal"/>
    <w:autoRedefine/>
    <w:rsid w:val="00CA4DC9"/>
    <w:pPr>
      <w:ind w:left="1200" w:hanging="240"/>
    </w:pPr>
  </w:style>
  <w:style w:type="paragraph" w:styleId="Index6">
    <w:name w:val="index 6"/>
    <w:basedOn w:val="Normal"/>
    <w:next w:val="Normal"/>
    <w:autoRedefine/>
    <w:rsid w:val="00CA4DC9"/>
    <w:pPr>
      <w:ind w:left="1440" w:hanging="240"/>
    </w:pPr>
  </w:style>
  <w:style w:type="paragraph" w:styleId="Index7">
    <w:name w:val="index 7"/>
    <w:basedOn w:val="Normal"/>
    <w:next w:val="Normal"/>
    <w:autoRedefine/>
    <w:rsid w:val="00CA4DC9"/>
    <w:pPr>
      <w:ind w:left="1680" w:hanging="240"/>
    </w:pPr>
  </w:style>
  <w:style w:type="paragraph" w:styleId="Index8">
    <w:name w:val="index 8"/>
    <w:basedOn w:val="Normal"/>
    <w:next w:val="Normal"/>
    <w:autoRedefine/>
    <w:rsid w:val="00CA4DC9"/>
    <w:pPr>
      <w:ind w:left="1920" w:hanging="240"/>
    </w:pPr>
  </w:style>
  <w:style w:type="paragraph" w:styleId="Index9">
    <w:name w:val="index 9"/>
    <w:basedOn w:val="Normal"/>
    <w:next w:val="Normal"/>
    <w:autoRedefine/>
    <w:rsid w:val="00CA4DC9"/>
    <w:pPr>
      <w:ind w:left="2160" w:hanging="240"/>
    </w:pPr>
  </w:style>
  <w:style w:type="paragraph" w:styleId="IndexHeading">
    <w:name w:val="index heading"/>
    <w:basedOn w:val="Normal"/>
    <w:next w:val="Index1"/>
    <w:rsid w:val="00CA4DC9"/>
    <w:rPr>
      <w:rFonts w:ascii="Arial" w:hAnsi="Arial" w:cs="Arial"/>
      <w:b/>
      <w:bCs/>
    </w:rPr>
  </w:style>
  <w:style w:type="paragraph" w:styleId="List4">
    <w:name w:val="List 4"/>
    <w:basedOn w:val="Normal"/>
    <w:rsid w:val="00CA4DC9"/>
    <w:pPr>
      <w:ind w:left="1440" w:hanging="360"/>
    </w:pPr>
  </w:style>
  <w:style w:type="paragraph" w:styleId="List5">
    <w:name w:val="List 5"/>
    <w:basedOn w:val="Normal"/>
    <w:rsid w:val="00CA4DC9"/>
    <w:pPr>
      <w:ind w:left="1800" w:hanging="360"/>
    </w:pPr>
  </w:style>
  <w:style w:type="paragraph" w:styleId="ListBullet">
    <w:name w:val="List Bullet"/>
    <w:basedOn w:val="Normal"/>
    <w:rsid w:val="00CA4DC9"/>
    <w:pPr>
      <w:tabs>
        <w:tab w:val="num" w:pos="360"/>
      </w:tabs>
      <w:ind w:left="360" w:hanging="360"/>
    </w:pPr>
  </w:style>
  <w:style w:type="paragraph" w:styleId="ListBullet2">
    <w:name w:val="List Bullet 2"/>
    <w:basedOn w:val="Normal"/>
    <w:rsid w:val="00CA4DC9"/>
    <w:pPr>
      <w:tabs>
        <w:tab w:val="num" w:pos="720"/>
      </w:tabs>
      <w:ind w:left="720" w:hanging="360"/>
    </w:pPr>
  </w:style>
  <w:style w:type="paragraph" w:styleId="ListBullet3">
    <w:name w:val="List Bullet 3"/>
    <w:basedOn w:val="Normal"/>
    <w:rsid w:val="00CA4DC9"/>
    <w:pPr>
      <w:tabs>
        <w:tab w:val="num" w:pos="1080"/>
      </w:tabs>
      <w:ind w:left="1080" w:hanging="360"/>
    </w:pPr>
  </w:style>
  <w:style w:type="paragraph" w:styleId="ListBullet4">
    <w:name w:val="List Bullet 4"/>
    <w:basedOn w:val="Normal"/>
    <w:rsid w:val="00CA4DC9"/>
    <w:pPr>
      <w:tabs>
        <w:tab w:val="num" w:pos="1440"/>
      </w:tabs>
      <w:ind w:left="1440" w:hanging="360"/>
    </w:pPr>
  </w:style>
  <w:style w:type="paragraph" w:styleId="ListBullet5">
    <w:name w:val="List Bullet 5"/>
    <w:basedOn w:val="Normal"/>
    <w:rsid w:val="00CA4DC9"/>
    <w:pPr>
      <w:tabs>
        <w:tab w:val="num" w:pos="1800"/>
      </w:tabs>
      <w:ind w:left="1800" w:hanging="360"/>
    </w:pPr>
  </w:style>
  <w:style w:type="paragraph" w:styleId="ListContinue">
    <w:name w:val="List Continue"/>
    <w:basedOn w:val="Normal"/>
    <w:rsid w:val="00CA4DC9"/>
    <w:pPr>
      <w:spacing w:after="120"/>
      <w:ind w:left="360"/>
    </w:pPr>
  </w:style>
  <w:style w:type="paragraph" w:styleId="ListContinue2">
    <w:name w:val="List Continue 2"/>
    <w:basedOn w:val="Normal"/>
    <w:rsid w:val="00CA4DC9"/>
    <w:pPr>
      <w:spacing w:after="120"/>
      <w:ind w:left="720"/>
    </w:pPr>
  </w:style>
  <w:style w:type="paragraph" w:styleId="ListContinue3">
    <w:name w:val="List Continue 3"/>
    <w:basedOn w:val="Normal"/>
    <w:rsid w:val="00CA4DC9"/>
    <w:pPr>
      <w:spacing w:after="120"/>
      <w:ind w:left="1080"/>
    </w:pPr>
  </w:style>
  <w:style w:type="paragraph" w:styleId="ListContinue4">
    <w:name w:val="List Continue 4"/>
    <w:basedOn w:val="Normal"/>
    <w:rsid w:val="00CA4DC9"/>
    <w:pPr>
      <w:spacing w:after="120"/>
      <w:ind w:left="1440"/>
    </w:pPr>
  </w:style>
  <w:style w:type="paragraph" w:styleId="ListContinue5">
    <w:name w:val="List Continue 5"/>
    <w:basedOn w:val="Normal"/>
    <w:rsid w:val="00CA4DC9"/>
    <w:pPr>
      <w:spacing w:after="120"/>
      <w:ind w:left="1800"/>
    </w:pPr>
  </w:style>
  <w:style w:type="paragraph" w:styleId="ListNumber">
    <w:name w:val="List Number"/>
    <w:basedOn w:val="Normal"/>
    <w:rsid w:val="00CA4DC9"/>
    <w:pPr>
      <w:tabs>
        <w:tab w:val="num" w:pos="360"/>
      </w:tabs>
      <w:ind w:left="360" w:hanging="360"/>
    </w:pPr>
  </w:style>
  <w:style w:type="paragraph" w:styleId="ListNumber2">
    <w:name w:val="List Number 2"/>
    <w:basedOn w:val="Normal"/>
    <w:rsid w:val="00CA4DC9"/>
    <w:pPr>
      <w:tabs>
        <w:tab w:val="num" w:pos="720"/>
      </w:tabs>
      <w:ind w:left="720" w:hanging="360"/>
    </w:pPr>
  </w:style>
  <w:style w:type="paragraph" w:styleId="ListNumber3">
    <w:name w:val="List Number 3"/>
    <w:basedOn w:val="Normal"/>
    <w:rsid w:val="00CA4DC9"/>
    <w:pPr>
      <w:tabs>
        <w:tab w:val="num" w:pos="1080"/>
      </w:tabs>
      <w:ind w:left="1080" w:hanging="360"/>
    </w:pPr>
  </w:style>
  <w:style w:type="paragraph" w:styleId="ListNumber4">
    <w:name w:val="List Number 4"/>
    <w:basedOn w:val="Normal"/>
    <w:rsid w:val="00CA4DC9"/>
    <w:pPr>
      <w:tabs>
        <w:tab w:val="num" w:pos="1440"/>
      </w:tabs>
      <w:ind w:left="1440" w:hanging="360"/>
    </w:pPr>
  </w:style>
  <w:style w:type="paragraph" w:styleId="ListNumber5">
    <w:name w:val="List Number 5"/>
    <w:basedOn w:val="Normal"/>
    <w:rsid w:val="00CA4DC9"/>
    <w:pPr>
      <w:tabs>
        <w:tab w:val="num" w:pos="1800"/>
      </w:tabs>
      <w:ind w:left="1800" w:hanging="360"/>
    </w:pPr>
  </w:style>
  <w:style w:type="paragraph" w:styleId="MacroText">
    <w:name w:val="macro"/>
    <w:link w:val="MacroTextChar"/>
    <w:rsid w:val="00CA4DC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CA4DC9"/>
    <w:rPr>
      <w:rFonts w:ascii="Courier New" w:hAnsi="Courier New" w:cs="Courier New"/>
    </w:rPr>
  </w:style>
  <w:style w:type="paragraph" w:styleId="MessageHeader">
    <w:name w:val="Message Header"/>
    <w:basedOn w:val="Normal"/>
    <w:link w:val="MessageHeaderChar"/>
    <w:rsid w:val="00CA4DC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character" w:customStyle="1" w:styleId="MessageHeaderChar">
    <w:name w:val="Message Header Char"/>
    <w:basedOn w:val="DefaultParagraphFont"/>
    <w:link w:val="MessageHeader"/>
    <w:rsid w:val="00CA4DC9"/>
    <w:rPr>
      <w:rFonts w:ascii="Arial" w:hAnsi="Arial" w:cs="Arial"/>
      <w:sz w:val="24"/>
      <w:szCs w:val="24"/>
      <w:shd w:val="pct20" w:color="auto" w:fill="auto"/>
    </w:rPr>
  </w:style>
  <w:style w:type="paragraph" w:styleId="NormalIndent">
    <w:name w:val="Normal Indent"/>
    <w:basedOn w:val="Normal"/>
    <w:rsid w:val="00CA4DC9"/>
    <w:pPr>
      <w:ind w:left="720"/>
    </w:pPr>
  </w:style>
  <w:style w:type="paragraph" w:styleId="NoteHeading">
    <w:name w:val="Note Heading"/>
    <w:basedOn w:val="Normal"/>
    <w:next w:val="Normal"/>
    <w:link w:val="NoteHeadingChar"/>
    <w:rsid w:val="00CA4DC9"/>
  </w:style>
  <w:style w:type="character" w:customStyle="1" w:styleId="NoteHeadingChar">
    <w:name w:val="Note Heading Char"/>
    <w:basedOn w:val="DefaultParagraphFont"/>
    <w:link w:val="NoteHeading"/>
    <w:rsid w:val="00CA4DC9"/>
    <w:rPr>
      <w:sz w:val="24"/>
    </w:rPr>
  </w:style>
  <w:style w:type="paragraph" w:styleId="PlainText">
    <w:name w:val="Plain Text"/>
    <w:basedOn w:val="Normal"/>
    <w:link w:val="PlainTextChar"/>
    <w:rsid w:val="00CA4DC9"/>
    <w:rPr>
      <w:rFonts w:ascii="Courier New" w:hAnsi="Courier New" w:cs="Courier New"/>
      <w:sz w:val="20"/>
    </w:rPr>
  </w:style>
  <w:style w:type="character" w:customStyle="1" w:styleId="PlainTextChar">
    <w:name w:val="Plain Text Char"/>
    <w:basedOn w:val="DefaultParagraphFont"/>
    <w:link w:val="PlainText"/>
    <w:rsid w:val="00CA4DC9"/>
    <w:rPr>
      <w:rFonts w:ascii="Courier New" w:hAnsi="Courier New" w:cs="Courier New"/>
    </w:rPr>
  </w:style>
  <w:style w:type="paragraph" w:styleId="Salutation">
    <w:name w:val="Salutation"/>
    <w:basedOn w:val="Normal"/>
    <w:next w:val="Normal"/>
    <w:link w:val="SalutationChar"/>
    <w:rsid w:val="00CA4DC9"/>
  </w:style>
  <w:style w:type="character" w:customStyle="1" w:styleId="SalutationChar">
    <w:name w:val="Salutation Char"/>
    <w:basedOn w:val="DefaultParagraphFont"/>
    <w:link w:val="Salutation"/>
    <w:rsid w:val="00CA4DC9"/>
    <w:rPr>
      <w:sz w:val="24"/>
    </w:rPr>
  </w:style>
  <w:style w:type="paragraph" w:styleId="Signature">
    <w:name w:val="Signature"/>
    <w:basedOn w:val="Normal"/>
    <w:link w:val="SignatureChar"/>
    <w:rsid w:val="00CA4DC9"/>
    <w:pPr>
      <w:ind w:left="4320"/>
    </w:pPr>
  </w:style>
  <w:style w:type="character" w:customStyle="1" w:styleId="SignatureChar">
    <w:name w:val="Signature Char"/>
    <w:basedOn w:val="DefaultParagraphFont"/>
    <w:link w:val="Signature"/>
    <w:rsid w:val="00CA4DC9"/>
    <w:rPr>
      <w:sz w:val="24"/>
    </w:rPr>
  </w:style>
  <w:style w:type="paragraph" w:styleId="Subtitle">
    <w:name w:val="Subtitle"/>
    <w:basedOn w:val="Normal"/>
    <w:link w:val="SubtitleChar"/>
    <w:qFormat/>
    <w:rsid w:val="00CA4DC9"/>
    <w:pPr>
      <w:spacing w:after="60"/>
      <w:jc w:val="center"/>
      <w:outlineLvl w:val="1"/>
    </w:pPr>
    <w:rPr>
      <w:rFonts w:ascii="Arial" w:hAnsi="Arial" w:cs="Arial"/>
      <w:szCs w:val="24"/>
    </w:rPr>
  </w:style>
  <w:style w:type="character" w:customStyle="1" w:styleId="SubtitleChar">
    <w:name w:val="Subtitle Char"/>
    <w:basedOn w:val="DefaultParagraphFont"/>
    <w:link w:val="Subtitle"/>
    <w:rsid w:val="00CA4DC9"/>
    <w:rPr>
      <w:rFonts w:ascii="Arial" w:hAnsi="Arial" w:cs="Arial"/>
      <w:sz w:val="24"/>
      <w:szCs w:val="24"/>
    </w:rPr>
  </w:style>
  <w:style w:type="paragraph" w:styleId="TableofAuthorities">
    <w:name w:val="table of authorities"/>
    <w:basedOn w:val="Normal"/>
    <w:next w:val="Normal"/>
    <w:rsid w:val="00CA4DC9"/>
    <w:pPr>
      <w:ind w:left="240" w:hanging="240"/>
    </w:pPr>
  </w:style>
  <w:style w:type="paragraph" w:styleId="TableofFigures">
    <w:name w:val="table of figures"/>
    <w:basedOn w:val="Normal"/>
    <w:next w:val="Normal"/>
    <w:rsid w:val="00CA4DC9"/>
  </w:style>
  <w:style w:type="paragraph" w:styleId="Title">
    <w:name w:val="Title"/>
    <w:basedOn w:val="Normal"/>
    <w:link w:val="TitleChar"/>
    <w:qFormat/>
    <w:rsid w:val="00CA4DC9"/>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CA4DC9"/>
    <w:rPr>
      <w:rFonts w:ascii="Arial" w:hAnsi="Arial" w:cs="Arial"/>
      <w:b/>
      <w:bCs/>
      <w:kern w:val="28"/>
      <w:sz w:val="32"/>
      <w:szCs w:val="32"/>
    </w:rPr>
  </w:style>
  <w:style w:type="paragraph" w:styleId="TOAHeading">
    <w:name w:val="toa heading"/>
    <w:basedOn w:val="Normal"/>
    <w:next w:val="Normal"/>
    <w:rsid w:val="00CA4DC9"/>
    <w:pPr>
      <w:spacing w:before="120"/>
    </w:pPr>
    <w:rPr>
      <w:rFonts w:ascii="Arial" w:hAnsi="Arial" w:cs="Arial"/>
      <w:b/>
      <w:bCs/>
      <w:szCs w:val="24"/>
    </w:rPr>
  </w:style>
  <w:style w:type="paragraph" w:customStyle="1" w:styleId="Char11">
    <w:name w:val="Char11"/>
    <w:basedOn w:val="Normal"/>
    <w:rsid w:val="00CA4DC9"/>
    <w:pPr>
      <w:spacing w:after="160" w:line="240" w:lineRule="exact"/>
    </w:pPr>
    <w:rPr>
      <w:rFonts w:ascii="Verdana" w:hAnsi="Verdana"/>
      <w:sz w:val="16"/>
    </w:rPr>
  </w:style>
  <w:style w:type="character" w:customStyle="1" w:styleId="H3Char1">
    <w:name w:val="H3 Char1"/>
    <w:rsid w:val="00CA4DC9"/>
    <w:rPr>
      <w:b/>
      <w:bCs/>
      <w:i/>
      <w:sz w:val="24"/>
      <w:lang w:val="en-US" w:eastAsia="en-US" w:bidi="ar-SA"/>
    </w:rPr>
  </w:style>
  <w:style w:type="table" w:customStyle="1" w:styleId="TableGrid1">
    <w:name w:val="Table Grid1"/>
    <w:basedOn w:val="TableNormal"/>
    <w:next w:val="TableGrid"/>
    <w:rsid w:val="00CA4DC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6Char">
    <w:name w:val="Heading 6 Char"/>
    <w:aliases w:val="h6 Char"/>
    <w:link w:val="Heading6"/>
    <w:locked/>
    <w:rsid w:val="00CA4DC9"/>
    <w:rPr>
      <w:b/>
      <w:bCs/>
      <w:sz w:val="24"/>
      <w:szCs w:val="22"/>
    </w:rPr>
  </w:style>
  <w:style w:type="character" w:customStyle="1" w:styleId="HeaderChar">
    <w:name w:val="Header Char"/>
    <w:link w:val="Header"/>
    <w:rsid w:val="00CA4DC9"/>
    <w:rPr>
      <w:smallCaps/>
    </w:rPr>
  </w:style>
  <w:style w:type="character" w:customStyle="1" w:styleId="bodytextnumberedchar0">
    <w:name w:val="bodytextnumberedchar"/>
    <w:rsid w:val="00CA4DC9"/>
  </w:style>
  <w:style w:type="paragraph" w:styleId="ListParagraph">
    <w:name w:val="List Paragraph"/>
    <w:basedOn w:val="Normal"/>
    <w:uiPriority w:val="34"/>
    <w:qFormat/>
    <w:rsid w:val="00CA4DC9"/>
    <w:pPr>
      <w:ind w:left="720"/>
      <w:contextualSpacing/>
    </w:pPr>
  </w:style>
  <w:style w:type="paragraph" w:customStyle="1" w:styleId="bodytextnumbered0">
    <w:name w:val="bodytextnumbered"/>
    <w:basedOn w:val="Normal"/>
    <w:rsid w:val="00CA4DC9"/>
    <w:pPr>
      <w:spacing w:after="240"/>
      <w:ind w:left="720" w:hanging="720"/>
    </w:pPr>
    <w:rPr>
      <w:rFonts w:eastAsia="Calibri"/>
      <w:szCs w:val="24"/>
    </w:rPr>
  </w:style>
  <w:style w:type="numbering" w:customStyle="1" w:styleId="NoList3">
    <w:name w:val="No List3"/>
    <w:next w:val="NoList"/>
    <w:uiPriority w:val="99"/>
    <w:semiHidden/>
    <w:unhideWhenUsed/>
    <w:rsid w:val="00CA4DC9"/>
  </w:style>
  <w:style w:type="character" w:customStyle="1" w:styleId="FootnoteTextChar">
    <w:name w:val="Footnote Text Char"/>
    <w:link w:val="FootnoteText"/>
    <w:rsid w:val="006278E4"/>
    <w:rPr>
      <w:sz w:val="18"/>
    </w:rPr>
  </w:style>
  <w:style w:type="character" w:styleId="FootnoteReference">
    <w:name w:val="footnote reference"/>
    <w:rsid w:val="006278E4"/>
    <w:rPr>
      <w:vertAlign w:val="superscript"/>
    </w:rPr>
  </w:style>
  <w:style w:type="character" w:customStyle="1" w:styleId="CharCharCharCharCharCharChar2">
    <w:name w:val="Char Char Char Char Char Char Char2"/>
    <w:aliases w:val="Char Char Char Char Char Char Charh2 Char1,... Char1, Char Char Char Char Char Char Char2, Char Char Char Char Char Char Char Char3,Body Text Char Char Char3,Body Text Char1 Char Char Char3"/>
    <w:rsid w:val="006278E4"/>
    <w:rPr>
      <w:sz w:val="24"/>
      <w:szCs w:val="24"/>
    </w:rPr>
  </w:style>
  <w:style w:type="character" w:customStyle="1" w:styleId="BodyTextIndentChar1">
    <w:name w:val="Body Text Indent Char1"/>
    <w:aliases w:val=" Char Char1"/>
    <w:uiPriority w:val="99"/>
    <w:rsid w:val="006278E4"/>
    <w:rPr>
      <w:iCs/>
      <w:sz w:val="24"/>
    </w:rPr>
  </w:style>
  <w:style w:type="numbering" w:customStyle="1" w:styleId="NoList4">
    <w:name w:val="No List4"/>
    <w:next w:val="NoList"/>
    <w:uiPriority w:val="99"/>
    <w:semiHidden/>
    <w:unhideWhenUsed/>
    <w:rsid w:val="006278E4"/>
  </w:style>
  <w:style w:type="character" w:customStyle="1" w:styleId="Heading5Char">
    <w:name w:val="Heading 5 Char"/>
    <w:aliases w:val="h5 Char"/>
    <w:link w:val="Heading5"/>
    <w:rsid w:val="006278E4"/>
    <w:rPr>
      <w:b/>
      <w:bCs/>
      <w:i/>
      <w:iCs/>
      <w:sz w:val="24"/>
      <w:szCs w:val="26"/>
    </w:rPr>
  </w:style>
  <w:style w:type="character" w:customStyle="1" w:styleId="Heading7Char">
    <w:name w:val="Heading 7 Char"/>
    <w:link w:val="Heading7"/>
    <w:rsid w:val="006278E4"/>
    <w:rPr>
      <w:sz w:val="24"/>
      <w:szCs w:val="24"/>
    </w:rPr>
  </w:style>
  <w:style w:type="character" w:customStyle="1" w:styleId="Heading8Char">
    <w:name w:val="Heading 8 Char"/>
    <w:link w:val="Heading8"/>
    <w:rsid w:val="006278E4"/>
    <w:rPr>
      <w:i/>
      <w:iCs/>
      <w:sz w:val="24"/>
      <w:szCs w:val="24"/>
    </w:rPr>
  </w:style>
  <w:style w:type="character" w:customStyle="1" w:styleId="Heading9Char">
    <w:name w:val="Heading 9 Char"/>
    <w:link w:val="Heading9"/>
    <w:rsid w:val="006278E4"/>
    <w:rPr>
      <w:b/>
      <w:sz w:val="24"/>
      <w:szCs w:val="24"/>
    </w:rPr>
  </w:style>
  <w:style w:type="character" w:customStyle="1" w:styleId="FooterChar">
    <w:name w:val="Footer Char"/>
    <w:link w:val="Footer"/>
    <w:rsid w:val="006278E4"/>
    <w:rPr>
      <w:smallCaps/>
    </w:rPr>
  </w:style>
  <w:style w:type="character" w:customStyle="1" w:styleId="BalloonTextChar">
    <w:name w:val="Balloon Text Char"/>
    <w:link w:val="BalloonText"/>
    <w:uiPriority w:val="99"/>
    <w:rsid w:val="006278E4"/>
    <w:rPr>
      <w:rFonts w:ascii="Tahoma" w:hAnsi="Tahoma" w:cs="Tahoma"/>
      <w:sz w:val="16"/>
      <w:szCs w:val="16"/>
    </w:rPr>
  </w:style>
  <w:style w:type="character" w:customStyle="1" w:styleId="CommentSubjectChar">
    <w:name w:val="Comment Subject Char"/>
    <w:link w:val="CommentSubject"/>
    <w:uiPriority w:val="99"/>
    <w:rsid w:val="006278E4"/>
    <w:rPr>
      <w:b/>
      <w:bCs/>
    </w:rPr>
  </w:style>
  <w:style w:type="table" w:customStyle="1" w:styleId="TableGrid2">
    <w:name w:val="Table Grid2"/>
    <w:basedOn w:val="TableNormal"/>
    <w:next w:val="TableGrid"/>
    <w:rsid w:val="006278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ula0">
    <w:name w:val="formula"/>
    <w:basedOn w:val="Normal"/>
    <w:rsid w:val="006278E4"/>
    <w:pPr>
      <w:spacing w:after="120"/>
      <w:ind w:left="720" w:hanging="720"/>
    </w:pPr>
    <w:rPr>
      <w:szCs w:val="24"/>
    </w:rPr>
  </w:style>
  <w:style w:type="paragraph" w:customStyle="1" w:styleId="Char32">
    <w:name w:val="Char32"/>
    <w:basedOn w:val="Normal"/>
    <w:rsid w:val="006278E4"/>
    <w:pPr>
      <w:spacing w:after="160" w:line="240" w:lineRule="exact"/>
    </w:pPr>
    <w:rPr>
      <w:rFonts w:ascii="Verdana" w:hAnsi="Verdana"/>
      <w:sz w:val="16"/>
    </w:rPr>
  </w:style>
  <w:style w:type="paragraph" w:customStyle="1" w:styleId="TableBulletBullet">
    <w:name w:val="Table Bullet/Bullet"/>
    <w:basedOn w:val="Normal"/>
    <w:rsid w:val="006278E4"/>
    <w:pPr>
      <w:numPr>
        <w:numId w:val="21"/>
      </w:numPr>
    </w:pPr>
  </w:style>
  <w:style w:type="table" w:customStyle="1" w:styleId="BoxedLanguage1">
    <w:name w:val="Boxed Language1"/>
    <w:basedOn w:val="TableNormal"/>
    <w:rsid w:val="006278E4"/>
    <w:tblPr>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Pr>
    <w:tcPr>
      <w:shd w:val="clear" w:color="auto" w:fill="E0E0E0"/>
    </w:tcPr>
  </w:style>
  <w:style w:type="table" w:customStyle="1" w:styleId="FormulaVariableTable1">
    <w:name w:val="Formula Variable Table1"/>
    <w:basedOn w:val="TableNormal"/>
    <w:rsid w:val="006278E4"/>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i w:val="0"/>
      </w:rPr>
    </w:tblStylePr>
    <w:tblStylePr w:type="firstCol">
      <w:rPr>
        <w:rFonts w:ascii="Times New Roman" w:hAnsi="Times New Roman"/>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paragraph" w:styleId="NoSpacing">
    <w:name w:val="No Spacing"/>
    <w:uiPriority w:val="1"/>
    <w:qFormat/>
    <w:rsid w:val="006278E4"/>
    <w:rPr>
      <w:sz w:val="24"/>
      <w:szCs w:val="24"/>
    </w:rPr>
  </w:style>
  <w:style w:type="paragraph" w:customStyle="1" w:styleId="VariableDefinition1">
    <w:name w:val="Variable Definition+1"/>
    <w:basedOn w:val="Default"/>
    <w:next w:val="Default"/>
    <w:rsid w:val="006278E4"/>
    <w:pPr>
      <w:spacing w:after="240"/>
    </w:pPr>
    <w:rPr>
      <w:rFonts w:ascii="Times New Roman" w:hAnsi="Times New Roman" w:cs="Times New Roman"/>
      <w:color w:val="auto"/>
    </w:rPr>
  </w:style>
  <w:style w:type="paragraph" w:customStyle="1" w:styleId="ListSub2">
    <w:name w:val="List Sub+2"/>
    <w:basedOn w:val="Default"/>
    <w:next w:val="Default"/>
    <w:rsid w:val="006278E4"/>
    <w:pPr>
      <w:spacing w:after="240"/>
    </w:pPr>
    <w:rPr>
      <w:rFonts w:ascii="Times New Roman" w:hAnsi="Times New Roman" w:cs="Times New Roman"/>
      <w:color w:val="auto"/>
    </w:rPr>
  </w:style>
  <w:style w:type="character" w:customStyle="1" w:styleId="BodyText1Char">
    <w:name w:val="Body Text1 Char"/>
    <w:aliases w:val=" Char11 Char, Char Char Char Char Char Char Char Char Char Char Char Char Char Char Char Char Char Char Char Char Char Char Char Char,Char11 Char"/>
    <w:rsid w:val="006278E4"/>
    <w:rPr>
      <w:iCs/>
      <w:sz w:val="24"/>
      <w:lang w:val="en-US" w:eastAsia="en-US" w:bidi="ar-SA"/>
    </w:rPr>
  </w:style>
  <w:style w:type="paragraph" w:customStyle="1" w:styleId="H">
    <w:name w:val="H%"/>
    <w:basedOn w:val="H4"/>
    <w:rsid w:val="006278E4"/>
    <w:rPr>
      <w:szCs w:val="24"/>
    </w:rPr>
  </w:style>
  <w:style w:type="paragraph" w:customStyle="1" w:styleId="Style2">
    <w:name w:val="Style2"/>
    <w:basedOn w:val="H5"/>
    <w:autoRedefine/>
    <w:rsid w:val="006278E4"/>
    <w:rPr>
      <w:i w:val="0"/>
    </w:rPr>
  </w:style>
  <w:style w:type="paragraph" w:customStyle="1" w:styleId="listintroduction0">
    <w:name w:val="listintroduction"/>
    <w:basedOn w:val="Normal"/>
    <w:rsid w:val="006278E4"/>
    <w:pPr>
      <w:keepNext/>
      <w:spacing w:after="240"/>
    </w:pPr>
    <w:rPr>
      <w:szCs w:val="24"/>
    </w:rPr>
  </w:style>
  <w:style w:type="paragraph" w:customStyle="1" w:styleId="RegularText">
    <w:name w:val="Regular Text"/>
    <w:basedOn w:val="Normal"/>
    <w:rsid w:val="006278E4"/>
    <w:pPr>
      <w:spacing w:before="120" w:after="120"/>
      <w:ind w:left="432"/>
      <w:jc w:val="both"/>
    </w:pPr>
  </w:style>
  <w:style w:type="character" w:customStyle="1" w:styleId="TextChar">
    <w:name w:val="Text Char"/>
    <w:rsid w:val="006278E4"/>
    <w:rPr>
      <w:iCs/>
      <w:sz w:val="24"/>
      <w:lang w:val="en-US" w:eastAsia="en-US" w:bidi="ar-SA"/>
    </w:rPr>
  </w:style>
  <w:style w:type="character" w:styleId="Strong">
    <w:name w:val="Strong"/>
    <w:qFormat/>
    <w:rsid w:val="006278E4"/>
    <w:rPr>
      <w:b/>
      <w:bCs/>
    </w:rPr>
  </w:style>
  <w:style w:type="character" w:styleId="PlaceholderText">
    <w:name w:val="Placeholder Text"/>
    <w:uiPriority w:val="99"/>
    <w:semiHidden/>
    <w:rsid w:val="006278E4"/>
    <w:rPr>
      <w:color w:val="808080"/>
    </w:rPr>
  </w:style>
  <w:style w:type="character" w:customStyle="1" w:styleId="Heading1Char1">
    <w:name w:val="Heading 1 Char1"/>
    <w:aliases w:val="h1 Char1"/>
    <w:rsid w:val="006278E4"/>
    <w:rPr>
      <w:rFonts w:ascii="Calibri Light" w:eastAsia="Times New Roman" w:hAnsi="Calibri Light" w:cs="Times New Roman"/>
      <w:color w:val="2E74B5"/>
      <w:sz w:val="32"/>
      <w:szCs w:val="32"/>
    </w:rPr>
  </w:style>
  <w:style w:type="character" w:customStyle="1" w:styleId="Heading2Char1">
    <w:name w:val="Heading 2 Char1"/>
    <w:aliases w:val="h2 Char1"/>
    <w:semiHidden/>
    <w:rsid w:val="006278E4"/>
    <w:rPr>
      <w:rFonts w:ascii="Calibri Light" w:eastAsia="Times New Roman" w:hAnsi="Calibri Light" w:cs="Times New Roman"/>
      <w:color w:val="2E74B5"/>
      <w:sz w:val="26"/>
      <w:szCs w:val="26"/>
    </w:rPr>
  </w:style>
  <w:style w:type="character" w:customStyle="1" w:styleId="Heading3Char1">
    <w:name w:val="Heading 3 Char1"/>
    <w:aliases w:val="h3 Char1"/>
    <w:semiHidden/>
    <w:rsid w:val="006278E4"/>
    <w:rPr>
      <w:rFonts w:ascii="Calibri Light" w:eastAsia="Times New Roman" w:hAnsi="Calibri Light" w:cs="Times New Roman"/>
      <w:color w:val="1F4D78"/>
      <w:sz w:val="24"/>
      <w:szCs w:val="24"/>
    </w:rPr>
  </w:style>
  <w:style w:type="character" w:customStyle="1" w:styleId="Heading4Char1">
    <w:name w:val="Heading 4 Char1"/>
    <w:aliases w:val="h4 Char1,delete Char1"/>
    <w:semiHidden/>
    <w:rsid w:val="006278E4"/>
    <w:rPr>
      <w:rFonts w:ascii="Calibri Light" w:eastAsia="Times New Roman" w:hAnsi="Calibri Light" w:cs="Times New Roman"/>
      <w:i/>
      <w:iCs/>
      <w:color w:val="2E74B5"/>
      <w:sz w:val="24"/>
      <w:szCs w:val="24"/>
    </w:rPr>
  </w:style>
  <w:style w:type="character" w:customStyle="1" w:styleId="Heading5Char1">
    <w:name w:val="Heading 5 Char1"/>
    <w:aliases w:val="h5 Char1"/>
    <w:semiHidden/>
    <w:rsid w:val="006278E4"/>
    <w:rPr>
      <w:rFonts w:ascii="Calibri Light" w:eastAsia="Times New Roman" w:hAnsi="Calibri Light" w:cs="Times New Roman"/>
      <w:color w:val="2E74B5"/>
      <w:sz w:val="24"/>
      <w:szCs w:val="24"/>
    </w:rPr>
  </w:style>
  <w:style w:type="character" w:customStyle="1" w:styleId="Heading6Char1">
    <w:name w:val="Heading 6 Char1"/>
    <w:aliases w:val="h6 Char1"/>
    <w:semiHidden/>
    <w:rsid w:val="006278E4"/>
    <w:rPr>
      <w:rFonts w:ascii="Calibri Light" w:eastAsia="Times New Roman" w:hAnsi="Calibri Light" w:cs="Times New Roman"/>
      <w:color w:val="1F4D78"/>
      <w:sz w:val="24"/>
      <w:szCs w:val="24"/>
    </w:rPr>
  </w:style>
  <w:style w:type="character" w:customStyle="1" w:styleId="Char21">
    <w:name w:val="Char21"/>
    <w:rsid w:val="006278E4"/>
    <w:rPr>
      <w:b/>
      <w:bCs/>
      <w:i/>
      <w:iCs w:val="0"/>
      <w:sz w:val="24"/>
      <w:lang w:val="en-US" w:eastAsia="en-US" w:bidi="ar-SA"/>
    </w:rPr>
  </w:style>
  <w:style w:type="numbering" w:customStyle="1" w:styleId="NoList5">
    <w:name w:val="No List5"/>
    <w:next w:val="NoList"/>
    <w:uiPriority w:val="99"/>
    <w:semiHidden/>
    <w:unhideWhenUsed/>
    <w:rsid w:val="006278E4"/>
  </w:style>
  <w:style w:type="paragraph" w:customStyle="1" w:styleId="BulletIndent2">
    <w:name w:val="Bullet Indent 2"/>
    <w:basedOn w:val="BulletIndent"/>
    <w:rsid w:val="006278E4"/>
    <w:pPr>
      <w:tabs>
        <w:tab w:val="left" w:pos="2520"/>
      </w:tabs>
      <w:ind w:left="2520"/>
    </w:pPr>
    <w:rPr>
      <w:lang w:val="en-US" w:eastAsia="en-US"/>
    </w:rPr>
  </w:style>
  <w:style w:type="numbering" w:customStyle="1" w:styleId="NoList6">
    <w:name w:val="No List6"/>
    <w:next w:val="NoList"/>
    <w:uiPriority w:val="99"/>
    <w:semiHidden/>
    <w:unhideWhenUsed/>
    <w:rsid w:val="006278E4"/>
  </w:style>
  <w:style w:type="character" w:customStyle="1" w:styleId="ListCharChar1">
    <w:name w:val="List Char Char1"/>
    <w:rsid w:val="006278E4"/>
    <w:rPr>
      <w:sz w:val="24"/>
      <w:lang w:val="en-US" w:eastAsia="en-US" w:bidi="ar-SA"/>
    </w:rPr>
  </w:style>
  <w:style w:type="character" w:customStyle="1" w:styleId="UnresolvedMention1">
    <w:name w:val="Unresolved Mention1"/>
    <w:basedOn w:val="DefaultParagraphFont"/>
    <w:uiPriority w:val="99"/>
    <w:semiHidden/>
    <w:unhideWhenUsed/>
    <w:rsid w:val="006278E4"/>
    <w:rPr>
      <w:color w:val="605E5C"/>
      <w:shd w:val="clear" w:color="auto" w:fill="E1DFDD"/>
    </w:rPr>
  </w:style>
  <w:style w:type="numbering" w:customStyle="1" w:styleId="NoList7">
    <w:name w:val="No List7"/>
    <w:next w:val="NoList"/>
    <w:uiPriority w:val="99"/>
    <w:semiHidden/>
    <w:unhideWhenUsed/>
    <w:rsid w:val="006278E4"/>
  </w:style>
  <w:style w:type="table" w:customStyle="1" w:styleId="BoxedLanguage2">
    <w:name w:val="Boxed Language2"/>
    <w:basedOn w:val="TableNormal"/>
    <w:rsid w:val="006278E4"/>
    <w:tblPr>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Pr>
    <w:tcPr>
      <w:shd w:val="clear" w:color="auto" w:fill="E0E0E0"/>
    </w:tcPr>
  </w:style>
  <w:style w:type="table" w:customStyle="1" w:styleId="FormulaVariableTable2">
    <w:name w:val="Formula Variable Table2"/>
    <w:basedOn w:val="TableNormal"/>
    <w:rsid w:val="006278E4"/>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i w:val="0"/>
      </w:rPr>
    </w:tblStylePr>
    <w:tblStylePr w:type="firstCol">
      <w:rPr>
        <w:rFonts w:ascii="Times New Roman" w:hAnsi="Times New Roman"/>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table" w:customStyle="1" w:styleId="TableGrid3">
    <w:name w:val="Table Grid3"/>
    <w:basedOn w:val="TableNormal"/>
    <w:next w:val="TableGrid"/>
    <w:rsid w:val="006278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VariableTable1">
    <w:name w:val="Variable Table1"/>
    <w:basedOn w:val="TableNormal"/>
    <w:rsid w:val="006278E4"/>
    <w:tblPr/>
  </w:style>
  <w:style w:type="numbering" w:customStyle="1" w:styleId="NoList11">
    <w:name w:val="No List11"/>
    <w:next w:val="NoList"/>
    <w:uiPriority w:val="99"/>
    <w:semiHidden/>
    <w:unhideWhenUsed/>
    <w:rsid w:val="006278E4"/>
  </w:style>
  <w:style w:type="numbering" w:customStyle="1" w:styleId="NoList21">
    <w:name w:val="No List21"/>
    <w:next w:val="NoList"/>
    <w:uiPriority w:val="99"/>
    <w:semiHidden/>
    <w:unhideWhenUsed/>
    <w:rsid w:val="006278E4"/>
  </w:style>
  <w:style w:type="table" w:customStyle="1" w:styleId="TableGrid11">
    <w:name w:val="Table Grid11"/>
    <w:basedOn w:val="TableNormal"/>
    <w:next w:val="TableGrid"/>
    <w:rsid w:val="00627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31">
    <w:name w:val="No List31"/>
    <w:next w:val="NoList"/>
    <w:uiPriority w:val="99"/>
    <w:semiHidden/>
    <w:unhideWhenUsed/>
    <w:rsid w:val="006278E4"/>
  </w:style>
  <w:style w:type="numbering" w:customStyle="1" w:styleId="NoList8">
    <w:name w:val="No List8"/>
    <w:next w:val="NoList"/>
    <w:uiPriority w:val="99"/>
    <w:semiHidden/>
    <w:unhideWhenUsed/>
    <w:rsid w:val="006278E4"/>
  </w:style>
  <w:style w:type="numbering" w:customStyle="1" w:styleId="NoList12">
    <w:name w:val="No List12"/>
    <w:next w:val="NoList"/>
    <w:uiPriority w:val="99"/>
    <w:semiHidden/>
    <w:unhideWhenUsed/>
    <w:rsid w:val="006278E4"/>
  </w:style>
  <w:style w:type="table" w:customStyle="1" w:styleId="BoxedLanguage3">
    <w:name w:val="Boxed Language3"/>
    <w:basedOn w:val="TableNormal"/>
    <w:rsid w:val="006278E4"/>
    <w:tblPr>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Pr>
    <w:tcPr>
      <w:shd w:val="clear" w:color="auto" w:fill="E0E0E0"/>
    </w:tcPr>
  </w:style>
  <w:style w:type="table" w:customStyle="1" w:styleId="FormulaVariableTable3">
    <w:name w:val="Formula Variable Table3"/>
    <w:basedOn w:val="TableNormal"/>
    <w:rsid w:val="006278E4"/>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i w:val="0"/>
      </w:rPr>
    </w:tblStylePr>
    <w:tblStylePr w:type="firstCol">
      <w:rPr>
        <w:rFonts w:ascii="Times New Roman" w:hAnsi="Times New Roman"/>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table" w:customStyle="1" w:styleId="TableGrid4">
    <w:name w:val="Table Grid4"/>
    <w:basedOn w:val="TableNormal"/>
    <w:next w:val="TableGrid"/>
    <w:rsid w:val="006278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VariableTable2">
    <w:name w:val="Variable Table2"/>
    <w:basedOn w:val="TableNormal"/>
    <w:rsid w:val="006278E4"/>
    <w:tblPr/>
  </w:style>
  <w:style w:type="numbering" w:customStyle="1" w:styleId="NoList111">
    <w:name w:val="No List111"/>
    <w:next w:val="NoList"/>
    <w:uiPriority w:val="99"/>
    <w:semiHidden/>
    <w:unhideWhenUsed/>
    <w:rsid w:val="006278E4"/>
  </w:style>
  <w:style w:type="numbering" w:customStyle="1" w:styleId="NoList22">
    <w:name w:val="No List22"/>
    <w:next w:val="NoList"/>
    <w:uiPriority w:val="99"/>
    <w:semiHidden/>
    <w:unhideWhenUsed/>
    <w:rsid w:val="006278E4"/>
  </w:style>
  <w:style w:type="table" w:customStyle="1" w:styleId="TableGrid12">
    <w:name w:val="Table Grid12"/>
    <w:basedOn w:val="TableNormal"/>
    <w:next w:val="TableGrid"/>
    <w:rsid w:val="00627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32">
    <w:name w:val="No List32"/>
    <w:next w:val="NoList"/>
    <w:uiPriority w:val="99"/>
    <w:semiHidden/>
    <w:unhideWhenUsed/>
    <w:rsid w:val="006278E4"/>
  </w:style>
  <w:style w:type="numbering" w:customStyle="1" w:styleId="NoList41">
    <w:name w:val="No List41"/>
    <w:next w:val="NoList"/>
    <w:uiPriority w:val="99"/>
    <w:semiHidden/>
    <w:unhideWhenUsed/>
    <w:rsid w:val="006278E4"/>
  </w:style>
  <w:style w:type="table" w:customStyle="1" w:styleId="TableGrid21">
    <w:name w:val="Table Grid21"/>
    <w:basedOn w:val="TableNormal"/>
    <w:next w:val="TableGrid"/>
    <w:rsid w:val="006278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oxedLanguage11">
    <w:name w:val="Boxed Language11"/>
    <w:basedOn w:val="TableNormal"/>
    <w:rsid w:val="006278E4"/>
    <w:tblPr>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Pr>
    <w:tcPr>
      <w:shd w:val="clear" w:color="auto" w:fill="E0E0E0"/>
    </w:tcPr>
  </w:style>
  <w:style w:type="table" w:customStyle="1" w:styleId="FormulaVariableTable11">
    <w:name w:val="Formula Variable Table11"/>
    <w:basedOn w:val="TableNormal"/>
    <w:rsid w:val="006278E4"/>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i w:val="0"/>
      </w:rPr>
    </w:tblStylePr>
    <w:tblStylePr w:type="firstCol">
      <w:rPr>
        <w:rFonts w:ascii="Times New Roman" w:hAnsi="Times New Roman"/>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117" Type="http://schemas.openxmlformats.org/officeDocument/2006/relationships/header" Target="header3.xml"/><Relationship Id="rId21" Type="http://schemas.openxmlformats.org/officeDocument/2006/relationships/oleObject" Target="embeddings/oleObject3.bin"/><Relationship Id="rId42" Type="http://schemas.openxmlformats.org/officeDocument/2006/relationships/image" Target="media/image14.wmf"/><Relationship Id="rId47" Type="http://schemas.openxmlformats.org/officeDocument/2006/relationships/image" Target="media/image16.wmf"/><Relationship Id="rId63" Type="http://schemas.openxmlformats.org/officeDocument/2006/relationships/image" Target="media/image23.wmf"/><Relationship Id="rId68" Type="http://schemas.openxmlformats.org/officeDocument/2006/relationships/oleObject" Target="embeddings/oleObject32.bin"/><Relationship Id="rId84" Type="http://schemas.openxmlformats.org/officeDocument/2006/relationships/oleObject" Target="embeddings/oleObject48.bin"/><Relationship Id="rId89" Type="http://schemas.openxmlformats.org/officeDocument/2006/relationships/oleObject" Target="embeddings/oleObject53.bin"/><Relationship Id="rId112" Type="http://schemas.openxmlformats.org/officeDocument/2006/relationships/image" Target="media/image28.wmf"/><Relationship Id="rId16" Type="http://schemas.openxmlformats.org/officeDocument/2006/relationships/image" Target="media/image4.png"/><Relationship Id="rId107" Type="http://schemas.openxmlformats.org/officeDocument/2006/relationships/image" Target="media/image26.wmf"/><Relationship Id="rId11" Type="http://schemas.openxmlformats.org/officeDocument/2006/relationships/header" Target="header2.xml"/><Relationship Id="rId32" Type="http://schemas.openxmlformats.org/officeDocument/2006/relationships/oleObject" Target="embeddings/oleObject9.bin"/><Relationship Id="rId37" Type="http://schemas.openxmlformats.org/officeDocument/2006/relationships/oleObject" Target="embeddings/oleObject14.bin"/><Relationship Id="rId53" Type="http://schemas.openxmlformats.org/officeDocument/2006/relationships/image" Target="media/image19.wmf"/><Relationship Id="rId58" Type="http://schemas.openxmlformats.org/officeDocument/2006/relationships/oleObject" Target="embeddings/oleObject25.bin"/><Relationship Id="rId74" Type="http://schemas.openxmlformats.org/officeDocument/2006/relationships/oleObject" Target="embeddings/oleObject38.bin"/><Relationship Id="rId79" Type="http://schemas.openxmlformats.org/officeDocument/2006/relationships/oleObject" Target="embeddings/oleObject43.bin"/><Relationship Id="rId102" Type="http://schemas.openxmlformats.org/officeDocument/2006/relationships/oleObject" Target="embeddings/oleObject66.bin"/><Relationship Id="rId5" Type="http://schemas.openxmlformats.org/officeDocument/2006/relationships/webSettings" Target="webSettings.xml"/><Relationship Id="rId90" Type="http://schemas.openxmlformats.org/officeDocument/2006/relationships/oleObject" Target="embeddings/oleObject54.bin"/><Relationship Id="rId95" Type="http://schemas.openxmlformats.org/officeDocument/2006/relationships/oleObject" Target="embeddings/oleObject59.bin"/><Relationship Id="rId22" Type="http://schemas.openxmlformats.org/officeDocument/2006/relationships/image" Target="media/image7.wmf"/><Relationship Id="rId27" Type="http://schemas.openxmlformats.org/officeDocument/2006/relationships/oleObject" Target="embeddings/oleObject5.bin"/><Relationship Id="rId43" Type="http://schemas.openxmlformats.org/officeDocument/2006/relationships/oleObject" Target="embeddings/oleObject17.bin"/><Relationship Id="rId48" Type="http://schemas.openxmlformats.org/officeDocument/2006/relationships/oleObject" Target="embeddings/oleObject20.bin"/><Relationship Id="rId64" Type="http://schemas.openxmlformats.org/officeDocument/2006/relationships/oleObject" Target="embeddings/oleObject29.bin"/><Relationship Id="rId69" Type="http://schemas.openxmlformats.org/officeDocument/2006/relationships/oleObject" Target="embeddings/oleObject33.bin"/><Relationship Id="rId113" Type="http://schemas.openxmlformats.org/officeDocument/2006/relationships/oleObject" Target="embeddings/oleObject73.bin"/><Relationship Id="rId118" Type="http://schemas.openxmlformats.org/officeDocument/2006/relationships/header" Target="header4.xml"/><Relationship Id="rId80" Type="http://schemas.openxmlformats.org/officeDocument/2006/relationships/oleObject" Target="embeddings/oleObject44.bin"/><Relationship Id="rId85" Type="http://schemas.openxmlformats.org/officeDocument/2006/relationships/oleObject" Target="embeddings/oleObject49.bin"/><Relationship Id="rId12" Type="http://schemas.openxmlformats.org/officeDocument/2006/relationships/footer" Target="footer3.xml"/><Relationship Id="rId17" Type="http://schemas.openxmlformats.org/officeDocument/2006/relationships/image" Target="media/image5.wmf"/><Relationship Id="rId33" Type="http://schemas.openxmlformats.org/officeDocument/2006/relationships/oleObject" Target="embeddings/oleObject10.bin"/><Relationship Id="rId38" Type="http://schemas.openxmlformats.org/officeDocument/2006/relationships/image" Target="media/image12.wmf"/><Relationship Id="rId59" Type="http://schemas.openxmlformats.org/officeDocument/2006/relationships/image" Target="media/image22.wmf"/><Relationship Id="rId103" Type="http://schemas.openxmlformats.org/officeDocument/2006/relationships/oleObject" Target="embeddings/oleObject67.bin"/><Relationship Id="rId108" Type="http://schemas.openxmlformats.org/officeDocument/2006/relationships/oleObject" Target="embeddings/oleObject70.bin"/><Relationship Id="rId54" Type="http://schemas.openxmlformats.org/officeDocument/2006/relationships/oleObject" Target="embeddings/oleObject23.bin"/><Relationship Id="rId70" Type="http://schemas.openxmlformats.org/officeDocument/2006/relationships/oleObject" Target="embeddings/oleObject34.bin"/><Relationship Id="rId75" Type="http://schemas.openxmlformats.org/officeDocument/2006/relationships/oleObject" Target="embeddings/oleObject39.bin"/><Relationship Id="rId91" Type="http://schemas.openxmlformats.org/officeDocument/2006/relationships/oleObject" Target="embeddings/oleObject55.bin"/><Relationship Id="rId96" Type="http://schemas.openxmlformats.org/officeDocument/2006/relationships/oleObject" Target="embeddings/oleObject60.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8.wmf"/><Relationship Id="rId28" Type="http://schemas.openxmlformats.org/officeDocument/2006/relationships/oleObject" Target="embeddings/oleObject6.bin"/><Relationship Id="rId49" Type="http://schemas.openxmlformats.org/officeDocument/2006/relationships/image" Target="media/image17.wmf"/><Relationship Id="rId114" Type="http://schemas.openxmlformats.org/officeDocument/2006/relationships/image" Target="media/image29.wmf"/><Relationship Id="rId119" Type="http://schemas.openxmlformats.org/officeDocument/2006/relationships/footer" Target="footer4.xml"/><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24.wmf"/><Relationship Id="rId81" Type="http://schemas.openxmlformats.org/officeDocument/2006/relationships/oleObject" Target="embeddings/oleObject45.bin"/><Relationship Id="rId86" Type="http://schemas.openxmlformats.org/officeDocument/2006/relationships/oleObject" Target="embeddings/oleObject50.bin"/><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oleObject" Target="embeddings/oleObject1.bin"/><Relationship Id="rId39" Type="http://schemas.openxmlformats.org/officeDocument/2006/relationships/oleObject" Target="embeddings/oleObject15.bin"/><Relationship Id="rId109" Type="http://schemas.openxmlformats.org/officeDocument/2006/relationships/oleObject" Target="embeddings/oleObject71.bin"/><Relationship Id="rId34" Type="http://schemas.openxmlformats.org/officeDocument/2006/relationships/oleObject" Target="embeddings/oleObject11.bin"/><Relationship Id="rId50" Type="http://schemas.openxmlformats.org/officeDocument/2006/relationships/oleObject" Target="embeddings/oleObject21.bin"/><Relationship Id="rId55" Type="http://schemas.openxmlformats.org/officeDocument/2006/relationships/image" Target="media/image20.wmf"/><Relationship Id="rId76" Type="http://schemas.openxmlformats.org/officeDocument/2006/relationships/oleObject" Target="embeddings/oleObject40.bin"/><Relationship Id="rId97" Type="http://schemas.openxmlformats.org/officeDocument/2006/relationships/oleObject" Target="embeddings/oleObject61.bin"/><Relationship Id="rId104" Type="http://schemas.openxmlformats.org/officeDocument/2006/relationships/oleObject" Target="embeddings/oleObject68.bin"/><Relationship Id="rId120"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35.bin"/><Relationship Id="rId92" Type="http://schemas.openxmlformats.org/officeDocument/2006/relationships/oleObject" Target="embeddings/oleObject56.bin"/><Relationship Id="rId2" Type="http://schemas.openxmlformats.org/officeDocument/2006/relationships/numbering" Target="numbering.xml"/><Relationship Id="rId29" Type="http://schemas.openxmlformats.org/officeDocument/2006/relationships/oleObject" Target="embeddings/oleObject7.bin"/><Relationship Id="rId24" Type="http://schemas.openxmlformats.org/officeDocument/2006/relationships/image" Target="media/image9.wmf"/><Relationship Id="rId40" Type="http://schemas.openxmlformats.org/officeDocument/2006/relationships/image" Target="media/image13.wmf"/><Relationship Id="rId45" Type="http://schemas.openxmlformats.org/officeDocument/2006/relationships/image" Target="media/image15.wmf"/><Relationship Id="rId66" Type="http://schemas.openxmlformats.org/officeDocument/2006/relationships/oleObject" Target="embeddings/oleObject30.bin"/><Relationship Id="rId87" Type="http://schemas.openxmlformats.org/officeDocument/2006/relationships/oleObject" Target="embeddings/oleObject51.bin"/><Relationship Id="rId110" Type="http://schemas.openxmlformats.org/officeDocument/2006/relationships/image" Target="media/image27.wmf"/><Relationship Id="rId115" Type="http://schemas.openxmlformats.org/officeDocument/2006/relationships/oleObject" Target="embeddings/oleObject74.bin"/><Relationship Id="rId61" Type="http://schemas.openxmlformats.org/officeDocument/2006/relationships/oleObject" Target="embeddings/oleObject27.bin"/><Relationship Id="rId82" Type="http://schemas.openxmlformats.org/officeDocument/2006/relationships/oleObject" Target="embeddings/oleObject46.bin"/><Relationship Id="rId19" Type="http://schemas.openxmlformats.org/officeDocument/2006/relationships/image" Target="media/image6.wmf"/><Relationship Id="rId14" Type="http://schemas.openxmlformats.org/officeDocument/2006/relationships/image" Target="media/image2.png"/><Relationship Id="rId30" Type="http://schemas.openxmlformats.org/officeDocument/2006/relationships/image" Target="media/image11.wmf"/><Relationship Id="rId35" Type="http://schemas.openxmlformats.org/officeDocument/2006/relationships/oleObject" Target="embeddings/oleObject12.bin"/><Relationship Id="rId56" Type="http://schemas.openxmlformats.org/officeDocument/2006/relationships/oleObject" Target="embeddings/oleObject24.bin"/><Relationship Id="rId77" Type="http://schemas.openxmlformats.org/officeDocument/2006/relationships/oleObject" Target="embeddings/oleObject41.bin"/><Relationship Id="rId100" Type="http://schemas.openxmlformats.org/officeDocument/2006/relationships/oleObject" Target="embeddings/oleObject64.bin"/><Relationship Id="rId105" Type="http://schemas.openxmlformats.org/officeDocument/2006/relationships/image" Target="media/image25.wmf"/><Relationship Id="rId8" Type="http://schemas.openxmlformats.org/officeDocument/2006/relationships/header" Target="header1.xml"/><Relationship Id="rId51" Type="http://schemas.openxmlformats.org/officeDocument/2006/relationships/image" Target="media/image18.wmf"/><Relationship Id="rId72" Type="http://schemas.openxmlformats.org/officeDocument/2006/relationships/oleObject" Target="embeddings/oleObject36.bin"/><Relationship Id="rId93" Type="http://schemas.openxmlformats.org/officeDocument/2006/relationships/oleObject" Target="embeddings/oleObject57.bin"/><Relationship Id="rId98" Type="http://schemas.openxmlformats.org/officeDocument/2006/relationships/oleObject" Target="embeddings/oleObject62.bin"/><Relationship Id="rId121" Type="http://schemas.openxmlformats.org/officeDocument/2006/relationships/theme" Target="theme/theme1.xml"/><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oleObject" Target="embeddings/oleObject31.bin"/><Relationship Id="rId116" Type="http://schemas.openxmlformats.org/officeDocument/2006/relationships/oleObject" Target="embeddings/oleObject75.bin"/><Relationship Id="rId20" Type="http://schemas.openxmlformats.org/officeDocument/2006/relationships/oleObject" Target="embeddings/oleObject2.bin"/><Relationship Id="rId41" Type="http://schemas.openxmlformats.org/officeDocument/2006/relationships/oleObject" Target="embeddings/oleObject16.bin"/><Relationship Id="rId62" Type="http://schemas.openxmlformats.org/officeDocument/2006/relationships/oleObject" Target="embeddings/oleObject28.bin"/><Relationship Id="rId83" Type="http://schemas.openxmlformats.org/officeDocument/2006/relationships/oleObject" Target="embeddings/oleObject47.bin"/><Relationship Id="rId88" Type="http://schemas.openxmlformats.org/officeDocument/2006/relationships/oleObject" Target="embeddings/oleObject52.bin"/><Relationship Id="rId111" Type="http://schemas.openxmlformats.org/officeDocument/2006/relationships/oleObject" Target="embeddings/oleObject72.bin"/><Relationship Id="rId15" Type="http://schemas.openxmlformats.org/officeDocument/2006/relationships/image" Target="media/image3.png"/><Relationship Id="rId36" Type="http://schemas.openxmlformats.org/officeDocument/2006/relationships/oleObject" Target="embeddings/oleObject13.bin"/><Relationship Id="rId57" Type="http://schemas.openxmlformats.org/officeDocument/2006/relationships/image" Target="media/image21.wmf"/><Relationship Id="rId106" Type="http://schemas.openxmlformats.org/officeDocument/2006/relationships/oleObject" Target="embeddings/oleObject69.bin"/><Relationship Id="rId10" Type="http://schemas.openxmlformats.org/officeDocument/2006/relationships/footer" Target="footer2.xml"/><Relationship Id="rId31" Type="http://schemas.openxmlformats.org/officeDocument/2006/relationships/oleObject" Target="embeddings/oleObject8.bin"/><Relationship Id="rId52" Type="http://schemas.openxmlformats.org/officeDocument/2006/relationships/oleObject" Target="embeddings/oleObject22.bin"/><Relationship Id="rId73" Type="http://schemas.openxmlformats.org/officeDocument/2006/relationships/oleObject" Target="embeddings/oleObject37.bin"/><Relationship Id="rId78" Type="http://schemas.openxmlformats.org/officeDocument/2006/relationships/oleObject" Target="embeddings/oleObject42.bin"/><Relationship Id="rId94" Type="http://schemas.openxmlformats.org/officeDocument/2006/relationships/oleObject" Target="embeddings/oleObject58.bin"/><Relationship Id="rId99" Type="http://schemas.openxmlformats.org/officeDocument/2006/relationships/oleObject" Target="embeddings/oleObject63.bin"/><Relationship Id="rId101" Type="http://schemas.openxmlformats.org/officeDocument/2006/relationships/oleObject" Target="embeddings/oleObject65.bin"/></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DCB45E-913E-4D2C-9E52-F7DAF6A2A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Protocol.dot</Template>
  <TotalTime>1</TotalTime>
  <Pages>84</Pages>
  <Words>32360</Words>
  <Characters>173037</Characters>
  <Application>Microsoft Office Word</Application>
  <DocSecurity>0</DocSecurity>
  <Lines>1441</Lines>
  <Paragraphs>409</Paragraphs>
  <ScaleCrop>false</ScaleCrop>
  <HeadingPairs>
    <vt:vector size="2" baseType="variant">
      <vt:variant>
        <vt:lpstr>Title</vt:lpstr>
      </vt:variant>
      <vt:variant>
        <vt:i4>1</vt:i4>
      </vt:variant>
    </vt:vector>
  </HeadingPairs>
  <TitlesOfParts>
    <vt:vector size="1" baseType="lpstr">
      <vt:lpstr>ERCOT Nodal Protocols</vt:lpstr>
    </vt:vector>
  </TitlesOfParts>
  <Company>TekLink Talent</Company>
  <LinksUpToDate>false</LinksUpToDate>
  <CharactersWithSpaces>204988</CharactersWithSpaces>
  <SharedDoc>false</SharedDoc>
  <HLinks>
    <vt:vector size="222" baseType="variant">
      <vt:variant>
        <vt:i4>2424836</vt:i4>
      </vt:variant>
      <vt:variant>
        <vt:i4>218</vt:i4>
      </vt:variant>
      <vt:variant>
        <vt:i4>0</vt:i4>
      </vt:variant>
      <vt:variant>
        <vt:i4>5</vt:i4>
      </vt:variant>
      <vt:variant>
        <vt:lpwstr/>
      </vt:variant>
      <vt:variant>
        <vt:lpwstr>_Toc9590474</vt:lpwstr>
      </vt:variant>
      <vt:variant>
        <vt:i4>2424836</vt:i4>
      </vt:variant>
      <vt:variant>
        <vt:i4>212</vt:i4>
      </vt:variant>
      <vt:variant>
        <vt:i4>0</vt:i4>
      </vt:variant>
      <vt:variant>
        <vt:i4>5</vt:i4>
      </vt:variant>
      <vt:variant>
        <vt:lpwstr/>
      </vt:variant>
      <vt:variant>
        <vt:lpwstr>_Toc9590473</vt:lpwstr>
      </vt:variant>
      <vt:variant>
        <vt:i4>2424836</vt:i4>
      </vt:variant>
      <vt:variant>
        <vt:i4>206</vt:i4>
      </vt:variant>
      <vt:variant>
        <vt:i4>0</vt:i4>
      </vt:variant>
      <vt:variant>
        <vt:i4>5</vt:i4>
      </vt:variant>
      <vt:variant>
        <vt:lpwstr/>
      </vt:variant>
      <vt:variant>
        <vt:lpwstr>_Toc9590472</vt:lpwstr>
      </vt:variant>
      <vt:variant>
        <vt:i4>2424836</vt:i4>
      </vt:variant>
      <vt:variant>
        <vt:i4>200</vt:i4>
      </vt:variant>
      <vt:variant>
        <vt:i4>0</vt:i4>
      </vt:variant>
      <vt:variant>
        <vt:i4>5</vt:i4>
      </vt:variant>
      <vt:variant>
        <vt:lpwstr/>
      </vt:variant>
      <vt:variant>
        <vt:lpwstr>_Toc9590471</vt:lpwstr>
      </vt:variant>
      <vt:variant>
        <vt:i4>2424836</vt:i4>
      </vt:variant>
      <vt:variant>
        <vt:i4>194</vt:i4>
      </vt:variant>
      <vt:variant>
        <vt:i4>0</vt:i4>
      </vt:variant>
      <vt:variant>
        <vt:i4>5</vt:i4>
      </vt:variant>
      <vt:variant>
        <vt:lpwstr/>
      </vt:variant>
      <vt:variant>
        <vt:lpwstr>_Toc9590470</vt:lpwstr>
      </vt:variant>
      <vt:variant>
        <vt:i4>2359300</vt:i4>
      </vt:variant>
      <vt:variant>
        <vt:i4>188</vt:i4>
      </vt:variant>
      <vt:variant>
        <vt:i4>0</vt:i4>
      </vt:variant>
      <vt:variant>
        <vt:i4>5</vt:i4>
      </vt:variant>
      <vt:variant>
        <vt:lpwstr/>
      </vt:variant>
      <vt:variant>
        <vt:lpwstr>_Toc9590469</vt:lpwstr>
      </vt:variant>
      <vt:variant>
        <vt:i4>2359300</vt:i4>
      </vt:variant>
      <vt:variant>
        <vt:i4>182</vt:i4>
      </vt:variant>
      <vt:variant>
        <vt:i4>0</vt:i4>
      </vt:variant>
      <vt:variant>
        <vt:i4>5</vt:i4>
      </vt:variant>
      <vt:variant>
        <vt:lpwstr/>
      </vt:variant>
      <vt:variant>
        <vt:lpwstr>_Toc9590468</vt:lpwstr>
      </vt:variant>
      <vt:variant>
        <vt:i4>2359300</vt:i4>
      </vt:variant>
      <vt:variant>
        <vt:i4>176</vt:i4>
      </vt:variant>
      <vt:variant>
        <vt:i4>0</vt:i4>
      </vt:variant>
      <vt:variant>
        <vt:i4>5</vt:i4>
      </vt:variant>
      <vt:variant>
        <vt:lpwstr/>
      </vt:variant>
      <vt:variant>
        <vt:lpwstr>_Toc9590467</vt:lpwstr>
      </vt:variant>
      <vt:variant>
        <vt:i4>2359300</vt:i4>
      </vt:variant>
      <vt:variant>
        <vt:i4>170</vt:i4>
      </vt:variant>
      <vt:variant>
        <vt:i4>0</vt:i4>
      </vt:variant>
      <vt:variant>
        <vt:i4>5</vt:i4>
      </vt:variant>
      <vt:variant>
        <vt:lpwstr/>
      </vt:variant>
      <vt:variant>
        <vt:lpwstr>_Toc9590466</vt:lpwstr>
      </vt:variant>
      <vt:variant>
        <vt:i4>2359300</vt:i4>
      </vt:variant>
      <vt:variant>
        <vt:i4>164</vt:i4>
      </vt:variant>
      <vt:variant>
        <vt:i4>0</vt:i4>
      </vt:variant>
      <vt:variant>
        <vt:i4>5</vt:i4>
      </vt:variant>
      <vt:variant>
        <vt:lpwstr/>
      </vt:variant>
      <vt:variant>
        <vt:lpwstr>_Toc9590465</vt:lpwstr>
      </vt:variant>
      <vt:variant>
        <vt:i4>2359300</vt:i4>
      </vt:variant>
      <vt:variant>
        <vt:i4>158</vt:i4>
      </vt:variant>
      <vt:variant>
        <vt:i4>0</vt:i4>
      </vt:variant>
      <vt:variant>
        <vt:i4>5</vt:i4>
      </vt:variant>
      <vt:variant>
        <vt:lpwstr/>
      </vt:variant>
      <vt:variant>
        <vt:lpwstr>_Toc9590464</vt:lpwstr>
      </vt:variant>
      <vt:variant>
        <vt:i4>2359300</vt:i4>
      </vt:variant>
      <vt:variant>
        <vt:i4>152</vt:i4>
      </vt:variant>
      <vt:variant>
        <vt:i4>0</vt:i4>
      </vt:variant>
      <vt:variant>
        <vt:i4>5</vt:i4>
      </vt:variant>
      <vt:variant>
        <vt:lpwstr/>
      </vt:variant>
      <vt:variant>
        <vt:lpwstr>_Toc9590463</vt:lpwstr>
      </vt:variant>
      <vt:variant>
        <vt:i4>2359300</vt:i4>
      </vt:variant>
      <vt:variant>
        <vt:i4>146</vt:i4>
      </vt:variant>
      <vt:variant>
        <vt:i4>0</vt:i4>
      </vt:variant>
      <vt:variant>
        <vt:i4>5</vt:i4>
      </vt:variant>
      <vt:variant>
        <vt:lpwstr/>
      </vt:variant>
      <vt:variant>
        <vt:lpwstr>_Toc9590462</vt:lpwstr>
      </vt:variant>
      <vt:variant>
        <vt:i4>2359300</vt:i4>
      </vt:variant>
      <vt:variant>
        <vt:i4>140</vt:i4>
      </vt:variant>
      <vt:variant>
        <vt:i4>0</vt:i4>
      </vt:variant>
      <vt:variant>
        <vt:i4>5</vt:i4>
      </vt:variant>
      <vt:variant>
        <vt:lpwstr/>
      </vt:variant>
      <vt:variant>
        <vt:lpwstr>_Toc9590461</vt:lpwstr>
      </vt:variant>
      <vt:variant>
        <vt:i4>2359300</vt:i4>
      </vt:variant>
      <vt:variant>
        <vt:i4>134</vt:i4>
      </vt:variant>
      <vt:variant>
        <vt:i4>0</vt:i4>
      </vt:variant>
      <vt:variant>
        <vt:i4>5</vt:i4>
      </vt:variant>
      <vt:variant>
        <vt:lpwstr/>
      </vt:variant>
      <vt:variant>
        <vt:lpwstr>_Toc9590460</vt:lpwstr>
      </vt:variant>
      <vt:variant>
        <vt:i4>2555908</vt:i4>
      </vt:variant>
      <vt:variant>
        <vt:i4>128</vt:i4>
      </vt:variant>
      <vt:variant>
        <vt:i4>0</vt:i4>
      </vt:variant>
      <vt:variant>
        <vt:i4>5</vt:i4>
      </vt:variant>
      <vt:variant>
        <vt:lpwstr/>
      </vt:variant>
      <vt:variant>
        <vt:lpwstr>_Toc9590459</vt:lpwstr>
      </vt:variant>
      <vt:variant>
        <vt:i4>2555908</vt:i4>
      </vt:variant>
      <vt:variant>
        <vt:i4>122</vt:i4>
      </vt:variant>
      <vt:variant>
        <vt:i4>0</vt:i4>
      </vt:variant>
      <vt:variant>
        <vt:i4>5</vt:i4>
      </vt:variant>
      <vt:variant>
        <vt:lpwstr/>
      </vt:variant>
      <vt:variant>
        <vt:lpwstr>_Toc9590458</vt:lpwstr>
      </vt:variant>
      <vt:variant>
        <vt:i4>2555908</vt:i4>
      </vt:variant>
      <vt:variant>
        <vt:i4>116</vt:i4>
      </vt:variant>
      <vt:variant>
        <vt:i4>0</vt:i4>
      </vt:variant>
      <vt:variant>
        <vt:i4>5</vt:i4>
      </vt:variant>
      <vt:variant>
        <vt:lpwstr/>
      </vt:variant>
      <vt:variant>
        <vt:lpwstr>_Toc9590457</vt:lpwstr>
      </vt:variant>
      <vt:variant>
        <vt:i4>2555908</vt:i4>
      </vt:variant>
      <vt:variant>
        <vt:i4>110</vt:i4>
      </vt:variant>
      <vt:variant>
        <vt:i4>0</vt:i4>
      </vt:variant>
      <vt:variant>
        <vt:i4>5</vt:i4>
      </vt:variant>
      <vt:variant>
        <vt:lpwstr/>
      </vt:variant>
      <vt:variant>
        <vt:lpwstr>_Toc9590456</vt:lpwstr>
      </vt:variant>
      <vt:variant>
        <vt:i4>2555908</vt:i4>
      </vt:variant>
      <vt:variant>
        <vt:i4>104</vt:i4>
      </vt:variant>
      <vt:variant>
        <vt:i4>0</vt:i4>
      </vt:variant>
      <vt:variant>
        <vt:i4>5</vt:i4>
      </vt:variant>
      <vt:variant>
        <vt:lpwstr/>
      </vt:variant>
      <vt:variant>
        <vt:lpwstr>_Toc9590455</vt:lpwstr>
      </vt:variant>
      <vt:variant>
        <vt:i4>2555908</vt:i4>
      </vt:variant>
      <vt:variant>
        <vt:i4>98</vt:i4>
      </vt:variant>
      <vt:variant>
        <vt:i4>0</vt:i4>
      </vt:variant>
      <vt:variant>
        <vt:i4>5</vt:i4>
      </vt:variant>
      <vt:variant>
        <vt:lpwstr/>
      </vt:variant>
      <vt:variant>
        <vt:lpwstr>_Toc9590454</vt:lpwstr>
      </vt:variant>
      <vt:variant>
        <vt:i4>2555908</vt:i4>
      </vt:variant>
      <vt:variant>
        <vt:i4>92</vt:i4>
      </vt:variant>
      <vt:variant>
        <vt:i4>0</vt:i4>
      </vt:variant>
      <vt:variant>
        <vt:i4>5</vt:i4>
      </vt:variant>
      <vt:variant>
        <vt:lpwstr/>
      </vt:variant>
      <vt:variant>
        <vt:lpwstr>_Toc9590453</vt:lpwstr>
      </vt:variant>
      <vt:variant>
        <vt:i4>2555908</vt:i4>
      </vt:variant>
      <vt:variant>
        <vt:i4>86</vt:i4>
      </vt:variant>
      <vt:variant>
        <vt:i4>0</vt:i4>
      </vt:variant>
      <vt:variant>
        <vt:i4>5</vt:i4>
      </vt:variant>
      <vt:variant>
        <vt:lpwstr/>
      </vt:variant>
      <vt:variant>
        <vt:lpwstr>_Toc9590452</vt:lpwstr>
      </vt:variant>
      <vt:variant>
        <vt:i4>2555908</vt:i4>
      </vt:variant>
      <vt:variant>
        <vt:i4>80</vt:i4>
      </vt:variant>
      <vt:variant>
        <vt:i4>0</vt:i4>
      </vt:variant>
      <vt:variant>
        <vt:i4>5</vt:i4>
      </vt:variant>
      <vt:variant>
        <vt:lpwstr/>
      </vt:variant>
      <vt:variant>
        <vt:lpwstr>_Toc9590451</vt:lpwstr>
      </vt:variant>
      <vt:variant>
        <vt:i4>2555908</vt:i4>
      </vt:variant>
      <vt:variant>
        <vt:i4>74</vt:i4>
      </vt:variant>
      <vt:variant>
        <vt:i4>0</vt:i4>
      </vt:variant>
      <vt:variant>
        <vt:i4>5</vt:i4>
      </vt:variant>
      <vt:variant>
        <vt:lpwstr/>
      </vt:variant>
      <vt:variant>
        <vt:lpwstr>_Toc9590450</vt:lpwstr>
      </vt:variant>
      <vt:variant>
        <vt:i4>2490372</vt:i4>
      </vt:variant>
      <vt:variant>
        <vt:i4>68</vt:i4>
      </vt:variant>
      <vt:variant>
        <vt:i4>0</vt:i4>
      </vt:variant>
      <vt:variant>
        <vt:i4>5</vt:i4>
      </vt:variant>
      <vt:variant>
        <vt:lpwstr/>
      </vt:variant>
      <vt:variant>
        <vt:lpwstr>_Toc9590449</vt:lpwstr>
      </vt:variant>
      <vt:variant>
        <vt:i4>2490372</vt:i4>
      </vt:variant>
      <vt:variant>
        <vt:i4>62</vt:i4>
      </vt:variant>
      <vt:variant>
        <vt:i4>0</vt:i4>
      </vt:variant>
      <vt:variant>
        <vt:i4>5</vt:i4>
      </vt:variant>
      <vt:variant>
        <vt:lpwstr/>
      </vt:variant>
      <vt:variant>
        <vt:lpwstr>_Toc9590448</vt:lpwstr>
      </vt:variant>
      <vt:variant>
        <vt:i4>2490372</vt:i4>
      </vt:variant>
      <vt:variant>
        <vt:i4>56</vt:i4>
      </vt:variant>
      <vt:variant>
        <vt:i4>0</vt:i4>
      </vt:variant>
      <vt:variant>
        <vt:i4>5</vt:i4>
      </vt:variant>
      <vt:variant>
        <vt:lpwstr/>
      </vt:variant>
      <vt:variant>
        <vt:lpwstr>_Toc9590447</vt:lpwstr>
      </vt:variant>
      <vt:variant>
        <vt:i4>2490372</vt:i4>
      </vt:variant>
      <vt:variant>
        <vt:i4>50</vt:i4>
      </vt:variant>
      <vt:variant>
        <vt:i4>0</vt:i4>
      </vt:variant>
      <vt:variant>
        <vt:i4>5</vt:i4>
      </vt:variant>
      <vt:variant>
        <vt:lpwstr/>
      </vt:variant>
      <vt:variant>
        <vt:lpwstr>_Toc9590446</vt:lpwstr>
      </vt:variant>
      <vt:variant>
        <vt:i4>2490372</vt:i4>
      </vt:variant>
      <vt:variant>
        <vt:i4>44</vt:i4>
      </vt:variant>
      <vt:variant>
        <vt:i4>0</vt:i4>
      </vt:variant>
      <vt:variant>
        <vt:i4>5</vt:i4>
      </vt:variant>
      <vt:variant>
        <vt:lpwstr/>
      </vt:variant>
      <vt:variant>
        <vt:lpwstr>_Toc9590445</vt:lpwstr>
      </vt:variant>
      <vt:variant>
        <vt:i4>2490372</vt:i4>
      </vt:variant>
      <vt:variant>
        <vt:i4>38</vt:i4>
      </vt:variant>
      <vt:variant>
        <vt:i4>0</vt:i4>
      </vt:variant>
      <vt:variant>
        <vt:i4>5</vt:i4>
      </vt:variant>
      <vt:variant>
        <vt:lpwstr/>
      </vt:variant>
      <vt:variant>
        <vt:lpwstr>_Toc9590444</vt:lpwstr>
      </vt:variant>
      <vt:variant>
        <vt:i4>2490372</vt:i4>
      </vt:variant>
      <vt:variant>
        <vt:i4>32</vt:i4>
      </vt:variant>
      <vt:variant>
        <vt:i4>0</vt:i4>
      </vt:variant>
      <vt:variant>
        <vt:i4>5</vt:i4>
      </vt:variant>
      <vt:variant>
        <vt:lpwstr/>
      </vt:variant>
      <vt:variant>
        <vt:lpwstr>_Toc9590443</vt:lpwstr>
      </vt:variant>
      <vt:variant>
        <vt:i4>2490372</vt:i4>
      </vt:variant>
      <vt:variant>
        <vt:i4>26</vt:i4>
      </vt:variant>
      <vt:variant>
        <vt:i4>0</vt:i4>
      </vt:variant>
      <vt:variant>
        <vt:i4>5</vt:i4>
      </vt:variant>
      <vt:variant>
        <vt:lpwstr/>
      </vt:variant>
      <vt:variant>
        <vt:lpwstr>_Toc9590442</vt:lpwstr>
      </vt:variant>
      <vt:variant>
        <vt:i4>2490372</vt:i4>
      </vt:variant>
      <vt:variant>
        <vt:i4>20</vt:i4>
      </vt:variant>
      <vt:variant>
        <vt:i4>0</vt:i4>
      </vt:variant>
      <vt:variant>
        <vt:i4>5</vt:i4>
      </vt:variant>
      <vt:variant>
        <vt:lpwstr/>
      </vt:variant>
      <vt:variant>
        <vt:lpwstr>_Toc9590441</vt:lpwstr>
      </vt:variant>
      <vt:variant>
        <vt:i4>2490372</vt:i4>
      </vt:variant>
      <vt:variant>
        <vt:i4>14</vt:i4>
      </vt:variant>
      <vt:variant>
        <vt:i4>0</vt:i4>
      </vt:variant>
      <vt:variant>
        <vt:i4>5</vt:i4>
      </vt:variant>
      <vt:variant>
        <vt:lpwstr/>
      </vt:variant>
      <vt:variant>
        <vt:lpwstr>_Toc9590440</vt:lpwstr>
      </vt:variant>
      <vt:variant>
        <vt:i4>2162692</vt:i4>
      </vt:variant>
      <vt:variant>
        <vt:i4>8</vt:i4>
      </vt:variant>
      <vt:variant>
        <vt:i4>0</vt:i4>
      </vt:variant>
      <vt:variant>
        <vt:i4>5</vt:i4>
      </vt:variant>
      <vt:variant>
        <vt:lpwstr/>
      </vt:variant>
      <vt:variant>
        <vt:lpwstr>_Toc9590439</vt:lpwstr>
      </vt:variant>
      <vt:variant>
        <vt:i4>2162692</vt:i4>
      </vt:variant>
      <vt:variant>
        <vt:i4>2</vt:i4>
      </vt:variant>
      <vt:variant>
        <vt:i4>0</vt:i4>
      </vt:variant>
      <vt:variant>
        <vt:i4>5</vt:i4>
      </vt:variant>
      <vt:variant>
        <vt:lpwstr/>
      </vt:variant>
      <vt:variant>
        <vt:lpwstr>_Toc9590438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ERCOT Nodal Protocols</dc:title>
  <dc:subject>ERCOT Nodal Protocols</dc:subject>
  <dc:creator>ERCOT</dc:creator>
  <cp:keywords/>
  <cp:lastModifiedBy>TCPA 04XX24</cp:lastModifiedBy>
  <cp:revision>3</cp:revision>
  <cp:lastPrinted>2019-04-29T17:26:00Z</cp:lastPrinted>
  <dcterms:created xsi:type="dcterms:W3CDTF">2024-04-22T13:56:00Z</dcterms:created>
  <dcterms:modified xsi:type="dcterms:W3CDTF">2024-04-22T13:57:00Z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7084cbda-52b8-46fb-a7b7-cb5bd465ed85_Enabled">
    <vt:lpwstr>true</vt:lpwstr>
  </property>
  <property fmtid="{D5CDD505-2E9C-101B-9397-08002B2CF9AE}" pid="4" name="MSIP_Label_7084cbda-52b8-46fb-a7b7-cb5bd465ed85_SetDate">
    <vt:lpwstr>2024-01-12T01:06:41Z</vt:lpwstr>
  </property>
  <property fmtid="{D5CDD505-2E9C-101B-9397-08002B2CF9AE}" pid="5" name="MSIP_Label_7084cbda-52b8-46fb-a7b7-cb5bd465ed85_Method">
    <vt:lpwstr>Standard</vt:lpwstr>
  </property>
  <property fmtid="{D5CDD505-2E9C-101B-9397-08002B2CF9AE}" pid="6" name="MSIP_Label_7084cbda-52b8-46fb-a7b7-cb5bd465ed85_Name">
    <vt:lpwstr>Internal</vt:lpwstr>
  </property>
  <property fmtid="{D5CDD505-2E9C-101B-9397-08002B2CF9AE}" pid="7" name="MSIP_Label_7084cbda-52b8-46fb-a7b7-cb5bd465ed85_SiteId">
    <vt:lpwstr>0afb747d-bff7-4596-a9fc-950ef9e0ec45</vt:lpwstr>
  </property>
  <property fmtid="{D5CDD505-2E9C-101B-9397-08002B2CF9AE}" pid="8" name="MSIP_Label_7084cbda-52b8-46fb-a7b7-cb5bd465ed85_ActionId">
    <vt:lpwstr>ef523e2e-3dd8-44d3-bda1-f09b9d693891</vt:lpwstr>
  </property>
  <property fmtid="{D5CDD505-2E9C-101B-9397-08002B2CF9AE}" pid="9" name="MSIP_Label_7084cbda-52b8-46fb-a7b7-cb5bd465ed85_ContentBits">
    <vt:lpwstr>0</vt:lpwstr>
  </property>
</Properties>
</file>