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4BBC" w14:textId="77777777" w:rsidR="002F5868" w:rsidRDefault="00DD1AC6">
      <w:pPr>
        <w:spacing w:before="2400"/>
        <w:jc w:val="center"/>
        <w:rPr>
          <w:b/>
          <w:sz w:val="36"/>
          <w:szCs w:val="36"/>
        </w:rPr>
      </w:pPr>
      <w:r>
        <w:rPr>
          <w:b/>
          <w:sz w:val="36"/>
          <w:szCs w:val="36"/>
        </w:rPr>
        <w:t>ERCOT Nodal Protocols</w:t>
      </w:r>
    </w:p>
    <w:p w14:paraId="0F8C6762" w14:textId="77777777" w:rsidR="002F5868" w:rsidRDefault="002F5868">
      <w:pPr>
        <w:jc w:val="center"/>
        <w:rPr>
          <w:b/>
          <w:sz w:val="36"/>
          <w:szCs w:val="36"/>
        </w:rPr>
      </w:pPr>
    </w:p>
    <w:p w14:paraId="1866C64A" w14:textId="77777777" w:rsidR="002F5868" w:rsidRDefault="00DD1AC6" w:rsidP="00DD3F92">
      <w:pPr>
        <w:spacing w:after="240"/>
        <w:jc w:val="center"/>
        <w:rPr>
          <w:b/>
          <w:sz w:val="36"/>
          <w:szCs w:val="36"/>
        </w:rPr>
      </w:pPr>
      <w:r>
        <w:rPr>
          <w:b/>
          <w:sz w:val="36"/>
          <w:szCs w:val="36"/>
        </w:rPr>
        <w:t>Section 9:  Settlement and Billing</w:t>
      </w:r>
    </w:p>
    <w:p w14:paraId="39D1B463" w14:textId="77777777" w:rsidR="002F5868" w:rsidRDefault="002F5868" w:rsidP="00A927C1">
      <w:pPr>
        <w:jc w:val="center"/>
        <w:rPr>
          <w:b/>
          <w:sz w:val="22"/>
          <w:szCs w:val="22"/>
        </w:rPr>
      </w:pPr>
    </w:p>
    <w:p w14:paraId="3D0219F3" w14:textId="227AF2AC" w:rsidR="002F5868" w:rsidRDefault="003E0FF7" w:rsidP="00A927C1">
      <w:pPr>
        <w:spacing w:before="360"/>
        <w:jc w:val="center"/>
        <w:rPr>
          <w:b/>
          <w:szCs w:val="24"/>
        </w:rPr>
      </w:pPr>
      <w:r>
        <w:rPr>
          <w:b/>
          <w:szCs w:val="24"/>
        </w:rPr>
        <w:t>Ma</w:t>
      </w:r>
      <w:r w:rsidR="00B214A7">
        <w:rPr>
          <w:b/>
          <w:szCs w:val="24"/>
        </w:rPr>
        <w:t>y</w:t>
      </w:r>
      <w:r w:rsidR="0064455F">
        <w:rPr>
          <w:b/>
          <w:szCs w:val="24"/>
        </w:rPr>
        <w:t xml:space="preserve"> </w:t>
      </w:r>
      <w:r w:rsidR="003026B4">
        <w:rPr>
          <w:b/>
          <w:szCs w:val="24"/>
        </w:rPr>
        <w:t>1</w:t>
      </w:r>
      <w:r w:rsidR="001349D5">
        <w:rPr>
          <w:b/>
          <w:szCs w:val="24"/>
        </w:rPr>
        <w:t>, 20</w:t>
      </w:r>
      <w:r w:rsidR="006D4C93">
        <w:rPr>
          <w:b/>
          <w:szCs w:val="24"/>
        </w:rPr>
        <w:t>2</w:t>
      </w:r>
      <w:r>
        <w:rPr>
          <w:b/>
          <w:szCs w:val="24"/>
        </w:rPr>
        <w:t>4</w:t>
      </w:r>
    </w:p>
    <w:p w14:paraId="14AA4CE8" w14:textId="77777777" w:rsidR="002F5868" w:rsidRDefault="002F5868" w:rsidP="00A927C1">
      <w:pPr>
        <w:spacing w:before="360"/>
        <w:jc w:val="center"/>
        <w:rPr>
          <w:b/>
        </w:rPr>
      </w:pPr>
    </w:p>
    <w:p w14:paraId="64551AA6" w14:textId="77777777" w:rsidR="002F5868" w:rsidRDefault="002F5868">
      <w:pPr>
        <w:pBdr>
          <w:top w:val="single" w:sz="4" w:space="1" w:color="auto"/>
        </w:pBdr>
        <w:rPr>
          <w:b/>
          <w:sz w:val="20"/>
        </w:rPr>
      </w:pPr>
    </w:p>
    <w:p w14:paraId="2FEC3F40" w14:textId="77777777" w:rsidR="002F5868" w:rsidRDefault="002F5868" w:rsidP="002E5F2C">
      <w:pPr>
        <w:pStyle w:val="TOC1"/>
      </w:pPr>
    </w:p>
    <w:p w14:paraId="15435823" w14:textId="77777777" w:rsidR="002F5868" w:rsidRDefault="002F5868" w:rsidP="002E5F2C">
      <w:pPr>
        <w:pStyle w:val="TOC1"/>
        <w:sectPr w:rsidR="002F5868">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hapStyle="1"/>
          <w:cols w:space="720"/>
          <w:titlePg/>
        </w:sectPr>
      </w:pPr>
    </w:p>
    <w:p w14:paraId="6E892EEE" w14:textId="71DABA34" w:rsidR="008F5C1F" w:rsidRDefault="00B10807">
      <w:pPr>
        <w:pStyle w:val="TOC1"/>
        <w:rPr>
          <w:rFonts w:asciiTheme="minorHAnsi" w:eastAsiaTheme="minorEastAsia" w:hAnsiTheme="minorHAnsi" w:cstheme="minorBidi"/>
          <w:b w:val="0"/>
          <w:bCs w:val="0"/>
          <w:sz w:val="22"/>
          <w:szCs w:val="22"/>
        </w:rPr>
      </w:pPr>
      <w:r w:rsidRPr="002E5F2C">
        <w:rPr>
          <w:iCs/>
        </w:rPr>
        <w:lastRenderedPageBreak/>
        <w:fldChar w:fldCharType="begin"/>
      </w:r>
      <w:r w:rsidR="005E554F" w:rsidRPr="002E5F2C">
        <w:rPr>
          <w:iCs/>
        </w:rPr>
        <w:instrText xml:space="preserve"> TOC \o "1-5" \h \z \u </w:instrText>
      </w:r>
      <w:r w:rsidRPr="002E5F2C">
        <w:rPr>
          <w:iCs/>
        </w:rPr>
        <w:fldChar w:fldCharType="separate"/>
      </w:r>
      <w:hyperlink w:anchor="_Toc80175234" w:history="1">
        <w:r w:rsidR="008F5C1F" w:rsidRPr="008A69B1">
          <w:rPr>
            <w:rStyle w:val="Hyperlink"/>
          </w:rPr>
          <w:t>9</w:t>
        </w:r>
        <w:r w:rsidR="008F5C1F">
          <w:rPr>
            <w:rFonts w:asciiTheme="minorHAnsi" w:eastAsiaTheme="minorEastAsia" w:hAnsiTheme="minorHAnsi" w:cstheme="minorBidi"/>
            <w:b w:val="0"/>
            <w:bCs w:val="0"/>
            <w:sz w:val="22"/>
            <w:szCs w:val="22"/>
          </w:rPr>
          <w:tab/>
        </w:r>
        <w:r w:rsidR="008F5C1F" w:rsidRPr="008A69B1">
          <w:rPr>
            <w:rStyle w:val="Hyperlink"/>
          </w:rPr>
          <w:t>SETTLEMENT AND BILLING</w:t>
        </w:r>
        <w:r w:rsidR="008F5C1F">
          <w:rPr>
            <w:webHidden/>
          </w:rPr>
          <w:tab/>
        </w:r>
        <w:r w:rsidR="008F5C1F">
          <w:rPr>
            <w:webHidden/>
          </w:rPr>
          <w:fldChar w:fldCharType="begin"/>
        </w:r>
        <w:r w:rsidR="008F5C1F">
          <w:rPr>
            <w:webHidden/>
          </w:rPr>
          <w:instrText xml:space="preserve"> PAGEREF _Toc80175234 \h </w:instrText>
        </w:r>
        <w:r w:rsidR="008F5C1F">
          <w:rPr>
            <w:webHidden/>
          </w:rPr>
        </w:r>
        <w:r w:rsidR="008F5C1F">
          <w:rPr>
            <w:webHidden/>
          </w:rPr>
          <w:fldChar w:fldCharType="separate"/>
        </w:r>
        <w:r w:rsidR="002A739E">
          <w:rPr>
            <w:webHidden/>
          </w:rPr>
          <w:t>9-1</w:t>
        </w:r>
        <w:r w:rsidR="008F5C1F">
          <w:rPr>
            <w:webHidden/>
          </w:rPr>
          <w:fldChar w:fldCharType="end"/>
        </w:r>
      </w:hyperlink>
    </w:p>
    <w:p w14:paraId="1FDA568D" w14:textId="6BA7B54F" w:rsidR="008F5C1F" w:rsidRPr="002A739E" w:rsidRDefault="002A739E">
      <w:pPr>
        <w:pStyle w:val="TOC2"/>
        <w:rPr>
          <w:rFonts w:eastAsiaTheme="minorEastAsia"/>
          <w:noProof/>
        </w:rPr>
      </w:pPr>
      <w:hyperlink w:anchor="_Toc80175235" w:history="1">
        <w:r w:rsidR="008F5C1F" w:rsidRPr="002A739E">
          <w:rPr>
            <w:rStyle w:val="Hyperlink"/>
            <w:noProof/>
          </w:rPr>
          <w:t>9.1</w:t>
        </w:r>
        <w:r w:rsidR="008F5C1F" w:rsidRPr="002A739E">
          <w:rPr>
            <w:rFonts w:eastAsiaTheme="minorEastAsia"/>
            <w:noProof/>
          </w:rPr>
          <w:tab/>
        </w:r>
        <w:r w:rsidR="008F5C1F" w:rsidRPr="002A739E">
          <w:rPr>
            <w:rStyle w:val="Hyperlink"/>
            <w:noProof/>
          </w:rPr>
          <w:t>General</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_Toc80175235 \h </w:instrText>
        </w:r>
        <w:r w:rsidR="008F5C1F" w:rsidRPr="002A739E">
          <w:rPr>
            <w:noProof/>
            <w:webHidden/>
          </w:rPr>
        </w:r>
        <w:r w:rsidR="008F5C1F" w:rsidRPr="002A739E">
          <w:rPr>
            <w:noProof/>
            <w:webHidden/>
          </w:rPr>
          <w:fldChar w:fldCharType="separate"/>
        </w:r>
        <w:r w:rsidRPr="002A739E">
          <w:rPr>
            <w:noProof/>
            <w:webHidden/>
          </w:rPr>
          <w:t>9-1</w:t>
        </w:r>
        <w:r w:rsidR="008F5C1F" w:rsidRPr="002A739E">
          <w:rPr>
            <w:noProof/>
            <w:webHidden/>
          </w:rPr>
          <w:fldChar w:fldCharType="end"/>
        </w:r>
      </w:hyperlink>
    </w:p>
    <w:p w14:paraId="16371CE4" w14:textId="76B57B03" w:rsidR="008F5C1F" w:rsidRPr="002A739E" w:rsidRDefault="002A739E">
      <w:pPr>
        <w:pStyle w:val="TOC3"/>
        <w:rPr>
          <w:rFonts w:eastAsiaTheme="minorEastAsia"/>
          <w:i w:val="0"/>
          <w:iCs w:val="0"/>
          <w:noProof/>
        </w:rPr>
      </w:pPr>
      <w:hyperlink w:anchor="_Toc80175236" w:history="1">
        <w:r w:rsidR="008F5C1F" w:rsidRPr="002A739E">
          <w:rPr>
            <w:rStyle w:val="Hyperlink"/>
            <w:i w:val="0"/>
            <w:iCs w:val="0"/>
            <w:noProof/>
          </w:rPr>
          <w:t>9.1.1</w:t>
        </w:r>
        <w:r w:rsidR="008F5C1F" w:rsidRPr="002A739E">
          <w:rPr>
            <w:rFonts w:eastAsiaTheme="minorEastAsia"/>
            <w:i w:val="0"/>
            <w:iCs w:val="0"/>
            <w:noProof/>
          </w:rPr>
          <w:tab/>
        </w:r>
        <w:r w:rsidR="008F5C1F" w:rsidRPr="002A739E">
          <w:rPr>
            <w:rStyle w:val="Hyperlink"/>
            <w:i w:val="0"/>
            <w:iCs w:val="0"/>
            <w:noProof/>
          </w:rPr>
          <w:t>Settlement and Billing Process Overview</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_Toc80175236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w:t>
        </w:r>
        <w:r w:rsidR="008F5C1F" w:rsidRPr="002A739E">
          <w:rPr>
            <w:i w:val="0"/>
            <w:iCs w:val="0"/>
            <w:noProof/>
            <w:webHidden/>
          </w:rPr>
          <w:fldChar w:fldCharType="end"/>
        </w:r>
      </w:hyperlink>
    </w:p>
    <w:p w14:paraId="5B5C1D1C" w14:textId="545814A4" w:rsidR="008F5C1F" w:rsidRPr="002A739E" w:rsidRDefault="002A739E">
      <w:pPr>
        <w:pStyle w:val="TOC3"/>
        <w:rPr>
          <w:rFonts w:eastAsiaTheme="minorEastAsia"/>
          <w:i w:val="0"/>
          <w:iCs w:val="0"/>
          <w:noProof/>
        </w:rPr>
      </w:pPr>
      <w:hyperlink w:anchor="_Toc80175237" w:history="1">
        <w:r w:rsidR="008F5C1F" w:rsidRPr="002A739E">
          <w:rPr>
            <w:rStyle w:val="Hyperlink"/>
            <w:i w:val="0"/>
            <w:iCs w:val="0"/>
            <w:noProof/>
          </w:rPr>
          <w:t>9.1.2</w:t>
        </w:r>
        <w:r w:rsidR="008F5C1F" w:rsidRPr="002A739E">
          <w:rPr>
            <w:rFonts w:eastAsiaTheme="minorEastAsia"/>
            <w:i w:val="0"/>
            <w:iCs w:val="0"/>
            <w:noProof/>
          </w:rPr>
          <w:tab/>
        </w:r>
        <w:r w:rsidR="008F5C1F" w:rsidRPr="002A739E">
          <w:rPr>
            <w:rStyle w:val="Hyperlink"/>
            <w:i w:val="0"/>
            <w:iCs w:val="0"/>
            <w:noProof/>
          </w:rPr>
          <w:t>Settlement Calendar</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_Toc80175237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w:t>
        </w:r>
        <w:r w:rsidR="008F5C1F" w:rsidRPr="002A739E">
          <w:rPr>
            <w:i w:val="0"/>
            <w:iCs w:val="0"/>
            <w:noProof/>
            <w:webHidden/>
          </w:rPr>
          <w:fldChar w:fldCharType="end"/>
        </w:r>
      </w:hyperlink>
    </w:p>
    <w:p w14:paraId="77D5A38B" w14:textId="41519C8D" w:rsidR="008F5C1F" w:rsidRPr="002A739E" w:rsidRDefault="002A739E">
      <w:pPr>
        <w:pStyle w:val="TOC3"/>
        <w:rPr>
          <w:rFonts w:eastAsiaTheme="minorEastAsia"/>
          <w:i w:val="0"/>
          <w:iCs w:val="0"/>
          <w:noProof/>
        </w:rPr>
      </w:pPr>
      <w:hyperlink w:anchor="_Toc80175238" w:history="1">
        <w:r w:rsidR="008F5C1F" w:rsidRPr="002A739E">
          <w:rPr>
            <w:rStyle w:val="Hyperlink"/>
            <w:i w:val="0"/>
            <w:iCs w:val="0"/>
            <w:noProof/>
          </w:rPr>
          <w:t>9.1.3</w:t>
        </w:r>
        <w:r w:rsidR="008F5C1F" w:rsidRPr="002A739E">
          <w:rPr>
            <w:rFonts w:eastAsiaTheme="minorEastAsia"/>
            <w:i w:val="0"/>
            <w:iCs w:val="0"/>
            <w:noProof/>
          </w:rPr>
          <w:tab/>
        </w:r>
        <w:r w:rsidR="008F5C1F" w:rsidRPr="002A739E">
          <w:rPr>
            <w:rStyle w:val="Hyperlink"/>
            <w:i w:val="0"/>
            <w:iCs w:val="0"/>
            <w:noProof/>
          </w:rPr>
          <w:t>Settlement Statement and Invoice Access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_Toc80175238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w:t>
        </w:r>
        <w:r w:rsidR="008F5C1F" w:rsidRPr="002A739E">
          <w:rPr>
            <w:i w:val="0"/>
            <w:iCs w:val="0"/>
            <w:noProof/>
            <w:webHidden/>
          </w:rPr>
          <w:fldChar w:fldCharType="end"/>
        </w:r>
      </w:hyperlink>
    </w:p>
    <w:p w14:paraId="59F00CAC" w14:textId="40C76E4A" w:rsidR="008F5C1F" w:rsidRPr="002A739E" w:rsidRDefault="002A739E">
      <w:pPr>
        <w:pStyle w:val="TOC3"/>
        <w:rPr>
          <w:rFonts w:eastAsiaTheme="minorEastAsia"/>
          <w:i w:val="0"/>
          <w:iCs w:val="0"/>
          <w:noProof/>
        </w:rPr>
      </w:pPr>
      <w:hyperlink w:anchor="_Toc80175239" w:history="1">
        <w:r w:rsidR="008F5C1F" w:rsidRPr="002A739E">
          <w:rPr>
            <w:rStyle w:val="Hyperlink"/>
            <w:i w:val="0"/>
            <w:iCs w:val="0"/>
            <w:noProof/>
          </w:rPr>
          <w:t>9.1.4</w:t>
        </w:r>
        <w:r w:rsidR="008F5C1F" w:rsidRPr="002A739E">
          <w:rPr>
            <w:rFonts w:eastAsiaTheme="minorEastAsia"/>
            <w:i w:val="0"/>
            <w:iCs w:val="0"/>
            <w:noProof/>
          </w:rPr>
          <w:tab/>
        </w:r>
        <w:r w:rsidR="008F5C1F" w:rsidRPr="002A739E">
          <w:rPr>
            <w:rStyle w:val="Hyperlink"/>
            <w:i w:val="0"/>
            <w:iCs w:val="0"/>
            <w:noProof/>
          </w:rPr>
          <w:t>Settlement Statement and Invoice Timing</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_Toc80175239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w:t>
        </w:r>
        <w:r w:rsidR="008F5C1F" w:rsidRPr="002A739E">
          <w:rPr>
            <w:i w:val="0"/>
            <w:iCs w:val="0"/>
            <w:noProof/>
            <w:webHidden/>
          </w:rPr>
          <w:fldChar w:fldCharType="end"/>
        </w:r>
      </w:hyperlink>
    </w:p>
    <w:p w14:paraId="69230204" w14:textId="15AB9F14" w:rsidR="008F5C1F" w:rsidRPr="002A739E" w:rsidRDefault="002A739E">
      <w:pPr>
        <w:pStyle w:val="TOC3"/>
        <w:rPr>
          <w:rFonts w:eastAsiaTheme="minorEastAsia"/>
          <w:i w:val="0"/>
          <w:iCs w:val="0"/>
          <w:noProof/>
        </w:rPr>
      </w:pPr>
      <w:hyperlink w:anchor="_Toc80175240" w:history="1">
        <w:r w:rsidR="008F5C1F" w:rsidRPr="002A739E">
          <w:rPr>
            <w:rStyle w:val="Hyperlink"/>
            <w:i w:val="0"/>
            <w:iCs w:val="0"/>
            <w:noProof/>
          </w:rPr>
          <w:t>9.1.5</w:t>
        </w:r>
        <w:r w:rsidR="008F5C1F" w:rsidRPr="002A739E">
          <w:rPr>
            <w:rFonts w:eastAsiaTheme="minorEastAsia"/>
            <w:i w:val="0"/>
            <w:iCs w:val="0"/>
            <w:noProof/>
          </w:rPr>
          <w:tab/>
        </w:r>
        <w:r w:rsidR="008F5C1F" w:rsidRPr="002A739E">
          <w:rPr>
            <w:rStyle w:val="Hyperlink"/>
            <w:i w:val="0"/>
            <w:iCs w:val="0"/>
            <w:noProof/>
          </w:rPr>
          <w:t>Settlement Payment Convention</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_Toc80175240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w:t>
        </w:r>
        <w:r w:rsidR="008F5C1F" w:rsidRPr="002A739E">
          <w:rPr>
            <w:i w:val="0"/>
            <w:iCs w:val="0"/>
            <w:noProof/>
            <w:webHidden/>
          </w:rPr>
          <w:fldChar w:fldCharType="end"/>
        </w:r>
      </w:hyperlink>
    </w:p>
    <w:p w14:paraId="7F1143FE" w14:textId="6A95B6FB" w:rsidR="008F5C1F" w:rsidRPr="002A739E" w:rsidRDefault="002A739E">
      <w:pPr>
        <w:pStyle w:val="TOC2"/>
        <w:rPr>
          <w:rFonts w:eastAsiaTheme="minorEastAsia"/>
          <w:noProof/>
        </w:rPr>
      </w:pPr>
      <w:hyperlink w:anchor="_Toc80175241" w:history="1">
        <w:r w:rsidR="008F5C1F" w:rsidRPr="002A739E">
          <w:rPr>
            <w:rStyle w:val="Hyperlink"/>
            <w:noProof/>
          </w:rPr>
          <w:t>9.2</w:t>
        </w:r>
        <w:r w:rsidR="008F5C1F" w:rsidRPr="002A739E">
          <w:rPr>
            <w:rFonts w:eastAsiaTheme="minorEastAsia"/>
            <w:noProof/>
          </w:rPr>
          <w:tab/>
        </w:r>
        <w:r w:rsidR="008F5C1F" w:rsidRPr="002A739E">
          <w:rPr>
            <w:rStyle w:val="Hyperlink"/>
            <w:noProof/>
          </w:rPr>
          <w:t>Settlement Statements for the Day-Ahead Market</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_Toc80175241 \h </w:instrText>
        </w:r>
        <w:r w:rsidR="008F5C1F" w:rsidRPr="002A739E">
          <w:rPr>
            <w:noProof/>
            <w:webHidden/>
          </w:rPr>
        </w:r>
        <w:r w:rsidR="008F5C1F" w:rsidRPr="002A739E">
          <w:rPr>
            <w:noProof/>
            <w:webHidden/>
          </w:rPr>
          <w:fldChar w:fldCharType="separate"/>
        </w:r>
        <w:r w:rsidRPr="002A739E">
          <w:rPr>
            <w:noProof/>
            <w:webHidden/>
          </w:rPr>
          <w:t>9-3</w:t>
        </w:r>
        <w:r w:rsidR="008F5C1F" w:rsidRPr="002A739E">
          <w:rPr>
            <w:noProof/>
            <w:webHidden/>
          </w:rPr>
          <w:fldChar w:fldCharType="end"/>
        </w:r>
      </w:hyperlink>
    </w:p>
    <w:p w14:paraId="546A60BB" w14:textId="1D580A5D" w:rsidR="008F5C1F" w:rsidRPr="002A739E" w:rsidRDefault="002A739E">
      <w:pPr>
        <w:pStyle w:val="TOC3"/>
        <w:rPr>
          <w:rFonts w:eastAsiaTheme="minorEastAsia"/>
          <w:i w:val="0"/>
          <w:iCs w:val="0"/>
          <w:noProof/>
        </w:rPr>
      </w:pPr>
      <w:hyperlink w:anchor="_Toc80175242" w:history="1">
        <w:r w:rsidR="008F5C1F" w:rsidRPr="002A739E">
          <w:rPr>
            <w:rStyle w:val="Hyperlink"/>
            <w:i w:val="0"/>
            <w:iCs w:val="0"/>
            <w:noProof/>
          </w:rPr>
          <w:t>9.2.1</w:t>
        </w:r>
        <w:r w:rsidR="008F5C1F" w:rsidRPr="002A739E">
          <w:rPr>
            <w:rFonts w:eastAsiaTheme="minorEastAsia"/>
            <w:i w:val="0"/>
            <w:iCs w:val="0"/>
            <w:noProof/>
          </w:rPr>
          <w:tab/>
        </w:r>
        <w:r w:rsidR="008F5C1F" w:rsidRPr="002A739E">
          <w:rPr>
            <w:rStyle w:val="Hyperlink"/>
            <w:i w:val="0"/>
            <w:iCs w:val="0"/>
            <w:noProof/>
          </w:rPr>
          <w:t>Settlement Statement Process for the DAM</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_Toc80175242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w:t>
        </w:r>
        <w:r w:rsidR="008F5C1F" w:rsidRPr="002A739E">
          <w:rPr>
            <w:i w:val="0"/>
            <w:iCs w:val="0"/>
            <w:noProof/>
            <w:webHidden/>
          </w:rPr>
          <w:fldChar w:fldCharType="end"/>
        </w:r>
      </w:hyperlink>
    </w:p>
    <w:p w14:paraId="100DD0B6" w14:textId="02FE25D2" w:rsidR="008F5C1F" w:rsidRPr="002A739E" w:rsidRDefault="002A739E">
      <w:pPr>
        <w:pStyle w:val="TOC3"/>
        <w:rPr>
          <w:rFonts w:eastAsiaTheme="minorEastAsia"/>
          <w:i w:val="0"/>
          <w:iCs w:val="0"/>
          <w:noProof/>
        </w:rPr>
      </w:pPr>
      <w:hyperlink w:anchor="_Toc80175243" w:history="1">
        <w:r w:rsidR="008F5C1F" w:rsidRPr="002A739E">
          <w:rPr>
            <w:rStyle w:val="Hyperlink"/>
            <w:i w:val="0"/>
            <w:iCs w:val="0"/>
            <w:noProof/>
          </w:rPr>
          <w:t>9.2.2</w:t>
        </w:r>
        <w:r w:rsidR="008F5C1F" w:rsidRPr="002A739E">
          <w:rPr>
            <w:rFonts w:eastAsiaTheme="minorEastAsia"/>
            <w:i w:val="0"/>
            <w:iCs w:val="0"/>
            <w:noProof/>
          </w:rPr>
          <w:tab/>
        </w:r>
        <w:r w:rsidR="008F5C1F" w:rsidRPr="002A739E">
          <w:rPr>
            <w:rStyle w:val="Hyperlink"/>
            <w:i w:val="0"/>
            <w:iCs w:val="0"/>
            <w:noProof/>
          </w:rPr>
          <w:t xml:space="preserve"> Settlement Statements for the DAM</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_Toc80175243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w:t>
        </w:r>
        <w:r w:rsidR="008F5C1F" w:rsidRPr="002A739E">
          <w:rPr>
            <w:i w:val="0"/>
            <w:iCs w:val="0"/>
            <w:noProof/>
            <w:webHidden/>
          </w:rPr>
          <w:fldChar w:fldCharType="end"/>
        </w:r>
      </w:hyperlink>
    </w:p>
    <w:p w14:paraId="7D0C835F" w14:textId="51A55933" w:rsidR="008F5C1F" w:rsidRPr="002A739E" w:rsidRDefault="002A739E">
      <w:pPr>
        <w:pStyle w:val="TOC3"/>
        <w:rPr>
          <w:rFonts w:eastAsiaTheme="minorEastAsia"/>
          <w:i w:val="0"/>
          <w:iCs w:val="0"/>
          <w:noProof/>
        </w:rPr>
      </w:pPr>
      <w:hyperlink w:anchor="_Toc80175244" w:history="1">
        <w:r w:rsidR="008F5C1F" w:rsidRPr="002A739E">
          <w:rPr>
            <w:rStyle w:val="Hyperlink"/>
            <w:i w:val="0"/>
            <w:iCs w:val="0"/>
            <w:noProof/>
          </w:rPr>
          <w:t>9.2.3</w:t>
        </w:r>
        <w:r w:rsidR="008F5C1F" w:rsidRPr="002A739E">
          <w:rPr>
            <w:rFonts w:eastAsiaTheme="minorEastAsia"/>
            <w:i w:val="0"/>
            <w:iCs w:val="0"/>
            <w:noProof/>
          </w:rPr>
          <w:tab/>
        </w:r>
        <w:r w:rsidR="008F5C1F" w:rsidRPr="002A739E">
          <w:rPr>
            <w:rStyle w:val="Hyperlink"/>
            <w:i w:val="0"/>
            <w:iCs w:val="0"/>
            <w:noProof/>
          </w:rPr>
          <w:t>DAM Settlement Charge Types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_Toc80175244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9-4</w:t>
        </w:r>
        <w:r w:rsidR="008F5C1F" w:rsidRPr="002A739E">
          <w:rPr>
            <w:i w:val="0"/>
            <w:iCs w:val="0"/>
            <w:noProof/>
            <w:webHidden/>
          </w:rPr>
          <w:fldChar w:fldCharType="end"/>
        </w:r>
      </w:hyperlink>
    </w:p>
    <w:p w14:paraId="6418C89F" w14:textId="6E009F17" w:rsidR="008F5C1F" w:rsidRPr="002A739E" w:rsidRDefault="002A739E">
      <w:pPr>
        <w:pStyle w:val="TOC3"/>
        <w:rPr>
          <w:rFonts w:eastAsiaTheme="minorEastAsia"/>
          <w:i w:val="0"/>
          <w:iCs w:val="0"/>
          <w:noProof/>
        </w:rPr>
      </w:pPr>
      <w:hyperlink w:anchor="_Toc80175245" w:history="1">
        <w:r w:rsidR="008F5C1F" w:rsidRPr="002A739E">
          <w:rPr>
            <w:rStyle w:val="Hyperlink"/>
            <w:i w:val="0"/>
            <w:iCs w:val="0"/>
            <w:noProof/>
          </w:rPr>
          <w:t>9.2.4</w:t>
        </w:r>
        <w:r w:rsidR="008F5C1F" w:rsidRPr="002A739E">
          <w:rPr>
            <w:rFonts w:eastAsiaTheme="minorEastAsia"/>
            <w:i w:val="0"/>
            <w:iCs w:val="0"/>
            <w:noProof/>
          </w:rPr>
          <w:tab/>
        </w:r>
        <w:r w:rsidR="008F5C1F" w:rsidRPr="002A739E">
          <w:rPr>
            <w:rStyle w:val="Hyperlink"/>
            <w:i w:val="0"/>
            <w:iCs w:val="0"/>
            <w:noProof/>
          </w:rPr>
          <w:t>DAM Statement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_Toc80175245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9-5</w:t>
        </w:r>
        <w:r w:rsidR="008F5C1F" w:rsidRPr="002A739E">
          <w:rPr>
            <w:i w:val="0"/>
            <w:iCs w:val="0"/>
            <w:noProof/>
            <w:webHidden/>
          </w:rPr>
          <w:fldChar w:fldCharType="end"/>
        </w:r>
      </w:hyperlink>
    </w:p>
    <w:p w14:paraId="25D5785F" w14:textId="579B14EF" w:rsidR="008F5C1F" w:rsidRPr="002A739E" w:rsidRDefault="002A739E">
      <w:pPr>
        <w:pStyle w:val="TOC3"/>
        <w:rPr>
          <w:rFonts w:eastAsiaTheme="minorEastAsia"/>
          <w:i w:val="0"/>
          <w:iCs w:val="0"/>
          <w:noProof/>
        </w:rPr>
      </w:pPr>
      <w:hyperlink w:anchor="_Toc80175246" w:history="1">
        <w:r w:rsidR="008F5C1F" w:rsidRPr="002A739E">
          <w:rPr>
            <w:rStyle w:val="Hyperlink"/>
            <w:i w:val="0"/>
            <w:iCs w:val="0"/>
            <w:noProof/>
          </w:rPr>
          <w:t>9.2.5</w:t>
        </w:r>
        <w:r w:rsidR="008F5C1F" w:rsidRPr="002A739E">
          <w:rPr>
            <w:rFonts w:eastAsiaTheme="minorEastAsia"/>
            <w:i w:val="0"/>
            <w:iCs w:val="0"/>
            <w:noProof/>
          </w:rPr>
          <w:tab/>
        </w:r>
        <w:r w:rsidR="008F5C1F" w:rsidRPr="002A739E">
          <w:rPr>
            <w:rStyle w:val="Hyperlink"/>
            <w:i w:val="0"/>
            <w:iCs w:val="0"/>
            <w:noProof/>
          </w:rPr>
          <w:t>DAM Resettlement Statement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_Toc80175246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9-5</w:t>
        </w:r>
        <w:r w:rsidR="008F5C1F" w:rsidRPr="002A739E">
          <w:rPr>
            <w:i w:val="0"/>
            <w:iCs w:val="0"/>
            <w:noProof/>
            <w:webHidden/>
          </w:rPr>
          <w:fldChar w:fldCharType="end"/>
        </w:r>
      </w:hyperlink>
    </w:p>
    <w:p w14:paraId="09778A9D" w14:textId="5497C37B" w:rsidR="008F5C1F" w:rsidRPr="002A739E" w:rsidRDefault="002A739E">
      <w:pPr>
        <w:pStyle w:val="TOC3"/>
        <w:rPr>
          <w:rFonts w:eastAsiaTheme="minorEastAsia"/>
          <w:i w:val="0"/>
          <w:iCs w:val="0"/>
          <w:noProof/>
        </w:rPr>
      </w:pPr>
      <w:hyperlink w:anchor="_Toc80175247" w:history="1">
        <w:r w:rsidR="008F5C1F" w:rsidRPr="002A739E">
          <w:rPr>
            <w:rStyle w:val="Hyperlink"/>
            <w:i w:val="0"/>
            <w:iCs w:val="0"/>
            <w:noProof/>
          </w:rPr>
          <w:t>9.2.6</w:t>
        </w:r>
        <w:r w:rsidR="008F5C1F" w:rsidRPr="002A739E">
          <w:rPr>
            <w:rFonts w:eastAsiaTheme="minorEastAsia"/>
            <w:i w:val="0"/>
            <w:iCs w:val="0"/>
            <w:noProof/>
          </w:rPr>
          <w:tab/>
        </w:r>
        <w:r w:rsidR="008F5C1F" w:rsidRPr="002A739E">
          <w:rPr>
            <w:rStyle w:val="Hyperlink"/>
            <w:i w:val="0"/>
            <w:iCs w:val="0"/>
            <w:noProof/>
          </w:rPr>
          <w:t>Notice of Resettlement for the DAM</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_Toc80175247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9-6</w:t>
        </w:r>
        <w:r w:rsidR="008F5C1F" w:rsidRPr="002A739E">
          <w:rPr>
            <w:i w:val="0"/>
            <w:iCs w:val="0"/>
            <w:noProof/>
            <w:webHidden/>
          </w:rPr>
          <w:fldChar w:fldCharType="end"/>
        </w:r>
      </w:hyperlink>
    </w:p>
    <w:p w14:paraId="4A0D620E" w14:textId="56BC1FF7" w:rsidR="008F5C1F" w:rsidRPr="002A739E" w:rsidRDefault="002A739E">
      <w:pPr>
        <w:pStyle w:val="TOC3"/>
        <w:rPr>
          <w:rFonts w:eastAsiaTheme="minorEastAsia"/>
          <w:i w:val="0"/>
          <w:iCs w:val="0"/>
          <w:noProof/>
        </w:rPr>
      </w:pPr>
      <w:hyperlink w:anchor="_Toc80175248" w:history="1">
        <w:r w:rsidR="008F5C1F" w:rsidRPr="002A739E">
          <w:rPr>
            <w:rStyle w:val="Hyperlink"/>
            <w:i w:val="0"/>
            <w:iCs w:val="0"/>
            <w:noProof/>
          </w:rPr>
          <w:t>9.2.7</w:t>
        </w:r>
        <w:r w:rsidR="008F5C1F" w:rsidRPr="002A739E">
          <w:rPr>
            <w:rFonts w:eastAsiaTheme="minorEastAsia"/>
            <w:i w:val="0"/>
            <w:iCs w:val="0"/>
            <w:noProof/>
          </w:rPr>
          <w:tab/>
        </w:r>
        <w:r w:rsidR="008F5C1F" w:rsidRPr="002A739E">
          <w:rPr>
            <w:rStyle w:val="Hyperlink"/>
            <w:i w:val="0"/>
            <w:iCs w:val="0"/>
            <w:noProof/>
          </w:rPr>
          <w:t>Confirmation of Statement for the DAM</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_Toc80175248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9-6</w:t>
        </w:r>
        <w:r w:rsidR="008F5C1F" w:rsidRPr="002A739E">
          <w:rPr>
            <w:i w:val="0"/>
            <w:iCs w:val="0"/>
            <w:noProof/>
            <w:webHidden/>
          </w:rPr>
          <w:fldChar w:fldCharType="end"/>
        </w:r>
      </w:hyperlink>
    </w:p>
    <w:p w14:paraId="7E7795B0" w14:textId="29647EB6" w:rsidR="008F5C1F" w:rsidRPr="002A739E" w:rsidRDefault="002A739E">
      <w:pPr>
        <w:pStyle w:val="TOC3"/>
        <w:rPr>
          <w:rFonts w:eastAsiaTheme="minorEastAsia"/>
          <w:i w:val="0"/>
          <w:iCs w:val="0"/>
          <w:noProof/>
        </w:rPr>
      </w:pPr>
      <w:hyperlink w:anchor="_Toc80175249" w:history="1">
        <w:r w:rsidR="008F5C1F" w:rsidRPr="002A739E">
          <w:rPr>
            <w:rStyle w:val="Hyperlink"/>
            <w:i w:val="0"/>
            <w:iCs w:val="0"/>
            <w:noProof/>
          </w:rPr>
          <w:t>9.2.8</w:t>
        </w:r>
        <w:r w:rsidR="008F5C1F" w:rsidRPr="002A739E">
          <w:rPr>
            <w:rFonts w:eastAsiaTheme="minorEastAsia"/>
            <w:i w:val="0"/>
            <w:iCs w:val="0"/>
            <w:noProof/>
          </w:rPr>
          <w:tab/>
        </w:r>
        <w:r w:rsidR="008F5C1F" w:rsidRPr="002A739E">
          <w:rPr>
            <w:rStyle w:val="Hyperlink"/>
            <w:i w:val="0"/>
            <w:iCs w:val="0"/>
            <w:noProof/>
          </w:rPr>
          <w:t>Validation of the Settlement Statement for the DAM</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_Toc80175249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9-7</w:t>
        </w:r>
        <w:r w:rsidR="008F5C1F" w:rsidRPr="002A739E">
          <w:rPr>
            <w:i w:val="0"/>
            <w:iCs w:val="0"/>
            <w:noProof/>
            <w:webHidden/>
          </w:rPr>
          <w:fldChar w:fldCharType="end"/>
        </w:r>
      </w:hyperlink>
    </w:p>
    <w:p w14:paraId="4CB682A3" w14:textId="58B90EC0" w:rsidR="008F5C1F" w:rsidRPr="002A739E" w:rsidRDefault="002A739E">
      <w:pPr>
        <w:pStyle w:val="TOC3"/>
        <w:rPr>
          <w:rFonts w:eastAsiaTheme="minorEastAsia"/>
          <w:i w:val="0"/>
          <w:iCs w:val="0"/>
          <w:noProof/>
        </w:rPr>
      </w:pPr>
      <w:hyperlink w:anchor="_Toc80175250" w:history="1">
        <w:r w:rsidR="008F5C1F" w:rsidRPr="002A739E">
          <w:rPr>
            <w:rStyle w:val="Hyperlink"/>
            <w:i w:val="0"/>
            <w:iCs w:val="0"/>
            <w:noProof/>
          </w:rPr>
          <w:t>9.2.9</w:t>
        </w:r>
        <w:r w:rsidR="008F5C1F" w:rsidRPr="002A739E">
          <w:rPr>
            <w:rFonts w:eastAsiaTheme="minorEastAsia"/>
            <w:i w:val="0"/>
            <w:iCs w:val="0"/>
            <w:noProof/>
          </w:rPr>
          <w:tab/>
        </w:r>
        <w:r w:rsidR="008F5C1F" w:rsidRPr="002A739E">
          <w:rPr>
            <w:rStyle w:val="Hyperlink"/>
            <w:i w:val="0"/>
            <w:iCs w:val="0"/>
            <w:noProof/>
          </w:rPr>
          <w:t>Suspension of Issuing Settlement Statements for the DAM</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_Toc80175250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9-7</w:t>
        </w:r>
        <w:r w:rsidR="008F5C1F" w:rsidRPr="002A739E">
          <w:rPr>
            <w:i w:val="0"/>
            <w:iCs w:val="0"/>
            <w:noProof/>
            <w:webHidden/>
          </w:rPr>
          <w:fldChar w:fldCharType="end"/>
        </w:r>
      </w:hyperlink>
    </w:p>
    <w:p w14:paraId="10BE913E" w14:textId="019B2DB6" w:rsidR="008F5C1F" w:rsidRPr="002A739E" w:rsidRDefault="002A739E">
      <w:pPr>
        <w:pStyle w:val="TOC2"/>
        <w:rPr>
          <w:rFonts w:eastAsiaTheme="minorEastAsia"/>
          <w:noProof/>
        </w:rPr>
      </w:pPr>
      <w:hyperlink w:anchor="_Toc80175251" w:history="1">
        <w:r w:rsidR="008F5C1F" w:rsidRPr="002A739E">
          <w:rPr>
            <w:rStyle w:val="Hyperlink"/>
            <w:noProof/>
          </w:rPr>
          <w:t>9.3</w:t>
        </w:r>
        <w:r w:rsidR="008F5C1F" w:rsidRPr="002A739E">
          <w:rPr>
            <w:rFonts w:eastAsiaTheme="minorEastAsia"/>
            <w:noProof/>
          </w:rPr>
          <w:tab/>
        </w:r>
        <w:r w:rsidR="008F5C1F" w:rsidRPr="002A739E">
          <w:rPr>
            <w:rStyle w:val="Hyperlink"/>
            <w:noProof/>
          </w:rPr>
          <w:t>[RESERVED]</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_Toc80175251 \h </w:instrText>
        </w:r>
        <w:r w:rsidR="008F5C1F" w:rsidRPr="002A739E">
          <w:rPr>
            <w:noProof/>
            <w:webHidden/>
          </w:rPr>
        </w:r>
        <w:r w:rsidR="008F5C1F" w:rsidRPr="002A739E">
          <w:rPr>
            <w:noProof/>
            <w:webHidden/>
          </w:rPr>
          <w:fldChar w:fldCharType="separate"/>
        </w:r>
        <w:r w:rsidRPr="002A739E">
          <w:rPr>
            <w:noProof/>
            <w:webHidden/>
          </w:rPr>
          <w:t>9-7</w:t>
        </w:r>
        <w:r w:rsidR="008F5C1F" w:rsidRPr="002A739E">
          <w:rPr>
            <w:noProof/>
            <w:webHidden/>
          </w:rPr>
          <w:fldChar w:fldCharType="end"/>
        </w:r>
      </w:hyperlink>
    </w:p>
    <w:p w14:paraId="79D6ABD2" w14:textId="69A006C5" w:rsidR="008F5C1F" w:rsidRPr="002A739E" w:rsidRDefault="002A739E">
      <w:pPr>
        <w:pStyle w:val="TOC2"/>
        <w:rPr>
          <w:rFonts w:eastAsiaTheme="minorEastAsia"/>
          <w:noProof/>
        </w:rPr>
      </w:pPr>
      <w:hyperlink w:anchor="_Toc80175252" w:history="1">
        <w:r w:rsidR="008F5C1F" w:rsidRPr="002A739E">
          <w:rPr>
            <w:rStyle w:val="Hyperlink"/>
            <w:noProof/>
          </w:rPr>
          <w:t>9.4</w:t>
        </w:r>
        <w:r w:rsidR="008F5C1F" w:rsidRPr="002A739E">
          <w:rPr>
            <w:rFonts w:eastAsiaTheme="minorEastAsia"/>
            <w:noProof/>
          </w:rPr>
          <w:tab/>
        </w:r>
        <w:r w:rsidR="008F5C1F" w:rsidRPr="002A739E">
          <w:rPr>
            <w:rStyle w:val="Hyperlink"/>
            <w:noProof/>
          </w:rPr>
          <w:t>[RESERVED]</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_Toc80175252 \h </w:instrText>
        </w:r>
        <w:r w:rsidR="008F5C1F" w:rsidRPr="002A739E">
          <w:rPr>
            <w:noProof/>
            <w:webHidden/>
          </w:rPr>
        </w:r>
        <w:r w:rsidR="008F5C1F" w:rsidRPr="002A739E">
          <w:rPr>
            <w:noProof/>
            <w:webHidden/>
          </w:rPr>
          <w:fldChar w:fldCharType="separate"/>
        </w:r>
        <w:r w:rsidRPr="002A739E">
          <w:rPr>
            <w:noProof/>
            <w:webHidden/>
          </w:rPr>
          <w:t>9-7</w:t>
        </w:r>
        <w:r w:rsidR="008F5C1F" w:rsidRPr="002A739E">
          <w:rPr>
            <w:noProof/>
            <w:webHidden/>
          </w:rPr>
          <w:fldChar w:fldCharType="end"/>
        </w:r>
      </w:hyperlink>
    </w:p>
    <w:p w14:paraId="3B8A8F40" w14:textId="07273026" w:rsidR="008F5C1F" w:rsidRPr="002A739E" w:rsidRDefault="002A739E">
      <w:pPr>
        <w:pStyle w:val="TOC2"/>
        <w:rPr>
          <w:rFonts w:eastAsiaTheme="minorEastAsia"/>
          <w:noProof/>
        </w:rPr>
      </w:pPr>
      <w:hyperlink w:anchor="_Toc80175253" w:history="1">
        <w:r w:rsidR="008F5C1F" w:rsidRPr="002A739E">
          <w:rPr>
            <w:rStyle w:val="Hyperlink"/>
            <w:noProof/>
          </w:rPr>
          <w:t>9.5</w:t>
        </w:r>
        <w:r w:rsidR="008F5C1F" w:rsidRPr="002A739E">
          <w:rPr>
            <w:rFonts w:eastAsiaTheme="minorEastAsia"/>
            <w:noProof/>
          </w:rPr>
          <w:tab/>
        </w:r>
        <w:r w:rsidR="008F5C1F" w:rsidRPr="002A739E">
          <w:rPr>
            <w:rStyle w:val="Hyperlink"/>
            <w:noProof/>
          </w:rPr>
          <w:t>Settlement Statements for Real-Time Market</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_Toc80175253 \h </w:instrText>
        </w:r>
        <w:r w:rsidR="008F5C1F" w:rsidRPr="002A739E">
          <w:rPr>
            <w:noProof/>
            <w:webHidden/>
          </w:rPr>
        </w:r>
        <w:r w:rsidR="008F5C1F" w:rsidRPr="002A739E">
          <w:rPr>
            <w:noProof/>
            <w:webHidden/>
          </w:rPr>
          <w:fldChar w:fldCharType="separate"/>
        </w:r>
        <w:r w:rsidRPr="002A739E">
          <w:rPr>
            <w:noProof/>
            <w:webHidden/>
          </w:rPr>
          <w:t>9-7</w:t>
        </w:r>
        <w:r w:rsidR="008F5C1F" w:rsidRPr="002A739E">
          <w:rPr>
            <w:noProof/>
            <w:webHidden/>
          </w:rPr>
          <w:fldChar w:fldCharType="end"/>
        </w:r>
      </w:hyperlink>
    </w:p>
    <w:p w14:paraId="4DA65CBF" w14:textId="6B2C6A06" w:rsidR="008F5C1F" w:rsidRPr="002A739E" w:rsidRDefault="002A739E">
      <w:pPr>
        <w:pStyle w:val="TOC3"/>
        <w:rPr>
          <w:rFonts w:eastAsiaTheme="minorEastAsia"/>
          <w:i w:val="0"/>
          <w:iCs w:val="0"/>
          <w:noProof/>
        </w:rPr>
      </w:pPr>
      <w:hyperlink w:anchor="_Toc80175254" w:history="1">
        <w:r w:rsidR="008F5C1F" w:rsidRPr="002A739E">
          <w:rPr>
            <w:rStyle w:val="Hyperlink"/>
            <w:i w:val="0"/>
            <w:iCs w:val="0"/>
            <w:noProof/>
          </w:rPr>
          <w:t>9.5.1</w:t>
        </w:r>
        <w:r w:rsidR="008F5C1F" w:rsidRPr="002A739E">
          <w:rPr>
            <w:rFonts w:eastAsiaTheme="minorEastAsia"/>
            <w:i w:val="0"/>
            <w:iCs w:val="0"/>
            <w:noProof/>
          </w:rPr>
          <w:tab/>
        </w:r>
        <w:r w:rsidR="008F5C1F" w:rsidRPr="002A739E">
          <w:rPr>
            <w:rStyle w:val="Hyperlink"/>
            <w:i w:val="0"/>
            <w:iCs w:val="0"/>
            <w:noProof/>
          </w:rPr>
          <w:t>Settlement Statement Process for the Real-Time Market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_Toc80175254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9-7</w:t>
        </w:r>
        <w:r w:rsidR="008F5C1F" w:rsidRPr="002A739E">
          <w:rPr>
            <w:i w:val="0"/>
            <w:iCs w:val="0"/>
            <w:noProof/>
            <w:webHidden/>
          </w:rPr>
          <w:fldChar w:fldCharType="end"/>
        </w:r>
      </w:hyperlink>
    </w:p>
    <w:p w14:paraId="0240E4B5" w14:textId="23AC16D1" w:rsidR="008F5C1F" w:rsidRPr="002A739E" w:rsidRDefault="002A739E">
      <w:pPr>
        <w:pStyle w:val="TOC3"/>
        <w:rPr>
          <w:rFonts w:eastAsiaTheme="minorEastAsia"/>
          <w:i w:val="0"/>
          <w:iCs w:val="0"/>
          <w:noProof/>
        </w:rPr>
      </w:pPr>
      <w:hyperlink w:anchor="_Toc80175255" w:history="1">
        <w:r w:rsidR="008F5C1F" w:rsidRPr="002A739E">
          <w:rPr>
            <w:rStyle w:val="Hyperlink"/>
            <w:i w:val="0"/>
            <w:iCs w:val="0"/>
            <w:noProof/>
          </w:rPr>
          <w:t>9.5.2</w:t>
        </w:r>
        <w:r w:rsidR="008F5C1F" w:rsidRPr="002A739E">
          <w:rPr>
            <w:rFonts w:eastAsiaTheme="minorEastAsia"/>
            <w:i w:val="0"/>
            <w:iCs w:val="0"/>
            <w:noProof/>
          </w:rPr>
          <w:tab/>
        </w:r>
        <w:r w:rsidR="008F5C1F" w:rsidRPr="002A739E">
          <w:rPr>
            <w:rStyle w:val="Hyperlink"/>
            <w:i w:val="0"/>
            <w:iCs w:val="0"/>
            <w:noProof/>
          </w:rPr>
          <w:t>Settlement Statements for the RTM</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_Toc80175255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9-7</w:t>
        </w:r>
        <w:r w:rsidR="008F5C1F" w:rsidRPr="002A739E">
          <w:rPr>
            <w:i w:val="0"/>
            <w:iCs w:val="0"/>
            <w:noProof/>
            <w:webHidden/>
          </w:rPr>
          <w:fldChar w:fldCharType="end"/>
        </w:r>
      </w:hyperlink>
    </w:p>
    <w:p w14:paraId="0E9294A7" w14:textId="36F6004B" w:rsidR="008F5C1F" w:rsidRPr="002A739E" w:rsidRDefault="002A739E">
      <w:pPr>
        <w:pStyle w:val="TOC3"/>
        <w:rPr>
          <w:rFonts w:eastAsiaTheme="minorEastAsia"/>
          <w:i w:val="0"/>
          <w:iCs w:val="0"/>
          <w:noProof/>
        </w:rPr>
      </w:pPr>
      <w:hyperlink w:anchor="_Toc80175256" w:history="1">
        <w:r w:rsidR="008F5C1F" w:rsidRPr="002A739E">
          <w:rPr>
            <w:rStyle w:val="Hyperlink"/>
            <w:i w:val="0"/>
            <w:iCs w:val="0"/>
            <w:noProof/>
          </w:rPr>
          <w:t>9.5.3</w:t>
        </w:r>
        <w:r w:rsidR="008F5C1F" w:rsidRPr="002A739E">
          <w:rPr>
            <w:rFonts w:eastAsiaTheme="minorEastAsia"/>
            <w:i w:val="0"/>
            <w:iCs w:val="0"/>
            <w:noProof/>
          </w:rPr>
          <w:tab/>
        </w:r>
        <w:r w:rsidR="008F5C1F" w:rsidRPr="002A739E">
          <w:rPr>
            <w:rStyle w:val="Hyperlink"/>
            <w:i w:val="0"/>
            <w:iCs w:val="0"/>
            <w:noProof/>
          </w:rPr>
          <w:t>Real-Time Market Settlement Charge Types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_Toc80175256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9-9</w:t>
        </w:r>
        <w:r w:rsidR="008F5C1F" w:rsidRPr="002A739E">
          <w:rPr>
            <w:i w:val="0"/>
            <w:iCs w:val="0"/>
            <w:noProof/>
            <w:webHidden/>
          </w:rPr>
          <w:fldChar w:fldCharType="end"/>
        </w:r>
      </w:hyperlink>
    </w:p>
    <w:p w14:paraId="285D742F" w14:textId="5A93CC52" w:rsidR="008F5C1F" w:rsidRPr="002A739E" w:rsidRDefault="002A739E">
      <w:pPr>
        <w:pStyle w:val="TOC3"/>
        <w:rPr>
          <w:rFonts w:eastAsiaTheme="minorEastAsia"/>
          <w:i w:val="0"/>
          <w:iCs w:val="0"/>
          <w:noProof/>
        </w:rPr>
      </w:pPr>
      <w:hyperlink w:anchor="_Toc80175257" w:history="1">
        <w:r w:rsidR="008F5C1F" w:rsidRPr="002A739E">
          <w:rPr>
            <w:rStyle w:val="Hyperlink"/>
            <w:i w:val="0"/>
            <w:iCs w:val="0"/>
            <w:noProof/>
          </w:rPr>
          <w:t>9.5.4</w:t>
        </w:r>
        <w:r w:rsidR="008F5C1F" w:rsidRPr="002A739E">
          <w:rPr>
            <w:rFonts w:eastAsiaTheme="minorEastAsia"/>
            <w:i w:val="0"/>
            <w:iCs w:val="0"/>
            <w:noProof/>
          </w:rPr>
          <w:tab/>
        </w:r>
        <w:r w:rsidR="008F5C1F" w:rsidRPr="002A739E">
          <w:rPr>
            <w:rStyle w:val="Hyperlink"/>
            <w:i w:val="0"/>
            <w:iCs w:val="0"/>
            <w:noProof/>
          </w:rPr>
          <w:t>RTM Initial Statement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_Toc80175257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9-15</w:t>
        </w:r>
        <w:r w:rsidR="008F5C1F" w:rsidRPr="002A739E">
          <w:rPr>
            <w:i w:val="0"/>
            <w:iCs w:val="0"/>
            <w:noProof/>
            <w:webHidden/>
          </w:rPr>
          <w:fldChar w:fldCharType="end"/>
        </w:r>
      </w:hyperlink>
    </w:p>
    <w:p w14:paraId="243EEB52" w14:textId="3C9D8061" w:rsidR="008F5C1F" w:rsidRPr="002A739E" w:rsidRDefault="002A739E">
      <w:pPr>
        <w:pStyle w:val="TOC3"/>
        <w:rPr>
          <w:rFonts w:eastAsiaTheme="minorEastAsia"/>
          <w:i w:val="0"/>
          <w:iCs w:val="0"/>
          <w:noProof/>
        </w:rPr>
      </w:pPr>
      <w:hyperlink w:anchor="_Toc80175258" w:history="1">
        <w:r w:rsidR="008F5C1F" w:rsidRPr="002A739E">
          <w:rPr>
            <w:rStyle w:val="Hyperlink"/>
            <w:i w:val="0"/>
            <w:iCs w:val="0"/>
            <w:noProof/>
          </w:rPr>
          <w:t>9.5.5</w:t>
        </w:r>
        <w:r w:rsidR="008F5C1F" w:rsidRPr="002A739E">
          <w:rPr>
            <w:rFonts w:eastAsiaTheme="minorEastAsia"/>
            <w:i w:val="0"/>
            <w:iCs w:val="0"/>
            <w:noProof/>
          </w:rPr>
          <w:tab/>
        </w:r>
        <w:r w:rsidR="008F5C1F" w:rsidRPr="002A739E">
          <w:rPr>
            <w:rStyle w:val="Hyperlink"/>
            <w:i w:val="0"/>
            <w:iCs w:val="0"/>
            <w:noProof/>
          </w:rPr>
          <w:t>RTM Final Statement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_Toc80175258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9-15</w:t>
        </w:r>
        <w:r w:rsidR="008F5C1F" w:rsidRPr="002A739E">
          <w:rPr>
            <w:i w:val="0"/>
            <w:iCs w:val="0"/>
            <w:noProof/>
            <w:webHidden/>
          </w:rPr>
          <w:fldChar w:fldCharType="end"/>
        </w:r>
      </w:hyperlink>
    </w:p>
    <w:p w14:paraId="1CD65DC4" w14:textId="61C3F885" w:rsidR="008F5C1F" w:rsidRPr="002A739E" w:rsidRDefault="002A739E">
      <w:pPr>
        <w:pStyle w:val="TOC3"/>
        <w:rPr>
          <w:rFonts w:eastAsiaTheme="minorEastAsia"/>
          <w:i w:val="0"/>
          <w:iCs w:val="0"/>
          <w:noProof/>
        </w:rPr>
      </w:pPr>
      <w:hyperlink w:anchor="_Toc80175259" w:history="1">
        <w:r w:rsidR="008F5C1F" w:rsidRPr="002A739E">
          <w:rPr>
            <w:rStyle w:val="Hyperlink"/>
            <w:i w:val="0"/>
            <w:iCs w:val="0"/>
            <w:noProof/>
          </w:rPr>
          <w:t>9.5.6</w:t>
        </w:r>
        <w:r w:rsidR="008F5C1F" w:rsidRPr="002A739E">
          <w:rPr>
            <w:rFonts w:eastAsiaTheme="minorEastAsia"/>
            <w:i w:val="0"/>
            <w:iCs w:val="0"/>
            <w:noProof/>
          </w:rPr>
          <w:tab/>
        </w:r>
        <w:r w:rsidR="008F5C1F" w:rsidRPr="002A739E">
          <w:rPr>
            <w:rStyle w:val="Hyperlink"/>
            <w:i w:val="0"/>
            <w:iCs w:val="0"/>
            <w:noProof/>
          </w:rPr>
          <w:t>RTM Resettlement Statement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_Toc80175259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9-15</w:t>
        </w:r>
        <w:r w:rsidR="008F5C1F" w:rsidRPr="002A739E">
          <w:rPr>
            <w:i w:val="0"/>
            <w:iCs w:val="0"/>
            <w:noProof/>
            <w:webHidden/>
          </w:rPr>
          <w:fldChar w:fldCharType="end"/>
        </w:r>
      </w:hyperlink>
    </w:p>
    <w:p w14:paraId="66D7EBC9" w14:textId="003A2C97" w:rsidR="008F5C1F" w:rsidRPr="002A739E" w:rsidRDefault="002A739E">
      <w:pPr>
        <w:pStyle w:val="TOC3"/>
        <w:rPr>
          <w:rFonts w:eastAsiaTheme="minorEastAsia"/>
          <w:i w:val="0"/>
          <w:iCs w:val="0"/>
          <w:noProof/>
        </w:rPr>
      </w:pPr>
      <w:hyperlink w:anchor="_Toc80175260" w:history="1">
        <w:r w:rsidR="008F5C1F" w:rsidRPr="002A739E">
          <w:rPr>
            <w:rStyle w:val="Hyperlink"/>
            <w:i w:val="0"/>
            <w:iCs w:val="0"/>
            <w:noProof/>
          </w:rPr>
          <w:t>9.5.7</w:t>
        </w:r>
        <w:r w:rsidR="008F5C1F" w:rsidRPr="002A739E">
          <w:rPr>
            <w:rFonts w:eastAsiaTheme="minorEastAsia"/>
            <w:i w:val="0"/>
            <w:iCs w:val="0"/>
            <w:noProof/>
          </w:rPr>
          <w:tab/>
        </w:r>
        <w:r w:rsidR="008F5C1F" w:rsidRPr="002A739E">
          <w:rPr>
            <w:rStyle w:val="Hyperlink"/>
            <w:i w:val="0"/>
            <w:iCs w:val="0"/>
            <w:noProof/>
          </w:rPr>
          <w:t>Notice of Resettlement for the Real-Time Market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_Toc80175260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9-16</w:t>
        </w:r>
        <w:r w:rsidR="008F5C1F" w:rsidRPr="002A739E">
          <w:rPr>
            <w:i w:val="0"/>
            <w:iCs w:val="0"/>
            <w:noProof/>
            <w:webHidden/>
          </w:rPr>
          <w:fldChar w:fldCharType="end"/>
        </w:r>
      </w:hyperlink>
    </w:p>
    <w:p w14:paraId="047D7815" w14:textId="081B7CC9" w:rsidR="008F5C1F" w:rsidRPr="002A739E" w:rsidRDefault="002A739E">
      <w:pPr>
        <w:pStyle w:val="TOC3"/>
        <w:rPr>
          <w:rFonts w:eastAsiaTheme="minorEastAsia"/>
          <w:i w:val="0"/>
          <w:iCs w:val="0"/>
          <w:noProof/>
        </w:rPr>
      </w:pPr>
      <w:hyperlink w:anchor="_Toc80175261" w:history="1">
        <w:r w:rsidR="008F5C1F" w:rsidRPr="002A739E">
          <w:rPr>
            <w:rStyle w:val="Hyperlink"/>
            <w:i w:val="0"/>
            <w:iCs w:val="0"/>
            <w:noProof/>
          </w:rPr>
          <w:t>9.5.8</w:t>
        </w:r>
        <w:r w:rsidR="008F5C1F" w:rsidRPr="002A739E">
          <w:rPr>
            <w:rFonts w:eastAsiaTheme="minorEastAsia"/>
            <w:i w:val="0"/>
            <w:iCs w:val="0"/>
            <w:noProof/>
          </w:rPr>
          <w:tab/>
        </w:r>
        <w:r w:rsidR="008F5C1F" w:rsidRPr="002A739E">
          <w:rPr>
            <w:rStyle w:val="Hyperlink"/>
            <w:i w:val="0"/>
            <w:iCs w:val="0"/>
            <w:noProof/>
          </w:rPr>
          <w:t>RTM True-Up Statement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_Toc80175261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9-17</w:t>
        </w:r>
        <w:r w:rsidR="008F5C1F" w:rsidRPr="002A739E">
          <w:rPr>
            <w:i w:val="0"/>
            <w:iCs w:val="0"/>
            <w:noProof/>
            <w:webHidden/>
          </w:rPr>
          <w:fldChar w:fldCharType="end"/>
        </w:r>
      </w:hyperlink>
    </w:p>
    <w:p w14:paraId="5C746CFB" w14:textId="2D6070A3" w:rsidR="008F5C1F" w:rsidRPr="002A739E" w:rsidRDefault="002A739E">
      <w:pPr>
        <w:pStyle w:val="TOC3"/>
        <w:rPr>
          <w:rFonts w:eastAsiaTheme="minorEastAsia"/>
          <w:i w:val="0"/>
          <w:iCs w:val="0"/>
          <w:noProof/>
        </w:rPr>
      </w:pPr>
      <w:hyperlink w:anchor="_Toc80175262" w:history="1">
        <w:r w:rsidR="008F5C1F" w:rsidRPr="002A739E">
          <w:rPr>
            <w:rStyle w:val="Hyperlink"/>
            <w:i w:val="0"/>
            <w:iCs w:val="0"/>
            <w:noProof/>
          </w:rPr>
          <w:t>9.5.9</w:t>
        </w:r>
        <w:r w:rsidR="008F5C1F" w:rsidRPr="002A739E">
          <w:rPr>
            <w:rFonts w:eastAsiaTheme="minorEastAsia"/>
            <w:i w:val="0"/>
            <w:iCs w:val="0"/>
            <w:noProof/>
          </w:rPr>
          <w:tab/>
        </w:r>
        <w:r w:rsidR="008F5C1F" w:rsidRPr="002A739E">
          <w:rPr>
            <w:rStyle w:val="Hyperlink"/>
            <w:i w:val="0"/>
            <w:iCs w:val="0"/>
            <w:noProof/>
          </w:rPr>
          <w:t>Notice of True-Up Settlement Timeline Changes for the Real-Time Market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_Toc80175262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9-18</w:t>
        </w:r>
        <w:r w:rsidR="008F5C1F" w:rsidRPr="002A739E">
          <w:rPr>
            <w:i w:val="0"/>
            <w:iCs w:val="0"/>
            <w:noProof/>
            <w:webHidden/>
          </w:rPr>
          <w:fldChar w:fldCharType="end"/>
        </w:r>
      </w:hyperlink>
    </w:p>
    <w:p w14:paraId="7985D197" w14:textId="4AE91318" w:rsidR="008F5C1F" w:rsidRPr="002A739E" w:rsidRDefault="002A739E">
      <w:pPr>
        <w:pStyle w:val="TOC3"/>
        <w:rPr>
          <w:rFonts w:eastAsiaTheme="minorEastAsia"/>
          <w:i w:val="0"/>
          <w:iCs w:val="0"/>
          <w:noProof/>
        </w:rPr>
      </w:pPr>
      <w:hyperlink w:anchor="_Toc80175263" w:history="1">
        <w:r w:rsidR="008F5C1F" w:rsidRPr="002A739E">
          <w:rPr>
            <w:rStyle w:val="Hyperlink"/>
            <w:i w:val="0"/>
            <w:iCs w:val="0"/>
            <w:noProof/>
          </w:rPr>
          <w:t>9.5.10</w:t>
        </w:r>
        <w:r w:rsidR="008F5C1F" w:rsidRPr="002A739E">
          <w:rPr>
            <w:rFonts w:eastAsiaTheme="minorEastAsia"/>
            <w:i w:val="0"/>
            <w:iCs w:val="0"/>
            <w:noProof/>
          </w:rPr>
          <w:tab/>
        </w:r>
        <w:r w:rsidR="008F5C1F" w:rsidRPr="002A739E">
          <w:rPr>
            <w:rStyle w:val="Hyperlink"/>
            <w:i w:val="0"/>
            <w:iCs w:val="0"/>
            <w:noProof/>
          </w:rPr>
          <w:t>Confirmation for the Real-Time Market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_Toc80175263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9-18</w:t>
        </w:r>
        <w:r w:rsidR="008F5C1F" w:rsidRPr="002A739E">
          <w:rPr>
            <w:i w:val="0"/>
            <w:iCs w:val="0"/>
            <w:noProof/>
            <w:webHidden/>
          </w:rPr>
          <w:fldChar w:fldCharType="end"/>
        </w:r>
      </w:hyperlink>
    </w:p>
    <w:p w14:paraId="1DC68A17" w14:textId="09FB895F" w:rsidR="008F5C1F" w:rsidRPr="002A739E" w:rsidRDefault="002A739E">
      <w:pPr>
        <w:pStyle w:val="TOC3"/>
        <w:rPr>
          <w:rFonts w:eastAsiaTheme="minorEastAsia"/>
          <w:i w:val="0"/>
          <w:iCs w:val="0"/>
          <w:noProof/>
        </w:rPr>
      </w:pPr>
      <w:hyperlink w:anchor="_Toc80175264" w:history="1">
        <w:r w:rsidR="008F5C1F" w:rsidRPr="002A739E">
          <w:rPr>
            <w:rStyle w:val="Hyperlink"/>
            <w:i w:val="0"/>
            <w:iCs w:val="0"/>
            <w:noProof/>
          </w:rPr>
          <w:t>9.5.11</w:t>
        </w:r>
        <w:r w:rsidR="008F5C1F" w:rsidRPr="002A739E">
          <w:rPr>
            <w:rFonts w:eastAsiaTheme="minorEastAsia"/>
            <w:i w:val="0"/>
            <w:iCs w:val="0"/>
            <w:noProof/>
          </w:rPr>
          <w:tab/>
        </w:r>
        <w:r w:rsidR="008F5C1F" w:rsidRPr="002A739E">
          <w:rPr>
            <w:rStyle w:val="Hyperlink"/>
            <w:i w:val="0"/>
            <w:iCs w:val="0"/>
            <w:noProof/>
          </w:rPr>
          <w:t>Validation of the True-Up Statement for the Real-Time Market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_Toc80175264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9-18</w:t>
        </w:r>
        <w:r w:rsidR="008F5C1F" w:rsidRPr="002A739E">
          <w:rPr>
            <w:i w:val="0"/>
            <w:iCs w:val="0"/>
            <w:noProof/>
            <w:webHidden/>
          </w:rPr>
          <w:fldChar w:fldCharType="end"/>
        </w:r>
      </w:hyperlink>
    </w:p>
    <w:p w14:paraId="64AC4E20" w14:textId="64FE7233" w:rsidR="008F5C1F" w:rsidRPr="002A739E" w:rsidRDefault="002A739E">
      <w:pPr>
        <w:pStyle w:val="TOC3"/>
        <w:rPr>
          <w:rFonts w:eastAsiaTheme="minorEastAsia"/>
          <w:i w:val="0"/>
          <w:iCs w:val="0"/>
          <w:noProof/>
        </w:rPr>
      </w:pPr>
      <w:hyperlink w:anchor="_Toc80175265" w:history="1">
        <w:r w:rsidR="008F5C1F" w:rsidRPr="002A739E">
          <w:rPr>
            <w:rStyle w:val="Hyperlink"/>
            <w:i w:val="0"/>
            <w:iCs w:val="0"/>
            <w:noProof/>
          </w:rPr>
          <w:t>9.5.12</w:t>
        </w:r>
        <w:r w:rsidR="008F5C1F" w:rsidRPr="002A739E">
          <w:rPr>
            <w:rFonts w:eastAsiaTheme="minorEastAsia"/>
            <w:i w:val="0"/>
            <w:iCs w:val="0"/>
            <w:noProof/>
          </w:rPr>
          <w:tab/>
        </w:r>
        <w:r w:rsidR="008F5C1F" w:rsidRPr="002A739E">
          <w:rPr>
            <w:rStyle w:val="Hyperlink"/>
            <w:i w:val="0"/>
            <w:iCs w:val="0"/>
            <w:noProof/>
          </w:rPr>
          <w:t>Suspension of Issuing Settlement Statements for the Real-Time Market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_Toc80175265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9-18</w:t>
        </w:r>
        <w:r w:rsidR="008F5C1F" w:rsidRPr="002A739E">
          <w:rPr>
            <w:i w:val="0"/>
            <w:iCs w:val="0"/>
            <w:noProof/>
            <w:webHidden/>
          </w:rPr>
          <w:fldChar w:fldCharType="end"/>
        </w:r>
      </w:hyperlink>
    </w:p>
    <w:p w14:paraId="413DFD30" w14:textId="165EA616" w:rsidR="008F5C1F" w:rsidRPr="002A739E" w:rsidRDefault="002A739E">
      <w:pPr>
        <w:pStyle w:val="TOC2"/>
        <w:rPr>
          <w:rFonts w:eastAsiaTheme="minorEastAsia"/>
          <w:noProof/>
        </w:rPr>
      </w:pPr>
      <w:hyperlink w:anchor="_Toc80175266" w:history="1">
        <w:r w:rsidR="008F5C1F" w:rsidRPr="002A739E">
          <w:rPr>
            <w:rStyle w:val="Hyperlink"/>
            <w:noProof/>
          </w:rPr>
          <w:t>9.6</w:t>
        </w:r>
        <w:r w:rsidR="008F5C1F" w:rsidRPr="002A739E">
          <w:rPr>
            <w:rFonts w:eastAsiaTheme="minorEastAsia"/>
            <w:noProof/>
          </w:rPr>
          <w:tab/>
        </w:r>
        <w:r w:rsidR="008F5C1F" w:rsidRPr="002A739E">
          <w:rPr>
            <w:rStyle w:val="Hyperlink"/>
            <w:noProof/>
          </w:rPr>
          <w:t>Settlement Invoices for the Day-Ahead Market and Real-Time Market</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_Toc80175266 \h </w:instrText>
        </w:r>
        <w:r w:rsidR="008F5C1F" w:rsidRPr="002A739E">
          <w:rPr>
            <w:noProof/>
            <w:webHidden/>
          </w:rPr>
        </w:r>
        <w:r w:rsidR="008F5C1F" w:rsidRPr="002A739E">
          <w:rPr>
            <w:noProof/>
            <w:webHidden/>
          </w:rPr>
          <w:fldChar w:fldCharType="separate"/>
        </w:r>
        <w:r w:rsidRPr="002A739E">
          <w:rPr>
            <w:noProof/>
            <w:webHidden/>
          </w:rPr>
          <w:t>9-18</w:t>
        </w:r>
        <w:r w:rsidR="008F5C1F" w:rsidRPr="002A739E">
          <w:rPr>
            <w:noProof/>
            <w:webHidden/>
          </w:rPr>
          <w:fldChar w:fldCharType="end"/>
        </w:r>
      </w:hyperlink>
    </w:p>
    <w:p w14:paraId="0226F2EF" w14:textId="2DAEFFBD" w:rsidR="008F5C1F" w:rsidRPr="002A739E" w:rsidRDefault="002A739E">
      <w:pPr>
        <w:pStyle w:val="TOC2"/>
        <w:rPr>
          <w:rFonts w:eastAsiaTheme="minorEastAsia"/>
          <w:noProof/>
        </w:rPr>
      </w:pPr>
      <w:hyperlink w:anchor="_Toc80175267" w:history="1">
        <w:r w:rsidR="008F5C1F" w:rsidRPr="002A739E">
          <w:rPr>
            <w:rStyle w:val="Hyperlink"/>
            <w:noProof/>
          </w:rPr>
          <w:t>9.7</w:t>
        </w:r>
        <w:r w:rsidR="008F5C1F" w:rsidRPr="002A739E">
          <w:rPr>
            <w:rFonts w:eastAsiaTheme="minorEastAsia"/>
            <w:noProof/>
          </w:rPr>
          <w:tab/>
        </w:r>
        <w:r w:rsidR="008F5C1F" w:rsidRPr="002A739E">
          <w:rPr>
            <w:rStyle w:val="Hyperlink"/>
            <w:noProof/>
          </w:rPr>
          <w:t>Payment Process for the Settlement Invoices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_Toc80175267 \h </w:instrText>
        </w:r>
        <w:r w:rsidR="008F5C1F" w:rsidRPr="002A739E">
          <w:rPr>
            <w:noProof/>
            <w:webHidden/>
          </w:rPr>
        </w:r>
        <w:r w:rsidR="008F5C1F" w:rsidRPr="002A739E">
          <w:rPr>
            <w:noProof/>
            <w:webHidden/>
          </w:rPr>
          <w:fldChar w:fldCharType="separate"/>
        </w:r>
        <w:r w:rsidRPr="002A739E">
          <w:rPr>
            <w:noProof/>
            <w:webHidden/>
          </w:rPr>
          <w:t>9-19</w:t>
        </w:r>
        <w:r w:rsidR="008F5C1F" w:rsidRPr="002A739E">
          <w:rPr>
            <w:noProof/>
            <w:webHidden/>
          </w:rPr>
          <w:fldChar w:fldCharType="end"/>
        </w:r>
      </w:hyperlink>
    </w:p>
    <w:p w14:paraId="2B425BCB" w14:textId="1C14E705" w:rsidR="008F5C1F" w:rsidRPr="002A739E" w:rsidRDefault="002A739E">
      <w:pPr>
        <w:pStyle w:val="TOC3"/>
        <w:rPr>
          <w:rFonts w:eastAsiaTheme="minorEastAsia"/>
          <w:i w:val="0"/>
          <w:iCs w:val="0"/>
          <w:noProof/>
        </w:rPr>
      </w:pPr>
      <w:hyperlink w:anchor="_Toc80175268" w:history="1">
        <w:r w:rsidR="008F5C1F" w:rsidRPr="002A739E">
          <w:rPr>
            <w:rStyle w:val="Hyperlink"/>
            <w:i w:val="0"/>
            <w:iCs w:val="0"/>
            <w:noProof/>
          </w:rPr>
          <w:t>9.7.1</w:t>
        </w:r>
        <w:r w:rsidR="008F5C1F" w:rsidRPr="002A739E">
          <w:rPr>
            <w:rFonts w:eastAsiaTheme="minorEastAsia"/>
            <w:i w:val="0"/>
            <w:iCs w:val="0"/>
            <w:noProof/>
          </w:rPr>
          <w:tab/>
        </w:r>
        <w:r w:rsidR="008F5C1F" w:rsidRPr="002A739E">
          <w:rPr>
            <w:rStyle w:val="Hyperlink"/>
            <w:i w:val="0"/>
            <w:iCs w:val="0"/>
            <w:noProof/>
          </w:rPr>
          <w:t>Invoice Recipient Payment to ERCOT for the Settlement Invoices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_Toc80175268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9-20</w:t>
        </w:r>
        <w:r w:rsidR="008F5C1F" w:rsidRPr="002A739E">
          <w:rPr>
            <w:i w:val="0"/>
            <w:iCs w:val="0"/>
            <w:noProof/>
            <w:webHidden/>
          </w:rPr>
          <w:fldChar w:fldCharType="end"/>
        </w:r>
      </w:hyperlink>
    </w:p>
    <w:p w14:paraId="2BC85198" w14:textId="2622DAE7" w:rsidR="008F5C1F" w:rsidRPr="002A739E" w:rsidRDefault="002A739E">
      <w:pPr>
        <w:pStyle w:val="TOC3"/>
        <w:rPr>
          <w:rFonts w:eastAsiaTheme="minorEastAsia"/>
          <w:i w:val="0"/>
          <w:iCs w:val="0"/>
          <w:noProof/>
        </w:rPr>
      </w:pPr>
      <w:hyperlink w:anchor="_Toc80175269" w:history="1">
        <w:r w:rsidR="008F5C1F" w:rsidRPr="002A739E">
          <w:rPr>
            <w:rStyle w:val="Hyperlink"/>
            <w:i w:val="0"/>
            <w:iCs w:val="0"/>
            <w:noProof/>
          </w:rPr>
          <w:t>9.7.2</w:t>
        </w:r>
        <w:r w:rsidR="008F5C1F" w:rsidRPr="002A739E">
          <w:rPr>
            <w:rFonts w:eastAsiaTheme="minorEastAsia"/>
            <w:i w:val="0"/>
            <w:iCs w:val="0"/>
            <w:noProof/>
          </w:rPr>
          <w:tab/>
        </w:r>
        <w:r w:rsidR="008F5C1F" w:rsidRPr="002A739E">
          <w:rPr>
            <w:rStyle w:val="Hyperlink"/>
            <w:i w:val="0"/>
            <w:iCs w:val="0"/>
            <w:noProof/>
          </w:rPr>
          <w:t>ERCOT Payment to Invoice Recipients for the Settlement Invoices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_Toc80175269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9-20</w:t>
        </w:r>
        <w:r w:rsidR="008F5C1F" w:rsidRPr="002A739E">
          <w:rPr>
            <w:i w:val="0"/>
            <w:iCs w:val="0"/>
            <w:noProof/>
            <w:webHidden/>
          </w:rPr>
          <w:fldChar w:fldCharType="end"/>
        </w:r>
      </w:hyperlink>
    </w:p>
    <w:p w14:paraId="3EEEEC57" w14:textId="04C91B7D" w:rsidR="008F5C1F" w:rsidRPr="002A739E" w:rsidRDefault="002A739E">
      <w:pPr>
        <w:pStyle w:val="TOC3"/>
        <w:rPr>
          <w:rFonts w:eastAsiaTheme="minorEastAsia"/>
          <w:i w:val="0"/>
          <w:iCs w:val="0"/>
          <w:noProof/>
        </w:rPr>
      </w:pPr>
      <w:hyperlink w:anchor="_Toc80175270" w:history="1">
        <w:r w:rsidR="008F5C1F" w:rsidRPr="002A739E">
          <w:rPr>
            <w:rStyle w:val="Hyperlink"/>
            <w:i w:val="0"/>
            <w:iCs w:val="0"/>
            <w:noProof/>
          </w:rPr>
          <w:t>9.7.3</w:t>
        </w:r>
        <w:r w:rsidR="008F5C1F" w:rsidRPr="002A739E">
          <w:rPr>
            <w:rFonts w:eastAsiaTheme="minorEastAsia"/>
            <w:i w:val="0"/>
            <w:iCs w:val="0"/>
            <w:noProof/>
          </w:rPr>
          <w:tab/>
        </w:r>
        <w:r w:rsidR="008F5C1F" w:rsidRPr="002A739E">
          <w:rPr>
            <w:rStyle w:val="Hyperlink"/>
            <w:i w:val="0"/>
            <w:iCs w:val="0"/>
            <w:noProof/>
          </w:rPr>
          <w:t>Enforcing the Financial Security of a Short-Paying Invoice Recipient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_Toc80175270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9-20</w:t>
        </w:r>
        <w:r w:rsidR="008F5C1F" w:rsidRPr="002A739E">
          <w:rPr>
            <w:i w:val="0"/>
            <w:iCs w:val="0"/>
            <w:noProof/>
            <w:webHidden/>
          </w:rPr>
          <w:fldChar w:fldCharType="end"/>
        </w:r>
      </w:hyperlink>
    </w:p>
    <w:p w14:paraId="6EEDA151" w14:textId="5E367400" w:rsidR="008F5C1F" w:rsidRPr="002A739E" w:rsidRDefault="002A739E">
      <w:pPr>
        <w:pStyle w:val="TOC2"/>
        <w:rPr>
          <w:rFonts w:eastAsiaTheme="minorEastAsia"/>
          <w:noProof/>
        </w:rPr>
      </w:pPr>
      <w:hyperlink w:anchor="_Toc80175271" w:history="1">
        <w:r w:rsidR="008F5C1F" w:rsidRPr="002A739E">
          <w:rPr>
            <w:rStyle w:val="Hyperlink"/>
            <w:noProof/>
          </w:rPr>
          <w:t>9.8</w:t>
        </w:r>
        <w:r w:rsidR="008F5C1F" w:rsidRPr="002A739E">
          <w:rPr>
            <w:rFonts w:eastAsiaTheme="minorEastAsia"/>
            <w:noProof/>
          </w:rPr>
          <w:tab/>
        </w:r>
        <w:r w:rsidR="008F5C1F" w:rsidRPr="002A739E">
          <w:rPr>
            <w:rStyle w:val="Hyperlink"/>
            <w:noProof/>
          </w:rPr>
          <w:t>CRR Auction Award Invoices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_Toc80175271 \h </w:instrText>
        </w:r>
        <w:r w:rsidR="008F5C1F" w:rsidRPr="002A739E">
          <w:rPr>
            <w:noProof/>
            <w:webHidden/>
          </w:rPr>
        </w:r>
        <w:r w:rsidR="008F5C1F" w:rsidRPr="002A739E">
          <w:rPr>
            <w:noProof/>
            <w:webHidden/>
          </w:rPr>
          <w:fldChar w:fldCharType="separate"/>
        </w:r>
        <w:r w:rsidRPr="002A739E">
          <w:rPr>
            <w:noProof/>
            <w:webHidden/>
          </w:rPr>
          <w:t>9-21</w:t>
        </w:r>
        <w:r w:rsidR="008F5C1F" w:rsidRPr="002A739E">
          <w:rPr>
            <w:noProof/>
            <w:webHidden/>
          </w:rPr>
          <w:fldChar w:fldCharType="end"/>
        </w:r>
      </w:hyperlink>
    </w:p>
    <w:p w14:paraId="2D5286DB" w14:textId="1F3F13D3" w:rsidR="008F5C1F" w:rsidRPr="002A739E" w:rsidRDefault="002A739E">
      <w:pPr>
        <w:pStyle w:val="TOC2"/>
        <w:rPr>
          <w:rFonts w:eastAsiaTheme="minorEastAsia"/>
          <w:noProof/>
        </w:rPr>
      </w:pPr>
      <w:hyperlink w:anchor="_Toc80175272" w:history="1">
        <w:r w:rsidR="008F5C1F" w:rsidRPr="002A739E">
          <w:rPr>
            <w:rStyle w:val="Hyperlink"/>
            <w:noProof/>
          </w:rPr>
          <w:t>9.9</w:t>
        </w:r>
        <w:r w:rsidR="008F5C1F" w:rsidRPr="002A739E">
          <w:rPr>
            <w:rFonts w:eastAsiaTheme="minorEastAsia"/>
            <w:noProof/>
          </w:rPr>
          <w:tab/>
        </w:r>
        <w:r w:rsidR="008F5C1F" w:rsidRPr="002A739E">
          <w:rPr>
            <w:rStyle w:val="Hyperlink"/>
            <w:noProof/>
          </w:rPr>
          <w:t>Payment Process for CRR Auction Invoices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_Toc80175272 \h </w:instrText>
        </w:r>
        <w:r w:rsidR="008F5C1F" w:rsidRPr="002A739E">
          <w:rPr>
            <w:noProof/>
            <w:webHidden/>
          </w:rPr>
        </w:r>
        <w:r w:rsidR="008F5C1F" w:rsidRPr="002A739E">
          <w:rPr>
            <w:noProof/>
            <w:webHidden/>
          </w:rPr>
          <w:fldChar w:fldCharType="separate"/>
        </w:r>
        <w:r w:rsidRPr="002A739E">
          <w:rPr>
            <w:noProof/>
            <w:webHidden/>
          </w:rPr>
          <w:t>9-22</w:t>
        </w:r>
        <w:r w:rsidR="008F5C1F" w:rsidRPr="002A739E">
          <w:rPr>
            <w:noProof/>
            <w:webHidden/>
          </w:rPr>
          <w:fldChar w:fldCharType="end"/>
        </w:r>
      </w:hyperlink>
    </w:p>
    <w:p w14:paraId="520C3EB9" w14:textId="667E4697" w:rsidR="008F5C1F" w:rsidRPr="002A739E" w:rsidRDefault="002A739E">
      <w:pPr>
        <w:pStyle w:val="TOC3"/>
        <w:rPr>
          <w:rFonts w:eastAsiaTheme="minorEastAsia"/>
          <w:i w:val="0"/>
          <w:iCs w:val="0"/>
          <w:noProof/>
        </w:rPr>
      </w:pPr>
      <w:hyperlink w:anchor="_Toc80175273" w:history="1">
        <w:r w:rsidR="008F5C1F" w:rsidRPr="002A739E">
          <w:rPr>
            <w:rStyle w:val="Hyperlink"/>
            <w:i w:val="0"/>
            <w:iCs w:val="0"/>
            <w:noProof/>
          </w:rPr>
          <w:t>9.9.1</w:t>
        </w:r>
        <w:r w:rsidR="008F5C1F" w:rsidRPr="002A739E">
          <w:rPr>
            <w:rFonts w:eastAsiaTheme="minorEastAsia"/>
            <w:i w:val="0"/>
            <w:iCs w:val="0"/>
            <w:noProof/>
          </w:rPr>
          <w:tab/>
        </w:r>
        <w:r w:rsidR="008F5C1F" w:rsidRPr="002A739E">
          <w:rPr>
            <w:rStyle w:val="Hyperlink"/>
            <w:i w:val="0"/>
            <w:iCs w:val="0"/>
            <w:noProof/>
          </w:rPr>
          <w:t>Invoice Recipient Payment to ERCOT for the CRR Auction</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_Toc80175273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9-22</w:t>
        </w:r>
        <w:r w:rsidR="008F5C1F" w:rsidRPr="002A739E">
          <w:rPr>
            <w:i w:val="0"/>
            <w:iCs w:val="0"/>
            <w:noProof/>
            <w:webHidden/>
          </w:rPr>
          <w:fldChar w:fldCharType="end"/>
        </w:r>
      </w:hyperlink>
    </w:p>
    <w:p w14:paraId="3ACF1DC4" w14:textId="5C0F0FD0" w:rsidR="008F5C1F" w:rsidRPr="002A739E" w:rsidRDefault="002A739E">
      <w:pPr>
        <w:pStyle w:val="TOC3"/>
        <w:rPr>
          <w:rFonts w:eastAsiaTheme="minorEastAsia"/>
          <w:i w:val="0"/>
          <w:iCs w:val="0"/>
          <w:noProof/>
        </w:rPr>
      </w:pPr>
      <w:hyperlink w:anchor="_Toc80175274" w:history="1">
        <w:r w:rsidR="008F5C1F" w:rsidRPr="002A739E">
          <w:rPr>
            <w:rStyle w:val="Hyperlink"/>
            <w:i w:val="0"/>
            <w:iCs w:val="0"/>
            <w:noProof/>
          </w:rPr>
          <w:t>9.9.2</w:t>
        </w:r>
        <w:r w:rsidR="008F5C1F" w:rsidRPr="002A739E">
          <w:rPr>
            <w:rFonts w:eastAsiaTheme="minorEastAsia"/>
            <w:i w:val="0"/>
            <w:iCs w:val="0"/>
            <w:noProof/>
          </w:rPr>
          <w:tab/>
        </w:r>
        <w:r w:rsidR="008F5C1F" w:rsidRPr="002A739E">
          <w:rPr>
            <w:rStyle w:val="Hyperlink"/>
            <w:i w:val="0"/>
            <w:iCs w:val="0"/>
            <w:noProof/>
          </w:rPr>
          <w:t>ERCOT Payment to Invoice Recipients for the CRR Auction</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_Toc80175274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9-22</w:t>
        </w:r>
        <w:r w:rsidR="008F5C1F" w:rsidRPr="002A739E">
          <w:rPr>
            <w:i w:val="0"/>
            <w:iCs w:val="0"/>
            <w:noProof/>
            <w:webHidden/>
          </w:rPr>
          <w:fldChar w:fldCharType="end"/>
        </w:r>
      </w:hyperlink>
    </w:p>
    <w:p w14:paraId="36B5CAE2" w14:textId="7DA89A9F" w:rsidR="008F5C1F" w:rsidRPr="002A739E" w:rsidRDefault="002A739E">
      <w:pPr>
        <w:pStyle w:val="TOC3"/>
        <w:rPr>
          <w:rFonts w:eastAsiaTheme="minorEastAsia"/>
          <w:i w:val="0"/>
          <w:iCs w:val="0"/>
          <w:noProof/>
        </w:rPr>
      </w:pPr>
      <w:hyperlink w:anchor="_Toc80175275" w:history="1">
        <w:r w:rsidR="008F5C1F" w:rsidRPr="002A739E">
          <w:rPr>
            <w:rStyle w:val="Hyperlink"/>
            <w:i w:val="0"/>
            <w:iCs w:val="0"/>
            <w:noProof/>
          </w:rPr>
          <w:t>9.9.3</w:t>
        </w:r>
        <w:r w:rsidR="008F5C1F" w:rsidRPr="002A739E">
          <w:rPr>
            <w:rFonts w:eastAsiaTheme="minorEastAsia"/>
            <w:i w:val="0"/>
            <w:iCs w:val="0"/>
            <w:noProof/>
          </w:rPr>
          <w:tab/>
        </w:r>
        <w:r w:rsidR="008F5C1F" w:rsidRPr="002A739E">
          <w:rPr>
            <w:rStyle w:val="Hyperlink"/>
            <w:i w:val="0"/>
            <w:iCs w:val="0"/>
            <w:noProof/>
          </w:rPr>
          <w:t>Enforcing the Security of a Short-Paying CRR Auction Invoice Recipient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_Toc80175275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9-22</w:t>
        </w:r>
        <w:r w:rsidR="008F5C1F" w:rsidRPr="002A739E">
          <w:rPr>
            <w:i w:val="0"/>
            <w:iCs w:val="0"/>
            <w:noProof/>
            <w:webHidden/>
          </w:rPr>
          <w:fldChar w:fldCharType="end"/>
        </w:r>
      </w:hyperlink>
    </w:p>
    <w:p w14:paraId="77352268" w14:textId="33B635AD" w:rsidR="008F5C1F" w:rsidRPr="002A739E" w:rsidRDefault="002A739E">
      <w:pPr>
        <w:pStyle w:val="TOC2"/>
        <w:rPr>
          <w:rFonts w:eastAsiaTheme="minorEastAsia"/>
          <w:noProof/>
        </w:rPr>
      </w:pPr>
      <w:hyperlink w:anchor="_Toc80175276" w:history="1">
        <w:r w:rsidR="008F5C1F" w:rsidRPr="002A739E">
          <w:rPr>
            <w:rStyle w:val="Hyperlink"/>
            <w:noProof/>
          </w:rPr>
          <w:t>9.10</w:t>
        </w:r>
        <w:r w:rsidR="008F5C1F" w:rsidRPr="002A739E">
          <w:rPr>
            <w:rFonts w:eastAsiaTheme="minorEastAsia"/>
            <w:noProof/>
          </w:rPr>
          <w:tab/>
        </w:r>
        <w:r w:rsidR="008F5C1F" w:rsidRPr="002A739E">
          <w:rPr>
            <w:rStyle w:val="Hyperlink"/>
            <w:noProof/>
          </w:rPr>
          <w:t>CRR Auction Revenue Distribution Invoices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_Toc80175276 \h </w:instrText>
        </w:r>
        <w:r w:rsidR="008F5C1F" w:rsidRPr="002A739E">
          <w:rPr>
            <w:noProof/>
            <w:webHidden/>
          </w:rPr>
        </w:r>
        <w:r w:rsidR="008F5C1F" w:rsidRPr="002A739E">
          <w:rPr>
            <w:noProof/>
            <w:webHidden/>
          </w:rPr>
          <w:fldChar w:fldCharType="separate"/>
        </w:r>
        <w:r w:rsidRPr="002A739E">
          <w:rPr>
            <w:noProof/>
            <w:webHidden/>
          </w:rPr>
          <w:t>9-23</w:t>
        </w:r>
        <w:r w:rsidR="008F5C1F" w:rsidRPr="002A739E">
          <w:rPr>
            <w:noProof/>
            <w:webHidden/>
          </w:rPr>
          <w:fldChar w:fldCharType="end"/>
        </w:r>
      </w:hyperlink>
    </w:p>
    <w:p w14:paraId="4C75D59C" w14:textId="67E513B2" w:rsidR="008F5C1F" w:rsidRPr="002A739E" w:rsidRDefault="002A739E">
      <w:pPr>
        <w:pStyle w:val="TOC2"/>
        <w:rPr>
          <w:rFonts w:eastAsiaTheme="minorEastAsia"/>
          <w:noProof/>
        </w:rPr>
      </w:pPr>
      <w:hyperlink w:anchor="_Toc80175277" w:history="1">
        <w:r w:rsidR="008F5C1F" w:rsidRPr="002A739E">
          <w:rPr>
            <w:rStyle w:val="Hyperlink"/>
            <w:noProof/>
          </w:rPr>
          <w:t>9.11</w:t>
        </w:r>
        <w:r w:rsidR="008F5C1F" w:rsidRPr="002A739E">
          <w:rPr>
            <w:rFonts w:eastAsiaTheme="minorEastAsia"/>
            <w:noProof/>
          </w:rPr>
          <w:tab/>
        </w:r>
        <w:r w:rsidR="008F5C1F" w:rsidRPr="002A739E">
          <w:rPr>
            <w:rStyle w:val="Hyperlink"/>
            <w:noProof/>
          </w:rPr>
          <w:t>Payment Process for CRR Auction Revenue Distribution</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_Toc80175277 \h </w:instrText>
        </w:r>
        <w:r w:rsidR="008F5C1F" w:rsidRPr="002A739E">
          <w:rPr>
            <w:noProof/>
            <w:webHidden/>
          </w:rPr>
        </w:r>
        <w:r w:rsidR="008F5C1F" w:rsidRPr="002A739E">
          <w:rPr>
            <w:noProof/>
            <w:webHidden/>
          </w:rPr>
          <w:fldChar w:fldCharType="separate"/>
        </w:r>
        <w:r w:rsidRPr="002A739E">
          <w:rPr>
            <w:noProof/>
            <w:webHidden/>
          </w:rPr>
          <w:t>9-24</w:t>
        </w:r>
        <w:r w:rsidR="008F5C1F" w:rsidRPr="002A739E">
          <w:rPr>
            <w:noProof/>
            <w:webHidden/>
          </w:rPr>
          <w:fldChar w:fldCharType="end"/>
        </w:r>
      </w:hyperlink>
    </w:p>
    <w:p w14:paraId="5F9095D1" w14:textId="5B04BC35" w:rsidR="008F5C1F" w:rsidRPr="002A739E" w:rsidRDefault="002A739E">
      <w:pPr>
        <w:pStyle w:val="TOC3"/>
        <w:rPr>
          <w:rFonts w:eastAsiaTheme="minorEastAsia"/>
          <w:i w:val="0"/>
          <w:iCs w:val="0"/>
          <w:noProof/>
        </w:rPr>
      </w:pPr>
      <w:hyperlink w:anchor="_Toc80175278" w:history="1">
        <w:r w:rsidR="008F5C1F" w:rsidRPr="002A739E">
          <w:rPr>
            <w:rStyle w:val="Hyperlink"/>
            <w:i w:val="0"/>
            <w:iCs w:val="0"/>
            <w:noProof/>
          </w:rPr>
          <w:t>9.11.1</w:t>
        </w:r>
        <w:r w:rsidR="008F5C1F" w:rsidRPr="002A739E">
          <w:rPr>
            <w:rFonts w:eastAsiaTheme="minorEastAsia"/>
            <w:i w:val="0"/>
            <w:iCs w:val="0"/>
            <w:noProof/>
          </w:rPr>
          <w:tab/>
        </w:r>
        <w:r w:rsidR="008F5C1F" w:rsidRPr="002A739E">
          <w:rPr>
            <w:rStyle w:val="Hyperlink"/>
            <w:i w:val="0"/>
            <w:iCs w:val="0"/>
            <w:noProof/>
          </w:rPr>
          <w:t>Invoice Recipient Payment to ERCOT for CRR Auction Revenue Distribution</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_Toc80175278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9-24</w:t>
        </w:r>
        <w:r w:rsidR="008F5C1F" w:rsidRPr="002A739E">
          <w:rPr>
            <w:i w:val="0"/>
            <w:iCs w:val="0"/>
            <w:noProof/>
            <w:webHidden/>
          </w:rPr>
          <w:fldChar w:fldCharType="end"/>
        </w:r>
      </w:hyperlink>
    </w:p>
    <w:p w14:paraId="48D04C17" w14:textId="68A737FD" w:rsidR="008F5C1F" w:rsidRPr="002A739E" w:rsidRDefault="002A739E">
      <w:pPr>
        <w:pStyle w:val="TOC3"/>
        <w:rPr>
          <w:rFonts w:eastAsiaTheme="minorEastAsia"/>
          <w:i w:val="0"/>
          <w:iCs w:val="0"/>
          <w:noProof/>
        </w:rPr>
      </w:pPr>
      <w:hyperlink w:anchor="_Toc80175279" w:history="1">
        <w:r w:rsidR="008F5C1F" w:rsidRPr="002A739E">
          <w:rPr>
            <w:rStyle w:val="Hyperlink"/>
            <w:i w:val="0"/>
            <w:iCs w:val="0"/>
            <w:noProof/>
          </w:rPr>
          <w:t>9.11.2</w:t>
        </w:r>
        <w:r w:rsidR="008F5C1F" w:rsidRPr="002A739E">
          <w:rPr>
            <w:rFonts w:eastAsiaTheme="minorEastAsia"/>
            <w:i w:val="0"/>
            <w:iCs w:val="0"/>
            <w:noProof/>
          </w:rPr>
          <w:tab/>
        </w:r>
        <w:r w:rsidR="008F5C1F" w:rsidRPr="002A739E">
          <w:rPr>
            <w:rStyle w:val="Hyperlink"/>
            <w:i w:val="0"/>
            <w:iCs w:val="0"/>
            <w:noProof/>
          </w:rPr>
          <w:t>ERCOT Payment to Invoice Recipients for CRR Auction Revenue Distribution</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_Toc80175279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9-24</w:t>
        </w:r>
        <w:r w:rsidR="008F5C1F" w:rsidRPr="002A739E">
          <w:rPr>
            <w:i w:val="0"/>
            <w:iCs w:val="0"/>
            <w:noProof/>
            <w:webHidden/>
          </w:rPr>
          <w:fldChar w:fldCharType="end"/>
        </w:r>
      </w:hyperlink>
    </w:p>
    <w:p w14:paraId="7A03EE09" w14:textId="60A2F2BB" w:rsidR="008F5C1F" w:rsidRPr="002A739E" w:rsidRDefault="002A739E">
      <w:pPr>
        <w:pStyle w:val="TOC3"/>
        <w:rPr>
          <w:rFonts w:eastAsiaTheme="minorEastAsia"/>
          <w:i w:val="0"/>
          <w:iCs w:val="0"/>
          <w:noProof/>
        </w:rPr>
      </w:pPr>
      <w:hyperlink w:anchor="_Toc80175280" w:history="1">
        <w:r w:rsidR="008F5C1F" w:rsidRPr="002A739E">
          <w:rPr>
            <w:rStyle w:val="Hyperlink"/>
            <w:i w:val="0"/>
            <w:iCs w:val="0"/>
            <w:noProof/>
          </w:rPr>
          <w:t>9.11.3</w:t>
        </w:r>
        <w:r w:rsidR="008F5C1F" w:rsidRPr="002A739E">
          <w:rPr>
            <w:rFonts w:eastAsiaTheme="minorEastAsia"/>
            <w:i w:val="0"/>
            <w:iCs w:val="0"/>
            <w:noProof/>
          </w:rPr>
          <w:tab/>
        </w:r>
        <w:r w:rsidR="008F5C1F" w:rsidRPr="002A739E">
          <w:rPr>
            <w:rStyle w:val="Hyperlink"/>
            <w:i w:val="0"/>
            <w:iCs w:val="0"/>
            <w:noProof/>
          </w:rPr>
          <w:t>Partial Payments by Invoice Recipients for CRR Auction Revenue Distribution</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_Toc80175280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9-24</w:t>
        </w:r>
        <w:r w:rsidR="008F5C1F" w:rsidRPr="002A739E">
          <w:rPr>
            <w:i w:val="0"/>
            <w:iCs w:val="0"/>
            <w:noProof/>
            <w:webHidden/>
          </w:rPr>
          <w:fldChar w:fldCharType="end"/>
        </w:r>
      </w:hyperlink>
    </w:p>
    <w:p w14:paraId="03CFCDC1" w14:textId="20169200" w:rsidR="008F5C1F" w:rsidRPr="002A739E" w:rsidRDefault="002A739E">
      <w:pPr>
        <w:pStyle w:val="TOC3"/>
        <w:rPr>
          <w:rFonts w:eastAsiaTheme="minorEastAsia"/>
          <w:i w:val="0"/>
          <w:iCs w:val="0"/>
          <w:noProof/>
        </w:rPr>
      </w:pPr>
      <w:hyperlink w:anchor="_Toc80175281" w:history="1">
        <w:r w:rsidR="008F5C1F" w:rsidRPr="002A739E">
          <w:rPr>
            <w:rStyle w:val="Hyperlink"/>
            <w:i w:val="0"/>
            <w:iCs w:val="0"/>
            <w:noProof/>
          </w:rPr>
          <w:t>9.11.4</w:t>
        </w:r>
        <w:r w:rsidR="008F5C1F" w:rsidRPr="002A739E">
          <w:rPr>
            <w:rFonts w:eastAsiaTheme="minorEastAsia"/>
            <w:i w:val="0"/>
            <w:iCs w:val="0"/>
            <w:noProof/>
          </w:rPr>
          <w:tab/>
        </w:r>
        <w:r w:rsidR="008F5C1F" w:rsidRPr="002A739E">
          <w:rPr>
            <w:rStyle w:val="Hyperlink"/>
            <w:i w:val="0"/>
            <w:iCs w:val="0"/>
            <w:noProof/>
          </w:rPr>
          <w:t>Enforcing the Security of a Short-Paying CARD Invoice Recipient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_Toc80175281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9-25</w:t>
        </w:r>
        <w:r w:rsidR="008F5C1F" w:rsidRPr="002A739E">
          <w:rPr>
            <w:i w:val="0"/>
            <w:iCs w:val="0"/>
            <w:noProof/>
            <w:webHidden/>
          </w:rPr>
          <w:fldChar w:fldCharType="end"/>
        </w:r>
      </w:hyperlink>
    </w:p>
    <w:p w14:paraId="5615099A" w14:textId="172D285A" w:rsidR="008F5C1F" w:rsidRPr="002A739E" w:rsidRDefault="002A739E">
      <w:pPr>
        <w:pStyle w:val="TOC2"/>
        <w:rPr>
          <w:rFonts w:eastAsiaTheme="minorEastAsia"/>
          <w:noProof/>
        </w:rPr>
      </w:pPr>
      <w:hyperlink w:anchor="_Toc80175282" w:history="1">
        <w:r w:rsidR="008F5C1F" w:rsidRPr="002A739E">
          <w:rPr>
            <w:rStyle w:val="Hyperlink"/>
            <w:noProof/>
          </w:rPr>
          <w:t>9.12</w:t>
        </w:r>
        <w:r w:rsidR="008F5C1F" w:rsidRPr="002A739E">
          <w:rPr>
            <w:rFonts w:eastAsiaTheme="minorEastAsia"/>
            <w:noProof/>
          </w:rPr>
          <w:tab/>
        </w:r>
        <w:r w:rsidR="008F5C1F" w:rsidRPr="002A739E">
          <w:rPr>
            <w:rStyle w:val="Hyperlink"/>
            <w:noProof/>
          </w:rPr>
          <w:t>CRR Balancing Account Invoices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_Toc80175282 \h </w:instrText>
        </w:r>
        <w:r w:rsidR="008F5C1F" w:rsidRPr="002A739E">
          <w:rPr>
            <w:noProof/>
            <w:webHidden/>
          </w:rPr>
        </w:r>
        <w:r w:rsidR="008F5C1F" w:rsidRPr="002A739E">
          <w:rPr>
            <w:noProof/>
            <w:webHidden/>
          </w:rPr>
          <w:fldChar w:fldCharType="separate"/>
        </w:r>
        <w:r w:rsidRPr="002A739E">
          <w:rPr>
            <w:noProof/>
            <w:webHidden/>
          </w:rPr>
          <w:t>9-25</w:t>
        </w:r>
        <w:r w:rsidR="008F5C1F" w:rsidRPr="002A739E">
          <w:rPr>
            <w:noProof/>
            <w:webHidden/>
          </w:rPr>
          <w:fldChar w:fldCharType="end"/>
        </w:r>
      </w:hyperlink>
    </w:p>
    <w:p w14:paraId="001E4466" w14:textId="103D2ABB" w:rsidR="008F5C1F" w:rsidRPr="002A739E" w:rsidRDefault="002A739E">
      <w:pPr>
        <w:pStyle w:val="TOC2"/>
        <w:rPr>
          <w:rFonts w:eastAsiaTheme="minorEastAsia"/>
          <w:noProof/>
        </w:rPr>
      </w:pPr>
      <w:hyperlink w:anchor="_Toc80175283" w:history="1">
        <w:r w:rsidR="008F5C1F" w:rsidRPr="002A739E">
          <w:rPr>
            <w:rStyle w:val="Hyperlink"/>
            <w:noProof/>
          </w:rPr>
          <w:t>9.13</w:t>
        </w:r>
        <w:r w:rsidR="008F5C1F" w:rsidRPr="002A739E">
          <w:rPr>
            <w:rFonts w:eastAsiaTheme="minorEastAsia"/>
            <w:noProof/>
          </w:rPr>
          <w:tab/>
        </w:r>
        <w:r w:rsidR="008F5C1F" w:rsidRPr="002A739E">
          <w:rPr>
            <w:rStyle w:val="Hyperlink"/>
            <w:noProof/>
          </w:rPr>
          <w:t>Payment Process for the CRR Balancing Account</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_Toc80175283 \h </w:instrText>
        </w:r>
        <w:r w:rsidR="008F5C1F" w:rsidRPr="002A739E">
          <w:rPr>
            <w:noProof/>
            <w:webHidden/>
          </w:rPr>
        </w:r>
        <w:r w:rsidR="008F5C1F" w:rsidRPr="002A739E">
          <w:rPr>
            <w:noProof/>
            <w:webHidden/>
          </w:rPr>
          <w:fldChar w:fldCharType="separate"/>
        </w:r>
        <w:r w:rsidRPr="002A739E">
          <w:rPr>
            <w:noProof/>
            <w:webHidden/>
          </w:rPr>
          <w:t>9-27</w:t>
        </w:r>
        <w:r w:rsidR="008F5C1F" w:rsidRPr="002A739E">
          <w:rPr>
            <w:noProof/>
            <w:webHidden/>
          </w:rPr>
          <w:fldChar w:fldCharType="end"/>
        </w:r>
      </w:hyperlink>
    </w:p>
    <w:p w14:paraId="24329C4D" w14:textId="4C2970B5" w:rsidR="008F5C1F" w:rsidRPr="002A739E" w:rsidRDefault="002A739E">
      <w:pPr>
        <w:pStyle w:val="TOC3"/>
        <w:rPr>
          <w:rFonts w:eastAsiaTheme="minorEastAsia"/>
          <w:i w:val="0"/>
          <w:iCs w:val="0"/>
          <w:noProof/>
        </w:rPr>
      </w:pPr>
      <w:hyperlink w:anchor="_Toc80175284" w:history="1">
        <w:r w:rsidR="008F5C1F" w:rsidRPr="002A739E">
          <w:rPr>
            <w:rStyle w:val="Hyperlink"/>
            <w:i w:val="0"/>
            <w:iCs w:val="0"/>
            <w:noProof/>
          </w:rPr>
          <w:t>9.13.1</w:t>
        </w:r>
        <w:r w:rsidR="008F5C1F" w:rsidRPr="002A739E">
          <w:rPr>
            <w:rFonts w:eastAsiaTheme="minorEastAsia"/>
            <w:i w:val="0"/>
            <w:iCs w:val="0"/>
            <w:noProof/>
          </w:rPr>
          <w:tab/>
        </w:r>
        <w:r w:rsidR="008F5C1F" w:rsidRPr="002A739E">
          <w:rPr>
            <w:rStyle w:val="Hyperlink"/>
            <w:i w:val="0"/>
            <w:iCs w:val="0"/>
            <w:noProof/>
          </w:rPr>
          <w:t>Payment Process for the Initial CRR Balancing Account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_Toc80175284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9-27</w:t>
        </w:r>
        <w:r w:rsidR="008F5C1F" w:rsidRPr="002A739E">
          <w:rPr>
            <w:i w:val="0"/>
            <w:iCs w:val="0"/>
            <w:noProof/>
            <w:webHidden/>
          </w:rPr>
          <w:fldChar w:fldCharType="end"/>
        </w:r>
      </w:hyperlink>
    </w:p>
    <w:p w14:paraId="44A305FF" w14:textId="74257638" w:rsidR="008F5C1F" w:rsidRPr="002A739E" w:rsidRDefault="002A739E">
      <w:pPr>
        <w:pStyle w:val="TOC3"/>
        <w:rPr>
          <w:rFonts w:eastAsiaTheme="minorEastAsia"/>
          <w:i w:val="0"/>
          <w:iCs w:val="0"/>
          <w:noProof/>
        </w:rPr>
      </w:pPr>
      <w:hyperlink w:anchor="_Toc80175285" w:history="1">
        <w:r w:rsidR="008F5C1F" w:rsidRPr="002A739E">
          <w:rPr>
            <w:rStyle w:val="Hyperlink"/>
            <w:i w:val="0"/>
            <w:iCs w:val="0"/>
            <w:noProof/>
          </w:rPr>
          <w:t xml:space="preserve">9.13.2 </w:t>
        </w:r>
        <w:r w:rsidR="008F5C1F" w:rsidRPr="002A739E">
          <w:rPr>
            <w:rFonts w:eastAsiaTheme="minorEastAsia"/>
            <w:i w:val="0"/>
            <w:iCs w:val="0"/>
            <w:noProof/>
          </w:rPr>
          <w:tab/>
        </w:r>
        <w:r w:rsidR="008F5C1F" w:rsidRPr="002A739E">
          <w:rPr>
            <w:rStyle w:val="Hyperlink"/>
            <w:i w:val="0"/>
            <w:iCs w:val="0"/>
            <w:noProof/>
          </w:rPr>
          <w:t>Payment Process for Resettlement of the CRR Balancing Account</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_Toc80175285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9-27</w:t>
        </w:r>
        <w:r w:rsidR="008F5C1F" w:rsidRPr="002A739E">
          <w:rPr>
            <w:i w:val="0"/>
            <w:iCs w:val="0"/>
            <w:noProof/>
            <w:webHidden/>
          </w:rPr>
          <w:fldChar w:fldCharType="end"/>
        </w:r>
      </w:hyperlink>
    </w:p>
    <w:p w14:paraId="3D29EF90" w14:textId="5B81AE94" w:rsidR="008F5C1F" w:rsidRPr="002A739E" w:rsidRDefault="002A739E" w:rsidP="00B214A7">
      <w:pPr>
        <w:pStyle w:val="TOC4"/>
        <w:rPr>
          <w:rFonts w:eastAsiaTheme="minorEastAsia"/>
          <w:noProof/>
          <w:sz w:val="20"/>
          <w:szCs w:val="20"/>
        </w:rPr>
      </w:pPr>
      <w:hyperlink w:anchor="_Toc80175286" w:history="1">
        <w:r w:rsidR="008F5C1F" w:rsidRPr="002A739E">
          <w:rPr>
            <w:rStyle w:val="Hyperlink"/>
            <w:noProof/>
            <w:sz w:val="20"/>
            <w:szCs w:val="20"/>
          </w:rPr>
          <w:t>9.13.2.1</w:t>
        </w:r>
        <w:r w:rsidR="008F5C1F" w:rsidRPr="002A739E">
          <w:rPr>
            <w:rFonts w:eastAsiaTheme="minorEastAsia"/>
            <w:noProof/>
            <w:sz w:val="20"/>
            <w:szCs w:val="20"/>
          </w:rPr>
          <w:tab/>
        </w:r>
        <w:r w:rsidR="008F5C1F" w:rsidRPr="002A739E">
          <w:rPr>
            <w:rStyle w:val="Hyperlink"/>
            <w:noProof/>
            <w:sz w:val="20"/>
            <w:szCs w:val="20"/>
          </w:rPr>
          <w:t>Invoice Recipient Payment to ERCOT for Resettlement of the CRR Balancing Account</w:t>
        </w:r>
        <w:r w:rsidR="008F5C1F" w:rsidRPr="002A739E">
          <w:rPr>
            <w:noProof/>
            <w:webHidden/>
            <w:sz w:val="20"/>
            <w:szCs w:val="20"/>
          </w:rPr>
          <w:tab/>
        </w:r>
        <w:r w:rsidR="008F5C1F" w:rsidRPr="002A739E">
          <w:rPr>
            <w:noProof/>
            <w:webHidden/>
            <w:sz w:val="20"/>
            <w:szCs w:val="20"/>
          </w:rPr>
          <w:fldChar w:fldCharType="begin"/>
        </w:r>
        <w:r w:rsidR="008F5C1F" w:rsidRPr="002A739E">
          <w:rPr>
            <w:noProof/>
            <w:webHidden/>
            <w:sz w:val="20"/>
            <w:szCs w:val="20"/>
          </w:rPr>
          <w:instrText xml:space="preserve"> PAGEREF _Toc80175286 \h </w:instrText>
        </w:r>
        <w:r w:rsidR="008F5C1F" w:rsidRPr="002A739E">
          <w:rPr>
            <w:noProof/>
            <w:webHidden/>
            <w:sz w:val="20"/>
            <w:szCs w:val="20"/>
          </w:rPr>
        </w:r>
        <w:r w:rsidR="008F5C1F" w:rsidRPr="002A739E">
          <w:rPr>
            <w:noProof/>
            <w:webHidden/>
            <w:sz w:val="20"/>
            <w:szCs w:val="20"/>
          </w:rPr>
          <w:fldChar w:fldCharType="separate"/>
        </w:r>
        <w:r w:rsidRPr="002A739E">
          <w:rPr>
            <w:noProof/>
            <w:webHidden/>
            <w:sz w:val="20"/>
            <w:szCs w:val="20"/>
          </w:rPr>
          <w:t>9-27</w:t>
        </w:r>
        <w:r w:rsidR="008F5C1F" w:rsidRPr="002A739E">
          <w:rPr>
            <w:noProof/>
            <w:webHidden/>
            <w:sz w:val="20"/>
            <w:szCs w:val="20"/>
          </w:rPr>
          <w:fldChar w:fldCharType="end"/>
        </w:r>
      </w:hyperlink>
    </w:p>
    <w:p w14:paraId="0CD83EAF" w14:textId="34569CAE" w:rsidR="008F5C1F" w:rsidRPr="002A739E" w:rsidRDefault="002A739E" w:rsidP="00B214A7">
      <w:pPr>
        <w:pStyle w:val="TOC4"/>
        <w:rPr>
          <w:rFonts w:eastAsiaTheme="minorEastAsia"/>
          <w:noProof/>
          <w:sz w:val="20"/>
          <w:szCs w:val="20"/>
        </w:rPr>
      </w:pPr>
      <w:hyperlink w:anchor="_Toc80175287" w:history="1">
        <w:r w:rsidR="008F5C1F" w:rsidRPr="002A739E">
          <w:rPr>
            <w:rStyle w:val="Hyperlink"/>
            <w:noProof/>
            <w:sz w:val="20"/>
            <w:szCs w:val="20"/>
          </w:rPr>
          <w:t>9.13.2.2</w:t>
        </w:r>
        <w:r w:rsidR="008F5C1F" w:rsidRPr="002A739E">
          <w:rPr>
            <w:rFonts w:eastAsiaTheme="minorEastAsia"/>
            <w:noProof/>
            <w:sz w:val="20"/>
            <w:szCs w:val="20"/>
          </w:rPr>
          <w:tab/>
        </w:r>
        <w:r w:rsidR="008F5C1F" w:rsidRPr="002A739E">
          <w:rPr>
            <w:rStyle w:val="Hyperlink"/>
            <w:noProof/>
            <w:sz w:val="20"/>
            <w:szCs w:val="20"/>
          </w:rPr>
          <w:t>ERCOT Payment to Invoice Recipients for Resettlement of the CRR Balancing Account</w:t>
        </w:r>
        <w:r w:rsidR="008F5C1F" w:rsidRPr="002A739E">
          <w:rPr>
            <w:noProof/>
            <w:webHidden/>
            <w:sz w:val="20"/>
            <w:szCs w:val="20"/>
          </w:rPr>
          <w:tab/>
        </w:r>
        <w:r w:rsidR="008F5C1F" w:rsidRPr="002A739E">
          <w:rPr>
            <w:noProof/>
            <w:webHidden/>
            <w:sz w:val="20"/>
            <w:szCs w:val="20"/>
          </w:rPr>
          <w:fldChar w:fldCharType="begin"/>
        </w:r>
        <w:r w:rsidR="008F5C1F" w:rsidRPr="002A739E">
          <w:rPr>
            <w:noProof/>
            <w:webHidden/>
            <w:sz w:val="20"/>
            <w:szCs w:val="20"/>
          </w:rPr>
          <w:instrText xml:space="preserve"> PAGEREF _Toc80175287 \h </w:instrText>
        </w:r>
        <w:r w:rsidR="008F5C1F" w:rsidRPr="002A739E">
          <w:rPr>
            <w:noProof/>
            <w:webHidden/>
            <w:sz w:val="20"/>
            <w:szCs w:val="20"/>
          </w:rPr>
        </w:r>
        <w:r w:rsidR="008F5C1F" w:rsidRPr="002A739E">
          <w:rPr>
            <w:noProof/>
            <w:webHidden/>
            <w:sz w:val="20"/>
            <w:szCs w:val="20"/>
          </w:rPr>
          <w:fldChar w:fldCharType="separate"/>
        </w:r>
        <w:r w:rsidRPr="002A739E">
          <w:rPr>
            <w:noProof/>
            <w:webHidden/>
            <w:sz w:val="20"/>
            <w:szCs w:val="20"/>
          </w:rPr>
          <w:t>9-28</w:t>
        </w:r>
        <w:r w:rsidR="008F5C1F" w:rsidRPr="002A739E">
          <w:rPr>
            <w:noProof/>
            <w:webHidden/>
            <w:sz w:val="20"/>
            <w:szCs w:val="20"/>
          </w:rPr>
          <w:fldChar w:fldCharType="end"/>
        </w:r>
      </w:hyperlink>
    </w:p>
    <w:p w14:paraId="5EE96B1B" w14:textId="2A56F66C" w:rsidR="008F5C1F" w:rsidRPr="002A739E" w:rsidRDefault="002A739E" w:rsidP="00B214A7">
      <w:pPr>
        <w:pStyle w:val="TOC4"/>
        <w:rPr>
          <w:rFonts w:eastAsiaTheme="minorEastAsia"/>
          <w:noProof/>
          <w:sz w:val="20"/>
          <w:szCs w:val="20"/>
        </w:rPr>
      </w:pPr>
      <w:hyperlink w:anchor="_Toc80175288" w:history="1">
        <w:r w:rsidR="008F5C1F" w:rsidRPr="002A739E">
          <w:rPr>
            <w:rStyle w:val="Hyperlink"/>
            <w:noProof/>
            <w:sz w:val="20"/>
            <w:szCs w:val="20"/>
          </w:rPr>
          <w:t>9.13.2.3</w:t>
        </w:r>
        <w:r w:rsidR="008F5C1F" w:rsidRPr="002A739E">
          <w:rPr>
            <w:rFonts w:eastAsiaTheme="minorEastAsia"/>
            <w:noProof/>
            <w:sz w:val="20"/>
            <w:szCs w:val="20"/>
          </w:rPr>
          <w:tab/>
        </w:r>
        <w:r w:rsidR="008F5C1F" w:rsidRPr="002A739E">
          <w:rPr>
            <w:rStyle w:val="Hyperlink"/>
            <w:noProof/>
            <w:sz w:val="20"/>
            <w:szCs w:val="20"/>
          </w:rPr>
          <w:t>Partial Payments by Invoice Recipients for Resettlement of CRR Balancing Account</w:t>
        </w:r>
        <w:r w:rsidR="008F5C1F" w:rsidRPr="002A739E">
          <w:rPr>
            <w:noProof/>
            <w:webHidden/>
            <w:sz w:val="20"/>
            <w:szCs w:val="20"/>
          </w:rPr>
          <w:tab/>
        </w:r>
        <w:r w:rsidR="008F5C1F" w:rsidRPr="002A739E">
          <w:rPr>
            <w:noProof/>
            <w:webHidden/>
            <w:sz w:val="20"/>
            <w:szCs w:val="20"/>
          </w:rPr>
          <w:fldChar w:fldCharType="begin"/>
        </w:r>
        <w:r w:rsidR="008F5C1F" w:rsidRPr="002A739E">
          <w:rPr>
            <w:noProof/>
            <w:webHidden/>
            <w:sz w:val="20"/>
            <w:szCs w:val="20"/>
          </w:rPr>
          <w:instrText xml:space="preserve"> PAGEREF _Toc80175288 \h </w:instrText>
        </w:r>
        <w:r w:rsidR="008F5C1F" w:rsidRPr="002A739E">
          <w:rPr>
            <w:noProof/>
            <w:webHidden/>
            <w:sz w:val="20"/>
            <w:szCs w:val="20"/>
          </w:rPr>
        </w:r>
        <w:r w:rsidR="008F5C1F" w:rsidRPr="002A739E">
          <w:rPr>
            <w:noProof/>
            <w:webHidden/>
            <w:sz w:val="20"/>
            <w:szCs w:val="20"/>
          </w:rPr>
          <w:fldChar w:fldCharType="separate"/>
        </w:r>
        <w:r w:rsidRPr="002A739E">
          <w:rPr>
            <w:noProof/>
            <w:webHidden/>
            <w:sz w:val="20"/>
            <w:szCs w:val="20"/>
          </w:rPr>
          <w:t>9-28</w:t>
        </w:r>
        <w:r w:rsidR="008F5C1F" w:rsidRPr="002A739E">
          <w:rPr>
            <w:noProof/>
            <w:webHidden/>
            <w:sz w:val="20"/>
            <w:szCs w:val="20"/>
          </w:rPr>
          <w:fldChar w:fldCharType="end"/>
        </w:r>
      </w:hyperlink>
    </w:p>
    <w:p w14:paraId="3BBED91B" w14:textId="00F0C449" w:rsidR="008F5C1F" w:rsidRPr="002A739E" w:rsidRDefault="002A739E">
      <w:pPr>
        <w:pStyle w:val="TOC2"/>
        <w:rPr>
          <w:rFonts w:eastAsiaTheme="minorEastAsia"/>
          <w:noProof/>
        </w:rPr>
      </w:pPr>
      <w:hyperlink w:anchor="_Toc80175289" w:history="1">
        <w:r w:rsidR="008F5C1F" w:rsidRPr="002A739E">
          <w:rPr>
            <w:rStyle w:val="Hyperlink"/>
            <w:noProof/>
          </w:rPr>
          <w:t>9.14</w:t>
        </w:r>
        <w:r w:rsidR="008F5C1F" w:rsidRPr="002A739E">
          <w:rPr>
            <w:rFonts w:eastAsiaTheme="minorEastAsia"/>
            <w:noProof/>
          </w:rPr>
          <w:tab/>
        </w:r>
        <w:r w:rsidR="008F5C1F" w:rsidRPr="002A739E">
          <w:rPr>
            <w:rStyle w:val="Hyperlink"/>
            <w:noProof/>
          </w:rPr>
          <w:t>Settlement and Billing Dispute Process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_Toc80175289 \h </w:instrText>
        </w:r>
        <w:r w:rsidR="008F5C1F" w:rsidRPr="002A739E">
          <w:rPr>
            <w:noProof/>
            <w:webHidden/>
          </w:rPr>
        </w:r>
        <w:r w:rsidR="008F5C1F" w:rsidRPr="002A739E">
          <w:rPr>
            <w:noProof/>
            <w:webHidden/>
          </w:rPr>
          <w:fldChar w:fldCharType="separate"/>
        </w:r>
        <w:r w:rsidRPr="002A739E">
          <w:rPr>
            <w:noProof/>
            <w:webHidden/>
          </w:rPr>
          <w:t>9-29</w:t>
        </w:r>
        <w:r w:rsidR="008F5C1F" w:rsidRPr="002A739E">
          <w:rPr>
            <w:noProof/>
            <w:webHidden/>
          </w:rPr>
          <w:fldChar w:fldCharType="end"/>
        </w:r>
      </w:hyperlink>
    </w:p>
    <w:p w14:paraId="239BA2AC" w14:textId="5849DC56" w:rsidR="008F5C1F" w:rsidRPr="002A739E" w:rsidRDefault="002A739E">
      <w:pPr>
        <w:pStyle w:val="TOC3"/>
        <w:rPr>
          <w:rFonts w:eastAsiaTheme="minorEastAsia"/>
          <w:i w:val="0"/>
          <w:iCs w:val="0"/>
          <w:noProof/>
        </w:rPr>
      </w:pPr>
      <w:hyperlink w:anchor="_Toc80175290" w:history="1">
        <w:r w:rsidR="008F5C1F" w:rsidRPr="002A739E">
          <w:rPr>
            <w:rStyle w:val="Hyperlink"/>
            <w:i w:val="0"/>
            <w:iCs w:val="0"/>
            <w:noProof/>
          </w:rPr>
          <w:t>9.14.1</w:t>
        </w:r>
        <w:r w:rsidR="008F5C1F" w:rsidRPr="002A739E">
          <w:rPr>
            <w:rFonts w:eastAsiaTheme="minorEastAsia"/>
            <w:i w:val="0"/>
            <w:iCs w:val="0"/>
            <w:noProof/>
          </w:rPr>
          <w:tab/>
        </w:r>
        <w:r w:rsidR="008F5C1F" w:rsidRPr="002A739E">
          <w:rPr>
            <w:rStyle w:val="Hyperlink"/>
            <w:i w:val="0"/>
            <w:iCs w:val="0"/>
            <w:noProof/>
          </w:rPr>
          <w:t>Data Review, Validation, Confirmation, and Dispute of Settlement Statements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_Toc80175290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9-29</w:t>
        </w:r>
        <w:r w:rsidR="008F5C1F" w:rsidRPr="002A739E">
          <w:rPr>
            <w:i w:val="0"/>
            <w:iCs w:val="0"/>
            <w:noProof/>
            <w:webHidden/>
          </w:rPr>
          <w:fldChar w:fldCharType="end"/>
        </w:r>
      </w:hyperlink>
    </w:p>
    <w:p w14:paraId="24BC6D5D" w14:textId="7E57FED0" w:rsidR="008F5C1F" w:rsidRPr="002A739E" w:rsidRDefault="002A739E">
      <w:pPr>
        <w:pStyle w:val="TOC3"/>
        <w:rPr>
          <w:rFonts w:eastAsiaTheme="minorEastAsia"/>
          <w:i w:val="0"/>
          <w:iCs w:val="0"/>
          <w:noProof/>
        </w:rPr>
      </w:pPr>
      <w:hyperlink w:anchor="_Toc80175291" w:history="1">
        <w:r w:rsidR="008F5C1F" w:rsidRPr="002A739E">
          <w:rPr>
            <w:rStyle w:val="Hyperlink"/>
            <w:i w:val="0"/>
            <w:iCs w:val="0"/>
            <w:noProof/>
          </w:rPr>
          <w:t>9.14.2</w:t>
        </w:r>
        <w:r w:rsidR="008F5C1F" w:rsidRPr="002A739E">
          <w:rPr>
            <w:rFonts w:eastAsiaTheme="minorEastAsia"/>
            <w:i w:val="0"/>
            <w:iCs w:val="0"/>
            <w:noProof/>
          </w:rPr>
          <w:tab/>
        </w:r>
        <w:r w:rsidR="008F5C1F" w:rsidRPr="002A739E">
          <w:rPr>
            <w:rStyle w:val="Hyperlink"/>
            <w:i w:val="0"/>
            <w:iCs w:val="0"/>
            <w:noProof/>
          </w:rPr>
          <w:t>Notice of Dispute</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_Toc80175291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9-29</w:t>
        </w:r>
        <w:r w:rsidR="008F5C1F" w:rsidRPr="002A739E">
          <w:rPr>
            <w:i w:val="0"/>
            <w:iCs w:val="0"/>
            <w:noProof/>
            <w:webHidden/>
          </w:rPr>
          <w:fldChar w:fldCharType="end"/>
        </w:r>
      </w:hyperlink>
    </w:p>
    <w:p w14:paraId="6BBC4A32" w14:textId="3686A69B" w:rsidR="008F5C1F" w:rsidRPr="002A739E" w:rsidRDefault="002A739E">
      <w:pPr>
        <w:pStyle w:val="TOC3"/>
        <w:rPr>
          <w:rFonts w:eastAsiaTheme="minorEastAsia"/>
          <w:i w:val="0"/>
          <w:iCs w:val="0"/>
          <w:noProof/>
        </w:rPr>
      </w:pPr>
      <w:hyperlink w:anchor="_Toc80175292" w:history="1">
        <w:r w:rsidR="008F5C1F" w:rsidRPr="002A739E">
          <w:rPr>
            <w:rStyle w:val="Hyperlink"/>
            <w:i w:val="0"/>
            <w:iCs w:val="0"/>
            <w:noProof/>
          </w:rPr>
          <w:t>9.14.3</w:t>
        </w:r>
        <w:r w:rsidR="008F5C1F" w:rsidRPr="002A739E">
          <w:rPr>
            <w:rFonts w:eastAsiaTheme="minorEastAsia"/>
            <w:i w:val="0"/>
            <w:iCs w:val="0"/>
            <w:noProof/>
          </w:rPr>
          <w:tab/>
        </w:r>
        <w:r w:rsidR="008F5C1F" w:rsidRPr="002A739E">
          <w:rPr>
            <w:rStyle w:val="Hyperlink"/>
            <w:i w:val="0"/>
            <w:iCs w:val="0"/>
            <w:noProof/>
          </w:rPr>
          <w:t>Contents of Notice</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_Toc80175292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9-30</w:t>
        </w:r>
        <w:r w:rsidR="008F5C1F" w:rsidRPr="002A739E">
          <w:rPr>
            <w:i w:val="0"/>
            <w:iCs w:val="0"/>
            <w:noProof/>
            <w:webHidden/>
          </w:rPr>
          <w:fldChar w:fldCharType="end"/>
        </w:r>
      </w:hyperlink>
    </w:p>
    <w:p w14:paraId="31774FF5" w14:textId="453A7455" w:rsidR="008F5C1F" w:rsidRPr="002A739E" w:rsidRDefault="002A739E">
      <w:pPr>
        <w:pStyle w:val="TOC3"/>
        <w:rPr>
          <w:rFonts w:eastAsiaTheme="minorEastAsia"/>
          <w:i w:val="0"/>
          <w:iCs w:val="0"/>
          <w:noProof/>
        </w:rPr>
      </w:pPr>
      <w:hyperlink w:anchor="_Toc80175293" w:history="1">
        <w:r w:rsidR="008F5C1F" w:rsidRPr="002A739E">
          <w:rPr>
            <w:rStyle w:val="Hyperlink"/>
            <w:i w:val="0"/>
            <w:iCs w:val="0"/>
            <w:noProof/>
          </w:rPr>
          <w:t>9.14.4</w:t>
        </w:r>
        <w:r w:rsidR="008F5C1F" w:rsidRPr="002A739E">
          <w:rPr>
            <w:rFonts w:eastAsiaTheme="minorEastAsia"/>
            <w:i w:val="0"/>
            <w:iCs w:val="0"/>
            <w:noProof/>
          </w:rPr>
          <w:tab/>
        </w:r>
        <w:r w:rsidR="008F5C1F" w:rsidRPr="002A739E">
          <w:rPr>
            <w:rStyle w:val="Hyperlink"/>
            <w:i w:val="0"/>
            <w:iCs w:val="0"/>
            <w:noProof/>
          </w:rPr>
          <w:t xml:space="preserve"> ERCOT Processing of Disputes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_Toc80175293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9-31</w:t>
        </w:r>
        <w:r w:rsidR="008F5C1F" w:rsidRPr="002A739E">
          <w:rPr>
            <w:i w:val="0"/>
            <w:iCs w:val="0"/>
            <w:noProof/>
            <w:webHidden/>
          </w:rPr>
          <w:fldChar w:fldCharType="end"/>
        </w:r>
      </w:hyperlink>
    </w:p>
    <w:p w14:paraId="49434424" w14:textId="37187017" w:rsidR="008F5C1F" w:rsidRPr="002A739E" w:rsidRDefault="002A739E" w:rsidP="00B214A7">
      <w:pPr>
        <w:pStyle w:val="TOC4"/>
        <w:rPr>
          <w:rFonts w:eastAsiaTheme="minorEastAsia"/>
          <w:noProof/>
          <w:sz w:val="20"/>
          <w:szCs w:val="20"/>
        </w:rPr>
      </w:pPr>
      <w:hyperlink w:anchor="_Toc80175294" w:history="1">
        <w:r w:rsidR="008F5C1F" w:rsidRPr="002A739E">
          <w:rPr>
            <w:rStyle w:val="Hyperlink"/>
            <w:noProof/>
            <w:sz w:val="20"/>
            <w:szCs w:val="20"/>
          </w:rPr>
          <w:t>9.14.4.1</w:t>
        </w:r>
        <w:r w:rsidR="008F5C1F" w:rsidRPr="002A739E">
          <w:rPr>
            <w:rFonts w:eastAsiaTheme="minorEastAsia"/>
            <w:noProof/>
            <w:sz w:val="20"/>
            <w:szCs w:val="20"/>
          </w:rPr>
          <w:tab/>
        </w:r>
        <w:r w:rsidR="008F5C1F" w:rsidRPr="002A739E">
          <w:rPr>
            <w:rStyle w:val="Hyperlink"/>
            <w:noProof/>
            <w:sz w:val="20"/>
            <w:szCs w:val="20"/>
          </w:rPr>
          <w:t>Status of Dispute</w:t>
        </w:r>
        <w:r w:rsidR="008F5C1F" w:rsidRPr="002A739E">
          <w:rPr>
            <w:noProof/>
            <w:webHidden/>
            <w:sz w:val="20"/>
            <w:szCs w:val="20"/>
          </w:rPr>
          <w:tab/>
        </w:r>
        <w:r w:rsidR="008F5C1F" w:rsidRPr="002A739E">
          <w:rPr>
            <w:noProof/>
            <w:webHidden/>
            <w:sz w:val="20"/>
            <w:szCs w:val="20"/>
          </w:rPr>
          <w:fldChar w:fldCharType="begin"/>
        </w:r>
        <w:r w:rsidR="008F5C1F" w:rsidRPr="002A739E">
          <w:rPr>
            <w:noProof/>
            <w:webHidden/>
            <w:sz w:val="20"/>
            <w:szCs w:val="20"/>
          </w:rPr>
          <w:instrText xml:space="preserve"> PAGEREF _Toc80175294 \h </w:instrText>
        </w:r>
        <w:r w:rsidR="008F5C1F" w:rsidRPr="002A739E">
          <w:rPr>
            <w:noProof/>
            <w:webHidden/>
            <w:sz w:val="20"/>
            <w:szCs w:val="20"/>
          </w:rPr>
        </w:r>
        <w:r w:rsidR="008F5C1F" w:rsidRPr="002A739E">
          <w:rPr>
            <w:noProof/>
            <w:webHidden/>
            <w:sz w:val="20"/>
            <w:szCs w:val="20"/>
          </w:rPr>
          <w:fldChar w:fldCharType="separate"/>
        </w:r>
        <w:r w:rsidRPr="002A739E">
          <w:rPr>
            <w:noProof/>
            <w:webHidden/>
            <w:sz w:val="20"/>
            <w:szCs w:val="20"/>
          </w:rPr>
          <w:t>9-32</w:t>
        </w:r>
        <w:r w:rsidR="008F5C1F" w:rsidRPr="002A739E">
          <w:rPr>
            <w:noProof/>
            <w:webHidden/>
            <w:sz w:val="20"/>
            <w:szCs w:val="20"/>
          </w:rPr>
          <w:fldChar w:fldCharType="end"/>
        </w:r>
      </w:hyperlink>
    </w:p>
    <w:p w14:paraId="349A06A0" w14:textId="20F3E2A5" w:rsidR="008F5C1F" w:rsidRPr="002A739E" w:rsidRDefault="002A739E">
      <w:pPr>
        <w:pStyle w:val="TOC5"/>
        <w:rPr>
          <w:rFonts w:eastAsiaTheme="minorEastAsia"/>
          <w:i w:val="0"/>
          <w:sz w:val="20"/>
          <w:szCs w:val="20"/>
        </w:rPr>
      </w:pPr>
      <w:hyperlink w:anchor="_Toc80175295" w:history="1">
        <w:r w:rsidR="008F5C1F" w:rsidRPr="002A739E">
          <w:rPr>
            <w:rStyle w:val="Hyperlink"/>
            <w:i w:val="0"/>
            <w:sz w:val="20"/>
            <w:szCs w:val="20"/>
          </w:rPr>
          <w:t>9.14.4.1.1</w:t>
        </w:r>
        <w:r w:rsidR="008F5C1F" w:rsidRPr="002A739E">
          <w:rPr>
            <w:rFonts w:eastAsiaTheme="minorEastAsia"/>
            <w:i w:val="0"/>
            <w:sz w:val="20"/>
            <w:szCs w:val="20"/>
          </w:rPr>
          <w:tab/>
        </w:r>
        <w:r w:rsidR="008F5C1F" w:rsidRPr="002A739E">
          <w:rPr>
            <w:rStyle w:val="Hyperlink"/>
            <w:i w:val="0"/>
            <w:sz w:val="20"/>
            <w:szCs w:val="20"/>
          </w:rPr>
          <w:t>Not Started</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_Toc80175295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9-33</w:t>
        </w:r>
        <w:r w:rsidR="008F5C1F" w:rsidRPr="002A739E">
          <w:rPr>
            <w:i w:val="0"/>
            <w:webHidden/>
            <w:sz w:val="20"/>
            <w:szCs w:val="20"/>
          </w:rPr>
          <w:fldChar w:fldCharType="end"/>
        </w:r>
      </w:hyperlink>
    </w:p>
    <w:p w14:paraId="13FCF109" w14:textId="6B5E9DF6" w:rsidR="008F5C1F" w:rsidRPr="002A739E" w:rsidRDefault="002A739E">
      <w:pPr>
        <w:pStyle w:val="TOC5"/>
        <w:rPr>
          <w:rFonts w:eastAsiaTheme="minorEastAsia"/>
          <w:i w:val="0"/>
          <w:sz w:val="20"/>
          <w:szCs w:val="20"/>
        </w:rPr>
      </w:pPr>
      <w:hyperlink w:anchor="_Toc80175296" w:history="1">
        <w:r w:rsidR="008F5C1F" w:rsidRPr="002A739E">
          <w:rPr>
            <w:rStyle w:val="Hyperlink"/>
            <w:i w:val="0"/>
            <w:sz w:val="20"/>
            <w:szCs w:val="20"/>
          </w:rPr>
          <w:t>9.14.4.1.2</w:t>
        </w:r>
        <w:r w:rsidR="008F5C1F" w:rsidRPr="002A739E">
          <w:rPr>
            <w:rFonts w:eastAsiaTheme="minorEastAsia"/>
            <w:i w:val="0"/>
            <w:sz w:val="20"/>
            <w:szCs w:val="20"/>
          </w:rPr>
          <w:tab/>
        </w:r>
        <w:r w:rsidR="008F5C1F" w:rsidRPr="002A739E">
          <w:rPr>
            <w:rStyle w:val="Hyperlink"/>
            <w:i w:val="0"/>
            <w:sz w:val="20"/>
            <w:szCs w:val="20"/>
          </w:rPr>
          <w:t>Open</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_Toc80175296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9-33</w:t>
        </w:r>
        <w:r w:rsidR="008F5C1F" w:rsidRPr="002A739E">
          <w:rPr>
            <w:i w:val="0"/>
            <w:webHidden/>
            <w:sz w:val="20"/>
            <w:szCs w:val="20"/>
          </w:rPr>
          <w:fldChar w:fldCharType="end"/>
        </w:r>
      </w:hyperlink>
    </w:p>
    <w:p w14:paraId="69B78FA1" w14:textId="19354814" w:rsidR="008F5C1F" w:rsidRPr="002A739E" w:rsidRDefault="002A739E">
      <w:pPr>
        <w:pStyle w:val="TOC5"/>
        <w:rPr>
          <w:rFonts w:eastAsiaTheme="minorEastAsia"/>
          <w:i w:val="0"/>
          <w:sz w:val="20"/>
          <w:szCs w:val="20"/>
        </w:rPr>
      </w:pPr>
      <w:hyperlink w:anchor="_Toc80175297" w:history="1">
        <w:r w:rsidR="008F5C1F" w:rsidRPr="002A739E">
          <w:rPr>
            <w:rStyle w:val="Hyperlink"/>
            <w:i w:val="0"/>
            <w:sz w:val="20"/>
            <w:szCs w:val="20"/>
          </w:rPr>
          <w:t>9.14.4.1.3</w:t>
        </w:r>
        <w:r w:rsidR="008F5C1F" w:rsidRPr="002A739E">
          <w:rPr>
            <w:rFonts w:eastAsiaTheme="minorEastAsia"/>
            <w:i w:val="0"/>
            <w:sz w:val="20"/>
            <w:szCs w:val="20"/>
          </w:rPr>
          <w:tab/>
        </w:r>
        <w:r w:rsidR="008F5C1F" w:rsidRPr="002A739E">
          <w:rPr>
            <w:rStyle w:val="Hyperlink"/>
            <w:i w:val="0"/>
            <w:sz w:val="20"/>
            <w:szCs w:val="20"/>
          </w:rPr>
          <w:t>Closed</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_Toc80175297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9-33</w:t>
        </w:r>
        <w:r w:rsidR="008F5C1F" w:rsidRPr="002A739E">
          <w:rPr>
            <w:i w:val="0"/>
            <w:webHidden/>
            <w:sz w:val="20"/>
            <w:szCs w:val="20"/>
          </w:rPr>
          <w:fldChar w:fldCharType="end"/>
        </w:r>
      </w:hyperlink>
    </w:p>
    <w:p w14:paraId="420DF785" w14:textId="60D22938" w:rsidR="008F5C1F" w:rsidRPr="002A739E" w:rsidRDefault="002A739E">
      <w:pPr>
        <w:pStyle w:val="TOC5"/>
        <w:rPr>
          <w:rFonts w:eastAsiaTheme="minorEastAsia"/>
          <w:i w:val="0"/>
          <w:sz w:val="20"/>
          <w:szCs w:val="20"/>
        </w:rPr>
      </w:pPr>
      <w:hyperlink w:anchor="_Toc80175298" w:history="1">
        <w:r w:rsidR="008F5C1F" w:rsidRPr="002A739E">
          <w:rPr>
            <w:rStyle w:val="Hyperlink"/>
            <w:i w:val="0"/>
            <w:sz w:val="20"/>
            <w:szCs w:val="20"/>
          </w:rPr>
          <w:t>9.14.4.1.4</w:t>
        </w:r>
        <w:r w:rsidR="008F5C1F" w:rsidRPr="002A739E">
          <w:rPr>
            <w:rFonts w:eastAsiaTheme="minorEastAsia"/>
            <w:i w:val="0"/>
            <w:sz w:val="20"/>
            <w:szCs w:val="20"/>
          </w:rPr>
          <w:tab/>
        </w:r>
        <w:r w:rsidR="008F5C1F" w:rsidRPr="002A739E">
          <w:rPr>
            <w:rStyle w:val="Hyperlink"/>
            <w:i w:val="0"/>
            <w:sz w:val="20"/>
            <w:szCs w:val="20"/>
          </w:rPr>
          <w:t>Rejected</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_Toc80175298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9-33</w:t>
        </w:r>
        <w:r w:rsidR="008F5C1F" w:rsidRPr="002A739E">
          <w:rPr>
            <w:i w:val="0"/>
            <w:webHidden/>
            <w:sz w:val="20"/>
            <w:szCs w:val="20"/>
          </w:rPr>
          <w:fldChar w:fldCharType="end"/>
        </w:r>
      </w:hyperlink>
    </w:p>
    <w:p w14:paraId="2CDD6F9A" w14:textId="66232201" w:rsidR="008F5C1F" w:rsidRPr="002A739E" w:rsidRDefault="002A739E">
      <w:pPr>
        <w:pStyle w:val="TOC5"/>
        <w:rPr>
          <w:rFonts w:eastAsiaTheme="minorEastAsia"/>
          <w:i w:val="0"/>
          <w:sz w:val="20"/>
          <w:szCs w:val="20"/>
        </w:rPr>
      </w:pPr>
      <w:hyperlink w:anchor="_Toc80175299" w:history="1">
        <w:r w:rsidR="008F5C1F" w:rsidRPr="002A739E">
          <w:rPr>
            <w:rStyle w:val="Hyperlink"/>
            <w:i w:val="0"/>
            <w:sz w:val="20"/>
            <w:szCs w:val="20"/>
          </w:rPr>
          <w:t>9.14.4.1.5</w:t>
        </w:r>
        <w:r w:rsidR="008F5C1F" w:rsidRPr="002A739E">
          <w:rPr>
            <w:rFonts w:eastAsiaTheme="minorEastAsia"/>
            <w:i w:val="0"/>
            <w:sz w:val="20"/>
            <w:szCs w:val="20"/>
          </w:rPr>
          <w:tab/>
        </w:r>
        <w:r w:rsidR="008F5C1F" w:rsidRPr="002A739E">
          <w:rPr>
            <w:rStyle w:val="Hyperlink"/>
            <w:i w:val="0"/>
            <w:sz w:val="20"/>
            <w:szCs w:val="20"/>
          </w:rPr>
          <w:t>Withdrawn</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_Toc80175299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9-34</w:t>
        </w:r>
        <w:r w:rsidR="008F5C1F" w:rsidRPr="002A739E">
          <w:rPr>
            <w:i w:val="0"/>
            <w:webHidden/>
            <w:sz w:val="20"/>
            <w:szCs w:val="20"/>
          </w:rPr>
          <w:fldChar w:fldCharType="end"/>
        </w:r>
      </w:hyperlink>
    </w:p>
    <w:p w14:paraId="460F28F5" w14:textId="41FD2BA1" w:rsidR="008F5C1F" w:rsidRPr="002A739E" w:rsidRDefault="002A739E">
      <w:pPr>
        <w:pStyle w:val="TOC5"/>
        <w:rPr>
          <w:rFonts w:eastAsiaTheme="minorEastAsia"/>
          <w:i w:val="0"/>
          <w:sz w:val="20"/>
          <w:szCs w:val="20"/>
        </w:rPr>
      </w:pPr>
      <w:hyperlink w:anchor="_Toc80175300" w:history="1">
        <w:r w:rsidR="008F5C1F" w:rsidRPr="002A739E">
          <w:rPr>
            <w:rStyle w:val="Hyperlink"/>
            <w:i w:val="0"/>
            <w:sz w:val="20"/>
            <w:szCs w:val="20"/>
          </w:rPr>
          <w:t>9.14.4.1.6</w:t>
        </w:r>
        <w:r w:rsidR="008F5C1F" w:rsidRPr="002A739E">
          <w:rPr>
            <w:rFonts w:eastAsiaTheme="minorEastAsia"/>
            <w:i w:val="0"/>
            <w:sz w:val="20"/>
            <w:szCs w:val="20"/>
          </w:rPr>
          <w:tab/>
        </w:r>
        <w:r w:rsidR="008F5C1F" w:rsidRPr="002A739E">
          <w:rPr>
            <w:rStyle w:val="Hyperlink"/>
            <w:i w:val="0"/>
            <w:sz w:val="20"/>
            <w:szCs w:val="20"/>
          </w:rPr>
          <w:t>ADR</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_Toc80175300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9-34</w:t>
        </w:r>
        <w:r w:rsidR="008F5C1F" w:rsidRPr="002A739E">
          <w:rPr>
            <w:i w:val="0"/>
            <w:webHidden/>
            <w:sz w:val="20"/>
            <w:szCs w:val="20"/>
          </w:rPr>
          <w:fldChar w:fldCharType="end"/>
        </w:r>
      </w:hyperlink>
    </w:p>
    <w:p w14:paraId="4EA319D1" w14:textId="540A3501" w:rsidR="008F5C1F" w:rsidRPr="002A739E" w:rsidRDefault="002A739E" w:rsidP="00B214A7">
      <w:pPr>
        <w:pStyle w:val="TOC4"/>
        <w:rPr>
          <w:rFonts w:eastAsiaTheme="minorEastAsia"/>
          <w:noProof/>
          <w:sz w:val="20"/>
          <w:szCs w:val="20"/>
        </w:rPr>
      </w:pPr>
      <w:hyperlink w:anchor="_Toc80175301" w:history="1">
        <w:r w:rsidR="008F5C1F" w:rsidRPr="002A739E">
          <w:rPr>
            <w:rStyle w:val="Hyperlink"/>
            <w:noProof/>
            <w:sz w:val="20"/>
            <w:szCs w:val="20"/>
          </w:rPr>
          <w:t>9.14.4.2</w:t>
        </w:r>
        <w:r w:rsidR="008F5C1F" w:rsidRPr="002A739E">
          <w:rPr>
            <w:rFonts w:eastAsiaTheme="minorEastAsia"/>
            <w:noProof/>
            <w:sz w:val="20"/>
            <w:szCs w:val="20"/>
          </w:rPr>
          <w:tab/>
        </w:r>
        <w:r w:rsidR="008F5C1F" w:rsidRPr="002A739E">
          <w:rPr>
            <w:rStyle w:val="Hyperlink"/>
            <w:noProof/>
            <w:sz w:val="20"/>
            <w:szCs w:val="20"/>
          </w:rPr>
          <w:t>Resolution of Dispute</w:t>
        </w:r>
        <w:r w:rsidR="008F5C1F" w:rsidRPr="002A739E">
          <w:rPr>
            <w:noProof/>
            <w:webHidden/>
            <w:sz w:val="20"/>
            <w:szCs w:val="20"/>
          </w:rPr>
          <w:tab/>
        </w:r>
        <w:r w:rsidR="008F5C1F" w:rsidRPr="002A739E">
          <w:rPr>
            <w:noProof/>
            <w:webHidden/>
            <w:sz w:val="20"/>
            <w:szCs w:val="20"/>
          </w:rPr>
          <w:fldChar w:fldCharType="begin"/>
        </w:r>
        <w:r w:rsidR="008F5C1F" w:rsidRPr="002A739E">
          <w:rPr>
            <w:noProof/>
            <w:webHidden/>
            <w:sz w:val="20"/>
            <w:szCs w:val="20"/>
          </w:rPr>
          <w:instrText xml:space="preserve"> PAGEREF _Toc80175301 \h </w:instrText>
        </w:r>
        <w:r w:rsidR="008F5C1F" w:rsidRPr="002A739E">
          <w:rPr>
            <w:noProof/>
            <w:webHidden/>
            <w:sz w:val="20"/>
            <w:szCs w:val="20"/>
          </w:rPr>
        </w:r>
        <w:r w:rsidR="008F5C1F" w:rsidRPr="002A739E">
          <w:rPr>
            <w:noProof/>
            <w:webHidden/>
            <w:sz w:val="20"/>
            <w:szCs w:val="20"/>
          </w:rPr>
          <w:fldChar w:fldCharType="separate"/>
        </w:r>
        <w:r w:rsidRPr="002A739E">
          <w:rPr>
            <w:noProof/>
            <w:webHidden/>
            <w:sz w:val="20"/>
            <w:szCs w:val="20"/>
          </w:rPr>
          <w:t>9-34</w:t>
        </w:r>
        <w:r w:rsidR="008F5C1F" w:rsidRPr="002A739E">
          <w:rPr>
            <w:noProof/>
            <w:webHidden/>
            <w:sz w:val="20"/>
            <w:szCs w:val="20"/>
          </w:rPr>
          <w:fldChar w:fldCharType="end"/>
        </w:r>
      </w:hyperlink>
    </w:p>
    <w:p w14:paraId="62224675" w14:textId="5ECDD738" w:rsidR="008F5C1F" w:rsidRPr="002A739E" w:rsidRDefault="002A739E">
      <w:pPr>
        <w:pStyle w:val="TOC5"/>
        <w:rPr>
          <w:rFonts w:eastAsiaTheme="minorEastAsia"/>
          <w:i w:val="0"/>
          <w:sz w:val="20"/>
          <w:szCs w:val="20"/>
        </w:rPr>
      </w:pPr>
      <w:hyperlink w:anchor="_Toc80175302" w:history="1">
        <w:r w:rsidR="008F5C1F" w:rsidRPr="002A739E">
          <w:rPr>
            <w:rStyle w:val="Hyperlink"/>
            <w:i w:val="0"/>
            <w:sz w:val="20"/>
            <w:szCs w:val="20"/>
          </w:rPr>
          <w:t>9.14.4.2.1</w:t>
        </w:r>
        <w:r w:rsidR="008F5C1F" w:rsidRPr="002A739E">
          <w:rPr>
            <w:rFonts w:eastAsiaTheme="minorEastAsia"/>
            <w:i w:val="0"/>
            <w:sz w:val="20"/>
            <w:szCs w:val="20"/>
          </w:rPr>
          <w:tab/>
        </w:r>
        <w:r w:rsidR="008F5C1F" w:rsidRPr="002A739E">
          <w:rPr>
            <w:rStyle w:val="Hyperlink"/>
            <w:i w:val="0"/>
            <w:sz w:val="20"/>
            <w:szCs w:val="20"/>
          </w:rPr>
          <w:t>Denied</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_Toc80175302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9-34</w:t>
        </w:r>
        <w:r w:rsidR="008F5C1F" w:rsidRPr="002A739E">
          <w:rPr>
            <w:i w:val="0"/>
            <w:webHidden/>
            <w:sz w:val="20"/>
            <w:szCs w:val="20"/>
          </w:rPr>
          <w:fldChar w:fldCharType="end"/>
        </w:r>
      </w:hyperlink>
    </w:p>
    <w:p w14:paraId="57F5E70C" w14:textId="55FFBDE3" w:rsidR="008F5C1F" w:rsidRPr="002A739E" w:rsidRDefault="002A739E">
      <w:pPr>
        <w:pStyle w:val="TOC5"/>
        <w:rPr>
          <w:rFonts w:eastAsiaTheme="minorEastAsia"/>
          <w:i w:val="0"/>
          <w:sz w:val="20"/>
          <w:szCs w:val="20"/>
        </w:rPr>
      </w:pPr>
      <w:hyperlink w:anchor="_Toc80175303" w:history="1">
        <w:r w:rsidR="008F5C1F" w:rsidRPr="002A739E">
          <w:rPr>
            <w:rStyle w:val="Hyperlink"/>
            <w:i w:val="0"/>
            <w:sz w:val="20"/>
            <w:szCs w:val="20"/>
          </w:rPr>
          <w:t>9.14.4.2.2</w:t>
        </w:r>
        <w:r w:rsidR="008F5C1F" w:rsidRPr="002A739E">
          <w:rPr>
            <w:rFonts w:eastAsiaTheme="minorEastAsia"/>
            <w:i w:val="0"/>
            <w:sz w:val="20"/>
            <w:szCs w:val="20"/>
          </w:rPr>
          <w:tab/>
        </w:r>
        <w:r w:rsidR="008F5C1F" w:rsidRPr="002A739E">
          <w:rPr>
            <w:rStyle w:val="Hyperlink"/>
            <w:i w:val="0"/>
            <w:sz w:val="20"/>
            <w:szCs w:val="20"/>
          </w:rPr>
          <w:t>Granted</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_Toc80175303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9-35</w:t>
        </w:r>
        <w:r w:rsidR="008F5C1F" w:rsidRPr="002A739E">
          <w:rPr>
            <w:i w:val="0"/>
            <w:webHidden/>
            <w:sz w:val="20"/>
            <w:szCs w:val="20"/>
          </w:rPr>
          <w:fldChar w:fldCharType="end"/>
        </w:r>
      </w:hyperlink>
    </w:p>
    <w:p w14:paraId="0FAD8A75" w14:textId="6DAC4C29" w:rsidR="008F5C1F" w:rsidRPr="002A739E" w:rsidRDefault="002A739E">
      <w:pPr>
        <w:pStyle w:val="TOC5"/>
        <w:rPr>
          <w:rFonts w:eastAsiaTheme="minorEastAsia"/>
          <w:i w:val="0"/>
          <w:sz w:val="20"/>
          <w:szCs w:val="20"/>
        </w:rPr>
      </w:pPr>
      <w:hyperlink w:anchor="_Toc80175304" w:history="1">
        <w:r w:rsidR="008F5C1F" w:rsidRPr="002A739E">
          <w:rPr>
            <w:rStyle w:val="Hyperlink"/>
            <w:i w:val="0"/>
            <w:sz w:val="20"/>
            <w:szCs w:val="20"/>
          </w:rPr>
          <w:t>9.14.4.2.3</w:t>
        </w:r>
        <w:r w:rsidR="008F5C1F" w:rsidRPr="002A739E">
          <w:rPr>
            <w:rFonts w:eastAsiaTheme="minorEastAsia"/>
            <w:i w:val="0"/>
            <w:sz w:val="20"/>
            <w:szCs w:val="20"/>
          </w:rPr>
          <w:tab/>
        </w:r>
        <w:r w:rsidR="008F5C1F" w:rsidRPr="002A739E">
          <w:rPr>
            <w:rStyle w:val="Hyperlink"/>
            <w:i w:val="0"/>
            <w:sz w:val="20"/>
            <w:szCs w:val="20"/>
          </w:rPr>
          <w:t>Granted with Exceptions</w:t>
        </w:r>
        <w:r w:rsidR="008F5C1F" w:rsidRPr="002A739E">
          <w:rPr>
            <w:i w:val="0"/>
            <w:webHidden/>
            <w:sz w:val="20"/>
            <w:szCs w:val="20"/>
          </w:rPr>
          <w:tab/>
        </w:r>
        <w:r w:rsidR="008F5C1F" w:rsidRPr="002A739E">
          <w:rPr>
            <w:i w:val="0"/>
            <w:webHidden/>
            <w:sz w:val="20"/>
            <w:szCs w:val="20"/>
          </w:rPr>
          <w:fldChar w:fldCharType="begin"/>
        </w:r>
        <w:r w:rsidR="008F5C1F" w:rsidRPr="002A739E">
          <w:rPr>
            <w:i w:val="0"/>
            <w:webHidden/>
            <w:sz w:val="20"/>
            <w:szCs w:val="20"/>
          </w:rPr>
          <w:instrText xml:space="preserve"> PAGEREF _Toc80175304 \h </w:instrText>
        </w:r>
        <w:r w:rsidR="008F5C1F" w:rsidRPr="002A739E">
          <w:rPr>
            <w:i w:val="0"/>
            <w:webHidden/>
            <w:sz w:val="20"/>
            <w:szCs w:val="20"/>
          </w:rPr>
        </w:r>
        <w:r w:rsidR="008F5C1F" w:rsidRPr="002A739E">
          <w:rPr>
            <w:i w:val="0"/>
            <w:webHidden/>
            <w:sz w:val="20"/>
            <w:szCs w:val="20"/>
          </w:rPr>
          <w:fldChar w:fldCharType="separate"/>
        </w:r>
        <w:r w:rsidRPr="002A739E">
          <w:rPr>
            <w:i w:val="0"/>
            <w:webHidden/>
            <w:sz w:val="20"/>
            <w:szCs w:val="20"/>
          </w:rPr>
          <w:t>9-35</w:t>
        </w:r>
        <w:r w:rsidR="008F5C1F" w:rsidRPr="002A739E">
          <w:rPr>
            <w:i w:val="0"/>
            <w:webHidden/>
            <w:sz w:val="20"/>
            <w:szCs w:val="20"/>
          </w:rPr>
          <w:fldChar w:fldCharType="end"/>
        </w:r>
      </w:hyperlink>
    </w:p>
    <w:p w14:paraId="0FA56ED7" w14:textId="28396110" w:rsidR="008F5C1F" w:rsidRPr="002A739E" w:rsidRDefault="002A739E">
      <w:pPr>
        <w:pStyle w:val="TOC3"/>
        <w:rPr>
          <w:rFonts w:eastAsiaTheme="minorEastAsia"/>
          <w:i w:val="0"/>
          <w:iCs w:val="0"/>
          <w:noProof/>
        </w:rPr>
      </w:pPr>
      <w:hyperlink w:anchor="_Toc80175305" w:history="1">
        <w:r w:rsidR="008F5C1F" w:rsidRPr="002A739E">
          <w:rPr>
            <w:rStyle w:val="Hyperlink"/>
            <w:i w:val="0"/>
            <w:iCs w:val="0"/>
            <w:noProof/>
          </w:rPr>
          <w:t>9.14.5</w:t>
        </w:r>
        <w:r w:rsidR="008F5C1F" w:rsidRPr="002A739E">
          <w:rPr>
            <w:rFonts w:eastAsiaTheme="minorEastAsia"/>
            <w:i w:val="0"/>
            <w:iCs w:val="0"/>
            <w:noProof/>
          </w:rPr>
          <w:tab/>
        </w:r>
        <w:r w:rsidR="008F5C1F" w:rsidRPr="002A739E">
          <w:rPr>
            <w:rStyle w:val="Hyperlink"/>
            <w:i w:val="0"/>
            <w:iCs w:val="0"/>
            <w:noProof/>
          </w:rPr>
          <w:t>Settlement of Emergency Response Service</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_Toc80175305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9-36</w:t>
        </w:r>
        <w:r w:rsidR="008F5C1F" w:rsidRPr="002A739E">
          <w:rPr>
            <w:i w:val="0"/>
            <w:iCs w:val="0"/>
            <w:noProof/>
            <w:webHidden/>
          </w:rPr>
          <w:fldChar w:fldCharType="end"/>
        </w:r>
      </w:hyperlink>
    </w:p>
    <w:p w14:paraId="5899FAC2" w14:textId="544896AE" w:rsidR="008F5C1F" w:rsidRPr="002A739E" w:rsidRDefault="002A739E">
      <w:pPr>
        <w:pStyle w:val="TOC3"/>
        <w:rPr>
          <w:rFonts w:eastAsiaTheme="minorEastAsia"/>
          <w:i w:val="0"/>
          <w:iCs w:val="0"/>
          <w:noProof/>
        </w:rPr>
      </w:pPr>
      <w:hyperlink w:anchor="_Toc80175306" w:history="1">
        <w:r w:rsidR="008F5C1F" w:rsidRPr="002A739E">
          <w:rPr>
            <w:rStyle w:val="Hyperlink"/>
            <w:i w:val="0"/>
            <w:iCs w:val="0"/>
            <w:noProof/>
          </w:rPr>
          <w:t>9.14.6</w:t>
        </w:r>
        <w:r w:rsidR="008F5C1F" w:rsidRPr="002A739E">
          <w:rPr>
            <w:rFonts w:eastAsiaTheme="minorEastAsia"/>
            <w:i w:val="0"/>
            <w:iCs w:val="0"/>
            <w:noProof/>
          </w:rPr>
          <w:tab/>
        </w:r>
        <w:r w:rsidR="008F5C1F" w:rsidRPr="002A739E">
          <w:rPr>
            <w:rStyle w:val="Hyperlink"/>
            <w:i w:val="0"/>
            <w:iCs w:val="0"/>
            <w:noProof/>
          </w:rPr>
          <w:t>Disputes for Operations Decisions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_Toc80175306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9-36</w:t>
        </w:r>
        <w:r w:rsidR="008F5C1F" w:rsidRPr="002A739E">
          <w:rPr>
            <w:i w:val="0"/>
            <w:iCs w:val="0"/>
            <w:noProof/>
            <w:webHidden/>
          </w:rPr>
          <w:fldChar w:fldCharType="end"/>
        </w:r>
      </w:hyperlink>
    </w:p>
    <w:p w14:paraId="2635B759" w14:textId="7B49F9DB" w:rsidR="008F5C1F" w:rsidRPr="002A739E" w:rsidRDefault="002A739E">
      <w:pPr>
        <w:pStyle w:val="TOC3"/>
        <w:rPr>
          <w:rFonts w:eastAsiaTheme="minorEastAsia"/>
          <w:i w:val="0"/>
          <w:iCs w:val="0"/>
          <w:noProof/>
        </w:rPr>
      </w:pPr>
      <w:hyperlink w:anchor="_Toc80175307" w:history="1">
        <w:r w:rsidR="008F5C1F" w:rsidRPr="002A739E">
          <w:rPr>
            <w:rStyle w:val="Hyperlink"/>
            <w:i w:val="0"/>
            <w:iCs w:val="0"/>
            <w:noProof/>
          </w:rPr>
          <w:t>9.14.7</w:t>
        </w:r>
        <w:r w:rsidR="008F5C1F" w:rsidRPr="002A739E">
          <w:rPr>
            <w:rFonts w:eastAsiaTheme="minorEastAsia"/>
            <w:i w:val="0"/>
            <w:iCs w:val="0"/>
            <w:noProof/>
          </w:rPr>
          <w:tab/>
        </w:r>
        <w:r w:rsidR="008F5C1F" w:rsidRPr="002A739E">
          <w:rPr>
            <w:rStyle w:val="Hyperlink"/>
            <w:i w:val="0"/>
            <w:iCs w:val="0"/>
            <w:noProof/>
          </w:rPr>
          <w:t>Disputes for RUC Make-Whole Payment for Fuel Costs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_Toc80175307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9-36</w:t>
        </w:r>
        <w:r w:rsidR="008F5C1F" w:rsidRPr="002A739E">
          <w:rPr>
            <w:i w:val="0"/>
            <w:iCs w:val="0"/>
            <w:noProof/>
            <w:webHidden/>
          </w:rPr>
          <w:fldChar w:fldCharType="end"/>
        </w:r>
      </w:hyperlink>
    </w:p>
    <w:p w14:paraId="75C7A71F" w14:textId="60BA75E4" w:rsidR="008F5C1F" w:rsidRPr="002A739E" w:rsidRDefault="002A739E">
      <w:pPr>
        <w:pStyle w:val="TOC3"/>
        <w:rPr>
          <w:rFonts w:eastAsiaTheme="minorEastAsia"/>
          <w:i w:val="0"/>
          <w:iCs w:val="0"/>
          <w:noProof/>
        </w:rPr>
      </w:pPr>
      <w:hyperlink w:anchor="_Toc80175308" w:history="1">
        <w:r w:rsidR="008F5C1F" w:rsidRPr="002A739E">
          <w:rPr>
            <w:rStyle w:val="Hyperlink"/>
            <w:i w:val="0"/>
            <w:iCs w:val="0"/>
            <w:noProof/>
          </w:rPr>
          <w:t>9.14.8</w:t>
        </w:r>
        <w:r w:rsidR="008F5C1F" w:rsidRPr="002A739E">
          <w:rPr>
            <w:rFonts w:eastAsiaTheme="minorEastAsia"/>
            <w:i w:val="0"/>
            <w:iCs w:val="0"/>
            <w:noProof/>
          </w:rPr>
          <w:tab/>
        </w:r>
        <w:r w:rsidR="008F5C1F" w:rsidRPr="002A739E">
          <w:rPr>
            <w:rStyle w:val="Hyperlink"/>
            <w:i w:val="0"/>
            <w:iCs w:val="0"/>
            <w:noProof/>
          </w:rPr>
          <w:t>Disputes for Settlement Application of Integrated Telemetry for Split Generation Resources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_Toc80175308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9-39</w:t>
        </w:r>
        <w:r w:rsidR="008F5C1F" w:rsidRPr="002A739E">
          <w:rPr>
            <w:i w:val="0"/>
            <w:iCs w:val="0"/>
            <w:noProof/>
            <w:webHidden/>
          </w:rPr>
          <w:fldChar w:fldCharType="end"/>
        </w:r>
      </w:hyperlink>
    </w:p>
    <w:p w14:paraId="07634FA5" w14:textId="643DEBB3" w:rsidR="008F5C1F" w:rsidRPr="002A739E" w:rsidRDefault="002A739E">
      <w:pPr>
        <w:pStyle w:val="TOC3"/>
        <w:rPr>
          <w:rFonts w:eastAsiaTheme="minorEastAsia"/>
          <w:i w:val="0"/>
          <w:iCs w:val="0"/>
          <w:noProof/>
        </w:rPr>
      </w:pPr>
      <w:hyperlink w:anchor="_Toc80175309" w:history="1">
        <w:r w:rsidR="008F5C1F" w:rsidRPr="002A739E">
          <w:rPr>
            <w:rStyle w:val="Hyperlink"/>
            <w:i w:val="0"/>
            <w:iCs w:val="0"/>
            <w:noProof/>
          </w:rPr>
          <w:t>9.14.9</w:t>
        </w:r>
        <w:r w:rsidR="008F5C1F" w:rsidRPr="002A739E">
          <w:rPr>
            <w:rFonts w:eastAsiaTheme="minorEastAsia"/>
            <w:i w:val="0"/>
            <w:iCs w:val="0"/>
            <w:noProof/>
          </w:rPr>
          <w:tab/>
        </w:r>
        <w:r w:rsidR="008F5C1F" w:rsidRPr="002A739E">
          <w:rPr>
            <w:rStyle w:val="Hyperlink"/>
            <w:i w:val="0"/>
            <w:iCs w:val="0"/>
            <w:noProof/>
          </w:rPr>
          <w:t>Incremental Fuel Costs for Switchable Generation Make-Whole Payment Disputes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_Toc80175309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9-39</w:t>
        </w:r>
        <w:r w:rsidR="008F5C1F" w:rsidRPr="002A739E">
          <w:rPr>
            <w:i w:val="0"/>
            <w:iCs w:val="0"/>
            <w:noProof/>
            <w:webHidden/>
          </w:rPr>
          <w:fldChar w:fldCharType="end"/>
        </w:r>
      </w:hyperlink>
    </w:p>
    <w:p w14:paraId="07F31854" w14:textId="7FA4607B" w:rsidR="008F5C1F" w:rsidRPr="002A739E" w:rsidRDefault="002A739E">
      <w:pPr>
        <w:pStyle w:val="TOC3"/>
        <w:rPr>
          <w:rFonts w:eastAsiaTheme="minorEastAsia"/>
          <w:i w:val="0"/>
          <w:iCs w:val="0"/>
          <w:noProof/>
        </w:rPr>
      </w:pPr>
      <w:hyperlink w:anchor="_Toc80175310" w:history="1">
        <w:r w:rsidR="008F5C1F" w:rsidRPr="002A739E">
          <w:rPr>
            <w:rStyle w:val="Hyperlink"/>
            <w:i w:val="0"/>
            <w:iCs w:val="0"/>
            <w:noProof/>
          </w:rPr>
          <w:t>9.14.10</w:t>
        </w:r>
        <w:r w:rsidR="008F5C1F" w:rsidRPr="002A739E">
          <w:rPr>
            <w:rFonts w:eastAsiaTheme="minorEastAsia"/>
            <w:i w:val="0"/>
            <w:iCs w:val="0"/>
            <w:noProof/>
          </w:rPr>
          <w:tab/>
        </w:r>
        <w:r w:rsidR="008F5C1F" w:rsidRPr="002A739E">
          <w:rPr>
            <w:rStyle w:val="Hyperlink"/>
            <w:i w:val="0"/>
            <w:iCs w:val="0"/>
            <w:noProof/>
          </w:rPr>
          <w:t>Settlement for Market Participants Impacted by Omitted Procedures or Manual Actions to Resolve the DAM</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_Toc80175310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9-40</w:t>
        </w:r>
        <w:r w:rsidR="008F5C1F" w:rsidRPr="002A739E">
          <w:rPr>
            <w:i w:val="0"/>
            <w:iCs w:val="0"/>
            <w:noProof/>
            <w:webHidden/>
          </w:rPr>
          <w:fldChar w:fldCharType="end"/>
        </w:r>
      </w:hyperlink>
    </w:p>
    <w:p w14:paraId="13F90883" w14:textId="2BC02ED2" w:rsidR="008F5C1F" w:rsidRPr="002A739E" w:rsidRDefault="002A739E">
      <w:pPr>
        <w:pStyle w:val="TOC2"/>
        <w:rPr>
          <w:rFonts w:eastAsiaTheme="minorEastAsia"/>
          <w:noProof/>
        </w:rPr>
      </w:pPr>
      <w:hyperlink w:anchor="_Toc80175311" w:history="1">
        <w:r w:rsidR="008F5C1F" w:rsidRPr="002A739E">
          <w:rPr>
            <w:rStyle w:val="Hyperlink"/>
            <w:noProof/>
          </w:rPr>
          <w:t>9.15</w:t>
        </w:r>
        <w:r w:rsidR="008F5C1F" w:rsidRPr="002A739E">
          <w:rPr>
            <w:rFonts w:eastAsiaTheme="minorEastAsia"/>
            <w:noProof/>
          </w:rPr>
          <w:tab/>
        </w:r>
        <w:r w:rsidR="008F5C1F" w:rsidRPr="002A739E">
          <w:rPr>
            <w:rStyle w:val="Hyperlink"/>
            <w:noProof/>
          </w:rPr>
          <w:t>Settlement Charges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_Toc80175311 \h </w:instrText>
        </w:r>
        <w:r w:rsidR="008F5C1F" w:rsidRPr="002A739E">
          <w:rPr>
            <w:noProof/>
            <w:webHidden/>
          </w:rPr>
        </w:r>
        <w:r w:rsidR="008F5C1F" w:rsidRPr="002A739E">
          <w:rPr>
            <w:noProof/>
            <w:webHidden/>
          </w:rPr>
          <w:fldChar w:fldCharType="separate"/>
        </w:r>
        <w:r w:rsidRPr="002A739E">
          <w:rPr>
            <w:noProof/>
            <w:webHidden/>
          </w:rPr>
          <w:t>9-43</w:t>
        </w:r>
        <w:r w:rsidR="008F5C1F" w:rsidRPr="002A739E">
          <w:rPr>
            <w:noProof/>
            <w:webHidden/>
          </w:rPr>
          <w:fldChar w:fldCharType="end"/>
        </w:r>
      </w:hyperlink>
    </w:p>
    <w:p w14:paraId="53C853B1" w14:textId="5DC66A91" w:rsidR="008F5C1F" w:rsidRPr="002A739E" w:rsidRDefault="002A739E">
      <w:pPr>
        <w:pStyle w:val="TOC3"/>
        <w:rPr>
          <w:rFonts w:eastAsiaTheme="minorEastAsia"/>
          <w:i w:val="0"/>
          <w:iCs w:val="0"/>
          <w:noProof/>
        </w:rPr>
      </w:pPr>
      <w:hyperlink w:anchor="_Toc80175312" w:history="1">
        <w:r w:rsidR="008F5C1F" w:rsidRPr="002A739E">
          <w:rPr>
            <w:rStyle w:val="Hyperlink"/>
            <w:i w:val="0"/>
            <w:iCs w:val="0"/>
            <w:noProof/>
          </w:rPr>
          <w:t>9.15.1</w:t>
        </w:r>
        <w:r w:rsidR="008F5C1F" w:rsidRPr="002A739E">
          <w:rPr>
            <w:rFonts w:eastAsiaTheme="minorEastAsia"/>
            <w:i w:val="0"/>
            <w:iCs w:val="0"/>
            <w:noProof/>
          </w:rPr>
          <w:tab/>
        </w:r>
        <w:r w:rsidR="008F5C1F" w:rsidRPr="002A739E">
          <w:rPr>
            <w:rStyle w:val="Hyperlink"/>
            <w:i w:val="0"/>
            <w:iCs w:val="0"/>
            <w:noProof/>
          </w:rPr>
          <w:t>Charge Type Matrix</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_Toc80175312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9-44</w:t>
        </w:r>
        <w:r w:rsidR="008F5C1F" w:rsidRPr="002A739E">
          <w:rPr>
            <w:i w:val="0"/>
            <w:iCs w:val="0"/>
            <w:noProof/>
            <w:webHidden/>
          </w:rPr>
          <w:fldChar w:fldCharType="end"/>
        </w:r>
      </w:hyperlink>
    </w:p>
    <w:p w14:paraId="473F9FCB" w14:textId="6E1788F3" w:rsidR="008F5C1F" w:rsidRPr="002A739E" w:rsidRDefault="002A739E">
      <w:pPr>
        <w:pStyle w:val="TOC2"/>
        <w:rPr>
          <w:rFonts w:eastAsiaTheme="minorEastAsia"/>
          <w:noProof/>
        </w:rPr>
      </w:pPr>
      <w:hyperlink w:anchor="_Toc80175313" w:history="1">
        <w:r w:rsidR="008F5C1F" w:rsidRPr="002A739E">
          <w:rPr>
            <w:rStyle w:val="Hyperlink"/>
            <w:noProof/>
          </w:rPr>
          <w:t>9.16</w:t>
        </w:r>
        <w:r w:rsidR="008F5C1F" w:rsidRPr="002A739E">
          <w:rPr>
            <w:rFonts w:eastAsiaTheme="minorEastAsia"/>
            <w:noProof/>
          </w:rPr>
          <w:tab/>
        </w:r>
        <w:r w:rsidR="008F5C1F" w:rsidRPr="002A739E">
          <w:rPr>
            <w:rStyle w:val="Hyperlink"/>
            <w:noProof/>
          </w:rPr>
          <w:t>ERCOT System Administration and User Fees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_Toc80175313 \h </w:instrText>
        </w:r>
        <w:r w:rsidR="008F5C1F" w:rsidRPr="002A739E">
          <w:rPr>
            <w:noProof/>
            <w:webHidden/>
          </w:rPr>
        </w:r>
        <w:r w:rsidR="008F5C1F" w:rsidRPr="002A739E">
          <w:rPr>
            <w:noProof/>
            <w:webHidden/>
          </w:rPr>
          <w:fldChar w:fldCharType="separate"/>
        </w:r>
        <w:r w:rsidRPr="002A739E">
          <w:rPr>
            <w:noProof/>
            <w:webHidden/>
          </w:rPr>
          <w:t>9-44</w:t>
        </w:r>
        <w:r w:rsidR="008F5C1F" w:rsidRPr="002A739E">
          <w:rPr>
            <w:noProof/>
            <w:webHidden/>
          </w:rPr>
          <w:fldChar w:fldCharType="end"/>
        </w:r>
      </w:hyperlink>
    </w:p>
    <w:p w14:paraId="6EE1F733" w14:textId="383C242C" w:rsidR="008F5C1F" w:rsidRPr="002A739E" w:rsidRDefault="002A739E">
      <w:pPr>
        <w:pStyle w:val="TOC3"/>
        <w:rPr>
          <w:rFonts w:eastAsiaTheme="minorEastAsia"/>
          <w:i w:val="0"/>
          <w:iCs w:val="0"/>
          <w:noProof/>
        </w:rPr>
      </w:pPr>
      <w:hyperlink w:anchor="_Toc80175314" w:history="1">
        <w:r w:rsidR="008F5C1F" w:rsidRPr="002A739E">
          <w:rPr>
            <w:rStyle w:val="Hyperlink"/>
            <w:i w:val="0"/>
            <w:iCs w:val="0"/>
            <w:noProof/>
          </w:rPr>
          <w:t>9.16.1</w:t>
        </w:r>
        <w:r w:rsidR="008F5C1F" w:rsidRPr="002A739E">
          <w:rPr>
            <w:rFonts w:eastAsiaTheme="minorEastAsia"/>
            <w:i w:val="0"/>
            <w:iCs w:val="0"/>
            <w:noProof/>
          </w:rPr>
          <w:tab/>
        </w:r>
        <w:r w:rsidR="008F5C1F" w:rsidRPr="002A739E">
          <w:rPr>
            <w:rStyle w:val="Hyperlink"/>
            <w:i w:val="0"/>
            <w:iCs w:val="0"/>
            <w:noProof/>
          </w:rPr>
          <w:t>ERCOT System Administration Fee</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_Toc80175314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9-44</w:t>
        </w:r>
        <w:r w:rsidR="008F5C1F" w:rsidRPr="002A739E">
          <w:rPr>
            <w:i w:val="0"/>
            <w:iCs w:val="0"/>
            <w:noProof/>
            <w:webHidden/>
          </w:rPr>
          <w:fldChar w:fldCharType="end"/>
        </w:r>
      </w:hyperlink>
    </w:p>
    <w:p w14:paraId="6DD5522A" w14:textId="0AA533EF" w:rsidR="008F5C1F" w:rsidRPr="002A739E" w:rsidRDefault="002A739E">
      <w:pPr>
        <w:pStyle w:val="TOC3"/>
        <w:rPr>
          <w:rFonts w:eastAsiaTheme="minorEastAsia"/>
          <w:i w:val="0"/>
          <w:iCs w:val="0"/>
          <w:noProof/>
        </w:rPr>
      </w:pPr>
      <w:hyperlink w:anchor="_Toc80175315" w:history="1">
        <w:r w:rsidR="008F5C1F" w:rsidRPr="002A739E">
          <w:rPr>
            <w:rStyle w:val="Hyperlink"/>
            <w:i w:val="0"/>
            <w:iCs w:val="0"/>
            <w:noProof/>
          </w:rPr>
          <w:t>9.16.2</w:t>
        </w:r>
        <w:r w:rsidR="008F5C1F" w:rsidRPr="002A739E">
          <w:rPr>
            <w:rFonts w:eastAsiaTheme="minorEastAsia"/>
            <w:i w:val="0"/>
            <w:iCs w:val="0"/>
            <w:noProof/>
          </w:rPr>
          <w:tab/>
        </w:r>
        <w:r w:rsidR="008F5C1F" w:rsidRPr="002A739E">
          <w:rPr>
            <w:rStyle w:val="Hyperlink"/>
            <w:i w:val="0"/>
            <w:iCs w:val="0"/>
            <w:noProof/>
          </w:rPr>
          <w:t>User Fees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_Toc80175315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9-45</w:t>
        </w:r>
        <w:r w:rsidR="008F5C1F" w:rsidRPr="002A739E">
          <w:rPr>
            <w:i w:val="0"/>
            <w:iCs w:val="0"/>
            <w:noProof/>
            <w:webHidden/>
          </w:rPr>
          <w:fldChar w:fldCharType="end"/>
        </w:r>
      </w:hyperlink>
    </w:p>
    <w:p w14:paraId="2BBE122A" w14:textId="44A959A2" w:rsidR="008F5C1F" w:rsidRPr="002A739E" w:rsidRDefault="002A739E">
      <w:pPr>
        <w:pStyle w:val="TOC2"/>
        <w:rPr>
          <w:rFonts w:eastAsiaTheme="minorEastAsia"/>
          <w:noProof/>
        </w:rPr>
      </w:pPr>
      <w:hyperlink w:anchor="_Toc80175316" w:history="1">
        <w:r w:rsidR="008F5C1F" w:rsidRPr="002A739E">
          <w:rPr>
            <w:rStyle w:val="Hyperlink"/>
            <w:noProof/>
          </w:rPr>
          <w:t>9.17</w:t>
        </w:r>
        <w:r w:rsidR="008F5C1F" w:rsidRPr="002A739E">
          <w:rPr>
            <w:rFonts w:eastAsiaTheme="minorEastAsia"/>
            <w:noProof/>
          </w:rPr>
          <w:tab/>
        </w:r>
        <w:r w:rsidR="008F5C1F" w:rsidRPr="002A739E">
          <w:rPr>
            <w:rStyle w:val="Hyperlink"/>
            <w:noProof/>
          </w:rPr>
          <w:t>Transmission Billing Determinant Calculation</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_Toc80175316 \h </w:instrText>
        </w:r>
        <w:r w:rsidR="008F5C1F" w:rsidRPr="002A739E">
          <w:rPr>
            <w:noProof/>
            <w:webHidden/>
          </w:rPr>
        </w:r>
        <w:r w:rsidR="008F5C1F" w:rsidRPr="002A739E">
          <w:rPr>
            <w:noProof/>
            <w:webHidden/>
          </w:rPr>
          <w:fldChar w:fldCharType="separate"/>
        </w:r>
        <w:r w:rsidRPr="002A739E">
          <w:rPr>
            <w:noProof/>
            <w:webHidden/>
          </w:rPr>
          <w:t>9-45</w:t>
        </w:r>
        <w:r w:rsidR="008F5C1F" w:rsidRPr="002A739E">
          <w:rPr>
            <w:noProof/>
            <w:webHidden/>
          </w:rPr>
          <w:fldChar w:fldCharType="end"/>
        </w:r>
      </w:hyperlink>
    </w:p>
    <w:p w14:paraId="35CBA74E" w14:textId="00C308CD" w:rsidR="008F5C1F" w:rsidRPr="002A739E" w:rsidRDefault="002A739E">
      <w:pPr>
        <w:pStyle w:val="TOC3"/>
        <w:rPr>
          <w:rFonts w:eastAsiaTheme="minorEastAsia"/>
          <w:i w:val="0"/>
          <w:iCs w:val="0"/>
          <w:noProof/>
        </w:rPr>
      </w:pPr>
      <w:hyperlink w:anchor="_Toc80175317" w:history="1">
        <w:r w:rsidR="008F5C1F" w:rsidRPr="002A739E">
          <w:rPr>
            <w:rStyle w:val="Hyperlink"/>
            <w:i w:val="0"/>
            <w:iCs w:val="0"/>
            <w:noProof/>
          </w:rPr>
          <w:t>9.17.1</w:t>
        </w:r>
        <w:r w:rsidR="008F5C1F" w:rsidRPr="002A739E">
          <w:rPr>
            <w:rFonts w:eastAsiaTheme="minorEastAsia"/>
            <w:i w:val="0"/>
            <w:iCs w:val="0"/>
            <w:noProof/>
          </w:rPr>
          <w:tab/>
        </w:r>
        <w:r w:rsidR="008F5C1F" w:rsidRPr="002A739E">
          <w:rPr>
            <w:rStyle w:val="Hyperlink"/>
            <w:i w:val="0"/>
            <w:iCs w:val="0"/>
            <w:noProof/>
          </w:rPr>
          <w:t>Billing Determinant Data Elements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_Toc80175317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9-45</w:t>
        </w:r>
        <w:r w:rsidR="008F5C1F" w:rsidRPr="002A739E">
          <w:rPr>
            <w:i w:val="0"/>
            <w:iCs w:val="0"/>
            <w:noProof/>
            <w:webHidden/>
          </w:rPr>
          <w:fldChar w:fldCharType="end"/>
        </w:r>
      </w:hyperlink>
    </w:p>
    <w:p w14:paraId="60DE3134" w14:textId="0AF44951" w:rsidR="008F5C1F" w:rsidRPr="002A739E" w:rsidRDefault="002A739E">
      <w:pPr>
        <w:pStyle w:val="TOC3"/>
        <w:rPr>
          <w:rFonts w:eastAsiaTheme="minorEastAsia"/>
          <w:i w:val="0"/>
          <w:iCs w:val="0"/>
          <w:noProof/>
        </w:rPr>
      </w:pPr>
      <w:hyperlink w:anchor="_Toc80175318" w:history="1">
        <w:r w:rsidR="008F5C1F" w:rsidRPr="002A739E">
          <w:rPr>
            <w:rStyle w:val="Hyperlink"/>
            <w:i w:val="0"/>
            <w:iCs w:val="0"/>
            <w:noProof/>
          </w:rPr>
          <w:t>9.17.2</w:t>
        </w:r>
        <w:r w:rsidR="008F5C1F" w:rsidRPr="002A739E">
          <w:rPr>
            <w:rFonts w:eastAsiaTheme="minorEastAsia"/>
            <w:i w:val="0"/>
            <w:iCs w:val="0"/>
            <w:noProof/>
          </w:rPr>
          <w:tab/>
        </w:r>
        <w:r w:rsidR="008F5C1F" w:rsidRPr="002A739E">
          <w:rPr>
            <w:rStyle w:val="Hyperlink"/>
            <w:i w:val="0"/>
            <w:iCs w:val="0"/>
            <w:noProof/>
          </w:rPr>
          <w:t>Direct Current Tie Schedule Information</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_Toc80175318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9-47</w:t>
        </w:r>
        <w:r w:rsidR="008F5C1F" w:rsidRPr="002A739E">
          <w:rPr>
            <w:i w:val="0"/>
            <w:iCs w:val="0"/>
            <w:noProof/>
            <w:webHidden/>
          </w:rPr>
          <w:fldChar w:fldCharType="end"/>
        </w:r>
      </w:hyperlink>
    </w:p>
    <w:p w14:paraId="471277E0" w14:textId="14C17F1D" w:rsidR="008F5C1F" w:rsidRPr="002A739E" w:rsidRDefault="002A739E">
      <w:pPr>
        <w:pStyle w:val="TOC2"/>
        <w:rPr>
          <w:rFonts w:eastAsiaTheme="minorEastAsia"/>
          <w:noProof/>
        </w:rPr>
      </w:pPr>
      <w:hyperlink w:anchor="_Toc80175319" w:history="1">
        <w:r w:rsidR="008F5C1F" w:rsidRPr="002A739E">
          <w:rPr>
            <w:rStyle w:val="Hyperlink"/>
            <w:noProof/>
          </w:rPr>
          <w:t>9.18</w:t>
        </w:r>
        <w:r w:rsidR="008F5C1F" w:rsidRPr="002A739E">
          <w:rPr>
            <w:rFonts w:eastAsiaTheme="minorEastAsia"/>
            <w:noProof/>
          </w:rPr>
          <w:tab/>
        </w:r>
        <w:r w:rsidR="008F5C1F" w:rsidRPr="002A739E">
          <w:rPr>
            <w:rStyle w:val="Hyperlink"/>
            <w:noProof/>
          </w:rPr>
          <w:t>Profile Development Cost Recovery Fee for Non-ERCOT Sponsored Load Profile Segment</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_Toc80175319 \h </w:instrText>
        </w:r>
        <w:r w:rsidR="008F5C1F" w:rsidRPr="002A739E">
          <w:rPr>
            <w:noProof/>
            <w:webHidden/>
          </w:rPr>
        </w:r>
        <w:r w:rsidR="008F5C1F" w:rsidRPr="002A739E">
          <w:rPr>
            <w:noProof/>
            <w:webHidden/>
          </w:rPr>
          <w:fldChar w:fldCharType="separate"/>
        </w:r>
        <w:r w:rsidRPr="002A739E">
          <w:rPr>
            <w:noProof/>
            <w:webHidden/>
          </w:rPr>
          <w:t>9-47</w:t>
        </w:r>
        <w:r w:rsidR="008F5C1F" w:rsidRPr="002A739E">
          <w:rPr>
            <w:noProof/>
            <w:webHidden/>
          </w:rPr>
          <w:fldChar w:fldCharType="end"/>
        </w:r>
      </w:hyperlink>
    </w:p>
    <w:p w14:paraId="2A8D9A01" w14:textId="1205005C" w:rsidR="008F5C1F" w:rsidRPr="002A739E" w:rsidRDefault="002A739E">
      <w:pPr>
        <w:pStyle w:val="TOC2"/>
        <w:rPr>
          <w:rFonts w:eastAsiaTheme="minorEastAsia"/>
          <w:noProof/>
        </w:rPr>
      </w:pPr>
      <w:hyperlink w:anchor="_Toc80175320" w:history="1">
        <w:r w:rsidR="008F5C1F" w:rsidRPr="002A739E">
          <w:rPr>
            <w:rStyle w:val="Hyperlink"/>
            <w:noProof/>
          </w:rPr>
          <w:t>9.19</w:t>
        </w:r>
        <w:r w:rsidR="008F5C1F" w:rsidRPr="002A739E">
          <w:rPr>
            <w:rFonts w:eastAsiaTheme="minorEastAsia"/>
            <w:noProof/>
          </w:rPr>
          <w:tab/>
        </w:r>
        <w:r w:rsidR="008F5C1F" w:rsidRPr="002A739E">
          <w:rPr>
            <w:rStyle w:val="Hyperlink"/>
            <w:noProof/>
          </w:rPr>
          <w:t>Partial Payments by Invoice Recipients</w:t>
        </w:r>
        <w:r w:rsidR="008F5C1F" w:rsidRPr="002A739E">
          <w:rPr>
            <w:noProof/>
            <w:webHidden/>
          </w:rPr>
          <w:tab/>
        </w:r>
        <w:r w:rsidR="008F5C1F" w:rsidRPr="002A739E">
          <w:rPr>
            <w:noProof/>
            <w:webHidden/>
          </w:rPr>
          <w:fldChar w:fldCharType="begin"/>
        </w:r>
        <w:r w:rsidR="008F5C1F" w:rsidRPr="002A739E">
          <w:rPr>
            <w:noProof/>
            <w:webHidden/>
          </w:rPr>
          <w:instrText xml:space="preserve"> PAGEREF _Toc80175320 \h </w:instrText>
        </w:r>
        <w:r w:rsidR="008F5C1F" w:rsidRPr="002A739E">
          <w:rPr>
            <w:noProof/>
            <w:webHidden/>
          </w:rPr>
        </w:r>
        <w:r w:rsidR="008F5C1F" w:rsidRPr="002A739E">
          <w:rPr>
            <w:noProof/>
            <w:webHidden/>
          </w:rPr>
          <w:fldChar w:fldCharType="separate"/>
        </w:r>
        <w:r w:rsidRPr="002A739E">
          <w:rPr>
            <w:noProof/>
            <w:webHidden/>
          </w:rPr>
          <w:t>9-49</w:t>
        </w:r>
        <w:r w:rsidR="008F5C1F" w:rsidRPr="002A739E">
          <w:rPr>
            <w:noProof/>
            <w:webHidden/>
          </w:rPr>
          <w:fldChar w:fldCharType="end"/>
        </w:r>
      </w:hyperlink>
    </w:p>
    <w:p w14:paraId="1559D2BC" w14:textId="07ABCD2D" w:rsidR="008F5C1F" w:rsidRPr="002A739E" w:rsidRDefault="002A739E">
      <w:pPr>
        <w:pStyle w:val="TOC3"/>
        <w:rPr>
          <w:rFonts w:eastAsiaTheme="minorEastAsia"/>
          <w:i w:val="0"/>
          <w:iCs w:val="0"/>
          <w:noProof/>
        </w:rPr>
      </w:pPr>
      <w:hyperlink w:anchor="_Toc80175321" w:history="1">
        <w:r w:rsidR="008F5C1F" w:rsidRPr="002A739E">
          <w:rPr>
            <w:rStyle w:val="Hyperlink"/>
            <w:i w:val="0"/>
            <w:iCs w:val="0"/>
            <w:noProof/>
          </w:rPr>
          <w:t>9.19.1</w:t>
        </w:r>
        <w:r w:rsidR="008F5C1F" w:rsidRPr="002A739E">
          <w:rPr>
            <w:rFonts w:eastAsiaTheme="minorEastAsia"/>
            <w:i w:val="0"/>
            <w:iCs w:val="0"/>
            <w:noProof/>
          </w:rPr>
          <w:tab/>
        </w:r>
        <w:r w:rsidR="008F5C1F" w:rsidRPr="002A739E">
          <w:rPr>
            <w:rStyle w:val="Hyperlink"/>
            <w:i w:val="0"/>
            <w:iCs w:val="0"/>
            <w:noProof/>
          </w:rPr>
          <w:t>Default Uplift Invoices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_Toc80175321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9-51</w:t>
        </w:r>
        <w:r w:rsidR="008F5C1F" w:rsidRPr="002A739E">
          <w:rPr>
            <w:i w:val="0"/>
            <w:iCs w:val="0"/>
            <w:noProof/>
            <w:webHidden/>
          </w:rPr>
          <w:fldChar w:fldCharType="end"/>
        </w:r>
      </w:hyperlink>
    </w:p>
    <w:p w14:paraId="31F63CE1" w14:textId="478D5233" w:rsidR="008F5C1F" w:rsidRPr="002A739E" w:rsidRDefault="002A739E">
      <w:pPr>
        <w:pStyle w:val="TOC3"/>
        <w:rPr>
          <w:rFonts w:eastAsiaTheme="minorEastAsia"/>
          <w:i w:val="0"/>
          <w:iCs w:val="0"/>
          <w:noProof/>
        </w:rPr>
      </w:pPr>
      <w:hyperlink w:anchor="_Toc80175322" w:history="1">
        <w:r w:rsidR="008F5C1F" w:rsidRPr="002A739E">
          <w:rPr>
            <w:rStyle w:val="Hyperlink"/>
            <w:i w:val="0"/>
            <w:iCs w:val="0"/>
            <w:noProof/>
          </w:rPr>
          <w:t>9.19.2</w:t>
        </w:r>
        <w:r w:rsidR="008F5C1F" w:rsidRPr="002A739E">
          <w:rPr>
            <w:rFonts w:eastAsiaTheme="minorEastAsia"/>
            <w:i w:val="0"/>
            <w:iCs w:val="0"/>
            <w:noProof/>
          </w:rPr>
          <w:tab/>
        </w:r>
        <w:r w:rsidR="008F5C1F" w:rsidRPr="002A739E">
          <w:rPr>
            <w:rStyle w:val="Hyperlink"/>
            <w:i w:val="0"/>
            <w:iCs w:val="0"/>
            <w:noProof/>
          </w:rPr>
          <w:t>Payment Process for Default Uplift Invoices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_Toc80175322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9-60</w:t>
        </w:r>
        <w:r w:rsidR="008F5C1F" w:rsidRPr="002A739E">
          <w:rPr>
            <w:i w:val="0"/>
            <w:iCs w:val="0"/>
            <w:noProof/>
            <w:webHidden/>
          </w:rPr>
          <w:fldChar w:fldCharType="end"/>
        </w:r>
      </w:hyperlink>
    </w:p>
    <w:p w14:paraId="4E8A619F" w14:textId="511232A2" w:rsidR="008F5C1F" w:rsidRPr="002A739E" w:rsidRDefault="002A739E" w:rsidP="00B214A7">
      <w:pPr>
        <w:pStyle w:val="TOC4"/>
        <w:rPr>
          <w:rFonts w:eastAsiaTheme="minorEastAsia"/>
          <w:noProof/>
          <w:sz w:val="20"/>
          <w:szCs w:val="20"/>
        </w:rPr>
      </w:pPr>
      <w:hyperlink w:anchor="_Toc80175323" w:history="1">
        <w:r w:rsidR="008F5C1F" w:rsidRPr="002A739E">
          <w:rPr>
            <w:rStyle w:val="Hyperlink"/>
            <w:noProof/>
            <w:sz w:val="20"/>
            <w:szCs w:val="20"/>
          </w:rPr>
          <w:t>9.19.2.1</w:t>
        </w:r>
        <w:r w:rsidR="008F5C1F" w:rsidRPr="002A739E">
          <w:rPr>
            <w:rFonts w:eastAsiaTheme="minorEastAsia"/>
            <w:noProof/>
            <w:sz w:val="20"/>
            <w:szCs w:val="20"/>
          </w:rPr>
          <w:tab/>
        </w:r>
        <w:r w:rsidR="008F5C1F" w:rsidRPr="002A739E">
          <w:rPr>
            <w:rStyle w:val="Hyperlink"/>
            <w:noProof/>
            <w:sz w:val="20"/>
            <w:szCs w:val="20"/>
          </w:rPr>
          <w:t>Invoice Recipient Payment to ERCOT for Default Uplift</w:t>
        </w:r>
        <w:r w:rsidR="008F5C1F" w:rsidRPr="002A739E">
          <w:rPr>
            <w:noProof/>
            <w:webHidden/>
            <w:sz w:val="20"/>
            <w:szCs w:val="20"/>
          </w:rPr>
          <w:tab/>
        </w:r>
        <w:r w:rsidR="008F5C1F" w:rsidRPr="002A739E">
          <w:rPr>
            <w:noProof/>
            <w:webHidden/>
            <w:sz w:val="20"/>
            <w:szCs w:val="20"/>
          </w:rPr>
          <w:fldChar w:fldCharType="begin"/>
        </w:r>
        <w:r w:rsidR="008F5C1F" w:rsidRPr="002A739E">
          <w:rPr>
            <w:noProof/>
            <w:webHidden/>
            <w:sz w:val="20"/>
            <w:szCs w:val="20"/>
          </w:rPr>
          <w:instrText xml:space="preserve"> PAGEREF _Toc80175323 \h </w:instrText>
        </w:r>
        <w:r w:rsidR="008F5C1F" w:rsidRPr="002A739E">
          <w:rPr>
            <w:noProof/>
            <w:webHidden/>
            <w:sz w:val="20"/>
            <w:szCs w:val="20"/>
          </w:rPr>
        </w:r>
        <w:r w:rsidR="008F5C1F" w:rsidRPr="002A739E">
          <w:rPr>
            <w:noProof/>
            <w:webHidden/>
            <w:sz w:val="20"/>
            <w:szCs w:val="20"/>
          </w:rPr>
          <w:fldChar w:fldCharType="separate"/>
        </w:r>
        <w:r w:rsidRPr="002A739E">
          <w:rPr>
            <w:noProof/>
            <w:webHidden/>
            <w:sz w:val="20"/>
            <w:szCs w:val="20"/>
          </w:rPr>
          <w:t>9-60</w:t>
        </w:r>
        <w:r w:rsidR="008F5C1F" w:rsidRPr="002A739E">
          <w:rPr>
            <w:noProof/>
            <w:webHidden/>
            <w:sz w:val="20"/>
            <w:szCs w:val="20"/>
          </w:rPr>
          <w:fldChar w:fldCharType="end"/>
        </w:r>
      </w:hyperlink>
    </w:p>
    <w:p w14:paraId="2DD00175" w14:textId="1A7F640C" w:rsidR="008F5C1F" w:rsidRPr="002A739E" w:rsidRDefault="002A739E" w:rsidP="00B214A7">
      <w:pPr>
        <w:pStyle w:val="TOC4"/>
        <w:rPr>
          <w:rFonts w:eastAsiaTheme="minorEastAsia"/>
          <w:noProof/>
          <w:sz w:val="20"/>
          <w:szCs w:val="20"/>
        </w:rPr>
      </w:pPr>
      <w:hyperlink w:anchor="_Toc80175324" w:history="1">
        <w:r w:rsidR="008F5C1F" w:rsidRPr="002A739E">
          <w:rPr>
            <w:rStyle w:val="Hyperlink"/>
            <w:noProof/>
            <w:sz w:val="20"/>
            <w:szCs w:val="20"/>
          </w:rPr>
          <w:t>9.19.2.2</w:t>
        </w:r>
        <w:r w:rsidR="008F5C1F" w:rsidRPr="002A739E">
          <w:rPr>
            <w:rFonts w:eastAsiaTheme="minorEastAsia"/>
            <w:noProof/>
            <w:sz w:val="20"/>
            <w:szCs w:val="20"/>
          </w:rPr>
          <w:tab/>
        </w:r>
        <w:r w:rsidR="008F5C1F" w:rsidRPr="002A739E">
          <w:rPr>
            <w:rStyle w:val="Hyperlink"/>
            <w:noProof/>
            <w:sz w:val="20"/>
            <w:szCs w:val="20"/>
          </w:rPr>
          <w:t>ERCOT Payment to Invoice Recipients for Default Uplift</w:t>
        </w:r>
        <w:r w:rsidR="008F5C1F" w:rsidRPr="002A739E">
          <w:rPr>
            <w:noProof/>
            <w:webHidden/>
            <w:sz w:val="20"/>
            <w:szCs w:val="20"/>
          </w:rPr>
          <w:tab/>
        </w:r>
        <w:r w:rsidR="008F5C1F" w:rsidRPr="002A739E">
          <w:rPr>
            <w:noProof/>
            <w:webHidden/>
            <w:sz w:val="20"/>
            <w:szCs w:val="20"/>
          </w:rPr>
          <w:fldChar w:fldCharType="begin"/>
        </w:r>
        <w:r w:rsidR="008F5C1F" w:rsidRPr="002A739E">
          <w:rPr>
            <w:noProof/>
            <w:webHidden/>
            <w:sz w:val="20"/>
            <w:szCs w:val="20"/>
          </w:rPr>
          <w:instrText xml:space="preserve"> PAGEREF _Toc80175324 \h </w:instrText>
        </w:r>
        <w:r w:rsidR="008F5C1F" w:rsidRPr="002A739E">
          <w:rPr>
            <w:noProof/>
            <w:webHidden/>
            <w:sz w:val="20"/>
            <w:szCs w:val="20"/>
          </w:rPr>
        </w:r>
        <w:r w:rsidR="008F5C1F" w:rsidRPr="002A739E">
          <w:rPr>
            <w:noProof/>
            <w:webHidden/>
            <w:sz w:val="20"/>
            <w:szCs w:val="20"/>
          </w:rPr>
          <w:fldChar w:fldCharType="separate"/>
        </w:r>
        <w:r w:rsidRPr="002A739E">
          <w:rPr>
            <w:noProof/>
            <w:webHidden/>
            <w:sz w:val="20"/>
            <w:szCs w:val="20"/>
          </w:rPr>
          <w:t>9-60</w:t>
        </w:r>
        <w:r w:rsidR="008F5C1F" w:rsidRPr="002A739E">
          <w:rPr>
            <w:noProof/>
            <w:webHidden/>
            <w:sz w:val="20"/>
            <w:szCs w:val="20"/>
          </w:rPr>
          <w:fldChar w:fldCharType="end"/>
        </w:r>
      </w:hyperlink>
    </w:p>
    <w:p w14:paraId="1FD4A02D" w14:textId="1C2F20A0" w:rsidR="008F5C1F" w:rsidRPr="002A739E" w:rsidRDefault="002A739E">
      <w:pPr>
        <w:pStyle w:val="TOC3"/>
        <w:rPr>
          <w:rFonts w:eastAsiaTheme="minorEastAsia"/>
          <w:i w:val="0"/>
          <w:iCs w:val="0"/>
          <w:noProof/>
        </w:rPr>
      </w:pPr>
      <w:hyperlink w:anchor="_Toc80175325" w:history="1">
        <w:r w:rsidR="008F5C1F" w:rsidRPr="002A739E">
          <w:rPr>
            <w:rStyle w:val="Hyperlink"/>
            <w:i w:val="0"/>
            <w:iCs w:val="0"/>
            <w:noProof/>
          </w:rPr>
          <w:t>9.19.3</w:t>
        </w:r>
        <w:r w:rsidR="008F5C1F" w:rsidRPr="002A739E">
          <w:rPr>
            <w:rFonts w:eastAsiaTheme="minorEastAsia"/>
            <w:i w:val="0"/>
            <w:iCs w:val="0"/>
            <w:noProof/>
          </w:rPr>
          <w:tab/>
        </w:r>
        <w:r w:rsidR="008F5C1F" w:rsidRPr="002A739E">
          <w:rPr>
            <w:rStyle w:val="Hyperlink"/>
            <w:i w:val="0"/>
            <w:iCs w:val="0"/>
            <w:noProof/>
          </w:rPr>
          <w:t>Default Uplift Supporting Data Reporting</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_Toc80175325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9-61</w:t>
        </w:r>
        <w:r w:rsidR="008F5C1F" w:rsidRPr="002A739E">
          <w:rPr>
            <w:i w:val="0"/>
            <w:iCs w:val="0"/>
            <w:noProof/>
            <w:webHidden/>
          </w:rPr>
          <w:fldChar w:fldCharType="end"/>
        </w:r>
      </w:hyperlink>
    </w:p>
    <w:p w14:paraId="3B119A71" w14:textId="74750931" w:rsidR="008F5C1F" w:rsidRPr="002A739E" w:rsidRDefault="002A739E">
      <w:pPr>
        <w:pStyle w:val="TOC3"/>
        <w:rPr>
          <w:rFonts w:eastAsiaTheme="minorEastAsia"/>
          <w:i w:val="0"/>
          <w:iCs w:val="0"/>
          <w:noProof/>
        </w:rPr>
      </w:pPr>
      <w:hyperlink w:anchor="_Toc80175326" w:history="1">
        <w:r w:rsidR="008F5C1F" w:rsidRPr="002A739E">
          <w:rPr>
            <w:rStyle w:val="Hyperlink"/>
            <w:i w:val="0"/>
            <w:iCs w:val="0"/>
            <w:noProof/>
          </w:rPr>
          <w:t>9.19.4</w:t>
        </w:r>
        <w:r w:rsidR="008F5C1F" w:rsidRPr="002A739E">
          <w:rPr>
            <w:rFonts w:eastAsiaTheme="minorEastAsia"/>
            <w:i w:val="0"/>
            <w:iCs w:val="0"/>
            <w:noProof/>
          </w:rPr>
          <w:tab/>
        </w:r>
        <w:r w:rsidR="008F5C1F" w:rsidRPr="002A739E">
          <w:rPr>
            <w:rStyle w:val="Hyperlink"/>
            <w:i w:val="0"/>
            <w:iCs w:val="0"/>
            <w:noProof/>
          </w:rPr>
          <w:t>Exemption for Central Counter-Party Clearinghouses Regulated as Derivatives Clearing Organizations</w:t>
        </w:r>
        <w:r w:rsidR="008F5C1F" w:rsidRPr="002A739E">
          <w:rPr>
            <w:i w:val="0"/>
            <w:iCs w:val="0"/>
            <w:noProof/>
            <w:webHidden/>
          </w:rPr>
          <w:tab/>
        </w:r>
        <w:r w:rsidR="008F5C1F" w:rsidRPr="002A739E">
          <w:rPr>
            <w:i w:val="0"/>
            <w:iCs w:val="0"/>
            <w:noProof/>
            <w:webHidden/>
          </w:rPr>
          <w:fldChar w:fldCharType="begin"/>
        </w:r>
        <w:r w:rsidR="008F5C1F" w:rsidRPr="002A739E">
          <w:rPr>
            <w:i w:val="0"/>
            <w:iCs w:val="0"/>
            <w:noProof/>
            <w:webHidden/>
          </w:rPr>
          <w:instrText xml:space="preserve"> PAGEREF _Toc80175326 \h </w:instrText>
        </w:r>
        <w:r w:rsidR="008F5C1F" w:rsidRPr="002A739E">
          <w:rPr>
            <w:i w:val="0"/>
            <w:iCs w:val="0"/>
            <w:noProof/>
            <w:webHidden/>
          </w:rPr>
        </w:r>
        <w:r w:rsidR="008F5C1F" w:rsidRPr="002A739E">
          <w:rPr>
            <w:i w:val="0"/>
            <w:iCs w:val="0"/>
            <w:noProof/>
            <w:webHidden/>
          </w:rPr>
          <w:fldChar w:fldCharType="separate"/>
        </w:r>
        <w:r w:rsidRPr="002A739E">
          <w:rPr>
            <w:i w:val="0"/>
            <w:iCs w:val="0"/>
            <w:noProof/>
            <w:webHidden/>
          </w:rPr>
          <w:t>9-61</w:t>
        </w:r>
        <w:r w:rsidR="008F5C1F" w:rsidRPr="002A739E">
          <w:rPr>
            <w:i w:val="0"/>
            <w:iCs w:val="0"/>
            <w:noProof/>
            <w:webHidden/>
          </w:rPr>
          <w:fldChar w:fldCharType="end"/>
        </w:r>
      </w:hyperlink>
    </w:p>
    <w:p w14:paraId="447B4BC7" w14:textId="2D5EAE74" w:rsidR="002F5868" w:rsidRDefault="00B10807" w:rsidP="005E554F">
      <w:pPr>
        <w:rPr>
          <w:b/>
          <w:bCs/>
          <w:szCs w:val="24"/>
        </w:rPr>
      </w:pPr>
      <w:r w:rsidRPr="002E5F2C">
        <w:rPr>
          <w:bCs/>
          <w:iCs/>
          <w:szCs w:val="24"/>
        </w:rPr>
        <w:fldChar w:fldCharType="end"/>
      </w:r>
    </w:p>
    <w:p w14:paraId="4916F552" w14:textId="77777777" w:rsidR="002F5868" w:rsidRDefault="002F5868">
      <w:pPr>
        <w:sectPr w:rsidR="002F5868">
          <w:headerReference w:type="first" r:id="rId12"/>
          <w:footerReference w:type="first" r:id="rId13"/>
          <w:pgSz w:w="12240" w:h="15840" w:code="1"/>
          <w:pgMar w:top="1440" w:right="1440" w:bottom="1440" w:left="1440" w:header="720" w:footer="510" w:gutter="0"/>
          <w:pgNumType w:start="1" w:chapStyle="1"/>
          <w:cols w:space="720"/>
          <w:titlePg/>
        </w:sectPr>
      </w:pPr>
    </w:p>
    <w:p w14:paraId="10CE3770" w14:textId="77777777" w:rsidR="002F5868" w:rsidRDefault="00DD1AC6">
      <w:pPr>
        <w:pStyle w:val="Heading1"/>
      </w:pPr>
      <w:bookmarkStart w:id="0" w:name="_Toc309731015"/>
      <w:bookmarkStart w:id="1" w:name="_Toc405813997"/>
      <w:bookmarkStart w:id="2" w:name="_Toc422207887"/>
      <w:bookmarkStart w:id="3" w:name="_Toc438044801"/>
      <w:bookmarkStart w:id="4" w:name="_Toc447622584"/>
      <w:bookmarkStart w:id="5" w:name="_Toc80175234"/>
      <w:r>
        <w:lastRenderedPageBreak/>
        <w:t xml:space="preserve">SETTLEMENT </w:t>
      </w:r>
      <w:smartTag w:uri="urn:schemas-microsoft-com:office:smarttags" w:element="stockticker">
        <w:r>
          <w:t>AND</w:t>
        </w:r>
      </w:smartTag>
      <w:r>
        <w:t xml:space="preserve"> BILLING</w:t>
      </w:r>
      <w:bookmarkEnd w:id="0"/>
      <w:bookmarkEnd w:id="1"/>
      <w:bookmarkEnd w:id="2"/>
      <w:bookmarkEnd w:id="3"/>
      <w:bookmarkEnd w:id="4"/>
      <w:bookmarkEnd w:id="5"/>
      <w:r w:rsidR="00B260EF">
        <w:t xml:space="preserve"> </w:t>
      </w:r>
    </w:p>
    <w:p w14:paraId="523185B3" w14:textId="77777777" w:rsidR="002F5868" w:rsidRDefault="00DD1AC6">
      <w:pPr>
        <w:pStyle w:val="H2"/>
      </w:pPr>
      <w:bookmarkStart w:id="6" w:name="_Toc309731016"/>
      <w:bookmarkStart w:id="7" w:name="_Toc405813998"/>
      <w:bookmarkStart w:id="8" w:name="_Toc422207888"/>
      <w:bookmarkStart w:id="9" w:name="_Toc438044802"/>
      <w:bookmarkStart w:id="10" w:name="_Toc447622585"/>
      <w:bookmarkStart w:id="11" w:name="_Toc80175235"/>
      <w:r>
        <w:t>9.1</w:t>
      </w:r>
      <w:r>
        <w:tab/>
        <w:t>General</w:t>
      </w:r>
      <w:bookmarkEnd w:id="6"/>
      <w:bookmarkEnd w:id="7"/>
      <w:bookmarkEnd w:id="8"/>
      <w:bookmarkEnd w:id="9"/>
      <w:bookmarkEnd w:id="10"/>
      <w:bookmarkEnd w:id="11"/>
    </w:p>
    <w:p w14:paraId="50E2FED7" w14:textId="77777777" w:rsidR="002F5868" w:rsidRPr="008910B8" w:rsidRDefault="00DD1AC6">
      <w:pPr>
        <w:pStyle w:val="H3"/>
        <w:rPr>
          <w:b/>
          <w:i/>
        </w:rPr>
      </w:pPr>
      <w:bookmarkStart w:id="12" w:name="_Toc309731017"/>
      <w:bookmarkStart w:id="13" w:name="_Toc405813999"/>
      <w:bookmarkStart w:id="14" w:name="_Toc422207889"/>
      <w:bookmarkStart w:id="15" w:name="_Toc438044803"/>
      <w:bookmarkStart w:id="16" w:name="_Toc447622586"/>
      <w:bookmarkStart w:id="17" w:name="_Toc80175236"/>
      <w:r w:rsidRPr="008910B8">
        <w:rPr>
          <w:b/>
          <w:i/>
        </w:rPr>
        <w:t>9.1.1</w:t>
      </w:r>
      <w:r w:rsidRPr="008910B8">
        <w:rPr>
          <w:b/>
          <w:i/>
        </w:rPr>
        <w:tab/>
        <w:t>Settlement and Billing Process Overview</w:t>
      </w:r>
      <w:bookmarkEnd w:id="12"/>
      <w:bookmarkEnd w:id="13"/>
      <w:bookmarkEnd w:id="14"/>
      <w:bookmarkEnd w:id="15"/>
      <w:bookmarkEnd w:id="16"/>
      <w:bookmarkEnd w:id="17"/>
    </w:p>
    <w:p w14:paraId="2F575DA4" w14:textId="73D21CA5" w:rsidR="002F5868" w:rsidRDefault="00A0123C" w:rsidP="00660ED3">
      <w:pPr>
        <w:pStyle w:val="BodyTextNumbered"/>
      </w:pPr>
      <w:r>
        <w:rPr>
          <w:iCs/>
        </w:rPr>
        <w:t>(1)</w:t>
      </w:r>
      <w:r>
        <w:rPr>
          <w:iCs/>
        </w:rPr>
        <w:tab/>
      </w:r>
      <w:r w:rsidR="00DD1AC6">
        <w:t xml:space="preserve">Settlement is the process used to resolve financial obligations between a Market Participant and ERCOT, including administrative and miscellaneous charges.  Settlement also provides </w:t>
      </w:r>
      <w:r w:rsidR="00DD1AC6" w:rsidRPr="00A0123C">
        <w:rPr>
          <w:iCs/>
        </w:rPr>
        <w:t>Transmission</w:t>
      </w:r>
      <w:r w:rsidR="00DD1AC6">
        <w:t xml:space="preserve"> Billing Determinants to Transmission Service Providers (TSPs) and Distribution Service Providers (DSPs).  The Settlement and billing timeline and process for the Day-Ahead Market (DAM) is separate from the Settlement and billing timeline and process for  the Day-Ahead Reliability Unit Commitment (DRUC) process, the Adjustment Period, and Real-Time operations (after this referred to together in this Section as the Real-Time Market</w:t>
      </w:r>
      <w:r w:rsidR="00A46174">
        <w:t xml:space="preserve"> (RTM)</w:t>
      </w:r>
      <w:r w:rsidR="00DD1AC6">
        <w:t xml:space="preserve">). </w:t>
      </w:r>
    </w:p>
    <w:p w14:paraId="45B026C2" w14:textId="77777777" w:rsidR="002F5868" w:rsidRPr="008910B8" w:rsidRDefault="00DD1AC6">
      <w:pPr>
        <w:pStyle w:val="H3"/>
        <w:rPr>
          <w:b/>
          <w:i/>
        </w:rPr>
      </w:pPr>
      <w:bookmarkStart w:id="18" w:name="_Toc309731018"/>
      <w:bookmarkStart w:id="19" w:name="_Toc405814000"/>
      <w:bookmarkStart w:id="20" w:name="_Toc422207890"/>
      <w:bookmarkStart w:id="21" w:name="_Toc438044804"/>
      <w:bookmarkStart w:id="22" w:name="_Toc447622587"/>
      <w:bookmarkStart w:id="23" w:name="_Toc80175237"/>
      <w:r w:rsidRPr="008910B8">
        <w:rPr>
          <w:b/>
          <w:i/>
        </w:rPr>
        <w:t>9.1.2</w:t>
      </w:r>
      <w:r w:rsidRPr="008910B8">
        <w:rPr>
          <w:b/>
          <w:i/>
        </w:rPr>
        <w:tab/>
        <w:t>Settlement Calendar</w:t>
      </w:r>
      <w:bookmarkEnd w:id="18"/>
      <w:bookmarkEnd w:id="19"/>
      <w:bookmarkEnd w:id="20"/>
      <w:bookmarkEnd w:id="21"/>
      <w:bookmarkEnd w:id="22"/>
      <w:bookmarkEnd w:id="23"/>
      <w:r w:rsidRPr="008910B8">
        <w:rPr>
          <w:b/>
          <w:i/>
        </w:rPr>
        <w:t xml:space="preserve"> </w:t>
      </w:r>
    </w:p>
    <w:p w14:paraId="11CBB393" w14:textId="3FC253DD" w:rsidR="001B2D9D" w:rsidRPr="00A06E01" w:rsidRDefault="001B2D9D" w:rsidP="001B2D9D">
      <w:pPr>
        <w:pStyle w:val="BodyTextNumbered"/>
        <w:rPr>
          <w:iCs/>
        </w:rPr>
      </w:pPr>
      <w:r w:rsidRPr="00A06E01">
        <w:rPr>
          <w:iCs/>
        </w:rPr>
        <w:t>(1)</w:t>
      </w:r>
      <w:r w:rsidRPr="00A06E01">
        <w:rPr>
          <w:iCs/>
        </w:rPr>
        <w:tab/>
        <w:t xml:space="preserve">ERCOT shall post and maintain on the </w:t>
      </w:r>
      <w:r w:rsidR="000A050F">
        <w:rPr>
          <w:iCs/>
        </w:rPr>
        <w:t>ERCOT website</w:t>
      </w:r>
      <w:r w:rsidRPr="00A06E01">
        <w:rPr>
          <w:iCs/>
        </w:rPr>
        <w:t xml:space="preserve"> a Settlement Calendar to denote, for each Operating Day, when:</w:t>
      </w:r>
    </w:p>
    <w:p w14:paraId="4EB4D2BD" w14:textId="77777777" w:rsidR="001B2D9D" w:rsidRDefault="001B2D9D" w:rsidP="001B2D9D">
      <w:pPr>
        <w:pStyle w:val="List"/>
      </w:pPr>
      <w:r>
        <w:t>(a)</w:t>
      </w:r>
      <w:r>
        <w:tab/>
        <w:t xml:space="preserve">Each scheduled Settlement Statement for the DAM will be issued under Section 9.2.4, DAM Statement, and Section 9.2.5, DAM Resettlement Statement;  </w:t>
      </w:r>
    </w:p>
    <w:p w14:paraId="0A056951" w14:textId="77777777" w:rsidR="001B2D9D" w:rsidRDefault="001B2D9D" w:rsidP="001B2D9D">
      <w:pPr>
        <w:pStyle w:val="List"/>
      </w:pPr>
      <w:r>
        <w:t>(b)</w:t>
      </w:r>
      <w:r>
        <w:tab/>
        <w:t xml:space="preserve">Each scheduled Settlement Statement for the RTM will be issued under Section 9.5.4, RTM Initial Statement, Section 9.5.5, RTM Final Statement, Section 9.5.6, RTM Resettlement Statement, and Section 9.5.8, RTM True-Up Statement; </w:t>
      </w:r>
    </w:p>
    <w:p w14:paraId="0CA5F4F0" w14:textId="77777777" w:rsidR="001B2D9D" w:rsidRDefault="001B2D9D" w:rsidP="001B2D9D">
      <w:pPr>
        <w:pStyle w:val="List"/>
      </w:pPr>
      <w:r>
        <w:t>(c)</w:t>
      </w:r>
      <w:r>
        <w:tab/>
        <w:t xml:space="preserve">Each Settlement Invoice will be issued under Section 9.6, Settlement Invoices for the Day-Ahead Market and Real-Time Market; </w:t>
      </w:r>
    </w:p>
    <w:p w14:paraId="55B24A9E" w14:textId="77777777" w:rsidR="001B2D9D" w:rsidRDefault="001B2D9D" w:rsidP="001B2D9D">
      <w:pPr>
        <w:pStyle w:val="List"/>
      </w:pPr>
      <w:r>
        <w:t>(d)</w:t>
      </w:r>
      <w:r>
        <w:tab/>
        <w:t xml:space="preserve">Payments for the Settlement Invoice are due under Section 9.7, Payment Process for the Settlement Invoices; </w:t>
      </w:r>
    </w:p>
    <w:p w14:paraId="33E5686A" w14:textId="77777777" w:rsidR="001B2D9D" w:rsidRDefault="001B2D9D" w:rsidP="001B2D9D">
      <w:pPr>
        <w:pStyle w:val="List"/>
      </w:pPr>
      <w:r>
        <w:t>(</w:t>
      </w:r>
      <w:r w:rsidR="00505105">
        <w:t>e</w:t>
      </w:r>
      <w:r>
        <w:t>)</w:t>
      </w:r>
      <w:r>
        <w:tab/>
        <w:t>Each Default Uplift Invoice will be issued under Section 9.19, Partial Payments by Invoice Recipients;</w:t>
      </w:r>
    </w:p>
    <w:p w14:paraId="02E37C42" w14:textId="77777777" w:rsidR="001B2D9D" w:rsidRDefault="001B2D9D" w:rsidP="001B2D9D">
      <w:pPr>
        <w:pStyle w:val="List"/>
      </w:pPr>
      <w:r>
        <w:t>(</w:t>
      </w:r>
      <w:r w:rsidR="00505105">
        <w:t>f</w:t>
      </w:r>
      <w:r>
        <w:t>)</w:t>
      </w:r>
      <w:r>
        <w:tab/>
        <w:t>Payments for Default Uplift Invoices are due under Section 9.19.1, Default Uplift Invoices;</w:t>
      </w:r>
    </w:p>
    <w:p w14:paraId="6C22A9F8" w14:textId="77777777" w:rsidR="001B2D9D" w:rsidRDefault="001B2D9D" w:rsidP="001B2D9D">
      <w:pPr>
        <w:pStyle w:val="List"/>
        <w:tabs>
          <w:tab w:val="left" w:pos="1440"/>
        </w:tabs>
      </w:pPr>
      <w:r>
        <w:t>(</w:t>
      </w:r>
      <w:r w:rsidR="00505105">
        <w:t>g</w:t>
      </w:r>
      <w:r>
        <w:t>)</w:t>
      </w:r>
      <w:r>
        <w:tab/>
        <w:t xml:space="preserve">Each Congestion Revenue Right (CRR) Auction Invoice will be issued under Section 9.8, </w:t>
      </w:r>
      <w:smartTag w:uri="urn:schemas-microsoft-com:office:smarttags" w:element="stockticker">
        <w:r>
          <w:t>CRR</w:t>
        </w:r>
      </w:smartTag>
      <w:r>
        <w:t xml:space="preserve"> Auction Award Invoices; </w:t>
      </w:r>
    </w:p>
    <w:p w14:paraId="08DF7F91" w14:textId="77777777" w:rsidR="001B2D9D" w:rsidRDefault="001B2D9D" w:rsidP="001B2D9D">
      <w:pPr>
        <w:pStyle w:val="List"/>
        <w:tabs>
          <w:tab w:val="left" w:pos="1440"/>
        </w:tabs>
      </w:pPr>
      <w:r>
        <w:t>(</w:t>
      </w:r>
      <w:r w:rsidR="00505105">
        <w:t>h</w:t>
      </w:r>
      <w:r>
        <w:t>)</w:t>
      </w:r>
      <w:r>
        <w:tab/>
        <w:t xml:space="preserve">Payments for </w:t>
      </w:r>
      <w:smartTag w:uri="urn:schemas-microsoft-com:office:smarttags" w:element="stockticker">
        <w:r>
          <w:t>CRR</w:t>
        </w:r>
      </w:smartTag>
      <w:r>
        <w:t xml:space="preserve"> Auction Invoices are due under Section 9.9, Payment Process for </w:t>
      </w:r>
      <w:smartTag w:uri="urn:schemas-microsoft-com:office:smarttags" w:element="stockticker">
        <w:r>
          <w:t>CRR</w:t>
        </w:r>
      </w:smartTag>
      <w:r>
        <w:t xml:space="preserve"> Auction Invoices;</w:t>
      </w:r>
    </w:p>
    <w:p w14:paraId="012D9A72" w14:textId="43D725D0" w:rsidR="001B2D9D" w:rsidRDefault="001B2D9D" w:rsidP="001B2D9D">
      <w:pPr>
        <w:pStyle w:val="List"/>
        <w:tabs>
          <w:tab w:val="left" w:pos="1440"/>
        </w:tabs>
      </w:pPr>
      <w:r>
        <w:lastRenderedPageBreak/>
        <w:t>(</w:t>
      </w:r>
      <w:r w:rsidR="00505105">
        <w:t>i</w:t>
      </w:r>
      <w:r>
        <w:t>)</w:t>
      </w:r>
      <w:r>
        <w:tab/>
        <w:t xml:space="preserve">Each </w:t>
      </w:r>
      <w:smartTag w:uri="urn:schemas-microsoft-com:office:smarttags" w:element="stockticker">
        <w:r>
          <w:t>CRR</w:t>
        </w:r>
      </w:smartTag>
      <w:r>
        <w:t xml:space="preserve"> Auction Revenue Distribution </w:t>
      </w:r>
      <w:r w:rsidR="00A16DB0">
        <w:t xml:space="preserve">(CARD) </w:t>
      </w:r>
      <w:r>
        <w:t xml:space="preserve">Invoice will be issued under Section 9.10, </w:t>
      </w:r>
      <w:smartTag w:uri="urn:schemas-microsoft-com:office:smarttags" w:element="stockticker">
        <w:r>
          <w:t>CRR</w:t>
        </w:r>
      </w:smartTag>
      <w:r>
        <w:t xml:space="preserve"> Auction Revenue Distribution Invoices;</w:t>
      </w:r>
    </w:p>
    <w:p w14:paraId="4D8AC6CE" w14:textId="7570D8B8" w:rsidR="001B2D9D" w:rsidRDefault="001B2D9D" w:rsidP="001B2D9D">
      <w:pPr>
        <w:pStyle w:val="List"/>
        <w:tabs>
          <w:tab w:val="left" w:pos="1440"/>
        </w:tabs>
      </w:pPr>
      <w:r>
        <w:t>(</w:t>
      </w:r>
      <w:r w:rsidR="00505105">
        <w:t>j</w:t>
      </w:r>
      <w:r>
        <w:t>)</w:t>
      </w:r>
      <w:r>
        <w:tab/>
        <w:t xml:space="preserve">Payments for CARD Invoices are due under Section 9.11, Payment Process for </w:t>
      </w:r>
      <w:smartTag w:uri="urn:schemas-microsoft-com:office:smarttags" w:element="stockticker">
        <w:r>
          <w:t>CRR</w:t>
        </w:r>
      </w:smartTag>
      <w:r>
        <w:t xml:space="preserve"> Auction Revenue Distribution;</w:t>
      </w:r>
    </w:p>
    <w:p w14:paraId="5FF999F0" w14:textId="25F63B88" w:rsidR="001B2D9D" w:rsidRDefault="001B2D9D" w:rsidP="001B2D9D">
      <w:pPr>
        <w:pStyle w:val="List"/>
        <w:tabs>
          <w:tab w:val="left" w:pos="1440"/>
        </w:tabs>
      </w:pPr>
      <w:r>
        <w:t>(</w:t>
      </w:r>
      <w:r w:rsidR="00505105">
        <w:t>k</w:t>
      </w:r>
      <w:r>
        <w:t>)</w:t>
      </w:r>
      <w:r>
        <w:tab/>
        <w:t xml:space="preserve">Each </w:t>
      </w:r>
      <w:smartTag w:uri="urn:schemas-microsoft-com:office:smarttags" w:element="stockticker">
        <w:r>
          <w:t>CRR</w:t>
        </w:r>
      </w:smartTag>
      <w:r>
        <w:t xml:space="preserve"> Balancing Account </w:t>
      </w:r>
      <w:r w:rsidR="00A16DB0">
        <w:t xml:space="preserve">(CRRBA) </w:t>
      </w:r>
      <w:r>
        <w:t xml:space="preserve">Invoice will be issued under Section 9.12, </w:t>
      </w:r>
      <w:smartTag w:uri="urn:schemas-microsoft-com:office:smarttags" w:element="stockticker">
        <w:r>
          <w:t>CRR</w:t>
        </w:r>
      </w:smartTag>
      <w:r>
        <w:t xml:space="preserve"> Balancing Account Invoices; </w:t>
      </w:r>
    </w:p>
    <w:p w14:paraId="05936DF9" w14:textId="77E8A7F2" w:rsidR="001B2D9D" w:rsidRDefault="001B2D9D" w:rsidP="001B2D9D">
      <w:pPr>
        <w:pStyle w:val="List"/>
      </w:pPr>
      <w:r>
        <w:t>(</w:t>
      </w:r>
      <w:r w:rsidR="00505105">
        <w:t>l</w:t>
      </w:r>
      <w:r>
        <w:t>)</w:t>
      </w:r>
      <w:r>
        <w:tab/>
        <w:t xml:space="preserve">Payments for </w:t>
      </w:r>
      <w:r w:rsidR="00A16DB0">
        <w:t>CRRBA</w:t>
      </w:r>
      <w:r>
        <w:t xml:space="preserve"> Invoices are due under Section 9.13, Payment Process for the </w:t>
      </w:r>
      <w:smartTag w:uri="urn:schemas-microsoft-com:office:smarttags" w:element="stockticker">
        <w:r>
          <w:t>CRR</w:t>
        </w:r>
      </w:smartTag>
      <w:r>
        <w:t xml:space="preserve"> Balancing Account;</w:t>
      </w:r>
    </w:p>
    <w:p w14:paraId="329778F0" w14:textId="62F2457C" w:rsidR="00226940" w:rsidRPr="00ED3498" w:rsidRDefault="00226940" w:rsidP="00226940">
      <w:pPr>
        <w:tabs>
          <w:tab w:val="left" w:pos="2160"/>
        </w:tabs>
        <w:spacing w:after="240"/>
        <w:ind w:left="1440" w:hanging="720"/>
      </w:pPr>
      <w:r w:rsidRPr="00ED3498">
        <w:t>(m)</w:t>
      </w:r>
      <w:r w:rsidRPr="00ED3498">
        <w:tab/>
      </w:r>
      <w:r w:rsidR="003026B4" w:rsidRPr="00ED3498">
        <w:t>Securitization Default Charge Invoices will be issued in accordance with Section 26.3, Securitization Default Charge Invoices</w:t>
      </w:r>
      <w:r w:rsidRPr="00ED3498">
        <w:t xml:space="preserve">; </w:t>
      </w:r>
    </w:p>
    <w:p w14:paraId="02E2F808" w14:textId="000A6161" w:rsidR="00226940" w:rsidRDefault="00226940" w:rsidP="00226940">
      <w:pPr>
        <w:pStyle w:val="List"/>
        <w:tabs>
          <w:tab w:val="left" w:pos="2160"/>
        </w:tabs>
      </w:pPr>
      <w:r w:rsidRPr="00ED3498">
        <w:t>(n)</w:t>
      </w:r>
      <w:r w:rsidRPr="00ED3498">
        <w:tab/>
      </w:r>
      <w:r w:rsidR="003026B4" w:rsidRPr="00ED3498">
        <w:t>Payments for Securitization Default Charge Invoices are due under Section 26.3.1, Payment Process for Securitization Default Charge Invoices</w:t>
      </w:r>
      <w:r w:rsidRPr="00ED3498">
        <w:t>;</w:t>
      </w:r>
    </w:p>
    <w:p w14:paraId="349269B6" w14:textId="77777777" w:rsidR="00484E17" w:rsidRPr="006A7BA2" w:rsidRDefault="00484E17" w:rsidP="009F7EBA">
      <w:pPr>
        <w:tabs>
          <w:tab w:val="left" w:pos="2160"/>
        </w:tabs>
        <w:spacing w:after="240"/>
        <w:ind w:left="1440" w:hanging="720"/>
      </w:pPr>
      <w:r w:rsidRPr="006A7BA2">
        <w:t>(</w:t>
      </w:r>
      <w:r>
        <w:t>o</w:t>
      </w:r>
      <w:r w:rsidRPr="006A7BA2">
        <w:t>)</w:t>
      </w:r>
      <w:r w:rsidRPr="006A7BA2">
        <w:tab/>
        <w:t xml:space="preserve">Each Securitization Uplift Charge Initial Invoice will be issued under Section 27.4.1, Securitization Uplift Charge Initial Invoices; </w:t>
      </w:r>
    </w:p>
    <w:p w14:paraId="6FEE3E49" w14:textId="77777777" w:rsidR="00484E17" w:rsidRPr="006A7BA2" w:rsidRDefault="00484E17" w:rsidP="00484E17">
      <w:pPr>
        <w:tabs>
          <w:tab w:val="left" w:pos="2160"/>
        </w:tabs>
        <w:spacing w:after="240"/>
        <w:ind w:left="1440" w:hanging="720"/>
      </w:pPr>
      <w:r w:rsidRPr="006A7BA2">
        <w:t>(</w:t>
      </w:r>
      <w:r>
        <w:t>p</w:t>
      </w:r>
      <w:r w:rsidRPr="006A7BA2">
        <w:t>)</w:t>
      </w:r>
      <w:r w:rsidRPr="006A7BA2">
        <w:tab/>
        <w:t xml:space="preserve">Payments for Securitization Uplift Charge Initial Invoices are due under Section 27.4.3, Payment Process for Securitization Uplift Charge Initial Invoices; </w:t>
      </w:r>
    </w:p>
    <w:p w14:paraId="21D86830" w14:textId="77777777" w:rsidR="00484E17" w:rsidRPr="006A7BA2" w:rsidRDefault="00484E17" w:rsidP="00484E17">
      <w:pPr>
        <w:tabs>
          <w:tab w:val="left" w:pos="2160"/>
        </w:tabs>
        <w:spacing w:after="240"/>
        <w:ind w:left="1440" w:hanging="720"/>
      </w:pPr>
      <w:r w:rsidRPr="006A7BA2">
        <w:t>(</w:t>
      </w:r>
      <w:r>
        <w:t>q</w:t>
      </w:r>
      <w:r w:rsidRPr="006A7BA2">
        <w:t>)</w:t>
      </w:r>
      <w:r w:rsidRPr="006A7BA2">
        <w:tab/>
        <w:t xml:space="preserve">Each Securitization Uplift Charge Reallocation Invoice will be issued under Section 27.4.2, Securitization Uplift Charge Reallocation Invoices; </w:t>
      </w:r>
    </w:p>
    <w:p w14:paraId="0621C20C" w14:textId="77777777" w:rsidR="00484E17" w:rsidRPr="006A7BA2" w:rsidRDefault="00484E17" w:rsidP="00484E17">
      <w:pPr>
        <w:tabs>
          <w:tab w:val="left" w:pos="2160"/>
        </w:tabs>
        <w:spacing w:after="240"/>
        <w:ind w:left="1440" w:hanging="720"/>
      </w:pPr>
      <w:r w:rsidRPr="006A7BA2">
        <w:t>(</w:t>
      </w:r>
      <w:r>
        <w:t>r</w:t>
      </w:r>
      <w:r w:rsidRPr="006A7BA2">
        <w:t>)</w:t>
      </w:r>
      <w:r w:rsidRPr="006A7BA2">
        <w:tab/>
        <w:t>Payments for Securitization Uplift Charge Reallocation Invoices are due under Section 27.4.5, Payment Process for Securitization Uplift Charge Reallocation Invoices; and</w:t>
      </w:r>
    </w:p>
    <w:p w14:paraId="03EE9E83" w14:textId="152A9ED8" w:rsidR="002F5868" w:rsidRPr="00EB11F5" w:rsidRDefault="001B2D9D" w:rsidP="000E65C3">
      <w:pPr>
        <w:pStyle w:val="List"/>
        <w:tabs>
          <w:tab w:val="left" w:pos="2160"/>
        </w:tabs>
      </w:pPr>
      <w:r w:rsidRPr="00C2257A">
        <w:t>(</w:t>
      </w:r>
      <w:r w:rsidR="00484E17">
        <w:t>s</w:t>
      </w:r>
      <w:r w:rsidRPr="00C2257A">
        <w:t>)</w:t>
      </w:r>
      <w:r w:rsidRPr="00C2257A">
        <w:tab/>
        <w:t>Settlement and billing disputes for each scheduled Settlement Statement of an Operating Day and Settlement Invoice must be submitted under Section 9.14, Settlement and Billing Dispute Process.</w:t>
      </w:r>
    </w:p>
    <w:p w14:paraId="7443ABC7" w14:textId="77777777" w:rsidR="002F5868" w:rsidRDefault="00DD1AC6">
      <w:pPr>
        <w:pStyle w:val="BodyTextNumbered"/>
      </w:pPr>
      <w:r>
        <w:t>(2)</w:t>
      </w:r>
      <w:r>
        <w:tab/>
        <w:t xml:space="preserve">ERCOT shall notify Market Participants if any of the </w:t>
      </w:r>
      <w:proofErr w:type="gramStart"/>
      <w:r>
        <w:t>aforementioned data</w:t>
      </w:r>
      <w:proofErr w:type="gramEnd"/>
      <w:r>
        <w:t xml:space="preserve"> will not be available on the date specified in the Settlement Calendar.</w:t>
      </w:r>
    </w:p>
    <w:p w14:paraId="6321E73A" w14:textId="77777777" w:rsidR="002F5868" w:rsidRPr="008910B8" w:rsidRDefault="00DD1AC6">
      <w:pPr>
        <w:pStyle w:val="H3"/>
        <w:rPr>
          <w:b/>
          <w:i/>
        </w:rPr>
      </w:pPr>
      <w:bookmarkStart w:id="24" w:name="_Toc309731019"/>
      <w:bookmarkStart w:id="25" w:name="_Toc405814001"/>
      <w:bookmarkStart w:id="26" w:name="_Toc422207891"/>
      <w:bookmarkStart w:id="27" w:name="_Toc438044805"/>
      <w:bookmarkStart w:id="28" w:name="_Toc447622588"/>
      <w:bookmarkStart w:id="29" w:name="_Toc80175238"/>
      <w:r w:rsidRPr="008910B8">
        <w:rPr>
          <w:b/>
          <w:i/>
        </w:rPr>
        <w:t>9.1.3</w:t>
      </w:r>
      <w:r w:rsidRPr="008910B8">
        <w:rPr>
          <w:b/>
          <w:i/>
        </w:rPr>
        <w:tab/>
        <w:t>Settlement Statement and Invoice Access</w:t>
      </w:r>
      <w:bookmarkEnd w:id="24"/>
      <w:bookmarkEnd w:id="25"/>
      <w:bookmarkEnd w:id="26"/>
      <w:bookmarkEnd w:id="27"/>
      <w:bookmarkEnd w:id="28"/>
      <w:bookmarkEnd w:id="29"/>
      <w:r w:rsidRPr="008910B8">
        <w:rPr>
          <w:b/>
          <w:i/>
        </w:rPr>
        <w:t xml:space="preserve"> </w:t>
      </w:r>
    </w:p>
    <w:p w14:paraId="26B098AE" w14:textId="77777777" w:rsidR="002F5868" w:rsidRDefault="00A0123C" w:rsidP="00660ED3">
      <w:pPr>
        <w:pStyle w:val="BodyTextNumbered"/>
      </w:pPr>
      <w:r>
        <w:rPr>
          <w:iCs/>
        </w:rPr>
        <w:t>(1)</w:t>
      </w:r>
      <w:r>
        <w:rPr>
          <w:iCs/>
        </w:rPr>
        <w:tab/>
      </w:r>
      <w:r w:rsidR="00DD1AC6">
        <w:t xml:space="preserve">A Statement or Invoice Recipient may access its Settlement Statements or Invoices electronically, using </w:t>
      </w:r>
      <w:r w:rsidR="00DD1AC6" w:rsidRPr="00A0123C">
        <w:rPr>
          <w:iCs/>
        </w:rPr>
        <w:t>either</w:t>
      </w:r>
      <w:r w:rsidR="00DD1AC6">
        <w:t xml:space="preserve"> of the following methods:</w:t>
      </w:r>
    </w:p>
    <w:p w14:paraId="5FDE014F" w14:textId="220C6908" w:rsidR="002F5868" w:rsidRDefault="00DD1AC6">
      <w:pPr>
        <w:pStyle w:val="List"/>
      </w:pPr>
      <w:r>
        <w:t>(a)</w:t>
      </w:r>
      <w:r>
        <w:tab/>
        <w:t xml:space="preserve">Secured entry on the </w:t>
      </w:r>
      <w:r w:rsidR="00A16DB0">
        <w:t>Market Information System (</w:t>
      </w:r>
      <w:r>
        <w:t>MIS</w:t>
      </w:r>
      <w:r w:rsidR="00A16DB0">
        <w:t>)</w:t>
      </w:r>
      <w:r>
        <w:t xml:space="preserve"> Certified Area;</w:t>
      </w:r>
    </w:p>
    <w:p w14:paraId="62E51315" w14:textId="77777777" w:rsidR="002F5868" w:rsidRDefault="00DD1AC6">
      <w:pPr>
        <w:pStyle w:val="List"/>
      </w:pPr>
      <w:r>
        <w:t>(b)</w:t>
      </w:r>
      <w:r>
        <w:tab/>
      </w:r>
      <w:proofErr w:type="spellStart"/>
      <w:r>
        <w:t>eXtensible</w:t>
      </w:r>
      <w:proofErr w:type="spellEnd"/>
      <w:r>
        <w:t xml:space="preserve"> Markup Language (XML) access to the MIS Certified Area.</w:t>
      </w:r>
    </w:p>
    <w:p w14:paraId="0919EF3D" w14:textId="77777777" w:rsidR="002F5868" w:rsidRPr="008910B8" w:rsidRDefault="00DD1AC6">
      <w:pPr>
        <w:pStyle w:val="H3"/>
        <w:rPr>
          <w:b/>
          <w:i/>
        </w:rPr>
      </w:pPr>
      <w:bookmarkStart w:id="30" w:name="_Toc309731020"/>
      <w:bookmarkStart w:id="31" w:name="_Toc405814002"/>
      <w:bookmarkStart w:id="32" w:name="_Toc422207892"/>
      <w:bookmarkStart w:id="33" w:name="_Toc438044806"/>
      <w:bookmarkStart w:id="34" w:name="_Toc447622589"/>
      <w:bookmarkStart w:id="35" w:name="_Toc80175239"/>
      <w:r w:rsidRPr="008910B8">
        <w:rPr>
          <w:b/>
          <w:i/>
        </w:rPr>
        <w:lastRenderedPageBreak/>
        <w:t>9.1.4</w:t>
      </w:r>
      <w:r w:rsidRPr="008910B8">
        <w:rPr>
          <w:b/>
          <w:i/>
        </w:rPr>
        <w:tab/>
        <w:t>Settlement Statement and Invoice Timing</w:t>
      </w:r>
      <w:bookmarkEnd w:id="30"/>
      <w:bookmarkEnd w:id="31"/>
      <w:bookmarkEnd w:id="32"/>
      <w:bookmarkEnd w:id="33"/>
      <w:bookmarkEnd w:id="34"/>
      <w:bookmarkEnd w:id="35"/>
    </w:p>
    <w:p w14:paraId="42FBAC22" w14:textId="77777777" w:rsidR="002F5868" w:rsidRDefault="00A0123C" w:rsidP="00660ED3">
      <w:pPr>
        <w:pStyle w:val="BodyTextNumbered"/>
      </w:pPr>
      <w:r>
        <w:rPr>
          <w:iCs/>
        </w:rPr>
        <w:t>(1)</w:t>
      </w:r>
      <w:r>
        <w:rPr>
          <w:iCs/>
        </w:rPr>
        <w:tab/>
      </w:r>
      <w:r w:rsidR="00DD1AC6">
        <w:t xml:space="preserve">Unless expressly stated otherwise, the publication of each Settlement Statement and Invoice can occur as late as 2400 on its scheduled publication date. </w:t>
      </w:r>
    </w:p>
    <w:p w14:paraId="4C077E4D" w14:textId="77777777" w:rsidR="002F5868" w:rsidRPr="008910B8" w:rsidRDefault="00DD1AC6">
      <w:pPr>
        <w:pStyle w:val="H3"/>
        <w:rPr>
          <w:b/>
          <w:i/>
        </w:rPr>
      </w:pPr>
      <w:bookmarkStart w:id="36" w:name="_Toc309731021"/>
      <w:bookmarkStart w:id="37" w:name="_Toc405814003"/>
      <w:bookmarkStart w:id="38" w:name="_Toc422207893"/>
      <w:bookmarkStart w:id="39" w:name="_Toc438044807"/>
      <w:bookmarkStart w:id="40" w:name="_Toc447622590"/>
      <w:bookmarkStart w:id="41" w:name="_Toc80175240"/>
      <w:r w:rsidRPr="008910B8">
        <w:rPr>
          <w:b/>
          <w:i/>
        </w:rPr>
        <w:t>9.1.5</w:t>
      </w:r>
      <w:r w:rsidRPr="008910B8">
        <w:rPr>
          <w:b/>
          <w:i/>
        </w:rPr>
        <w:tab/>
        <w:t>Settlement Payment Convention</w:t>
      </w:r>
      <w:bookmarkEnd w:id="36"/>
      <w:bookmarkEnd w:id="37"/>
      <w:bookmarkEnd w:id="38"/>
      <w:bookmarkEnd w:id="39"/>
      <w:bookmarkEnd w:id="40"/>
      <w:bookmarkEnd w:id="41"/>
    </w:p>
    <w:p w14:paraId="568523AB" w14:textId="77777777" w:rsidR="002F5868" w:rsidRDefault="00A0123C" w:rsidP="00660ED3">
      <w:pPr>
        <w:pStyle w:val="BodyTextNumbered"/>
      </w:pPr>
      <w:r>
        <w:rPr>
          <w:iCs/>
        </w:rPr>
        <w:t>(1)</w:t>
      </w:r>
      <w:r>
        <w:rPr>
          <w:iCs/>
        </w:rPr>
        <w:tab/>
      </w:r>
      <w:r w:rsidR="00DD1AC6">
        <w:t>A Settlement Statement or Invoice containing a negative amount represents a payment due by ERCOT to the Market Participant that received the Statement or Invoice.  A Settlement Statement or Invoice containing a positive amount represents a payment due to ERCOT by the Market Participant that received the Statement or Invoice.</w:t>
      </w:r>
    </w:p>
    <w:p w14:paraId="4CB62CD7" w14:textId="77777777" w:rsidR="002F5868" w:rsidRDefault="00DD1AC6">
      <w:pPr>
        <w:pStyle w:val="H2"/>
      </w:pPr>
      <w:bookmarkStart w:id="42" w:name="_Toc309731022"/>
      <w:bookmarkStart w:id="43" w:name="_Toc405814004"/>
      <w:bookmarkStart w:id="44" w:name="_Toc422207894"/>
      <w:bookmarkStart w:id="45" w:name="_Toc438044808"/>
      <w:bookmarkStart w:id="46" w:name="_Toc447622591"/>
      <w:bookmarkStart w:id="47" w:name="_Toc80175241"/>
      <w:r>
        <w:t>9.2</w:t>
      </w:r>
      <w:r>
        <w:tab/>
        <w:t>Settlement Statements for the Day-Ahead Market</w:t>
      </w:r>
      <w:bookmarkEnd w:id="42"/>
      <w:bookmarkEnd w:id="43"/>
      <w:bookmarkEnd w:id="44"/>
      <w:bookmarkEnd w:id="45"/>
      <w:bookmarkEnd w:id="46"/>
      <w:bookmarkEnd w:id="47"/>
    </w:p>
    <w:p w14:paraId="03E30628" w14:textId="77777777" w:rsidR="002F5868" w:rsidRPr="008910B8" w:rsidRDefault="00DD1AC6">
      <w:pPr>
        <w:pStyle w:val="H3"/>
        <w:rPr>
          <w:b/>
          <w:i/>
        </w:rPr>
      </w:pPr>
      <w:bookmarkStart w:id="48" w:name="_Toc309731023"/>
      <w:bookmarkStart w:id="49" w:name="_Toc405814005"/>
      <w:bookmarkStart w:id="50" w:name="_Toc422207895"/>
      <w:bookmarkStart w:id="51" w:name="_Toc438044809"/>
      <w:bookmarkStart w:id="52" w:name="_Toc447622592"/>
      <w:bookmarkStart w:id="53" w:name="_Toc80175242"/>
      <w:r w:rsidRPr="008910B8">
        <w:rPr>
          <w:b/>
          <w:i/>
        </w:rPr>
        <w:t>9.2.1</w:t>
      </w:r>
      <w:r w:rsidRPr="008910B8">
        <w:rPr>
          <w:b/>
          <w:i/>
        </w:rPr>
        <w:tab/>
        <w:t>Settlement Statement Process for the DAM</w:t>
      </w:r>
      <w:bookmarkEnd w:id="48"/>
      <w:bookmarkEnd w:id="49"/>
      <w:bookmarkEnd w:id="50"/>
      <w:bookmarkEnd w:id="51"/>
      <w:bookmarkEnd w:id="52"/>
      <w:bookmarkEnd w:id="53"/>
    </w:p>
    <w:p w14:paraId="376FDC09" w14:textId="77777777" w:rsidR="002F5868" w:rsidRDefault="00A0123C" w:rsidP="00660ED3">
      <w:pPr>
        <w:pStyle w:val="BodyTextNumbered"/>
      </w:pPr>
      <w:r>
        <w:rPr>
          <w:iCs/>
        </w:rPr>
        <w:t>(1)</w:t>
      </w:r>
      <w:r>
        <w:rPr>
          <w:iCs/>
        </w:rPr>
        <w:tab/>
      </w:r>
      <w:r w:rsidR="00DD1AC6">
        <w:t>ERCOT shall produce daily Settlement Statements for the Day-Ahead Market (DAM), as defined in Section 9.2.2, Settlement Statements for the DAM, that show a breakdown of Charge Types incurred in the DAM, including any administrative and miscellaneous charges applicable to the DAM.  “Charge Types” are the various categories of specific charges referenced in Section 9.15.1, Charge Type Matrix.</w:t>
      </w:r>
    </w:p>
    <w:p w14:paraId="59592540" w14:textId="77777777" w:rsidR="002F5868" w:rsidRPr="008910B8" w:rsidRDefault="00DD1AC6">
      <w:pPr>
        <w:pStyle w:val="H3"/>
        <w:rPr>
          <w:b/>
          <w:i/>
        </w:rPr>
      </w:pPr>
      <w:bookmarkStart w:id="54" w:name="_Toc309731024"/>
      <w:bookmarkStart w:id="55" w:name="_Toc405814006"/>
      <w:bookmarkStart w:id="56" w:name="_Toc422207896"/>
      <w:bookmarkStart w:id="57" w:name="_Toc438044810"/>
      <w:bookmarkStart w:id="58" w:name="_Toc447622593"/>
      <w:bookmarkStart w:id="59" w:name="_Toc80175243"/>
      <w:r w:rsidRPr="008910B8">
        <w:rPr>
          <w:b/>
          <w:i/>
        </w:rPr>
        <w:t>9.2.2</w:t>
      </w:r>
      <w:r w:rsidRPr="008910B8">
        <w:rPr>
          <w:b/>
          <w:i/>
        </w:rPr>
        <w:tab/>
        <w:t xml:space="preserve"> </w:t>
      </w:r>
      <w:bookmarkStart w:id="60" w:name="_Toc97371082"/>
      <w:r w:rsidRPr="008910B8">
        <w:rPr>
          <w:b/>
          <w:i/>
        </w:rPr>
        <w:t>Settlement Statements for the DAM</w:t>
      </w:r>
      <w:bookmarkEnd w:id="54"/>
      <w:bookmarkEnd w:id="55"/>
      <w:bookmarkEnd w:id="56"/>
      <w:bookmarkEnd w:id="57"/>
      <w:bookmarkEnd w:id="58"/>
      <w:bookmarkEnd w:id="60"/>
      <w:bookmarkEnd w:id="59"/>
    </w:p>
    <w:p w14:paraId="4BF6FC3D" w14:textId="77777777" w:rsidR="002F5868" w:rsidRDefault="00DD1AC6">
      <w:pPr>
        <w:pStyle w:val="BodyTextNumbered"/>
      </w:pPr>
      <w:r>
        <w:t>(1)</w:t>
      </w:r>
      <w:r>
        <w:tab/>
        <w:t>ERCOT shall make each Settlement Statement for a DAM available on the date specified on the Settlement Calendar for that DAM by posting it on the Market Information System (MIS) Certified Area for the applicable Market Participant to which the Settlement Statement is addressed (Statement Recipient).</w:t>
      </w:r>
    </w:p>
    <w:p w14:paraId="5D3790E4" w14:textId="77777777" w:rsidR="002F5868" w:rsidRDefault="00DD1AC6">
      <w:pPr>
        <w:pStyle w:val="BodyTextNumbered"/>
      </w:pPr>
      <w:r>
        <w:t>(2)</w:t>
      </w:r>
      <w:r>
        <w:tab/>
        <w:t xml:space="preserve">A Settlement Statement for the DAM can be: </w:t>
      </w:r>
    </w:p>
    <w:p w14:paraId="37BE67C6" w14:textId="77777777" w:rsidR="002F5868" w:rsidRDefault="00DD1AC6">
      <w:pPr>
        <w:pStyle w:val="List"/>
      </w:pPr>
      <w:r>
        <w:t>(a)</w:t>
      </w:r>
      <w:r>
        <w:tab/>
        <w:t>A “DAM Statement,” which is the Settlement Statement issued for a particular DAM;</w:t>
      </w:r>
    </w:p>
    <w:p w14:paraId="1E9FF4D1" w14:textId="77777777" w:rsidR="002F5868" w:rsidRDefault="00DD1AC6">
      <w:pPr>
        <w:pStyle w:val="List"/>
      </w:pPr>
      <w:r>
        <w:t>(b)</w:t>
      </w:r>
      <w:r>
        <w:tab/>
        <w:t>A “DAM Resettlement Statement,” which corrects a DAM Statement.</w:t>
      </w:r>
    </w:p>
    <w:p w14:paraId="797FC040" w14:textId="77777777" w:rsidR="002F5868" w:rsidRDefault="00DD1AC6">
      <w:pPr>
        <w:pStyle w:val="BodyTextNumbered"/>
      </w:pPr>
      <w:r>
        <w:t>(3)</w:t>
      </w:r>
      <w:r>
        <w:tab/>
        <w:t>The Statement Recipient is responsible for accessing the statement from the MIS Certified Area.</w:t>
      </w:r>
    </w:p>
    <w:p w14:paraId="34FF5EA5" w14:textId="77777777" w:rsidR="002F5868" w:rsidRDefault="00DD1AC6">
      <w:pPr>
        <w:pStyle w:val="BodyTextNumbered"/>
      </w:pPr>
      <w:r>
        <w:t>(4)</w:t>
      </w:r>
      <w:r>
        <w:tab/>
        <w:t xml:space="preserve">ERCOT shall create a DAM Statement for each DAM.  </w:t>
      </w:r>
    </w:p>
    <w:p w14:paraId="43DEC279" w14:textId="77777777" w:rsidR="002F5868" w:rsidRDefault="00DD1AC6">
      <w:pPr>
        <w:pStyle w:val="BodyTextNumbered"/>
      </w:pPr>
      <w:r>
        <w:t>(5)</w:t>
      </w:r>
      <w:r>
        <w:tab/>
        <w:t>ERCOT may create a DAM Resettlement Statement for the DAM, depending on the criteria set forth in Section 9.2.5, DAM Resettlement Statement.</w:t>
      </w:r>
    </w:p>
    <w:p w14:paraId="53D77053" w14:textId="77777777" w:rsidR="002F5868" w:rsidRDefault="00DD1AC6">
      <w:pPr>
        <w:pStyle w:val="BodyTextNumbered"/>
      </w:pPr>
      <w:r>
        <w:t>(6)</w:t>
      </w:r>
      <w:r>
        <w:tab/>
        <w:t>Each Settlement Statement for the DAM must denote:</w:t>
      </w:r>
    </w:p>
    <w:p w14:paraId="0AFD0E3A" w14:textId="77777777" w:rsidR="002F5868" w:rsidRDefault="00DD1AC6">
      <w:pPr>
        <w:pStyle w:val="List"/>
      </w:pPr>
      <w:r>
        <w:lastRenderedPageBreak/>
        <w:t>(a)</w:t>
      </w:r>
      <w:r>
        <w:tab/>
        <w:t>The applicable Operating Day;</w:t>
      </w:r>
    </w:p>
    <w:p w14:paraId="29177407" w14:textId="77777777" w:rsidR="002F5868" w:rsidRDefault="00DD1AC6">
      <w:pPr>
        <w:pStyle w:val="List"/>
      </w:pPr>
      <w:r>
        <w:t>(b)</w:t>
      </w:r>
      <w:r>
        <w:tab/>
        <w:t>The Statement Recipient’s name;</w:t>
      </w:r>
    </w:p>
    <w:p w14:paraId="03CB09C9" w14:textId="77777777" w:rsidR="002F5868" w:rsidRDefault="00DD1AC6">
      <w:pPr>
        <w:pStyle w:val="List"/>
      </w:pPr>
      <w:r>
        <w:t>(c)</w:t>
      </w:r>
      <w:r>
        <w:tab/>
        <w:t>The ERCOT identifier (settlement identification number issued by ERCOT);</w:t>
      </w:r>
    </w:p>
    <w:p w14:paraId="1F43244F" w14:textId="77777777" w:rsidR="002F5868" w:rsidRDefault="00DD1AC6">
      <w:pPr>
        <w:pStyle w:val="List"/>
      </w:pPr>
      <w:r>
        <w:t>(d)</w:t>
      </w:r>
      <w:r>
        <w:tab/>
        <w:t>Status of the statement (DAM Statement  or DAM Resettlement Statement);</w:t>
      </w:r>
    </w:p>
    <w:p w14:paraId="6DD4BEB1" w14:textId="77777777" w:rsidR="002F5868" w:rsidRDefault="00DD1AC6">
      <w:pPr>
        <w:pStyle w:val="List"/>
      </w:pPr>
      <w:r>
        <w:t>(e)</w:t>
      </w:r>
      <w:r>
        <w:tab/>
        <w:t>Statement version number;</w:t>
      </w:r>
    </w:p>
    <w:p w14:paraId="15A47DE5" w14:textId="77777777" w:rsidR="002F5868" w:rsidRDefault="00DD1AC6">
      <w:pPr>
        <w:pStyle w:val="List"/>
      </w:pPr>
      <w:r>
        <w:t>(f)</w:t>
      </w:r>
      <w:r>
        <w:tab/>
        <w:t>Unique statement identification code; and</w:t>
      </w:r>
    </w:p>
    <w:p w14:paraId="627E7BC0" w14:textId="77777777" w:rsidR="002F5868" w:rsidRDefault="00DD1AC6">
      <w:pPr>
        <w:pStyle w:val="List"/>
      </w:pPr>
      <w:r>
        <w:t>(g)</w:t>
      </w:r>
      <w:r>
        <w:tab/>
        <w:t>Charge Types settled.</w:t>
      </w:r>
    </w:p>
    <w:p w14:paraId="295E727B" w14:textId="77777777" w:rsidR="002F5868" w:rsidRDefault="00DD1AC6">
      <w:pPr>
        <w:pStyle w:val="BodyTextNumbered"/>
      </w:pPr>
      <w:r>
        <w:t>(7)</w:t>
      </w:r>
      <w:r>
        <w:tab/>
        <w:t xml:space="preserve">Settlement Statements for the DAM must break fees down by Charge Types into the appropriate one-hour Settlement Interval for that type.  </w:t>
      </w:r>
    </w:p>
    <w:p w14:paraId="275AAA95" w14:textId="77777777" w:rsidR="002F5868" w:rsidRDefault="00DD1AC6">
      <w:pPr>
        <w:pStyle w:val="BodyTextNumbered"/>
      </w:pPr>
      <w:r>
        <w:t>(8)</w:t>
      </w:r>
      <w:r>
        <w:tab/>
        <w:t>The Settlement Statement for the DAM must have a summary page of the corresponding detailed documentation.</w:t>
      </w:r>
    </w:p>
    <w:p w14:paraId="5C4EDE0F" w14:textId="77777777" w:rsidR="002F5868" w:rsidRPr="008910B8" w:rsidRDefault="00DD1AC6">
      <w:pPr>
        <w:pStyle w:val="H3"/>
        <w:rPr>
          <w:b/>
          <w:i/>
        </w:rPr>
      </w:pPr>
      <w:bookmarkStart w:id="61" w:name="_Toc309731025"/>
      <w:bookmarkStart w:id="62" w:name="_Toc405814007"/>
      <w:bookmarkStart w:id="63" w:name="_Toc422207897"/>
      <w:bookmarkStart w:id="64" w:name="_Toc438044811"/>
      <w:bookmarkStart w:id="65" w:name="_Toc447622594"/>
      <w:bookmarkStart w:id="66" w:name="_Toc80175244"/>
      <w:r w:rsidRPr="008910B8">
        <w:rPr>
          <w:b/>
          <w:i/>
        </w:rPr>
        <w:t>9.2.3</w:t>
      </w:r>
      <w:r w:rsidRPr="008910B8">
        <w:rPr>
          <w:b/>
          <w:i/>
        </w:rPr>
        <w:tab/>
        <w:t>DAM Settlement Charge Types</w:t>
      </w:r>
      <w:bookmarkEnd w:id="61"/>
      <w:bookmarkEnd w:id="62"/>
      <w:bookmarkEnd w:id="63"/>
      <w:bookmarkEnd w:id="64"/>
      <w:bookmarkEnd w:id="65"/>
      <w:bookmarkEnd w:id="66"/>
    </w:p>
    <w:p w14:paraId="58A9CDAC" w14:textId="77777777" w:rsidR="002F5868" w:rsidRDefault="00A0123C" w:rsidP="00660ED3">
      <w:pPr>
        <w:pStyle w:val="BodyTextNumbered"/>
      </w:pPr>
      <w:r>
        <w:rPr>
          <w:iCs/>
        </w:rPr>
        <w:t>(1)</w:t>
      </w:r>
      <w:r>
        <w:rPr>
          <w:iCs/>
        </w:rPr>
        <w:tab/>
      </w:r>
      <w:r w:rsidR="00DD1AC6">
        <w:t>ERCOT shall provide, on each Settlement Statement, the dollar amount for each DAM Settlement charge and payment.  The DAM settlement “Charge Types” are:</w:t>
      </w:r>
    </w:p>
    <w:p w14:paraId="054432BA" w14:textId="77777777" w:rsidR="002F5868" w:rsidRDefault="00DD1AC6">
      <w:pPr>
        <w:pStyle w:val="List"/>
      </w:pPr>
      <w:r>
        <w:t>(a)</w:t>
      </w:r>
      <w:r>
        <w:tab/>
        <w:t>Section 4.6.2.1, Day-Ahead Energy Payment;</w:t>
      </w:r>
    </w:p>
    <w:p w14:paraId="245ACAFC" w14:textId="77777777" w:rsidR="002F5868" w:rsidRDefault="00DD1AC6">
      <w:pPr>
        <w:pStyle w:val="List"/>
      </w:pPr>
      <w:r>
        <w:t>(b)</w:t>
      </w:r>
      <w:r>
        <w:tab/>
        <w:t>Section 4.6.2.2, Day-Ahead Energy Charge;</w:t>
      </w:r>
    </w:p>
    <w:p w14:paraId="4A29EEFA" w14:textId="77777777" w:rsidR="002F5868" w:rsidRDefault="00DD1AC6">
      <w:pPr>
        <w:pStyle w:val="List"/>
      </w:pPr>
      <w:r>
        <w:t>(c)</w:t>
      </w:r>
      <w:r>
        <w:tab/>
        <w:t>Section 4.6.2.3.1, Day-Ahead Make-Whole Payment;</w:t>
      </w:r>
    </w:p>
    <w:p w14:paraId="45C1C6F6" w14:textId="77777777" w:rsidR="002F5868" w:rsidRDefault="00DD1AC6">
      <w:pPr>
        <w:pStyle w:val="List"/>
      </w:pPr>
      <w:r>
        <w:t>(d)</w:t>
      </w:r>
      <w:r>
        <w:tab/>
        <w:t>Section 4.6.2.3.2, Day-Ahead Make-Whole Charge;</w:t>
      </w:r>
    </w:p>
    <w:p w14:paraId="35FA928D" w14:textId="77777777" w:rsidR="002F5868" w:rsidRDefault="00DD1AC6">
      <w:pPr>
        <w:pStyle w:val="List"/>
      </w:pPr>
      <w:r>
        <w:t>(e)</w:t>
      </w:r>
      <w:r>
        <w:tab/>
        <w:t>Section 4.6.3, Settlement for PTP Obligations Bought in DAM;</w:t>
      </w:r>
    </w:p>
    <w:p w14:paraId="68D4F420" w14:textId="77777777" w:rsidR="002F5868" w:rsidRDefault="00DD1AC6">
      <w:pPr>
        <w:pStyle w:val="List"/>
      </w:pPr>
      <w:r>
        <w:t>(f)</w:t>
      </w:r>
      <w:r>
        <w:tab/>
        <w:t>Section 4.6.4.1.1, Regulation Up Service Payment;</w:t>
      </w:r>
    </w:p>
    <w:p w14:paraId="4CA665B6" w14:textId="77777777" w:rsidR="002F5868" w:rsidRDefault="00DD1AC6">
      <w:pPr>
        <w:pStyle w:val="List"/>
      </w:pPr>
      <w:r>
        <w:t>(g)</w:t>
      </w:r>
      <w:r>
        <w:tab/>
        <w:t>Section 4.6.4.1.2, Regulation Down Service Payment;</w:t>
      </w:r>
    </w:p>
    <w:p w14:paraId="2698DB26" w14:textId="77777777" w:rsidR="007A62DD" w:rsidRDefault="00DD1AC6" w:rsidP="007A62DD">
      <w:pPr>
        <w:pStyle w:val="List"/>
      </w:pPr>
      <w:r w:rsidRPr="00FB4B74">
        <w:t>(h)</w:t>
      </w:r>
      <w:r w:rsidRPr="00FB4B74">
        <w:tab/>
        <w:t>Section 4.6.4.1.3, Responsive Reserve Payment;</w:t>
      </w:r>
    </w:p>
    <w:p w14:paraId="511C0716" w14:textId="10F6B280" w:rsidR="002F5868" w:rsidRDefault="00DD1AC6" w:rsidP="00D36908">
      <w:pPr>
        <w:pStyle w:val="List"/>
      </w:pPr>
      <w:r>
        <w:t>(i)</w:t>
      </w:r>
      <w:r>
        <w:tab/>
        <w:t>Section 4.6.4.1.4, Non-Spinning Reserve Service Payment;</w:t>
      </w:r>
    </w:p>
    <w:p w14:paraId="632A9DCF" w14:textId="74F4E8B6" w:rsidR="006B2D58" w:rsidRDefault="006B2D58" w:rsidP="00D36908">
      <w:pPr>
        <w:pStyle w:val="List"/>
      </w:pPr>
      <w:r w:rsidRPr="0003648D">
        <w:t>(j)</w:t>
      </w:r>
      <w:r w:rsidRPr="0003648D">
        <w:tab/>
        <w:t xml:space="preserve">Section 4.6.4.1.5, </w:t>
      </w:r>
      <w:r>
        <w:t>ERCOT Contingency Reserve Service</w:t>
      </w:r>
      <w:r w:rsidRPr="0003648D">
        <w:t xml:space="preserve"> Payment;</w:t>
      </w:r>
    </w:p>
    <w:p w14:paraId="0422DF2D" w14:textId="6660C0D5" w:rsidR="002F5868" w:rsidRDefault="00DD1AC6" w:rsidP="00353B99">
      <w:pPr>
        <w:pStyle w:val="List"/>
      </w:pPr>
      <w:r>
        <w:t>(</w:t>
      </w:r>
      <w:r w:rsidR="006B2D58">
        <w:t>k</w:t>
      </w:r>
      <w:r>
        <w:t>)</w:t>
      </w:r>
      <w:r>
        <w:tab/>
        <w:t>Section 4.6.4.2.1, Regulation Up Service Charge;</w:t>
      </w:r>
    </w:p>
    <w:p w14:paraId="48D8750C" w14:textId="1A446877" w:rsidR="002F5868" w:rsidRDefault="00DD1AC6">
      <w:pPr>
        <w:pStyle w:val="List"/>
      </w:pPr>
      <w:r>
        <w:t>(</w:t>
      </w:r>
      <w:r w:rsidR="006B2D58">
        <w:t>l</w:t>
      </w:r>
      <w:r>
        <w:t>)</w:t>
      </w:r>
      <w:r>
        <w:tab/>
        <w:t xml:space="preserve">Section 4.6.4.2.2, </w:t>
      </w:r>
      <w:hyperlink w:anchor="_Toc109527549" w:history="1">
        <w:r>
          <w:t>Regulation Down Service Charge</w:t>
        </w:r>
      </w:hyperlink>
      <w:r>
        <w:t>;</w:t>
      </w:r>
    </w:p>
    <w:p w14:paraId="330F33F0" w14:textId="4DB16049" w:rsidR="00CE1AB7" w:rsidRDefault="00DD1AC6" w:rsidP="00CE1AB7">
      <w:pPr>
        <w:pStyle w:val="List"/>
      </w:pPr>
      <w:r>
        <w:rPr>
          <w:lang w:val="pt-BR"/>
        </w:rPr>
        <w:lastRenderedPageBreak/>
        <w:t>(</w:t>
      </w:r>
      <w:r w:rsidR="006B2D58">
        <w:rPr>
          <w:lang w:val="pt-BR"/>
        </w:rPr>
        <w:t>m</w:t>
      </w:r>
      <w:r>
        <w:rPr>
          <w:lang w:val="pt-BR"/>
        </w:rPr>
        <w:t>)</w:t>
      </w:r>
      <w:r>
        <w:rPr>
          <w:lang w:val="pt-BR"/>
        </w:rPr>
        <w:tab/>
      </w:r>
      <w:r>
        <w:t xml:space="preserve">Section 4.6.4.2.3, </w:t>
      </w:r>
      <w:r>
        <w:rPr>
          <w:lang w:val="pt-BR"/>
        </w:rPr>
        <w:t>Responsive Reserve Charge;</w:t>
      </w:r>
    </w:p>
    <w:p w14:paraId="69484B36" w14:textId="1A14F1B1" w:rsidR="002F5868" w:rsidRDefault="00DD1AC6" w:rsidP="00D36908">
      <w:pPr>
        <w:pStyle w:val="List"/>
      </w:pPr>
      <w:r>
        <w:t>(</w:t>
      </w:r>
      <w:r w:rsidR="006B2D58">
        <w:t>n</w:t>
      </w:r>
      <w:r>
        <w:t>)</w:t>
      </w:r>
      <w:r>
        <w:tab/>
        <w:t>Section 4.6.4.2.4, Non-Spinning Reserve Service Charge;</w:t>
      </w:r>
    </w:p>
    <w:p w14:paraId="0C91716F" w14:textId="5FF975BB" w:rsidR="006B2D58" w:rsidRDefault="006B2D58" w:rsidP="00D36908">
      <w:pPr>
        <w:pStyle w:val="List"/>
      </w:pPr>
      <w:r w:rsidRPr="0003648D">
        <w:t>(o)</w:t>
      </w:r>
      <w:r w:rsidRPr="0003648D">
        <w:tab/>
        <w:t xml:space="preserve">Section 4.6.4.2.5, </w:t>
      </w:r>
      <w:r>
        <w:t>ERCOT Contingency Reserve Service</w:t>
      </w:r>
      <w:r w:rsidRPr="0003648D">
        <w:t xml:space="preserve"> Charge;</w:t>
      </w:r>
    </w:p>
    <w:p w14:paraId="6EBF2150" w14:textId="4911E098" w:rsidR="002F5868" w:rsidRDefault="00DD1AC6" w:rsidP="00353B99">
      <w:pPr>
        <w:pStyle w:val="List"/>
      </w:pPr>
      <w:r>
        <w:t>(</w:t>
      </w:r>
      <w:r w:rsidR="006B2D58">
        <w:t>p</w:t>
      </w:r>
      <w:r>
        <w:t>)</w:t>
      </w:r>
      <w:r>
        <w:tab/>
        <w:t xml:space="preserve">Section 7.9.1.1, </w:t>
      </w:r>
      <w:proofErr w:type="gramStart"/>
      <w:r>
        <w:t>Payments</w:t>
      </w:r>
      <w:proofErr w:type="gramEnd"/>
      <w:r>
        <w:t xml:space="preserve"> and Charges for PTP Obligations Settled in DAM;</w:t>
      </w:r>
    </w:p>
    <w:p w14:paraId="356DE67C" w14:textId="35C2834A" w:rsidR="002F5868" w:rsidRDefault="00DD1AC6">
      <w:pPr>
        <w:pStyle w:val="List"/>
      </w:pPr>
      <w:r>
        <w:t>(</w:t>
      </w:r>
      <w:r w:rsidR="006B2D58">
        <w:t>q</w:t>
      </w:r>
      <w:r>
        <w:t>)</w:t>
      </w:r>
      <w:r>
        <w:tab/>
        <w:t>Section 7.9.1.2, Payments for PTP Options Settled in DAM;</w:t>
      </w:r>
    </w:p>
    <w:p w14:paraId="542FF697" w14:textId="20435154" w:rsidR="002F5868" w:rsidRDefault="00DD1AC6">
      <w:pPr>
        <w:pStyle w:val="List"/>
      </w:pPr>
      <w:r>
        <w:t>(</w:t>
      </w:r>
      <w:r w:rsidR="00397195">
        <w:t>r</w:t>
      </w:r>
      <w:r>
        <w:t>)</w:t>
      </w:r>
      <w:r>
        <w:tab/>
        <w:t>Section 7.9.1.4, Payments for FGRs Settled in DAM;</w:t>
      </w:r>
    </w:p>
    <w:p w14:paraId="4F13ED00" w14:textId="7DFEECEB" w:rsidR="002F5868" w:rsidRDefault="00DD1AC6">
      <w:pPr>
        <w:pStyle w:val="List"/>
      </w:pPr>
      <w:r>
        <w:t>(</w:t>
      </w:r>
      <w:r w:rsidR="00397195">
        <w:t>s</w:t>
      </w:r>
      <w:r>
        <w:t>)</w:t>
      </w:r>
      <w:r>
        <w:tab/>
        <w:t xml:space="preserve">Section 7.9.1.5, </w:t>
      </w:r>
      <w:proofErr w:type="gramStart"/>
      <w:r>
        <w:t>Payments</w:t>
      </w:r>
      <w:proofErr w:type="gramEnd"/>
      <w:r>
        <w:t xml:space="preserve"> and Charges for PTP Obligations with Refund Settled in DAM;</w:t>
      </w:r>
    </w:p>
    <w:p w14:paraId="4A77F34A" w14:textId="522AD1BB" w:rsidR="002F5868" w:rsidRDefault="00DD1AC6">
      <w:pPr>
        <w:pStyle w:val="List"/>
      </w:pPr>
      <w:r>
        <w:t>(</w:t>
      </w:r>
      <w:r w:rsidR="00397195">
        <w:t>t</w:t>
      </w:r>
      <w:r>
        <w:t>)</w:t>
      </w:r>
      <w:r>
        <w:tab/>
        <w:t>Section 7.9.1.6, Payments for PTP Options with Refund Settled in DAM; and</w:t>
      </w:r>
    </w:p>
    <w:p w14:paraId="76BD3300" w14:textId="390676EA" w:rsidR="002F5868" w:rsidRDefault="00DD1AC6">
      <w:pPr>
        <w:pStyle w:val="List"/>
      </w:pPr>
      <w:r>
        <w:t>(</w:t>
      </w:r>
      <w:r w:rsidR="00397195">
        <w:t>u</w:t>
      </w:r>
      <w:r>
        <w:t>)</w:t>
      </w:r>
      <w:r>
        <w:tab/>
      </w:r>
      <w:r w:rsidR="00A46174">
        <w:t xml:space="preserve">Paragraph (2) of </w:t>
      </w:r>
      <w:r>
        <w:t>Section 7.9.3.3, Shortfall Charges to CRR Owners.</w:t>
      </w:r>
    </w:p>
    <w:p w14:paraId="535A6E07" w14:textId="77777777" w:rsidR="002F5868" w:rsidRPr="008910B8" w:rsidRDefault="00DD1AC6">
      <w:pPr>
        <w:pStyle w:val="H3"/>
        <w:rPr>
          <w:b/>
          <w:i/>
        </w:rPr>
      </w:pPr>
      <w:bookmarkStart w:id="67" w:name="_Toc309731026"/>
      <w:bookmarkStart w:id="68" w:name="_Toc405814008"/>
      <w:bookmarkStart w:id="69" w:name="_Toc422207898"/>
      <w:bookmarkStart w:id="70" w:name="_Toc438044812"/>
      <w:bookmarkStart w:id="71" w:name="_Toc447622595"/>
      <w:bookmarkStart w:id="72" w:name="_Toc80175245"/>
      <w:r w:rsidRPr="008910B8">
        <w:rPr>
          <w:b/>
          <w:i/>
        </w:rPr>
        <w:t>9.2.4</w:t>
      </w:r>
      <w:r w:rsidRPr="008910B8">
        <w:rPr>
          <w:b/>
          <w:i/>
        </w:rPr>
        <w:tab/>
        <w:t>DAM Statement</w:t>
      </w:r>
      <w:bookmarkEnd w:id="67"/>
      <w:bookmarkEnd w:id="68"/>
      <w:bookmarkEnd w:id="69"/>
      <w:bookmarkEnd w:id="70"/>
      <w:bookmarkEnd w:id="71"/>
      <w:bookmarkEnd w:id="72"/>
    </w:p>
    <w:p w14:paraId="4F3BD317" w14:textId="77777777" w:rsidR="002F5868" w:rsidRDefault="00A0123C" w:rsidP="00660ED3">
      <w:pPr>
        <w:pStyle w:val="BodyTextNumbered"/>
      </w:pPr>
      <w:r>
        <w:rPr>
          <w:iCs/>
        </w:rPr>
        <w:t>(1)</w:t>
      </w:r>
      <w:r>
        <w:rPr>
          <w:iCs/>
        </w:rPr>
        <w:tab/>
      </w:r>
      <w:r w:rsidR="00DD1AC6">
        <w:t>ERCOT shall produce a DAM Statement for each Statement Recipient for the given DAM on the second Business Day after the Operating Day.</w:t>
      </w:r>
    </w:p>
    <w:p w14:paraId="451DFD4F" w14:textId="77777777" w:rsidR="002F5868" w:rsidRPr="008910B8" w:rsidRDefault="00DD1AC6">
      <w:pPr>
        <w:pStyle w:val="H3"/>
        <w:rPr>
          <w:b/>
          <w:i/>
        </w:rPr>
      </w:pPr>
      <w:bookmarkStart w:id="73" w:name="_Toc309731027"/>
      <w:bookmarkStart w:id="74" w:name="_Toc405814009"/>
      <w:bookmarkStart w:id="75" w:name="_Toc422207899"/>
      <w:bookmarkStart w:id="76" w:name="_Toc438044813"/>
      <w:bookmarkStart w:id="77" w:name="_Toc447622596"/>
      <w:bookmarkStart w:id="78" w:name="_Toc80175246"/>
      <w:r w:rsidRPr="008910B8">
        <w:rPr>
          <w:b/>
          <w:i/>
        </w:rPr>
        <w:t>9.2.5</w:t>
      </w:r>
      <w:r w:rsidRPr="008910B8">
        <w:rPr>
          <w:b/>
          <w:i/>
        </w:rPr>
        <w:tab/>
        <w:t>DAM Resettlement Statement</w:t>
      </w:r>
      <w:bookmarkEnd w:id="73"/>
      <w:bookmarkEnd w:id="74"/>
      <w:bookmarkEnd w:id="75"/>
      <w:bookmarkEnd w:id="76"/>
      <w:bookmarkEnd w:id="77"/>
      <w:bookmarkEnd w:id="78"/>
    </w:p>
    <w:p w14:paraId="2A8BA561" w14:textId="5464CEB4" w:rsidR="00D41086" w:rsidRPr="00A10FC3" w:rsidRDefault="00D41086" w:rsidP="00D41086">
      <w:pPr>
        <w:spacing w:after="240"/>
        <w:ind w:left="720" w:hanging="720"/>
      </w:pPr>
      <w:r w:rsidRPr="00A10FC3">
        <w:t>(1)</w:t>
      </w:r>
      <w:r w:rsidRPr="00A10FC3">
        <w:tab/>
        <w:t xml:space="preserve">ERCOT shall issue DAM Resettlement Statements for a given Operating Day if the ERCOT Board finds that the DAM Locational Marginal Prices (LMPs), Market Clearing Prices for Capacity (MCPCs), or Settlement Point Prices are significantly affected by a software or other error under Section 4.5.3, Communicating DAM Results.  ERCOT shall also produce DAM Resettlement Statements required by resolution of Settlement and </w:t>
      </w:r>
      <w:r w:rsidR="00A16DB0">
        <w:t>b</w:t>
      </w:r>
      <w:r w:rsidRPr="00A10FC3">
        <w:t>illing disputes</w:t>
      </w:r>
      <w:r w:rsidR="004E366D" w:rsidRPr="004E366D">
        <w:t xml:space="preserve"> </w:t>
      </w:r>
      <w:r w:rsidR="004E366D">
        <w:t>and the correction of errors other than price errors pursuant to this Section</w:t>
      </w:r>
      <w:r w:rsidRPr="00A10FC3">
        <w:t>.  In addition, the ERCOT Board may, in its discretion, direct ERCOT to run a resettlement of any Operating Day, at any time, to address unusual circumstances.</w:t>
      </w:r>
    </w:p>
    <w:p w14:paraId="4A54405F" w14:textId="77777777" w:rsidR="00D41086" w:rsidRDefault="00D41086" w:rsidP="00D41086">
      <w:pPr>
        <w:spacing w:after="240"/>
        <w:ind w:left="720" w:hanging="720"/>
      </w:pPr>
      <w:r w:rsidRPr="00A10FC3">
        <w:t>(2)</w:t>
      </w:r>
      <w:r w:rsidRPr="00A10FC3">
        <w:tab/>
        <w:t>ERCOT shall issue a DAM Resettlement Statement for a given Operating Day due to errors other than errors in prices when</w:t>
      </w:r>
      <w:r>
        <w:t>:</w:t>
      </w:r>
    </w:p>
    <w:p w14:paraId="1D3656F4" w14:textId="0587CF38" w:rsidR="00D41086" w:rsidRDefault="00D41086" w:rsidP="00D41086">
      <w:pPr>
        <w:spacing w:after="240"/>
        <w:ind w:left="1440" w:hanging="720"/>
        <w:rPr>
          <w:iCs/>
        </w:rPr>
      </w:pPr>
      <w:r>
        <w:rPr>
          <w:iCs/>
        </w:rPr>
        <w:t>(a</w:t>
      </w:r>
      <w:r w:rsidRPr="00A10FC3">
        <w:rPr>
          <w:iCs/>
        </w:rPr>
        <w:t>)</w:t>
      </w:r>
      <w:r w:rsidRPr="00A10FC3">
        <w:rPr>
          <w:iCs/>
        </w:rPr>
        <w:tab/>
      </w:r>
      <w:r>
        <w:rPr>
          <w:iCs/>
        </w:rPr>
        <w:t>T</w:t>
      </w:r>
      <w:r w:rsidRPr="001044B0">
        <w:rPr>
          <w:iCs/>
        </w:rPr>
        <w:t xml:space="preserve">he total of all errors other than price errors results in an absolute value </w:t>
      </w:r>
      <w:r w:rsidRPr="00D51253">
        <w:rPr>
          <w:iCs/>
        </w:rPr>
        <w:t>impact greater than 2% of the total DAM Statement amount for any single Statement Recipient for the Operating Day</w:t>
      </w:r>
      <w:r>
        <w:rPr>
          <w:iCs/>
        </w:rPr>
        <w:t>;</w:t>
      </w:r>
    </w:p>
    <w:p w14:paraId="197EB6E6" w14:textId="77777777" w:rsidR="004E366D" w:rsidRDefault="00D41086" w:rsidP="00D41086">
      <w:pPr>
        <w:spacing w:after="240"/>
        <w:ind w:left="1440" w:hanging="720"/>
        <w:rPr>
          <w:iCs/>
        </w:rPr>
      </w:pPr>
      <w:r>
        <w:rPr>
          <w:iCs/>
        </w:rPr>
        <w:t>(b</w:t>
      </w:r>
      <w:r w:rsidRPr="00A10FC3">
        <w:rPr>
          <w:iCs/>
        </w:rPr>
        <w:t>)</w:t>
      </w:r>
      <w:r w:rsidRPr="00A10FC3">
        <w:rPr>
          <w:iCs/>
        </w:rPr>
        <w:tab/>
      </w:r>
      <w:r>
        <w:rPr>
          <w:iCs/>
        </w:rPr>
        <w:t xml:space="preserve">The </w:t>
      </w:r>
      <w:r w:rsidRPr="001044B0">
        <w:rPr>
          <w:iCs/>
        </w:rPr>
        <w:t>impact to the Statement Recipient is greater than $200.00</w:t>
      </w:r>
      <w:r w:rsidR="004E366D">
        <w:rPr>
          <w:iCs/>
        </w:rPr>
        <w:t>; and</w:t>
      </w:r>
    </w:p>
    <w:p w14:paraId="48B28B55" w14:textId="2758ECBC" w:rsidR="00D41086" w:rsidRPr="001044B0" w:rsidRDefault="004E366D" w:rsidP="00D41086">
      <w:pPr>
        <w:spacing w:after="240"/>
        <w:ind w:left="1440" w:hanging="720"/>
        <w:rPr>
          <w:iCs/>
        </w:rPr>
      </w:pPr>
      <w:r>
        <w:rPr>
          <w:iCs/>
        </w:rPr>
        <w:t>(c)</w:t>
      </w:r>
      <w:r>
        <w:rPr>
          <w:iCs/>
        </w:rPr>
        <w:tab/>
        <w:t xml:space="preserve">The </w:t>
      </w:r>
      <w:r w:rsidRPr="00324D4D">
        <w:t>error is discovered</w:t>
      </w:r>
      <w:r>
        <w:t>,</w:t>
      </w:r>
      <w:r w:rsidRPr="00324D4D">
        <w:t xml:space="preserve"> and </w:t>
      </w:r>
      <w:r>
        <w:t>a Market N</w:t>
      </w:r>
      <w:r w:rsidRPr="00324D4D">
        <w:t>otice of the error is provided to Market Participants</w:t>
      </w:r>
      <w:r>
        <w:t xml:space="preserve">, within </w:t>
      </w:r>
      <w:r w:rsidRPr="00585E54">
        <w:t>one year of the Operating Day at issue</w:t>
      </w:r>
      <w:r w:rsidR="00D41086" w:rsidRPr="001044B0">
        <w:rPr>
          <w:iCs/>
        </w:rPr>
        <w:t>.</w:t>
      </w:r>
    </w:p>
    <w:p w14:paraId="04981AAB" w14:textId="77777777" w:rsidR="00D41086" w:rsidRPr="00A10FC3" w:rsidRDefault="00D41086" w:rsidP="00D41086">
      <w:pPr>
        <w:spacing w:after="240"/>
        <w:ind w:left="720" w:hanging="720"/>
      </w:pPr>
      <w:r w:rsidRPr="00A10FC3">
        <w:lastRenderedPageBreak/>
        <w:t>(3)</w:t>
      </w:r>
      <w:r w:rsidRPr="00A10FC3">
        <w:tab/>
        <w:t>ERCOT shall issue a DAM Resettlement Statement for an Operating Day if an error in the DAM Settlement, which does not otherwise meet the Protocol requirements for resettlement as specified in paragraphs (1) and (2) above, will prevent ERCOT from achieving revenue neutrality.</w:t>
      </w:r>
    </w:p>
    <w:p w14:paraId="5A43BCFB" w14:textId="77777777" w:rsidR="00D41086" w:rsidRPr="00A10FC3" w:rsidRDefault="00D41086" w:rsidP="00D41086">
      <w:pPr>
        <w:spacing w:after="240"/>
        <w:ind w:left="720" w:hanging="720"/>
      </w:pPr>
      <w:r w:rsidRPr="00A10FC3">
        <w:t xml:space="preserve">(4) </w:t>
      </w:r>
      <w:r w:rsidRPr="00A10FC3">
        <w:tab/>
        <w:t>No later than 150 days after each affected Operating Day, ERCOT shall resettle Operating Days with errors</w:t>
      </w:r>
      <w:r>
        <w:t>,</w:t>
      </w:r>
      <w:r w:rsidRPr="00A10FC3">
        <w:t xml:space="preserve"> other than errors in prices</w:t>
      </w:r>
      <w:r>
        <w:t>,</w:t>
      </w:r>
      <w:r w:rsidRPr="00A10FC3">
        <w:t xml:space="preserve"> with cumulative impacts that do not meet the threshold described in paragraph (2)</w:t>
      </w:r>
      <w:r>
        <w:t xml:space="preserve"> above if</w:t>
      </w:r>
      <w:r w:rsidRPr="00A10FC3">
        <w:t xml:space="preserve"> </w:t>
      </w:r>
      <w:r>
        <w:t>t</w:t>
      </w:r>
      <w:r w:rsidRPr="00A10FC3">
        <w:t>he cumulative effect of errors to a single Statement Recipient in the 150 day window result</w:t>
      </w:r>
      <w:r>
        <w:t>s</w:t>
      </w:r>
      <w:r w:rsidRPr="00A10FC3">
        <w:t xml:space="preserve"> in an absolute value impact greater than 1% of the total DAM Statement amounts for any Statement Recipient for the affected Operating Days</w:t>
      </w:r>
      <w:r>
        <w:t>,</w:t>
      </w:r>
      <w:r w:rsidRPr="00A10FC3">
        <w:t xml:space="preserve"> if this impact to the Statement Recipient is greater than $5,000.00.</w:t>
      </w:r>
    </w:p>
    <w:p w14:paraId="73B5BF20" w14:textId="77777777" w:rsidR="002F5868" w:rsidRDefault="00D41086" w:rsidP="00940731">
      <w:pPr>
        <w:pStyle w:val="BodyTextNumbered"/>
      </w:pPr>
      <w:r w:rsidRPr="00A10FC3">
        <w:t>(5)</w:t>
      </w:r>
      <w:r w:rsidRPr="00A10FC3">
        <w:tab/>
        <w:t>A DAM Resettlement Statement must reflect differences to financial records generated on the previous Settlement Statement for the given DAM.</w:t>
      </w:r>
    </w:p>
    <w:p w14:paraId="285CB07D" w14:textId="77777777" w:rsidR="004E366D" w:rsidRPr="00495A70" w:rsidRDefault="004E366D" w:rsidP="004E366D">
      <w:pPr>
        <w:spacing w:after="240"/>
        <w:ind w:left="720" w:hanging="720"/>
      </w:pPr>
      <w:bookmarkStart w:id="79" w:name="_Toc309731028"/>
      <w:bookmarkStart w:id="80" w:name="_Toc405814010"/>
      <w:bookmarkStart w:id="81" w:name="_Toc422207900"/>
      <w:bookmarkStart w:id="82" w:name="_Toc438044814"/>
      <w:bookmarkStart w:id="83" w:name="_Toc447622597"/>
      <w:bookmarkStart w:id="84" w:name="_Toc80175247"/>
      <w:r>
        <w:t>(6)</w:t>
      </w:r>
      <w:r>
        <w:tab/>
        <w:t>ERCOT may issue DAM Resettlement Statements after the timeline referenced in paragraph (2) above if directed by the ERCOT Board, the result of a resolution of an Alternative Dispute Resolution (ADR) procedure, or under the procedure for Return of Settlement Funds.</w:t>
      </w:r>
      <w:r w:rsidRPr="00495A70">
        <w:t xml:space="preserve">  </w:t>
      </w:r>
    </w:p>
    <w:p w14:paraId="06EB7CDC" w14:textId="77777777" w:rsidR="004E366D" w:rsidRDefault="004E366D" w:rsidP="004E366D">
      <w:pPr>
        <w:pStyle w:val="BodyText"/>
        <w:ind w:left="720" w:hanging="720"/>
      </w:pPr>
      <w:r>
        <w:t>(7)</w:t>
      </w:r>
      <w:r>
        <w:tab/>
      </w:r>
      <w:r w:rsidRPr="003760AA">
        <w:t>I</w:t>
      </w:r>
      <w:r>
        <w:t xml:space="preserve">f ERCOT is required to issue a Resettlement Statement per this Section, but resettlement </w:t>
      </w:r>
      <w:r w:rsidRPr="003760AA">
        <w:t xml:space="preserve">is not </w:t>
      </w:r>
      <w:r>
        <w:t xml:space="preserve">practicable due to system limitations, </w:t>
      </w:r>
      <w:r w:rsidRPr="003760AA">
        <w:t xml:space="preserve">ERCOT shall make the adjustments through a separate Invoice that is produced outside of normal Settlement </w:t>
      </w:r>
      <w:r>
        <w:t>Invoices</w:t>
      </w:r>
      <w:r w:rsidRPr="003760AA">
        <w:t xml:space="preserve">.  The appropriate payments and charges, along with </w:t>
      </w:r>
      <w:r>
        <w:t>S</w:t>
      </w:r>
      <w:r w:rsidRPr="003760AA">
        <w:t>ettlement</w:t>
      </w:r>
      <w:r>
        <w:t>-</w:t>
      </w:r>
      <w:r w:rsidRPr="003760AA">
        <w:t>quality information, shall be supplied to all</w:t>
      </w:r>
      <w:r>
        <w:t xml:space="preserve"> impacted </w:t>
      </w:r>
      <w:r w:rsidRPr="003760AA">
        <w:t>Market Participants.</w:t>
      </w:r>
    </w:p>
    <w:p w14:paraId="1E721594" w14:textId="77777777" w:rsidR="002F5868" w:rsidRPr="008910B8" w:rsidRDefault="00DD1AC6" w:rsidP="00B34F9F">
      <w:pPr>
        <w:pStyle w:val="H3"/>
        <w:rPr>
          <w:b/>
          <w:i/>
        </w:rPr>
      </w:pPr>
      <w:r w:rsidRPr="008910B8">
        <w:rPr>
          <w:b/>
          <w:i/>
        </w:rPr>
        <w:t>9.2.6</w:t>
      </w:r>
      <w:r w:rsidRPr="008910B8">
        <w:rPr>
          <w:b/>
          <w:i/>
        </w:rPr>
        <w:tab/>
        <w:t>Notice of Resettlement for the DAM</w:t>
      </w:r>
      <w:bookmarkEnd w:id="79"/>
      <w:bookmarkEnd w:id="80"/>
      <w:bookmarkEnd w:id="81"/>
      <w:bookmarkEnd w:id="82"/>
      <w:bookmarkEnd w:id="83"/>
      <w:bookmarkEnd w:id="84"/>
    </w:p>
    <w:p w14:paraId="19B2986C" w14:textId="77777777" w:rsidR="00D41086" w:rsidRPr="00A10FC3" w:rsidRDefault="00D41086" w:rsidP="00D41086">
      <w:pPr>
        <w:widowControl w:val="0"/>
        <w:spacing w:after="240"/>
        <w:ind w:left="720" w:hanging="720"/>
      </w:pPr>
      <w:r w:rsidRPr="00A10FC3">
        <w:rPr>
          <w:iCs/>
        </w:rPr>
        <w:t>(1)</w:t>
      </w:r>
      <w:r w:rsidRPr="00A10FC3">
        <w:rPr>
          <w:iCs/>
        </w:rPr>
        <w:tab/>
      </w:r>
      <w:r w:rsidRPr="00A10FC3">
        <w:t xml:space="preserve">While maintaining confidentiality of all Market Participants, ERCOT shall </w:t>
      </w:r>
      <w:r w:rsidRPr="00A10FC3">
        <w:rPr>
          <w:iCs/>
        </w:rPr>
        <w:t>send a Market Notice</w:t>
      </w:r>
      <w:r w:rsidRPr="00A10FC3">
        <w:t xml:space="preserve"> in conjunction with the resettlement, indicating the resettlement of the DAM for a specific Operating Day and the date of issuance of the Resettlement Statements for the DAM.  ERCOT shall include the following information in the notice of resettlement:</w:t>
      </w:r>
    </w:p>
    <w:p w14:paraId="738E2FE9" w14:textId="77777777" w:rsidR="00D41086" w:rsidRPr="00A10FC3" w:rsidRDefault="00D41086" w:rsidP="00D41086">
      <w:pPr>
        <w:spacing w:after="240"/>
        <w:ind w:left="1440" w:hanging="720"/>
      </w:pPr>
      <w:r w:rsidRPr="00A10FC3">
        <w:t>(a)</w:t>
      </w:r>
      <w:r w:rsidRPr="00A10FC3">
        <w:tab/>
        <w:t>Detailed description of reason(s) for resettlement;</w:t>
      </w:r>
    </w:p>
    <w:p w14:paraId="30D10531" w14:textId="77777777" w:rsidR="00D41086" w:rsidRPr="00A10FC3" w:rsidRDefault="00D41086" w:rsidP="00D41086">
      <w:pPr>
        <w:spacing w:after="240"/>
        <w:ind w:left="1440" w:hanging="720"/>
      </w:pPr>
      <w:r w:rsidRPr="00A10FC3">
        <w:t>(b)</w:t>
      </w:r>
      <w:r w:rsidRPr="00A10FC3">
        <w:tab/>
        <w:t>For the applicable Operating Day;</w:t>
      </w:r>
    </w:p>
    <w:p w14:paraId="5DC0F2E7" w14:textId="77777777" w:rsidR="00D41086" w:rsidRPr="00A10FC3" w:rsidRDefault="00D41086" w:rsidP="00D41086">
      <w:pPr>
        <w:spacing w:after="240"/>
        <w:ind w:left="1440" w:hanging="720"/>
      </w:pPr>
      <w:r w:rsidRPr="00A10FC3">
        <w:t>(c)</w:t>
      </w:r>
      <w:r w:rsidRPr="00A10FC3">
        <w:tab/>
        <w:t>Affected Charge Types; and</w:t>
      </w:r>
    </w:p>
    <w:p w14:paraId="4E337A68" w14:textId="77777777" w:rsidR="002F5868" w:rsidRDefault="00D41086">
      <w:pPr>
        <w:pStyle w:val="List"/>
      </w:pPr>
      <w:r w:rsidRPr="00A10FC3">
        <w:t>(d)</w:t>
      </w:r>
      <w:r w:rsidRPr="00A10FC3">
        <w:tab/>
        <w:t>Total resettled amount, by Charge Type.</w:t>
      </w:r>
    </w:p>
    <w:p w14:paraId="27EBD69A" w14:textId="77777777" w:rsidR="002F5868" w:rsidRPr="008910B8" w:rsidRDefault="00DD1AC6" w:rsidP="00B34F9F">
      <w:pPr>
        <w:pStyle w:val="H3"/>
        <w:rPr>
          <w:b/>
          <w:i/>
        </w:rPr>
      </w:pPr>
      <w:bookmarkStart w:id="85" w:name="_Toc309731029"/>
      <w:bookmarkStart w:id="86" w:name="_Toc405814011"/>
      <w:bookmarkStart w:id="87" w:name="_Toc422207901"/>
      <w:bookmarkStart w:id="88" w:name="_Toc438044815"/>
      <w:bookmarkStart w:id="89" w:name="_Toc447622598"/>
      <w:bookmarkStart w:id="90" w:name="_Toc80175248"/>
      <w:r w:rsidRPr="008910B8">
        <w:rPr>
          <w:b/>
          <w:i/>
        </w:rPr>
        <w:t>9.2.7</w:t>
      </w:r>
      <w:r w:rsidRPr="008910B8">
        <w:rPr>
          <w:b/>
          <w:i/>
        </w:rPr>
        <w:tab/>
        <w:t>Confirmation of Statement for the DAM</w:t>
      </w:r>
      <w:bookmarkEnd w:id="85"/>
      <w:bookmarkEnd w:id="86"/>
      <w:bookmarkEnd w:id="87"/>
      <w:bookmarkEnd w:id="88"/>
      <w:bookmarkEnd w:id="89"/>
      <w:bookmarkEnd w:id="90"/>
    </w:p>
    <w:p w14:paraId="1D949E3A" w14:textId="77777777" w:rsidR="002F5868" w:rsidRDefault="00A0123C" w:rsidP="00660ED3">
      <w:pPr>
        <w:pStyle w:val="BodyTextNumbered"/>
        <w:widowControl w:val="0"/>
      </w:pPr>
      <w:r>
        <w:rPr>
          <w:iCs/>
        </w:rPr>
        <w:t>(1)</w:t>
      </w:r>
      <w:r>
        <w:rPr>
          <w:iCs/>
        </w:rPr>
        <w:tab/>
      </w:r>
      <w:r w:rsidR="00DD1AC6">
        <w:t xml:space="preserve">It is the responsibility of each Statement Recipient to notify ERCOT if a Settlement Statement for the DAM is not available on the MIS Certified Area on the date specified </w:t>
      </w:r>
      <w:r w:rsidR="00DD1AC6">
        <w:lastRenderedPageBreak/>
        <w:t xml:space="preserve">for posting of that Settlement Statement in the Settlement Calendar.  Each Settlement Statement for the DAM is deemed to have been available on the posting date specified on the Settlement Calendar, unless ERCOT is notified to the contrary.  If ERCOT receives notice that a Settlement Statement is not available, ERCOT shall make reasonable attempts to provide the Settlement Statement to the Statement Recipient, and ERCOT shall modify the Settlement and billing timeline accordingly for that Settlement Statement.  </w:t>
      </w:r>
    </w:p>
    <w:p w14:paraId="6986C719" w14:textId="77777777" w:rsidR="002F5868" w:rsidRPr="008910B8" w:rsidRDefault="00DD1AC6">
      <w:pPr>
        <w:pStyle w:val="H3"/>
        <w:rPr>
          <w:b/>
          <w:i/>
        </w:rPr>
      </w:pPr>
      <w:bookmarkStart w:id="91" w:name="_Toc309731030"/>
      <w:bookmarkStart w:id="92" w:name="_Toc405814012"/>
      <w:bookmarkStart w:id="93" w:name="_Toc422207902"/>
      <w:bookmarkStart w:id="94" w:name="_Toc438044816"/>
      <w:bookmarkStart w:id="95" w:name="_Toc447622599"/>
      <w:bookmarkStart w:id="96" w:name="_Toc80175249"/>
      <w:r w:rsidRPr="008910B8">
        <w:rPr>
          <w:b/>
          <w:i/>
        </w:rPr>
        <w:t>9.2.8</w:t>
      </w:r>
      <w:r w:rsidRPr="008910B8">
        <w:rPr>
          <w:b/>
          <w:i/>
        </w:rPr>
        <w:tab/>
        <w:t>Validation of the Settlement Statement for the DAM</w:t>
      </w:r>
      <w:bookmarkEnd w:id="91"/>
      <w:bookmarkEnd w:id="92"/>
      <w:bookmarkEnd w:id="93"/>
      <w:bookmarkEnd w:id="94"/>
      <w:bookmarkEnd w:id="95"/>
      <w:bookmarkEnd w:id="96"/>
    </w:p>
    <w:p w14:paraId="7290F47A" w14:textId="77777777" w:rsidR="002F5868" w:rsidRDefault="00A0123C" w:rsidP="00660ED3">
      <w:pPr>
        <w:pStyle w:val="BodyTextNumbered"/>
        <w:widowControl w:val="0"/>
      </w:pPr>
      <w:r>
        <w:rPr>
          <w:iCs/>
        </w:rPr>
        <w:t>(1)</w:t>
      </w:r>
      <w:r>
        <w:rPr>
          <w:iCs/>
        </w:rPr>
        <w:tab/>
      </w:r>
      <w:r w:rsidR="00DD1AC6">
        <w:t>The Statement Recipient is deemed to have validated each Settlement Statement for the DAM unless it has raised a Settlement and billing dispute under Section 9.14</w:t>
      </w:r>
      <w:r w:rsidR="00A46174">
        <w:t>, Settlement and Billing Dispute Process</w:t>
      </w:r>
      <w:r w:rsidR="00DD1AC6">
        <w:t xml:space="preserve">. </w:t>
      </w:r>
    </w:p>
    <w:p w14:paraId="3DFFE9D3" w14:textId="77777777" w:rsidR="002F5868" w:rsidRPr="008910B8" w:rsidRDefault="00DD1AC6">
      <w:pPr>
        <w:pStyle w:val="H3"/>
        <w:rPr>
          <w:b/>
          <w:i/>
        </w:rPr>
      </w:pPr>
      <w:bookmarkStart w:id="97" w:name="_Toc112746423"/>
      <w:bookmarkStart w:id="98" w:name="_Toc112746669"/>
      <w:bookmarkStart w:id="99" w:name="_Toc112746840"/>
      <w:bookmarkStart w:id="100" w:name="_Toc309731031"/>
      <w:bookmarkStart w:id="101" w:name="_Toc405814013"/>
      <w:bookmarkStart w:id="102" w:name="_Toc422207903"/>
      <w:bookmarkStart w:id="103" w:name="_Toc438044817"/>
      <w:bookmarkStart w:id="104" w:name="_Toc447622600"/>
      <w:bookmarkStart w:id="105" w:name="_Toc80175250"/>
      <w:r w:rsidRPr="008910B8">
        <w:rPr>
          <w:b/>
          <w:i/>
        </w:rPr>
        <w:t>9.2.9</w:t>
      </w:r>
      <w:r w:rsidRPr="008910B8">
        <w:rPr>
          <w:b/>
          <w:i/>
        </w:rPr>
        <w:tab/>
        <w:t>Suspension of Issuing Settlement Statements for the DAM</w:t>
      </w:r>
      <w:bookmarkEnd w:id="97"/>
      <w:bookmarkEnd w:id="98"/>
      <w:bookmarkEnd w:id="99"/>
      <w:bookmarkEnd w:id="100"/>
      <w:bookmarkEnd w:id="101"/>
      <w:bookmarkEnd w:id="102"/>
      <w:bookmarkEnd w:id="103"/>
      <w:bookmarkEnd w:id="104"/>
      <w:bookmarkEnd w:id="105"/>
    </w:p>
    <w:p w14:paraId="1DBA2716" w14:textId="77777777" w:rsidR="002F5868" w:rsidRDefault="00A0123C" w:rsidP="00660ED3">
      <w:pPr>
        <w:pStyle w:val="BodyTextNumbered"/>
        <w:widowControl w:val="0"/>
      </w:pPr>
      <w:r>
        <w:rPr>
          <w:iCs/>
        </w:rPr>
        <w:t>(1)</w:t>
      </w:r>
      <w:r>
        <w:rPr>
          <w:iCs/>
        </w:rPr>
        <w:tab/>
      </w:r>
      <w:r w:rsidR="00DD1AC6">
        <w:t>The ERCOT Board may direct ERCOT to suspend the issuance of any Settlement Statement for the DAM to address unusual circumstances.  Any proposal to suspend settlements must be presented to the Technical Advisory Committee (TAC) for review and comment, in a reasonable manner under the circumstances, prior to such suspension.</w:t>
      </w:r>
    </w:p>
    <w:p w14:paraId="097A2BE5" w14:textId="77777777" w:rsidR="002F5868" w:rsidRPr="00C2257A" w:rsidRDefault="00DD1AC6">
      <w:pPr>
        <w:pStyle w:val="H2"/>
        <w:rPr>
          <w:lang w:val="en-US"/>
        </w:rPr>
      </w:pPr>
      <w:bookmarkStart w:id="106" w:name="_Toc97371083"/>
      <w:bookmarkStart w:id="107" w:name="_Toc309731032"/>
      <w:bookmarkStart w:id="108" w:name="_Toc405814014"/>
      <w:bookmarkStart w:id="109" w:name="_Toc422207904"/>
      <w:bookmarkStart w:id="110" w:name="_Toc438044818"/>
      <w:bookmarkStart w:id="111" w:name="_Toc447622601"/>
      <w:bookmarkStart w:id="112" w:name="_Toc80175251"/>
      <w:r>
        <w:t>9.3</w:t>
      </w:r>
      <w:r>
        <w:tab/>
      </w:r>
      <w:bookmarkEnd w:id="106"/>
      <w:bookmarkEnd w:id="107"/>
      <w:r w:rsidR="001B2D9D" w:rsidRPr="00C2257A">
        <w:rPr>
          <w:i/>
          <w:lang w:val="en-US"/>
        </w:rPr>
        <w:t>[RESERVED]</w:t>
      </w:r>
      <w:bookmarkEnd w:id="108"/>
      <w:bookmarkEnd w:id="109"/>
      <w:bookmarkEnd w:id="110"/>
      <w:bookmarkEnd w:id="111"/>
      <w:bookmarkEnd w:id="112"/>
    </w:p>
    <w:p w14:paraId="2EF2ACCF" w14:textId="77777777" w:rsidR="002F5868" w:rsidRPr="008436F5" w:rsidRDefault="00DD1AC6">
      <w:pPr>
        <w:pStyle w:val="H2"/>
        <w:rPr>
          <w:lang w:val="en-US"/>
        </w:rPr>
      </w:pPr>
      <w:bookmarkStart w:id="113" w:name="_Toc97371084"/>
      <w:bookmarkStart w:id="114" w:name="_Toc309731034"/>
      <w:bookmarkStart w:id="115" w:name="_Toc405814015"/>
      <w:bookmarkStart w:id="116" w:name="_Toc422207905"/>
      <w:bookmarkStart w:id="117" w:name="_Toc438044819"/>
      <w:bookmarkStart w:id="118" w:name="_Toc447622602"/>
      <w:bookmarkStart w:id="119" w:name="_Toc80175252"/>
      <w:r>
        <w:t>9.4</w:t>
      </w:r>
      <w:r>
        <w:tab/>
      </w:r>
      <w:bookmarkEnd w:id="113"/>
      <w:bookmarkEnd w:id="114"/>
      <w:r w:rsidR="001B2D9D" w:rsidRPr="008436F5">
        <w:rPr>
          <w:i/>
          <w:lang w:val="en-US"/>
        </w:rPr>
        <w:t>[RESERVED]</w:t>
      </w:r>
      <w:bookmarkEnd w:id="115"/>
      <w:bookmarkEnd w:id="116"/>
      <w:bookmarkEnd w:id="117"/>
      <w:bookmarkEnd w:id="118"/>
      <w:bookmarkEnd w:id="119"/>
    </w:p>
    <w:p w14:paraId="2EDC5904" w14:textId="77777777" w:rsidR="002F5868" w:rsidRDefault="00DD1AC6">
      <w:pPr>
        <w:pStyle w:val="H2"/>
        <w:ind w:left="0" w:firstLine="0"/>
      </w:pPr>
      <w:bookmarkStart w:id="120" w:name="_Toc309731041"/>
      <w:bookmarkStart w:id="121" w:name="_Toc405814016"/>
      <w:bookmarkStart w:id="122" w:name="_Toc422207906"/>
      <w:bookmarkStart w:id="123" w:name="_Toc438044820"/>
      <w:bookmarkStart w:id="124" w:name="_Toc447622603"/>
      <w:bookmarkStart w:id="125" w:name="_Toc80175253"/>
      <w:r>
        <w:t>9.5</w:t>
      </w:r>
      <w:r>
        <w:tab/>
        <w:t>Settlement Statements for Real-Time Market</w:t>
      </w:r>
      <w:bookmarkEnd w:id="120"/>
      <w:bookmarkEnd w:id="121"/>
      <w:bookmarkEnd w:id="122"/>
      <w:bookmarkEnd w:id="123"/>
      <w:bookmarkEnd w:id="124"/>
      <w:bookmarkEnd w:id="125"/>
    </w:p>
    <w:p w14:paraId="564FC3CC" w14:textId="77777777" w:rsidR="002F5868" w:rsidRPr="008910B8" w:rsidRDefault="00DD1AC6">
      <w:pPr>
        <w:pStyle w:val="H3"/>
        <w:rPr>
          <w:b/>
          <w:i/>
        </w:rPr>
      </w:pPr>
      <w:bookmarkStart w:id="126" w:name="_Toc309731042"/>
      <w:bookmarkStart w:id="127" w:name="_Toc405814017"/>
      <w:bookmarkStart w:id="128" w:name="_Toc422207907"/>
      <w:bookmarkStart w:id="129" w:name="_Toc438044821"/>
      <w:bookmarkStart w:id="130" w:name="_Toc447622604"/>
      <w:bookmarkStart w:id="131" w:name="_Toc80175254"/>
      <w:r w:rsidRPr="008910B8">
        <w:rPr>
          <w:b/>
          <w:i/>
        </w:rPr>
        <w:t>9.5.1</w:t>
      </w:r>
      <w:r w:rsidRPr="008910B8">
        <w:rPr>
          <w:b/>
          <w:i/>
        </w:rPr>
        <w:tab/>
        <w:t>Settlement Statement Process for the Real-Time Market</w:t>
      </w:r>
      <w:bookmarkEnd w:id="126"/>
      <w:bookmarkEnd w:id="127"/>
      <w:bookmarkEnd w:id="128"/>
      <w:bookmarkEnd w:id="129"/>
      <w:bookmarkEnd w:id="130"/>
      <w:bookmarkEnd w:id="131"/>
      <w:r w:rsidRPr="008910B8">
        <w:rPr>
          <w:b/>
          <w:i/>
        </w:rPr>
        <w:t xml:space="preserve"> </w:t>
      </w:r>
    </w:p>
    <w:p w14:paraId="4D173EAD" w14:textId="77777777" w:rsidR="002F5868" w:rsidRDefault="00A0123C" w:rsidP="00660ED3">
      <w:pPr>
        <w:pStyle w:val="BodyTextNumbered"/>
        <w:widowControl w:val="0"/>
      </w:pPr>
      <w:r>
        <w:rPr>
          <w:iCs/>
        </w:rPr>
        <w:t>(1)</w:t>
      </w:r>
      <w:r>
        <w:rPr>
          <w:iCs/>
        </w:rPr>
        <w:tab/>
      </w:r>
      <w:r w:rsidR="00DD1AC6">
        <w:t>ERCOT shall produce daily Settlement Statements for the Real-Time Market (RTM), as defined in Section 9.5.2, Settlement Statements for the RTM, that show a breakdown of Charge Types incurred in the RTM, including any administrative and miscellaneous charges applicable to the RTM.</w:t>
      </w:r>
    </w:p>
    <w:p w14:paraId="0FCC5D53" w14:textId="77777777" w:rsidR="002F5868" w:rsidRPr="008910B8" w:rsidRDefault="00DD1AC6" w:rsidP="00D07D1E">
      <w:pPr>
        <w:pStyle w:val="H3"/>
        <w:keepNext w:val="0"/>
        <w:widowControl w:val="0"/>
        <w:rPr>
          <w:b/>
          <w:i/>
        </w:rPr>
      </w:pPr>
      <w:bookmarkStart w:id="132" w:name="_Toc309731043"/>
      <w:bookmarkStart w:id="133" w:name="_Toc405814018"/>
      <w:bookmarkStart w:id="134" w:name="_Toc422207908"/>
      <w:bookmarkStart w:id="135" w:name="_Toc438044822"/>
      <w:bookmarkStart w:id="136" w:name="_Toc447622605"/>
      <w:bookmarkStart w:id="137" w:name="_Toc80175255"/>
      <w:r w:rsidRPr="008910B8">
        <w:rPr>
          <w:b/>
          <w:i/>
        </w:rPr>
        <w:t>9.5.2</w:t>
      </w:r>
      <w:r w:rsidRPr="008910B8">
        <w:rPr>
          <w:b/>
          <w:i/>
        </w:rPr>
        <w:tab/>
        <w:t>Settlement Statements for the RTM</w:t>
      </w:r>
      <w:bookmarkEnd w:id="132"/>
      <w:bookmarkEnd w:id="133"/>
      <w:bookmarkEnd w:id="134"/>
      <w:bookmarkEnd w:id="135"/>
      <w:bookmarkEnd w:id="136"/>
      <w:bookmarkEnd w:id="137"/>
    </w:p>
    <w:p w14:paraId="2E24F0E7" w14:textId="77777777" w:rsidR="002F5868" w:rsidRDefault="00DD1AC6" w:rsidP="00D07D1E">
      <w:pPr>
        <w:pStyle w:val="BodyTextNumbered"/>
        <w:widowControl w:val="0"/>
      </w:pPr>
      <w:r>
        <w:t>(1)</w:t>
      </w:r>
      <w:r>
        <w:tab/>
        <w:t xml:space="preserve">ERCOT shall make each Settlement Statement for the RTM for an Operating Day available on the date specified on the Settlement Calendar for that Operating Day by posting it to the Market Information System (MIS) Certified Area for the applicable Statement Recipient. </w:t>
      </w:r>
    </w:p>
    <w:p w14:paraId="5A3A86CA" w14:textId="77777777" w:rsidR="002F5868" w:rsidRDefault="00DD1AC6" w:rsidP="00D07D1E">
      <w:pPr>
        <w:pStyle w:val="BodyTextNumbered"/>
        <w:widowControl w:val="0"/>
      </w:pPr>
      <w:r>
        <w:t>(2)</w:t>
      </w:r>
      <w:r>
        <w:tab/>
        <w:t xml:space="preserve">A Settlement Statement for the RTM can be: </w:t>
      </w:r>
    </w:p>
    <w:p w14:paraId="1251C80E" w14:textId="77777777" w:rsidR="002F5868" w:rsidRDefault="00DD1AC6" w:rsidP="00D07D1E">
      <w:pPr>
        <w:pStyle w:val="List"/>
        <w:widowControl w:val="0"/>
      </w:pPr>
      <w:r>
        <w:lastRenderedPageBreak/>
        <w:t>(a)</w:t>
      </w:r>
      <w:r>
        <w:tab/>
        <w:t>An “RTM Initial Statement,” which is the first iteration of a Settlement Statement issued for a particular Operating Day;</w:t>
      </w:r>
    </w:p>
    <w:p w14:paraId="66747E4D" w14:textId="77777777" w:rsidR="00351268" w:rsidRDefault="001349D5" w:rsidP="000C37A7">
      <w:pPr>
        <w:pStyle w:val="List"/>
      </w:pPr>
      <w:r w:rsidRPr="00C52811">
        <w:rPr>
          <w:lang w:val="x-none" w:eastAsia="x-none"/>
        </w:rPr>
        <w:t>(b)</w:t>
      </w:r>
      <w:r w:rsidRPr="00C52811">
        <w:rPr>
          <w:lang w:val="x-none" w:eastAsia="x-none"/>
        </w:rPr>
        <w:tab/>
        <w:t>An “RTM Final Statement,” which is the state</w:t>
      </w:r>
      <w:r>
        <w:rPr>
          <w:lang w:val="x-none" w:eastAsia="x-none"/>
        </w:rPr>
        <w:t>ment issued at the end of the 5</w:t>
      </w:r>
      <w:r>
        <w:rPr>
          <w:lang w:eastAsia="x-none"/>
        </w:rPr>
        <w:t>5</w:t>
      </w:r>
      <w:proofErr w:type="spellStart"/>
      <w:r w:rsidRPr="00C52811">
        <w:rPr>
          <w:lang w:val="x-none" w:eastAsia="x-none"/>
        </w:rPr>
        <w:t>th</w:t>
      </w:r>
      <w:proofErr w:type="spellEnd"/>
      <w:r w:rsidRPr="00C52811">
        <w:rPr>
          <w:lang w:val="x-none" w:eastAsia="x-none"/>
        </w:rPr>
        <w:t xml:space="preserve"> day following the Operating Day;</w:t>
      </w:r>
      <w:r w:rsidR="00DD1AC6">
        <w:t xml:space="preserve"> </w:t>
      </w:r>
    </w:p>
    <w:p w14:paraId="1E1E392D" w14:textId="77777777" w:rsidR="002F5868" w:rsidRDefault="00DD1AC6" w:rsidP="00E63934">
      <w:pPr>
        <w:pStyle w:val="List"/>
      </w:pPr>
      <w:r>
        <w:t>(c)</w:t>
      </w:r>
      <w:r>
        <w:tab/>
        <w:t>An “RTM Resettlement Statement,” which is the statement using corrected Settlement data due to resolution of disputes and correction of data errors; or</w:t>
      </w:r>
    </w:p>
    <w:p w14:paraId="088427BA" w14:textId="77777777" w:rsidR="002F5868" w:rsidRDefault="00DD1AC6">
      <w:pPr>
        <w:pStyle w:val="List"/>
      </w:pPr>
      <w:r>
        <w:t>(d)</w:t>
      </w:r>
      <w:r>
        <w:tab/>
        <w:t>An “RTM True-Up Statement,” which is a statement issued at the end of the 180th day after the Operating Day.</w:t>
      </w:r>
    </w:p>
    <w:p w14:paraId="50F4BCC6" w14:textId="77777777" w:rsidR="002F5868" w:rsidRDefault="00DD1AC6">
      <w:pPr>
        <w:pStyle w:val="BodyTextNumbered"/>
      </w:pPr>
      <w:r>
        <w:t>(3)</w:t>
      </w:r>
      <w:r>
        <w:tab/>
        <w:t>The Statement Recipient is responsible for accessing the Statement from the MIS Certified Area.</w:t>
      </w:r>
    </w:p>
    <w:p w14:paraId="57FAC63B" w14:textId="77777777" w:rsidR="002F5868" w:rsidRDefault="00DD1AC6">
      <w:pPr>
        <w:pStyle w:val="BodyTextNumbered"/>
      </w:pPr>
      <w:r>
        <w:t>(4)</w:t>
      </w:r>
      <w:r>
        <w:tab/>
        <w:t>To issue an RTM Settlement Statement, ERCOT may use estimated, disputed, or calculated meter data.</w:t>
      </w:r>
    </w:p>
    <w:p w14:paraId="4A939827" w14:textId="77777777" w:rsidR="002F5868" w:rsidRDefault="00DD1AC6">
      <w:pPr>
        <w:pStyle w:val="BodyTextNumbered"/>
      </w:pPr>
      <w:r>
        <w:t>(5)</w:t>
      </w:r>
      <w:r>
        <w:tab/>
        <w:t>ERCOT shall create an RTM Initial Statement, RTM Final Statement, and RTM True-Up Statement for each Operating Day.</w:t>
      </w:r>
    </w:p>
    <w:p w14:paraId="1B40FE64" w14:textId="77777777" w:rsidR="002F5868" w:rsidRDefault="00DD1AC6">
      <w:pPr>
        <w:pStyle w:val="BodyTextNumbered"/>
      </w:pPr>
      <w:r>
        <w:t>(6)</w:t>
      </w:r>
      <w:r>
        <w:tab/>
        <w:t xml:space="preserve">ERCOT may create an RTM Resettlement Statement for any Operating Day, depending on the criteria set forth in Section 9.5.6, RTM Resettlement Statement.  When actual validated data is available and </w:t>
      </w:r>
      <w:proofErr w:type="gramStart"/>
      <w:r>
        <w:t>all of</w:t>
      </w:r>
      <w:proofErr w:type="gramEnd"/>
      <w:r>
        <w:t xml:space="preserve"> the Settlement and billing disputes raised by Statement Recipients in accordance with Section 9.14.4, ERCOT Processing of Disputes, during the validation process have been resolved, ERCOT shall recalculate the amounts payable and receivable by the affected RTM Statement Recipients, as described in Section 9.5.6.</w:t>
      </w:r>
    </w:p>
    <w:p w14:paraId="276BFD39" w14:textId="77777777" w:rsidR="002F5868" w:rsidRDefault="00DD1AC6">
      <w:pPr>
        <w:pStyle w:val="BodyTextNumbered"/>
      </w:pPr>
      <w:r>
        <w:t>(7)</w:t>
      </w:r>
      <w:r>
        <w:tab/>
        <w:t>Each RTM Settlement Statement must denote:</w:t>
      </w:r>
    </w:p>
    <w:p w14:paraId="74DE44B4" w14:textId="77777777" w:rsidR="002F5868" w:rsidRDefault="00DD1AC6">
      <w:pPr>
        <w:pStyle w:val="List"/>
      </w:pPr>
      <w:r>
        <w:t>(a)</w:t>
      </w:r>
      <w:r>
        <w:tab/>
        <w:t>Operating Day;</w:t>
      </w:r>
    </w:p>
    <w:p w14:paraId="0DFE94CC" w14:textId="77777777" w:rsidR="002F5868" w:rsidRDefault="00DD1AC6">
      <w:pPr>
        <w:pStyle w:val="List"/>
      </w:pPr>
      <w:r>
        <w:t>(b)</w:t>
      </w:r>
      <w:r>
        <w:tab/>
        <w:t>The Statement Recipient’s name;</w:t>
      </w:r>
    </w:p>
    <w:p w14:paraId="7A9EFCB2" w14:textId="77777777" w:rsidR="002F5868" w:rsidRDefault="00DD1AC6">
      <w:pPr>
        <w:pStyle w:val="List"/>
      </w:pPr>
      <w:r>
        <w:t>(c)</w:t>
      </w:r>
      <w:r>
        <w:tab/>
        <w:t>The ERCOT identifier (settlement identification number issued by ERCOT);</w:t>
      </w:r>
    </w:p>
    <w:p w14:paraId="40512769" w14:textId="77777777" w:rsidR="002F5868" w:rsidRDefault="00DD1AC6">
      <w:pPr>
        <w:pStyle w:val="List"/>
      </w:pPr>
      <w:r>
        <w:t>(d)</w:t>
      </w:r>
      <w:r>
        <w:tab/>
        <w:t>Status of the statement (Initial, Final, Resettlement, or True-Up);</w:t>
      </w:r>
    </w:p>
    <w:p w14:paraId="0461AC9B" w14:textId="77777777" w:rsidR="002F5868" w:rsidRDefault="00DD1AC6">
      <w:pPr>
        <w:pStyle w:val="List"/>
      </w:pPr>
      <w:r>
        <w:t>(e)</w:t>
      </w:r>
      <w:r>
        <w:tab/>
        <w:t>Statement version number;</w:t>
      </w:r>
    </w:p>
    <w:p w14:paraId="32277866" w14:textId="77777777" w:rsidR="002F5868" w:rsidRDefault="00DD1AC6">
      <w:pPr>
        <w:pStyle w:val="List"/>
      </w:pPr>
      <w:r>
        <w:t>(f)</w:t>
      </w:r>
      <w:r>
        <w:tab/>
        <w:t>Unique statement identification code; and</w:t>
      </w:r>
    </w:p>
    <w:p w14:paraId="2F429C79" w14:textId="77777777" w:rsidR="002F5868" w:rsidRDefault="00DD1AC6">
      <w:pPr>
        <w:pStyle w:val="List"/>
      </w:pPr>
      <w:r>
        <w:t>(g)</w:t>
      </w:r>
      <w:r>
        <w:tab/>
        <w:t>Charge Types settled.</w:t>
      </w:r>
    </w:p>
    <w:p w14:paraId="2979A95F" w14:textId="77777777" w:rsidR="002F5868" w:rsidRDefault="00DD1AC6">
      <w:pPr>
        <w:pStyle w:val="BodyTextNumbered"/>
      </w:pPr>
      <w:r>
        <w:t>(8)</w:t>
      </w:r>
      <w:r>
        <w:tab/>
        <w:t xml:space="preserve">A </w:t>
      </w:r>
      <w:r>
        <w:rPr>
          <w:rStyle w:val="ListChar"/>
        </w:rPr>
        <w:t xml:space="preserve">Settlement Statement for </w:t>
      </w:r>
      <w:r>
        <w:t xml:space="preserve">the RTM </w:t>
      </w:r>
      <w:r>
        <w:rPr>
          <w:rStyle w:val="ListChar"/>
        </w:rPr>
        <w:t xml:space="preserve">must break the fees down by Charge Type into the appropriate 15-minute or one-hour Settlement Interval for that type. </w:t>
      </w:r>
    </w:p>
    <w:p w14:paraId="3B636C11" w14:textId="77777777" w:rsidR="002F5868" w:rsidRDefault="00DD1AC6">
      <w:pPr>
        <w:pStyle w:val="BodyTextNumbered"/>
      </w:pPr>
      <w:r>
        <w:lastRenderedPageBreak/>
        <w:t>(9)</w:t>
      </w:r>
      <w:r>
        <w:tab/>
        <w:t>A</w:t>
      </w:r>
      <w:r w:rsidR="00204362">
        <w:t>n</w:t>
      </w:r>
      <w:r>
        <w:t xml:space="preserve"> RTM Settlement Statement must have a summary page of the corresponding detailed documentation.</w:t>
      </w:r>
    </w:p>
    <w:p w14:paraId="703597BF" w14:textId="77777777" w:rsidR="002F5868" w:rsidRPr="008910B8" w:rsidRDefault="00DD1AC6">
      <w:pPr>
        <w:pStyle w:val="H3"/>
        <w:rPr>
          <w:b/>
          <w:i/>
        </w:rPr>
      </w:pPr>
      <w:bookmarkStart w:id="138" w:name="_Toc309731044"/>
      <w:bookmarkStart w:id="139" w:name="_Toc405814019"/>
      <w:bookmarkStart w:id="140" w:name="_Toc422207909"/>
      <w:bookmarkStart w:id="141" w:name="_Toc438044823"/>
      <w:bookmarkStart w:id="142" w:name="_Toc447622606"/>
      <w:bookmarkStart w:id="143" w:name="_Toc80175256"/>
      <w:r w:rsidRPr="008910B8">
        <w:rPr>
          <w:b/>
          <w:i/>
        </w:rPr>
        <w:t>9.5.3</w:t>
      </w:r>
      <w:r w:rsidRPr="008910B8">
        <w:rPr>
          <w:b/>
          <w:i/>
        </w:rPr>
        <w:tab/>
        <w:t>Real-Time Market Settlement Charge Types</w:t>
      </w:r>
      <w:bookmarkEnd w:id="138"/>
      <w:bookmarkEnd w:id="139"/>
      <w:bookmarkEnd w:id="140"/>
      <w:bookmarkEnd w:id="141"/>
      <w:bookmarkEnd w:id="142"/>
      <w:bookmarkEnd w:id="143"/>
    </w:p>
    <w:p w14:paraId="530B76D7" w14:textId="77777777" w:rsidR="002F5868" w:rsidRDefault="00DD1AC6" w:rsidP="00F452AF">
      <w:pPr>
        <w:pStyle w:val="List"/>
        <w:ind w:left="720"/>
      </w:pPr>
      <w:r>
        <w:t>(1)</w:t>
      </w:r>
      <w:r>
        <w:tab/>
        <w:t>ERCOT shall provide, on each RTM Settlement Statement, the dollar amount for each RTM Settlement charge and payment.  The RTM Settlement “Charge Types” are:</w:t>
      </w:r>
    </w:p>
    <w:p w14:paraId="79DB0B11" w14:textId="77777777" w:rsidR="002F5868" w:rsidRDefault="00DD1AC6">
      <w:pPr>
        <w:pStyle w:val="List"/>
      </w:pPr>
      <w:r>
        <w:t>(a)</w:t>
      </w:r>
      <w:r>
        <w:tab/>
        <w:t>Section 5.7.1, RUC Make-Whole Payment;</w:t>
      </w:r>
    </w:p>
    <w:p w14:paraId="634479C5" w14:textId="77777777" w:rsidR="002F5868" w:rsidRDefault="00DD1AC6">
      <w:pPr>
        <w:pStyle w:val="List"/>
      </w:pPr>
      <w:r>
        <w:t>(b)</w:t>
      </w:r>
      <w:r>
        <w:tab/>
        <w:t xml:space="preserve">Section 5.7.2, RUC </w:t>
      </w:r>
      <w:proofErr w:type="spellStart"/>
      <w:r>
        <w:t>Clawback</w:t>
      </w:r>
      <w:proofErr w:type="spellEnd"/>
      <w:r>
        <w:t xml:space="preserve"> Charge;</w:t>
      </w:r>
    </w:p>
    <w:p w14:paraId="5500584D" w14:textId="77777777" w:rsidR="002F5868" w:rsidRDefault="00DD1AC6">
      <w:pPr>
        <w:pStyle w:val="List"/>
      </w:pPr>
      <w:r>
        <w:t>(c)</w:t>
      </w:r>
      <w:r>
        <w:tab/>
        <w:t>Section 5.7.3, Payment When ERCOT Decommits a QSE-Committed Resource;</w:t>
      </w:r>
    </w:p>
    <w:p w14:paraId="094864BB" w14:textId="77777777" w:rsidR="002F5868" w:rsidRDefault="00DD1AC6">
      <w:pPr>
        <w:pStyle w:val="List"/>
      </w:pPr>
      <w:r>
        <w:t>(d)</w:t>
      </w:r>
      <w:r>
        <w:tab/>
        <w:t>Section 5.7.4.1, RUC Capacity-Short Charge;</w:t>
      </w:r>
    </w:p>
    <w:p w14:paraId="394D1CD8" w14:textId="77777777" w:rsidR="002F5868" w:rsidRDefault="00DD1AC6">
      <w:pPr>
        <w:pStyle w:val="List"/>
      </w:pPr>
      <w:r>
        <w:t>(e)</w:t>
      </w:r>
      <w:r>
        <w:tab/>
        <w:t>Section 5.7.4.2, RUC Make-Whole Uplift Charge;</w:t>
      </w:r>
    </w:p>
    <w:p w14:paraId="5E586C2C" w14:textId="77777777" w:rsidR="002F5868" w:rsidRDefault="00DD1AC6">
      <w:pPr>
        <w:pStyle w:val="List"/>
      </w:pPr>
      <w:r>
        <w:t>(f)</w:t>
      </w:r>
      <w:r>
        <w:tab/>
        <w:t xml:space="preserve">Section </w:t>
      </w:r>
      <w:hyperlink w:anchor="_Toc109528011" w:history="1">
        <w:r>
          <w:t xml:space="preserve">5.7.5, RUC </w:t>
        </w:r>
        <w:proofErr w:type="spellStart"/>
        <w:r>
          <w:t>Clawback</w:t>
        </w:r>
        <w:proofErr w:type="spellEnd"/>
        <w:r>
          <w:t xml:space="preserve"> Payment</w:t>
        </w:r>
      </w:hyperlink>
      <w:r>
        <w:t>;</w:t>
      </w:r>
    </w:p>
    <w:p w14:paraId="013ACECC" w14:textId="77777777" w:rsidR="002F5868" w:rsidRDefault="00DD1AC6">
      <w:pPr>
        <w:pStyle w:val="List"/>
      </w:pPr>
      <w:r>
        <w:t>(g)</w:t>
      </w:r>
      <w:r>
        <w:tab/>
        <w:t xml:space="preserve">Section </w:t>
      </w:r>
      <w:hyperlink w:anchor="_Toc109528014" w:history="1">
        <w:r>
          <w:t>5.7.6, RUC Decommitment Charge</w:t>
        </w:r>
      </w:hyperlink>
      <w:r>
        <w:t>;</w:t>
      </w:r>
    </w:p>
    <w:p w14:paraId="481C106C" w14:textId="77777777" w:rsidR="002F5868" w:rsidRDefault="00DD1AC6">
      <w:pPr>
        <w:pStyle w:val="List"/>
      </w:pPr>
      <w:r>
        <w:t>(h)</w:t>
      </w:r>
      <w:r>
        <w:tab/>
        <w:t xml:space="preserve">Section 6.6.3.1, Real-Time Energy Imbalance </w:t>
      </w:r>
      <w:proofErr w:type="gramStart"/>
      <w:r>
        <w:t>Payment</w:t>
      </w:r>
      <w:proofErr w:type="gramEnd"/>
      <w:r>
        <w:t xml:space="preserve"> or Charge at a Resource Node; </w:t>
      </w:r>
    </w:p>
    <w:p w14:paraId="77AECE6F" w14:textId="77777777" w:rsidR="002F5868" w:rsidRDefault="00DD1AC6">
      <w:pPr>
        <w:pStyle w:val="List"/>
      </w:pPr>
      <w:r>
        <w:t>(i)</w:t>
      </w:r>
      <w:r>
        <w:tab/>
        <w:t xml:space="preserve">Section 6.6.3.2, Real-Time Energy Imbalance </w:t>
      </w:r>
      <w:proofErr w:type="gramStart"/>
      <w:r>
        <w:t>Payment</w:t>
      </w:r>
      <w:proofErr w:type="gramEnd"/>
      <w:r>
        <w:t xml:space="preserve"> or Charge at a Load Zone;</w:t>
      </w:r>
    </w:p>
    <w:p w14:paraId="08325D68" w14:textId="77777777" w:rsidR="002F5868" w:rsidRDefault="00DD1AC6">
      <w:pPr>
        <w:pStyle w:val="List"/>
      </w:pPr>
      <w:r>
        <w:t>(j)</w:t>
      </w:r>
      <w:r>
        <w:tab/>
        <w:t xml:space="preserve">Section 6.6.3.3, Real-Time Energy Imbalance </w:t>
      </w:r>
      <w:proofErr w:type="gramStart"/>
      <w:r>
        <w:t>Payment</w:t>
      </w:r>
      <w:proofErr w:type="gramEnd"/>
      <w:r>
        <w:t xml:space="preserve"> or Charge at a Hub;</w:t>
      </w:r>
    </w:p>
    <w:p w14:paraId="0F36139C" w14:textId="77777777" w:rsidR="002F5868" w:rsidRDefault="00DD1AC6">
      <w:pPr>
        <w:pStyle w:val="List"/>
      </w:pPr>
      <w:r>
        <w:t>(k)</w:t>
      </w:r>
      <w:r>
        <w:tab/>
        <w:t>Section 6.6.3.4, Real-Time Energy Payment for DC Tie Import;</w:t>
      </w:r>
    </w:p>
    <w:p w14:paraId="289AFD53" w14:textId="77777777" w:rsidR="002F5868" w:rsidRDefault="00DD1AC6">
      <w:pPr>
        <w:pStyle w:val="List"/>
      </w:pPr>
      <w:r>
        <w:t>(l)</w:t>
      </w:r>
      <w:r>
        <w:tab/>
        <w:t>Section 6.6.3.5, Real-Time Payment for a Block Load Transfer Point;</w:t>
      </w:r>
    </w:p>
    <w:p w14:paraId="4042CA8A" w14:textId="7D67429A" w:rsidR="00630156" w:rsidRDefault="00630156" w:rsidP="002E5F2C">
      <w:pPr>
        <w:pStyle w:val="List"/>
      </w:pPr>
      <w:r>
        <w:t>(</w:t>
      </w:r>
      <w:r w:rsidR="00680ED0">
        <w:t>m</w:t>
      </w:r>
      <w:r>
        <w:t>)</w:t>
      </w:r>
      <w:r>
        <w:tab/>
        <w:t>Section 6.6.3.</w:t>
      </w:r>
      <w:r w:rsidR="00680ED0">
        <w:t>6</w:t>
      </w:r>
      <w:r>
        <w:t>, Real-Time High Dispatch Limit Override Energy Payment;</w:t>
      </w:r>
    </w:p>
    <w:p w14:paraId="5D60E939" w14:textId="41548097" w:rsidR="0036205D" w:rsidRDefault="00630156" w:rsidP="00630156">
      <w:pPr>
        <w:pStyle w:val="List"/>
      </w:pPr>
      <w:r>
        <w:t>(</w:t>
      </w:r>
      <w:r w:rsidR="00680ED0">
        <w:t>n</w:t>
      </w:r>
      <w:r>
        <w:t>)</w:t>
      </w:r>
      <w:r>
        <w:tab/>
        <w:t>Section 6.6.3.</w:t>
      </w:r>
      <w:r w:rsidR="00680ED0">
        <w:t>7</w:t>
      </w:r>
      <w:r>
        <w:t>, Real-Time High Dispatch Limit Override Energy Charge;</w:t>
      </w:r>
    </w:p>
    <w:p w14:paraId="410A2E56" w14:textId="6869D70F" w:rsidR="00CD356A" w:rsidRPr="00CD2C01" w:rsidRDefault="00CD356A" w:rsidP="00CD356A">
      <w:pPr>
        <w:spacing w:after="240"/>
        <w:ind w:left="1440" w:hanging="720"/>
      </w:pPr>
      <w:r w:rsidRPr="00CD2C01">
        <w:t>(</w:t>
      </w:r>
      <w:r w:rsidR="00680ED0">
        <w:t>o</w:t>
      </w:r>
      <w:r>
        <w:t>)</w:t>
      </w:r>
      <w:r>
        <w:tab/>
        <w:t>Section 6.6.3.</w:t>
      </w:r>
      <w:r w:rsidR="00680ED0">
        <w:t>8</w:t>
      </w:r>
      <w:r w:rsidRPr="00CD2C01">
        <w:t xml:space="preserve">, </w:t>
      </w:r>
      <w:r w:rsidRPr="00892119">
        <w:t xml:space="preserve">Real-Time </w:t>
      </w:r>
      <w:proofErr w:type="gramStart"/>
      <w:r w:rsidRPr="00892119">
        <w:t>Payment</w:t>
      </w:r>
      <w:proofErr w:type="gramEnd"/>
      <w:r w:rsidRPr="00892119">
        <w:t xml:space="preserve"> or Charge for Energy from </w:t>
      </w:r>
      <w:r>
        <w:t xml:space="preserve">a </w:t>
      </w:r>
      <w:r w:rsidRPr="00A6342E">
        <w:t xml:space="preserve">Settlement Only Distribution Generator (SODG) </w:t>
      </w:r>
      <w:r>
        <w:t>or</w:t>
      </w:r>
      <w:r w:rsidRPr="00A6342E">
        <w:t xml:space="preserve"> </w:t>
      </w:r>
      <w:r>
        <w:t xml:space="preserve">a </w:t>
      </w:r>
      <w:r w:rsidRPr="00A6342E">
        <w:t>Settlement Only Transmission Generator (SOTG)</w:t>
      </w:r>
      <w:r w:rsidRPr="00CD2C01">
        <w:t>;</w:t>
      </w:r>
    </w:p>
    <w:p w14:paraId="2BEE184B" w14:textId="3F6C4A51" w:rsidR="002F5868" w:rsidRDefault="00DD1AC6" w:rsidP="002B4852">
      <w:pPr>
        <w:pStyle w:val="List"/>
      </w:pPr>
      <w:r>
        <w:t>(</w:t>
      </w:r>
      <w:r w:rsidR="00680ED0">
        <w:t>p</w:t>
      </w:r>
      <w:r>
        <w:t>)</w:t>
      </w:r>
      <w:r>
        <w:tab/>
        <w:t xml:space="preserve">Section 6.6.4, Real-Time Congestion </w:t>
      </w:r>
      <w:proofErr w:type="gramStart"/>
      <w:r>
        <w:t>Payment</w:t>
      </w:r>
      <w:proofErr w:type="gramEnd"/>
      <w:r>
        <w:t xml:space="preserve"> or Charge for Self-Schedules;</w:t>
      </w:r>
    </w:p>
    <w:p w14:paraId="6826CF75" w14:textId="386BE689" w:rsidR="002F5868" w:rsidRDefault="00DD1AC6">
      <w:pPr>
        <w:pStyle w:val="List"/>
      </w:pPr>
      <w:r>
        <w:t>(</w:t>
      </w:r>
      <w:r w:rsidR="00680ED0">
        <w:t>q</w:t>
      </w:r>
      <w:r>
        <w:t>)</w:t>
      </w:r>
      <w:r>
        <w:tab/>
        <w:t>Section 6.6.5.1.1</w:t>
      </w:r>
      <w:r w:rsidR="00C74063">
        <w:t>.1</w:t>
      </w:r>
      <w:r>
        <w:t>, Base Point Deviation Charge for Over Generation</w:t>
      </w:r>
      <w:r w:rsidR="001A2B58">
        <w:t>;</w:t>
      </w:r>
      <w:r>
        <w:t xml:space="preserve"> </w:t>
      </w:r>
    </w:p>
    <w:p w14:paraId="79B6A9C5" w14:textId="1E77D8D5" w:rsidR="008A04B3" w:rsidRDefault="00DD1AC6">
      <w:pPr>
        <w:pStyle w:val="List"/>
      </w:pPr>
      <w:r>
        <w:t>(</w:t>
      </w:r>
      <w:r w:rsidR="00680ED0">
        <w:t>r</w:t>
      </w:r>
      <w:r>
        <w:t>)</w:t>
      </w:r>
      <w:r>
        <w:tab/>
        <w:t>Section 6.6.5.1.</w:t>
      </w:r>
      <w:r w:rsidR="00C74063">
        <w:t>1.</w:t>
      </w:r>
      <w:r>
        <w:t>2, Base Point Deviation Charge for Under Generation</w:t>
      </w:r>
      <w:r w:rsidR="001A2B58">
        <w:t>;</w:t>
      </w:r>
      <w:r>
        <w:t xml:space="preserve"> </w:t>
      </w:r>
    </w:p>
    <w:p w14:paraId="65B4E22A" w14:textId="76C62CA8" w:rsidR="002F5868" w:rsidRPr="00F452AF" w:rsidRDefault="00DD1AC6" w:rsidP="002B4852">
      <w:pPr>
        <w:pStyle w:val="List"/>
      </w:pPr>
      <w:r>
        <w:t>(</w:t>
      </w:r>
      <w:r w:rsidR="00680ED0">
        <w:t>s</w:t>
      </w:r>
      <w:r>
        <w:t>)</w:t>
      </w:r>
      <w:r>
        <w:tab/>
        <w:t>Section 6.6.5.2, IRR Generation Resource Base</w:t>
      </w:r>
      <w:r w:rsidR="00AC12CB">
        <w:t xml:space="preserve"> </w:t>
      </w:r>
      <w:r>
        <w:t>Point Deviation Charge;</w:t>
      </w:r>
      <w:r w:rsidRPr="00F452AF">
        <w:t xml:space="preserve"> </w:t>
      </w:r>
    </w:p>
    <w:p w14:paraId="1323DA1F" w14:textId="2BAC1B99" w:rsidR="002F5868" w:rsidRPr="00F452AF" w:rsidRDefault="00DD1AC6" w:rsidP="002B4852">
      <w:pPr>
        <w:pStyle w:val="List"/>
      </w:pPr>
      <w:r w:rsidRPr="00F452AF">
        <w:lastRenderedPageBreak/>
        <w:t>(</w:t>
      </w:r>
      <w:r w:rsidR="00680ED0">
        <w:t>t</w:t>
      </w:r>
      <w:r w:rsidRPr="00F452AF">
        <w:t>)</w:t>
      </w:r>
      <w:r w:rsidRPr="00F452AF">
        <w:tab/>
        <w:t>Section 6.6.5.4, Base Point Deviation Payment;</w:t>
      </w:r>
    </w:p>
    <w:p w14:paraId="61738604" w14:textId="04AB8C16" w:rsidR="002F5868" w:rsidRPr="00F452AF" w:rsidRDefault="00DD1AC6" w:rsidP="004C53DD">
      <w:pPr>
        <w:pStyle w:val="List"/>
      </w:pPr>
      <w:r>
        <w:t>(</w:t>
      </w:r>
      <w:r w:rsidR="00680ED0">
        <w:t>u</w:t>
      </w:r>
      <w:r>
        <w:t>)</w:t>
      </w:r>
      <w:r>
        <w:tab/>
      </w:r>
      <w:r w:rsidRPr="00F452AF">
        <w:t>Section 6.6.6.1</w:t>
      </w:r>
      <w:r>
        <w:t xml:space="preserve">, </w:t>
      </w:r>
      <w:r w:rsidRPr="00F452AF">
        <w:t>RMR Standby Payment;</w:t>
      </w:r>
    </w:p>
    <w:p w14:paraId="27E92E7B" w14:textId="4429D0C1" w:rsidR="002F5868" w:rsidRDefault="00DD1AC6">
      <w:pPr>
        <w:pStyle w:val="List"/>
      </w:pPr>
      <w:r>
        <w:t>(</w:t>
      </w:r>
      <w:r w:rsidR="00680ED0">
        <w:t>v</w:t>
      </w:r>
      <w:r>
        <w:t>)</w:t>
      </w:r>
      <w:r>
        <w:tab/>
        <w:t>Section 6.6.6.2, RMR Payment for Energy;</w:t>
      </w:r>
    </w:p>
    <w:p w14:paraId="37A8F528" w14:textId="133A4EC3" w:rsidR="002F5868" w:rsidRDefault="00DD1AC6">
      <w:pPr>
        <w:pStyle w:val="List"/>
      </w:pPr>
      <w:r>
        <w:t>(</w:t>
      </w:r>
      <w:r w:rsidR="00680ED0">
        <w:t>w</w:t>
      </w:r>
      <w:r>
        <w:t>)</w:t>
      </w:r>
      <w:r>
        <w:tab/>
        <w:t>Section 6.6.6.3, RMR Adjustment Charge;</w:t>
      </w:r>
    </w:p>
    <w:p w14:paraId="67D1DC84" w14:textId="3EEC4FBA" w:rsidR="002F5868" w:rsidRDefault="00DD1AC6">
      <w:pPr>
        <w:pStyle w:val="List"/>
      </w:pPr>
      <w:r>
        <w:t>(</w:t>
      </w:r>
      <w:r w:rsidR="00680ED0">
        <w:t>x</w:t>
      </w:r>
      <w:r>
        <w:t>)</w:t>
      </w:r>
      <w:r>
        <w:tab/>
        <w:t>Section 6.6.6.4, RMR Charge for Unexcused Misconduct;</w:t>
      </w:r>
    </w:p>
    <w:p w14:paraId="79059DC0" w14:textId="0ABB77F4" w:rsidR="002F5868" w:rsidRDefault="00DD1AC6">
      <w:pPr>
        <w:pStyle w:val="List"/>
      </w:pPr>
      <w:r>
        <w:t>(</w:t>
      </w:r>
      <w:r w:rsidR="00680ED0">
        <w:t>y</w:t>
      </w:r>
      <w:r>
        <w:t>)</w:t>
      </w:r>
      <w:r>
        <w:tab/>
        <w:t>Section 6.6.6.5, RMR Service Charge;</w:t>
      </w:r>
    </w:p>
    <w:p w14:paraId="6781BADF" w14:textId="54F575E6" w:rsidR="005F19AF" w:rsidRDefault="005F19AF" w:rsidP="005F19AF">
      <w:pPr>
        <w:spacing w:after="240"/>
        <w:ind w:left="1440" w:hanging="720"/>
      </w:pPr>
      <w:r>
        <w:t>(</w:t>
      </w:r>
      <w:r w:rsidR="00680ED0">
        <w:t>z</w:t>
      </w:r>
      <w:r>
        <w:t xml:space="preserve">) </w:t>
      </w:r>
      <w:r>
        <w:tab/>
        <w:t xml:space="preserve">Section 6.6.6.6, </w:t>
      </w:r>
      <w:r w:rsidR="006F4A24" w:rsidRPr="00326E23">
        <w:t>Method for Reconciling RMR Actual Eligible Costs, RMR and MRA Contributed Capital Expenditures, and Miscellaneous RMR Incurred Expenses</w:t>
      </w:r>
      <w:r>
        <w:t>;</w:t>
      </w:r>
    </w:p>
    <w:p w14:paraId="3F499883" w14:textId="67B8E37A" w:rsidR="002F5868" w:rsidRDefault="00DD1AC6" w:rsidP="002B4852">
      <w:pPr>
        <w:pStyle w:val="List"/>
      </w:pPr>
      <w:r>
        <w:t>(</w:t>
      </w:r>
      <w:r w:rsidR="00680ED0">
        <w:t>aa</w:t>
      </w:r>
      <w:r>
        <w:t>)</w:t>
      </w:r>
      <w:r>
        <w:tab/>
        <w:t>Paragraph (2) of Section 6.6.7.1, Voltage Support Service Payments;</w:t>
      </w:r>
    </w:p>
    <w:p w14:paraId="056CC198" w14:textId="3AFBA0E1" w:rsidR="002F5868" w:rsidRDefault="00DD1AC6">
      <w:pPr>
        <w:pStyle w:val="List"/>
      </w:pPr>
      <w:r>
        <w:t>(</w:t>
      </w:r>
      <w:r w:rsidR="00680ED0">
        <w:t>bb</w:t>
      </w:r>
      <w:r>
        <w:t>)</w:t>
      </w:r>
      <w:r>
        <w:tab/>
        <w:t>Paragraph (4) of Section 6.6.7.1;</w:t>
      </w:r>
    </w:p>
    <w:p w14:paraId="384B9C31" w14:textId="62579E3E" w:rsidR="002F5868" w:rsidRPr="00F452AF" w:rsidRDefault="00DD1AC6" w:rsidP="004C53DD">
      <w:pPr>
        <w:pStyle w:val="List"/>
      </w:pPr>
      <w:r w:rsidRPr="00F452AF">
        <w:t>(</w:t>
      </w:r>
      <w:r w:rsidR="00680ED0">
        <w:t>cc</w:t>
      </w:r>
      <w:r w:rsidRPr="00F452AF">
        <w:t>)</w:t>
      </w:r>
      <w:r w:rsidRPr="00F452AF">
        <w:tab/>
        <w:t>Section 6.6.7.2, Voltage Support Charge;</w:t>
      </w:r>
    </w:p>
    <w:p w14:paraId="47B3D194" w14:textId="565EADCD" w:rsidR="002F5868" w:rsidRDefault="00DD1AC6">
      <w:pPr>
        <w:pStyle w:val="List"/>
      </w:pPr>
      <w:r>
        <w:t>(</w:t>
      </w:r>
      <w:r w:rsidR="00680ED0">
        <w:t>dd</w:t>
      </w:r>
      <w:r>
        <w:t>)</w:t>
      </w:r>
      <w:r>
        <w:tab/>
        <w:t xml:space="preserve">Section 6.6.8.1, Black Start </w:t>
      </w:r>
      <w:r w:rsidR="00EB4EA8">
        <w:t>Hourly Standby Fee</w:t>
      </w:r>
      <w:r>
        <w:t xml:space="preserve"> Payment;</w:t>
      </w:r>
    </w:p>
    <w:p w14:paraId="587BE312" w14:textId="093E864A" w:rsidR="002F5868" w:rsidRDefault="00DD1AC6">
      <w:pPr>
        <w:pStyle w:val="List"/>
      </w:pPr>
      <w:r>
        <w:t>(</w:t>
      </w:r>
      <w:proofErr w:type="spellStart"/>
      <w:r w:rsidR="00680ED0">
        <w:t>ee</w:t>
      </w:r>
      <w:proofErr w:type="spellEnd"/>
      <w:r>
        <w:t>)</w:t>
      </w:r>
      <w:r>
        <w:tab/>
        <w:t>Section 6.6.8.2, Black Start Capacity Charge;</w:t>
      </w:r>
    </w:p>
    <w:p w14:paraId="23C30E3F" w14:textId="3EB27F2D" w:rsidR="002F5868" w:rsidRDefault="00DD1AC6">
      <w:pPr>
        <w:pStyle w:val="List"/>
      </w:pPr>
      <w:r>
        <w:t>(</w:t>
      </w:r>
      <w:r w:rsidR="00680ED0">
        <w:t>ff</w:t>
      </w:r>
      <w:r>
        <w:t>)</w:t>
      </w:r>
      <w:r>
        <w:tab/>
        <w:t>Section 6.6.9.1, Payment for Emergency Power Increase Directed by ERCOT;</w:t>
      </w:r>
    </w:p>
    <w:p w14:paraId="0D063F29" w14:textId="60C5C753" w:rsidR="002F5868" w:rsidRDefault="00DD1AC6">
      <w:pPr>
        <w:pStyle w:val="List"/>
      </w:pPr>
      <w:r>
        <w:t>(</w:t>
      </w:r>
      <w:r w:rsidR="00680ED0">
        <w:t>gg</w:t>
      </w:r>
      <w:r>
        <w:t>)</w:t>
      </w:r>
      <w:r>
        <w:tab/>
        <w:t>Section 6.6.9.2, Charge for Emergency Power Increases;</w:t>
      </w:r>
    </w:p>
    <w:p w14:paraId="43B1CB2E" w14:textId="1E7C9D29" w:rsidR="002F5868" w:rsidRDefault="00DD1AC6">
      <w:pPr>
        <w:pStyle w:val="List"/>
      </w:pPr>
      <w:r>
        <w:t>(</w:t>
      </w:r>
      <w:proofErr w:type="spellStart"/>
      <w:r w:rsidR="00680ED0">
        <w:t>hh</w:t>
      </w:r>
      <w:proofErr w:type="spellEnd"/>
      <w:r>
        <w:t>)</w:t>
      </w:r>
      <w:r>
        <w:tab/>
        <w:t>Section 6.6.10, Real-Time Revenue Neutrality Allocation;</w:t>
      </w:r>
    </w:p>
    <w:p w14:paraId="16533DBF" w14:textId="2DA5F7DA" w:rsidR="007603E3" w:rsidRPr="000C3B2F" w:rsidRDefault="007603E3" w:rsidP="007603E3">
      <w:pPr>
        <w:spacing w:after="240"/>
        <w:ind w:left="1440" w:hanging="720"/>
      </w:pPr>
      <w:r w:rsidRPr="000C3B2F">
        <w:t>(</w:t>
      </w:r>
      <w:r w:rsidR="00680ED0">
        <w:t>ii</w:t>
      </w:r>
      <w:r w:rsidRPr="000C3B2F">
        <w:t>)</w:t>
      </w:r>
      <w:r w:rsidRPr="000C3B2F">
        <w:tab/>
        <w:t>Section 6.6.1</w:t>
      </w:r>
      <w:r w:rsidR="0013016F">
        <w:t>4</w:t>
      </w:r>
      <w:r w:rsidRPr="000C3B2F">
        <w:t>.</w:t>
      </w:r>
      <w:r>
        <w:t>2</w:t>
      </w:r>
      <w:r w:rsidRPr="000C3B2F">
        <w:t xml:space="preserve">, Firm Fuel Supply Service Hourly Standby Fee </w:t>
      </w:r>
      <w:proofErr w:type="gramStart"/>
      <w:r w:rsidRPr="000C3B2F">
        <w:t>Payment</w:t>
      </w:r>
      <w:proofErr w:type="gramEnd"/>
      <w:r>
        <w:t xml:space="preserve"> </w:t>
      </w:r>
      <w:r w:rsidRPr="005D035F">
        <w:t>and Fuel Replacement Cost Recovery</w:t>
      </w:r>
      <w:r>
        <w:t>;</w:t>
      </w:r>
    </w:p>
    <w:p w14:paraId="12748F0C" w14:textId="53222463" w:rsidR="007603E3" w:rsidRPr="000C3B2F" w:rsidRDefault="007603E3" w:rsidP="007603E3">
      <w:pPr>
        <w:spacing w:after="240"/>
        <w:ind w:left="1440" w:hanging="720"/>
      </w:pPr>
      <w:r w:rsidRPr="000C3B2F">
        <w:t>(</w:t>
      </w:r>
      <w:proofErr w:type="spellStart"/>
      <w:r w:rsidR="00680ED0">
        <w:t>jj</w:t>
      </w:r>
      <w:proofErr w:type="spellEnd"/>
      <w:r w:rsidRPr="000C3B2F">
        <w:t>)</w:t>
      </w:r>
      <w:r w:rsidRPr="000C3B2F">
        <w:tab/>
        <w:t>Section 6.6.1</w:t>
      </w:r>
      <w:r w:rsidR="0013016F">
        <w:t>4</w:t>
      </w:r>
      <w:r w:rsidRPr="000C3B2F">
        <w:t>.</w:t>
      </w:r>
      <w:r>
        <w:t>3</w:t>
      </w:r>
      <w:r w:rsidRPr="000C3B2F">
        <w:t>, Firm Fuel Supply Service Capacity Charge</w:t>
      </w:r>
      <w:r>
        <w:t>;</w:t>
      </w:r>
    </w:p>
    <w:p w14:paraId="16CC81E6" w14:textId="5FDABAA9" w:rsidR="002F5868" w:rsidRDefault="00DD1AC6">
      <w:pPr>
        <w:pStyle w:val="List"/>
      </w:pPr>
      <w:r>
        <w:t>(</w:t>
      </w:r>
      <w:r w:rsidR="00680ED0">
        <w:t>kk</w:t>
      </w:r>
      <w:r>
        <w:t>)</w:t>
      </w:r>
      <w:r>
        <w:tab/>
        <w:t xml:space="preserve">Paragraph </w:t>
      </w:r>
      <w:r w:rsidR="00522B6A">
        <w:t>(1)</w:t>
      </w:r>
      <w:r w:rsidR="006B4446">
        <w:t>(a)</w:t>
      </w:r>
      <w:r>
        <w:t xml:space="preserve"> of Section 6.7.1, Payments for Ancillary Service Capacity Sold in a Supplemental Ancillary Service</w:t>
      </w:r>
      <w:r w:rsidR="00522B6A">
        <w:t>s</w:t>
      </w:r>
      <w:r>
        <w:t xml:space="preserve"> Market</w:t>
      </w:r>
      <w:r w:rsidR="00522B6A">
        <w:t xml:space="preserve"> (SASM) or Reconfiguration Supplemental Ancillary Services Market (RSASM)</w:t>
      </w:r>
      <w:r>
        <w:t>;</w:t>
      </w:r>
    </w:p>
    <w:p w14:paraId="3EA01465" w14:textId="6537D749" w:rsidR="002F5868" w:rsidRDefault="00DD1AC6">
      <w:pPr>
        <w:pStyle w:val="List"/>
      </w:pPr>
      <w:r>
        <w:t>(</w:t>
      </w:r>
      <w:proofErr w:type="spellStart"/>
      <w:r w:rsidR="00680ED0">
        <w:t>ll</w:t>
      </w:r>
      <w:proofErr w:type="spellEnd"/>
      <w:r>
        <w:t>)</w:t>
      </w:r>
      <w:r>
        <w:tab/>
        <w:t xml:space="preserve">Paragraph </w:t>
      </w:r>
      <w:r w:rsidR="00522B6A">
        <w:t>(1)</w:t>
      </w:r>
      <w:r w:rsidR="006B4446">
        <w:t>(b)</w:t>
      </w:r>
      <w:r>
        <w:t xml:space="preserve"> of Section 6.7.1;</w:t>
      </w:r>
    </w:p>
    <w:p w14:paraId="1E3B373E" w14:textId="2A4AE8F5" w:rsidR="002F5868" w:rsidRDefault="00DD1AC6">
      <w:pPr>
        <w:pStyle w:val="List"/>
      </w:pPr>
      <w:r>
        <w:t>(</w:t>
      </w:r>
      <w:r w:rsidR="00680ED0">
        <w:t>mm</w:t>
      </w:r>
      <w:r>
        <w:t>)</w:t>
      </w:r>
      <w:r>
        <w:tab/>
        <w:t xml:space="preserve">Paragraph </w:t>
      </w:r>
      <w:r w:rsidR="00522B6A">
        <w:t>(1)</w:t>
      </w:r>
      <w:r w:rsidR="006B4446">
        <w:t>(c)</w:t>
      </w:r>
      <w:r>
        <w:t xml:space="preserve"> of Section 6.7.1;</w:t>
      </w:r>
    </w:p>
    <w:p w14:paraId="60C3031D" w14:textId="16D7C5E4" w:rsidR="002F5868" w:rsidRDefault="00DD1AC6">
      <w:pPr>
        <w:pStyle w:val="List"/>
      </w:pPr>
      <w:r>
        <w:t>(</w:t>
      </w:r>
      <w:proofErr w:type="spellStart"/>
      <w:r w:rsidR="00680ED0">
        <w:t>nn</w:t>
      </w:r>
      <w:proofErr w:type="spellEnd"/>
      <w:r>
        <w:t>)</w:t>
      </w:r>
      <w:r>
        <w:tab/>
        <w:t xml:space="preserve">Paragraph </w:t>
      </w:r>
      <w:r w:rsidR="00522B6A">
        <w:t>(1)</w:t>
      </w:r>
      <w:r w:rsidR="006B4446">
        <w:t>(d)</w:t>
      </w:r>
      <w:r>
        <w:t xml:space="preserve"> of Section 6.7.1; </w:t>
      </w:r>
    </w:p>
    <w:p w14:paraId="11C7E0DA" w14:textId="1407BAD3" w:rsidR="00397195" w:rsidRPr="0003648D" w:rsidRDefault="00397195" w:rsidP="00397195">
      <w:pPr>
        <w:spacing w:after="240"/>
        <w:ind w:left="1440" w:hanging="720"/>
      </w:pPr>
      <w:r w:rsidRPr="0003648D">
        <w:t>(</w:t>
      </w:r>
      <w:proofErr w:type="spellStart"/>
      <w:r>
        <w:t>oo</w:t>
      </w:r>
      <w:proofErr w:type="spellEnd"/>
      <w:r w:rsidRPr="0003648D">
        <w:t>)</w:t>
      </w:r>
      <w:r w:rsidRPr="0003648D">
        <w:tab/>
        <w:t xml:space="preserve">Paragraph (1)(e) of Section 6.7.1; </w:t>
      </w:r>
    </w:p>
    <w:p w14:paraId="30822A83" w14:textId="2109AC60" w:rsidR="00504253" w:rsidRDefault="00504253" w:rsidP="002B4852">
      <w:pPr>
        <w:pStyle w:val="List"/>
      </w:pPr>
      <w:r>
        <w:lastRenderedPageBreak/>
        <w:t>(</w:t>
      </w:r>
      <w:r w:rsidR="00397195">
        <w:t>pp</w:t>
      </w:r>
      <w:r>
        <w:t>)</w:t>
      </w:r>
      <w:r>
        <w:tab/>
      </w:r>
      <w:r w:rsidRPr="00A02D58">
        <w:t xml:space="preserve">Paragraph </w:t>
      </w:r>
      <w:r>
        <w:t>(1)</w:t>
      </w:r>
      <w:r w:rsidRPr="00A02D58">
        <w:t>(a) of Section 6.7.2, Payments for Ancillary Service Capacity Assigned in Real-Time Operations;</w:t>
      </w:r>
    </w:p>
    <w:p w14:paraId="0CA5C261" w14:textId="7CA1473E" w:rsidR="00504253" w:rsidRDefault="00504253" w:rsidP="00A75C9C">
      <w:pPr>
        <w:pStyle w:val="List"/>
      </w:pPr>
      <w:r>
        <w:t>(</w:t>
      </w:r>
      <w:proofErr w:type="spellStart"/>
      <w:r w:rsidR="00397195">
        <w:t>qq</w:t>
      </w:r>
      <w:proofErr w:type="spellEnd"/>
      <w:r>
        <w:t>)</w:t>
      </w:r>
      <w:r>
        <w:tab/>
        <w:t>Paragraph (1)(b) of Section 6.7.2;</w:t>
      </w:r>
    </w:p>
    <w:p w14:paraId="35D444DE" w14:textId="4998A2F0" w:rsidR="00397195" w:rsidRPr="0003648D" w:rsidRDefault="00397195" w:rsidP="00397195">
      <w:pPr>
        <w:spacing w:after="240"/>
        <w:ind w:left="1440" w:hanging="720"/>
      </w:pPr>
      <w:r>
        <w:t>(</w:t>
      </w:r>
      <w:proofErr w:type="spellStart"/>
      <w:r>
        <w:t>rr</w:t>
      </w:r>
      <w:proofErr w:type="spellEnd"/>
      <w:r>
        <w:t>)</w:t>
      </w:r>
      <w:r>
        <w:tab/>
        <w:t xml:space="preserve">Paragraph (1)(c) of Section 6.7.2; </w:t>
      </w:r>
    </w:p>
    <w:p w14:paraId="0D12BDDC" w14:textId="79879330" w:rsidR="00D6200E" w:rsidRDefault="00D6200E" w:rsidP="002B4852">
      <w:pPr>
        <w:spacing w:after="240"/>
        <w:ind w:left="1440" w:hanging="720"/>
      </w:pPr>
      <w:r w:rsidRPr="00D26EA8">
        <w:t>(</w:t>
      </w:r>
      <w:r w:rsidR="00397195">
        <w:t>ss</w:t>
      </w:r>
      <w:r w:rsidRPr="00D26EA8">
        <w:t>)</w:t>
      </w:r>
      <w:r w:rsidRPr="00D26EA8">
        <w:tab/>
      </w:r>
      <w:r>
        <w:t xml:space="preserve">Paragraph (1)(a) of </w:t>
      </w:r>
      <w:r w:rsidRPr="00D26EA8">
        <w:t>Section 6.7.2.1, Charges for Infeasible Ancillary Service Capacity Due to Transmission Constraints</w:t>
      </w:r>
      <w:r>
        <w:t>;</w:t>
      </w:r>
    </w:p>
    <w:p w14:paraId="230A5BAB" w14:textId="0B3F052C" w:rsidR="00D6200E" w:rsidRDefault="00D6200E" w:rsidP="00D6200E">
      <w:pPr>
        <w:spacing w:after="240"/>
        <w:ind w:left="1440" w:hanging="720"/>
      </w:pPr>
      <w:r>
        <w:t>(</w:t>
      </w:r>
      <w:proofErr w:type="spellStart"/>
      <w:r w:rsidR="00397195">
        <w:t>tt</w:t>
      </w:r>
      <w:proofErr w:type="spellEnd"/>
      <w:r>
        <w:t>)</w:t>
      </w:r>
      <w:r>
        <w:tab/>
        <w:t>Paragraph (1)(b) of Section 6.7.2.1;</w:t>
      </w:r>
    </w:p>
    <w:p w14:paraId="5F6B722E" w14:textId="57EA8FCE" w:rsidR="00D6200E" w:rsidRDefault="00D6200E" w:rsidP="00D6200E">
      <w:pPr>
        <w:spacing w:after="240"/>
        <w:ind w:left="1440" w:hanging="720"/>
      </w:pPr>
      <w:r>
        <w:t>(</w:t>
      </w:r>
      <w:proofErr w:type="spellStart"/>
      <w:r w:rsidR="00397195">
        <w:t>uu</w:t>
      </w:r>
      <w:proofErr w:type="spellEnd"/>
      <w:r>
        <w:t>)</w:t>
      </w:r>
      <w:r>
        <w:tab/>
        <w:t>Paragraph (1)(c) of Section 6.7.2.1;</w:t>
      </w:r>
    </w:p>
    <w:p w14:paraId="38083E5B" w14:textId="51D8981A" w:rsidR="005F3989" w:rsidRDefault="00D6200E" w:rsidP="00D6200E">
      <w:pPr>
        <w:pStyle w:val="List"/>
      </w:pPr>
      <w:r>
        <w:t>(</w:t>
      </w:r>
      <w:proofErr w:type="spellStart"/>
      <w:r w:rsidR="00397195">
        <w:t>vv</w:t>
      </w:r>
      <w:proofErr w:type="spellEnd"/>
      <w:r>
        <w:t>)</w:t>
      </w:r>
      <w:r>
        <w:tab/>
        <w:t>Paragraph (1)(d) of Section 6.7.2.1;</w:t>
      </w:r>
    </w:p>
    <w:p w14:paraId="4E5A5A5D" w14:textId="01CEC57B" w:rsidR="00397195" w:rsidRPr="0003648D" w:rsidRDefault="00397195" w:rsidP="00397195">
      <w:pPr>
        <w:spacing w:after="240"/>
        <w:ind w:left="1440" w:hanging="720"/>
      </w:pPr>
      <w:r w:rsidRPr="0003648D">
        <w:t>(</w:t>
      </w:r>
      <w:r>
        <w:t>ww</w:t>
      </w:r>
      <w:r w:rsidRPr="0003648D">
        <w:t>)</w:t>
      </w:r>
      <w:r w:rsidRPr="0003648D">
        <w:tab/>
        <w:t>Paragraph (1)(e) of Section 6.7.2.1;</w:t>
      </w:r>
    </w:p>
    <w:p w14:paraId="6B017444" w14:textId="1E36697B" w:rsidR="002F5868" w:rsidRDefault="00DD1AC6" w:rsidP="002B4852">
      <w:pPr>
        <w:pStyle w:val="List"/>
      </w:pPr>
      <w:r>
        <w:t>(</w:t>
      </w:r>
      <w:r w:rsidR="00397195">
        <w:t>xx</w:t>
      </w:r>
      <w:r>
        <w:t>)</w:t>
      </w:r>
      <w:r>
        <w:tab/>
        <w:t xml:space="preserve">Paragraph </w:t>
      </w:r>
      <w:r w:rsidR="00522B6A">
        <w:t>(1)</w:t>
      </w:r>
      <w:r>
        <w:t>(</w:t>
      </w:r>
      <w:r w:rsidR="00CD11DE">
        <w:t>a</w:t>
      </w:r>
      <w:r>
        <w:t>) of Section 6.7.</w:t>
      </w:r>
      <w:r w:rsidR="00504253">
        <w:t>3</w:t>
      </w:r>
      <w:r>
        <w:t>, Charges for Ancillary Service Capacity Replaced Due to Failure to Provide;</w:t>
      </w:r>
    </w:p>
    <w:p w14:paraId="31D647DE" w14:textId="264A3BDD" w:rsidR="002F5868" w:rsidRDefault="00DD1AC6">
      <w:pPr>
        <w:pStyle w:val="List"/>
      </w:pPr>
      <w:r>
        <w:t>(</w:t>
      </w:r>
      <w:proofErr w:type="spellStart"/>
      <w:r w:rsidR="00397195">
        <w:t>yy</w:t>
      </w:r>
      <w:proofErr w:type="spellEnd"/>
      <w:r>
        <w:t>)</w:t>
      </w:r>
      <w:r>
        <w:tab/>
        <w:t xml:space="preserve">Paragraph </w:t>
      </w:r>
      <w:r w:rsidR="00522B6A">
        <w:t>(1)</w:t>
      </w:r>
      <w:r>
        <w:t>(</w:t>
      </w:r>
      <w:r w:rsidR="00CD11DE">
        <w:t>b</w:t>
      </w:r>
      <w:r>
        <w:t>) of Section 6.7.</w:t>
      </w:r>
      <w:r w:rsidR="00504253">
        <w:t>3</w:t>
      </w:r>
      <w:r>
        <w:t>;</w:t>
      </w:r>
    </w:p>
    <w:p w14:paraId="048FF089" w14:textId="26E0BD91" w:rsidR="002F5868" w:rsidRDefault="00DD1AC6">
      <w:pPr>
        <w:pStyle w:val="List"/>
      </w:pPr>
      <w:r>
        <w:t>(</w:t>
      </w:r>
      <w:proofErr w:type="spellStart"/>
      <w:r w:rsidR="00397195">
        <w:t>zz</w:t>
      </w:r>
      <w:proofErr w:type="spellEnd"/>
      <w:r>
        <w:t>)</w:t>
      </w:r>
      <w:r>
        <w:tab/>
        <w:t xml:space="preserve">Paragraph </w:t>
      </w:r>
      <w:r w:rsidR="00522B6A">
        <w:t>(1)</w:t>
      </w:r>
      <w:r>
        <w:t>(</w:t>
      </w:r>
      <w:r w:rsidR="00CD11DE">
        <w:t>c</w:t>
      </w:r>
      <w:r>
        <w:t>) of Section 6.7.</w:t>
      </w:r>
      <w:r w:rsidR="00504253">
        <w:t>3</w:t>
      </w:r>
      <w:r>
        <w:t>;</w:t>
      </w:r>
    </w:p>
    <w:p w14:paraId="210B65ED" w14:textId="4E638F64" w:rsidR="002F5868" w:rsidRDefault="00DD1AC6">
      <w:pPr>
        <w:pStyle w:val="List"/>
      </w:pPr>
      <w:r>
        <w:t>(</w:t>
      </w:r>
      <w:proofErr w:type="spellStart"/>
      <w:r w:rsidR="00397195">
        <w:t>aaa</w:t>
      </w:r>
      <w:proofErr w:type="spellEnd"/>
      <w:r>
        <w:t>)</w:t>
      </w:r>
      <w:r>
        <w:tab/>
        <w:t xml:space="preserve">Paragraph </w:t>
      </w:r>
      <w:r w:rsidR="00522B6A">
        <w:t>(1)</w:t>
      </w:r>
      <w:r>
        <w:t>(</w:t>
      </w:r>
      <w:r w:rsidR="00763592">
        <w:t>d</w:t>
      </w:r>
      <w:r>
        <w:t>) of Section 6.7.</w:t>
      </w:r>
      <w:r w:rsidR="00504253">
        <w:t>3</w:t>
      </w:r>
      <w:r>
        <w:t>;</w:t>
      </w:r>
    </w:p>
    <w:p w14:paraId="5D76697E" w14:textId="397F8495" w:rsidR="00397195" w:rsidRPr="0003648D" w:rsidRDefault="00397195" w:rsidP="00397195">
      <w:pPr>
        <w:spacing w:after="240"/>
        <w:ind w:left="1440" w:hanging="720"/>
      </w:pPr>
      <w:r w:rsidRPr="0003648D">
        <w:t>(</w:t>
      </w:r>
      <w:proofErr w:type="spellStart"/>
      <w:r>
        <w:t>bbb</w:t>
      </w:r>
      <w:proofErr w:type="spellEnd"/>
      <w:r w:rsidRPr="0003648D">
        <w:t>)</w:t>
      </w:r>
      <w:r w:rsidRPr="0003648D">
        <w:tab/>
        <w:t>Paragraph (1)(e) of Section 6.7.3;</w:t>
      </w:r>
    </w:p>
    <w:p w14:paraId="4B917AEF" w14:textId="46D59B64" w:rsidR="002F5868" w:rsidRPr="0039567D" w:rsidRDefault="00DD1AC6" w:rsidP="002B4852">
      <w:pPr>
        <w:pStyle w:val="List"/>
      </w:pPr>
      <w:r w:rsidRPr="0039567D">
        <w:t>(</w:t>
      </w:r>
      <w:r w:rsidR="00397195">
        <w:t>ccc</w:t>
      </w:r>
      <w:r w:rsidRPr="0039567D">
        <w:t>)</w:t>
      </w:r>
      <w:r w:rsidRPr="0039567D">
        <w:tab/>
        <w:t>Paragraph (</w:t>
      </w:r>
      <w:r w:rsidR="00F452AF">
        <w:t>2</w:t>
      </w:r>
      <w:r w:rsidRPr="0039567D">
        <w:t>) of Section 6.7.</w:t>
      </w:r>
      <w:r w:rsidR="00504253">
        <w:t>4</w:t>
      </w:r>
      <w:r w:rsidRPr="0039567D">
        <w:t>, Adjustments to Cost Allocations for Ancillary Services Procurement;</w:t>
      </w:r>
    </w:p>
    <w:p w14:paraId="2725F3F9" w14:textId="32EE6296" w:rsidR="002F5868" w:rsidRPr="0039567D" w:rsidRDefault="00DD1AC6">
      <w:pPr>
        <w:pStyle w:val="List"/>
      </w:pPr>
      <w:r w:rsidRPr="0039567D">
        <w:t>(</w:t>
      </w:r>
      <w:proofErr w:type="spellStart"/>
      <w:r w:rsidR="00397195">
        <w:t>ddd</w:t>
      </w:r>
      <w:proofErr w:type="spellEnd"/>
      <w:r w:rsidRPr="0039567D">
        <w:t>)</w:t>
      </w:r>
      <w:r w:rsidRPr="0039567D">
        <w:tab/>
        <w:t>Paragraph (</w:t>
      </w:r>
      <w:r w:rsidR="00F452AF">
        <w:t>3</w:t>
      </w:r>
      <w:r w:rsidRPr="0039567D">
        <w:t>) of Section 6.7.</w:t>
      </w:r>
      <w:r w:rsidR="00504253">
        <w:t>4</w:t>
      </w:r>
      <w:r w:rsidRPr="0039567D">
        <w:t>;</w:t>
      </w:r>
    </w:p>
    <w:p w14:paraId="760D666E" w14:textId="4385366E" w:rsidR="002F5868" w:rsidRPr="0039567D" w:rsidRDefault="00DD1AC6">
      <w:pPr>
        <w:pStyle w:val="List"/>
      </w:pPr>
      <w:r w:rsidRPr="0039567D">
        <w:t>(</w:t>
      </w:r>
      <w:proofErr w:type="spellStart"/>
      <w:r w:rsidR="00397195">
        <w:t>eee</w:t>
      </w:r>
      <w:proofErr w:type="spellEnd"/>
      <w:r w:rsidRPr="0039567D">
        <w:t>)</w:t>
      </w:r>
      <w:r w:rsidRPr="0039567D">
        <w:tab/>
        <w:t>Paragraph (</w:t>
      </w:r>
      <w:r w:rsidR="00F452AF">
        <w:t>4</w:t>
      </w:r>
      <w:r w:rsidRPr="0039567D">
        <w:t>) of Section 6.7.</w:t>
      </w:r>
      <w:r w:rsidR="00504253">
        <w:t>4</w:t>
      </w:r>
      <w:r w:rsidRPr="0039567D">
        <w:t>;</w:t>
      </w:r>
    </w:p>
    <w:p w14:paraId="7B1F7508" w14:textId="3BBF1BCE" w:rsidR="002F5868" w:rsidRDefault="00DD1AC6">
      <w:pPr>
        <w:pStyle w:val="List"/>
      </w:pPr>
      <w:r w:rsidRPr="0039567D">
        <w:t>(</w:t>
      </w:r>
      <w:proofErr w:type="spellStart"/>
      <w:r w:rsidR="00397195">
        <w:t>fff</w:t>
      </w:r>
      <w:proofErr w:type="spellEnd"/>
      <w:r w:rsidRPr="0039567D">
        <w:t>)</w:t>
      </w:r>
      <w:r w:rsidRPr="0039567D">
        <w:tab/>
        <w:t>Paragraph (</w:t>
      </w:r>
      <w:r w:rsidR="00F452AF">
        <w:t>5</w:t>
      </w:r>
      <w:r w:rsidRPr="0039567D">
        <w:t>) of Section 6.7.</w:t>
      </w:r>
      <w:r w:rsidR="00504253">
        <w:t>4</w:t>
      </w:r>
      <w:r w:rsidRPr="0039567D">
        <w:t>;</w:t>
      </w:r>
      <w:r>
        <w:t xml:space="preserve"> </w:t>
      </w:r>
    </w:p>
    <w:p w14:paraId="650A9951" w14:textId="34B60D28" w:rsidR="00397195" w:rsidRPr="0003648D" w:rsidRDefault="00397195" w:rsidP="00397195">
      <w:pPr>
        <w:spacing w:after="240"/>
        <w:ind w:left="1440" w:hanging="720"/>
      </w:pPr>
      <w:r w:rsidRPr="0003648D">
        <w:t>(</w:t>
      </w:r>
      <w:proofErr w:type="spellStart"/>
      <w:r>
        <w:t>ggg</w:t>
      </w:r>
      <w:proofErr w:type="spellEnd"/>
      <w:r w:rsidRPr="0003648D">
        <w:t>)</w:t>
      </w:r>
      <w:r w:rsidRPr="0003648D">
        <w:tab/>
        <w:t>Paragraph (6) of Section 6.7.4;</w:t>
      </w:r>
    </w:p>
    <w:p w14:paraId="4450887D" w14:textId="5F683F3E" w:rsidR="00C74063" w:rsidRDefault="00C74063" w:rsidP="002B4852">
      <w:pPr>
        <w:pStyle w:val="List"/>
      </w:pPr>
      <w:r>
        <w:t>(</w:t>
      </w:r>
      <w:proofErr w:type="spellStart"/>
      <w:r w:rsidR="00397195">
        <w:t>hhh</w:t>
      </w:r>
      <w:proofErr w:type="spellEnd"/>
      <w:r>
        <w:t>)</w:t>
      </w:r>
      <w:r>
        <w:tab/>
      </w:r>
      <w:r w:rsidR="001A72B8" w:rsidRPr="00491E7A">
        <w:t>Paragraph (</w:t>
      </w:r>
      <w:r w:rsidR="0067556D">
        <w:t>7</w:t>
      </w:r>
      <w:r w:rsidR="001A72B8" w:rsidRPr="00491E7A">
        <w:t xml:space="preserve">) of </w:t>
      </w:r>
      <w:r>
        <w:t xml:space="preserve">Section </w:t>
      </w:r>
      <w:r w:rsidRPr="007A1F61">
        <w:t>6.7.</w:t>
      </w:r>
      <w:r w:rsidR="00504253">
        <w:t>5</w:t>
      </w:r>
      <w:r>
        <w:t xml:space="preserve">, </w:t>
      </w:r>
      <w:r w:rsidRPr="007A1F61">
        <w:t xml:space="preserve">Real-Time Ancillary Service Imbalance </w:t>
      </w:r>
      <w:proofErr w:type="gramStart"/>
      <w:r w:rsidRPr="007A1F61">
        <w:t>Payment</w:t>
      </w:r>
      <w:proofErr w:type="gramEnd"/>
      <w:r w:rsidRPr="007A1F61">
        <w:t xml:space="preserve"> or Charge</w:t>
      </w:r>
      <w:r w:rsidR="00C16E4D">
        <w:t xml:space="preserve"> (Real-Time Ancillary Service Imbalance Amount)</w:t>
      </w:r>
      <w:r>
        <w:t>;</w:t>
      </w:r>
    </w:p>
    <w:p w14:paraId="6090F60E" w14:textId="6AA6350F" w:rsidR="00C16E4D" w:rsidRDefault="00C16E4D" w:rsidP="00C16E4D">
      <w:pPr>
        <w:pStyle w:val="List"/>
      </w:pPr>
      <w:r>
        <w:t>(</w:t>
      </w:r>
      <w:r w:rsidR="00397195">
        <w:t>iii</w:t>
      </w:r>
      <w:r>
        <w:t>)</w:t>
      </w:r>
      <w:r>
        <w:tab/>
      </w:r>
      <w:r w:rsidRPr="00491E7A">
        <w:t>Paragraph (</w:t>
      </w:r>
      <w:r w:rsidR="0067556D">
        <w:t>7</w:t>
      </w:r>
      <w:r w:rsidRPr="00491E7A">
        <w:t xml:space="preserve">) of </w:t>
      </w:r>
      <w:r>
        <w:t xml:space="preserve">Section </w:t>
      </w:r>
      <w:r w:rsidRPr="007A1F61">
        <w:t>6.7.</w:t>
      </w:r>
      <w:r w:rsidR="00504253">
        <w:t>5</w:t>
      </w:r>
      <w:r>
        <w:t>, (</w:t>
      </w:r>
      <w:r w:rsidRPr="009506C2">
        <w:t>Real-Time Reliability Deployment Ancillary Service Imbalance Amount</w:t>
      </w:r>
      <w:r>
        <w:t>);</w:t>
      </w:r>
    </w:p>
    <w:p w14:paraId="343C5E57" w14:textId="34053F66" w:rsidR="009868C6" w:rsidRDefault="009868C6" w:rsidP="009868C6">
      <w:pPr>
        <w:pStyle w:val="List"/>
      </w:pPr>
      <w:r w:rsidRPr="00491E7A">
        <w:t>(</w:t>
      </w:r>
      <w:proofErr w:type="spellStart"/>
      <w:r w:rsidR="00397195">
        <w:t>jjj</w:t>
      </w:r>
      <w:proofErr w:type="spellEnd"/>
      <w:r w:rsidRPr="00491E7A">
        <w:t>)</w:t>
      </w:r>
      <w:r w:rsidRPr="00491E7A">
        <w:tab/>
        <w:t>Paragraph (</w:t>
      </w:r>
      <w:r w:rsidR="0067556D">
        <w:t>8</w:t>
      </w:r>
      <w:r w:rsidRPr="00491E7A">
        <w:t>) of Section 6.7.</w:t>
      </w:r>
      <w:r w:rsidR="00504253">
        <w:t>5</w:t>
      </w:r>
      <w:r>
        <w:t>, (Real-Time RUC Ancillary Service Reserve Amount)</w:t>
      </w:r>
      <w:r w:rsidRPr="00491E7A">
        <w:t xml:space="preserve">; </w:t>
      </w:r>
    </w:p>
    <w:p w14:paraId="0AFBEEA0" w14:textId="7B12403E" w:rsidR="009868C6" w:rsidRPr="00B8591C" w:rsidRDefault="009868C6" w:rsidP="009868C6">
      <w:pPr>
        <w:pStyle w:val="List"/>
      </w:pPr>
      <w:r w:rsidRPr="00491E7A">
        <w:lastRenderedPageBreak/>
        <w:t>(</w:t>
      </w:r>
      <w:proofErr w:type="spellStart"/>
      <w:r w:rsidR="00397195">
        <w:t>kkk</w:t>
      </w:r>
      <w:proofErr w:type="spellEnd"/>
      <w:r w:rsidRPr="00491E7A">
        <w:t>)</w:t>
      </w:r>
      <w:r w:rsidRPr="00491E7A">
        <w:tab/>
        <w:t>Paragraph (</w:t>
      </w:r>
      <w:r w:rsidR="0067556D">
        <w:t>8</w:t>
      </w:r>
      <w:r w:rsidRPr="00491E7A">
        <w:t>) of Section 6.7.</w:t>
      </w:r>
      <w:r w:rsidR="00504253">
        <w:t>5</w:t>
      </w:r>
      <w:r>
        <w:t>,</w:t>
      </w:r>
      <w:r w:rsidRPr="009506C2">
        <w:t xml:space="preserve"> </w:t>
      </w:r>
      <w:r>
        <w:t>(</w:t>
      </w:r>
      <w:r w:rsidRPr="009506C2">
        <w:t>Real-Time Reliability Deployment RUC Ancillary Service Reserve Amount</w:t>
      </w:r>
      <w:r>
        <w:t>)</w:t>
      </w:r>
      <w:r w:rsidRPr="00491E7A">
        <w:t xml:space="preserve">; </w:t>
      </w:r>
    </w:p>
    <w:p w14:paraId="7DFE1A62" w14:textId="5A11C8E6" w:rsidR="00C74063" w:rsidRDefault="00C74063" w:rsidP="009868C6">
      <w:pPr>
        <w:pStyle w:val="List"/>
      </w:pPr>
      <w:r>
        <w:t>(</w:t>
      </w:r>
      <w:proofErr w:type="spellStart"/>
      <w:r w:rsidR="00397195">
        <w:t>lll</w:t>
      </w:r>
      <w:proofErr w:type="spellEnd"/>
      <w:r>
        <w:t>)</w:t>
      </w:r>
      <w:r>
        <w:tab/>
        <w:t>Section 6.7.</w:t>
      </w:r>
      <w:r w:rsidR="00504253">
        <w:t>6</w:t>
      </w:r>
      <w:r>
        <w:t xml:space="preserve">, </w:t>
      </w:r>
      <w:r w:rsidR="00F033E3">
        <w:t>Real-</w:t>
      </w:r>
      <w:r>
        <w:t>Time Ancillary Service Imbalance Revenue Neutrality Allocation</w:t>
      </w:r>
      <w:r w:rsidR="00E3188F">
        <w:t xml:space="preserve"> (Load-Allocated Ancillary Service Imbalance Revenue Neutrality Amount)</w:t>
      </w:r>
      <w:r>
        <w:t>;</w:t>
      </w:r>
    </w:p>
    <w:p w14:paraId="18470C87" w14:textId="19733684" w:rsidR="00E3188F" w:rsidRDefault="00E3188F" w:rsidP="00E3188F">
      <w:pPr>
        <w:pStyle w:val="List"/>
      </w:pPr>
      <w:r>
        <w:t>(</w:t>
      </w:r>
      <w:r w:rsidR="00397195">
        <w:t>mmm</w:t>
      </w:r>
      <w:r>
        <w:t>)</w:t>
      </w:r>
      <w:r>
        <w:tab/>
        <w:t>Section 6.7.</w:t>
      </w:r>
      <w:r w:rsidR="00504253">
        <w:t>6</w:t>
      </w:r>
      <w:r>
        <w:t>, (</w:t>
      </w:r>
      <w:r w:rsidRPr="009506C2">
        <w:t>Load-Allocated Reliability Deployment Ancillary Service Imbalance Revenue Neutrality Amount</w:t>
      </w:r>
      <w:r>
        <w:t>);</w:t>
      </w:r>
    </w:p>
    <w:p w14:paraId="78B8524F" w14:textId="4598B855" w:rsidR="002F5868" w:rsidRDefault="00DD1AC6" w:rsidP="00246FD3">
      <w:pPr>
        <w:pStyle w:val="List"/>
      </w:pPr>
      <w:r>
        <w:t>(</w:t>
      </w:r>
      <w:proofErr w:type="spellStart"/>
      <w:r w:rsidR="00397195">
        <w:t>nnn</w:t>
      </w:r>
      <w:proofErr w:type="spellEnd"/>
      <w:r>
        <w:t>)</w:t>
      </w:r>
      <w:r>
        <w:tab/>
        <w:t xml:space="preserve">Section 7.9.2.1, </w:t>
      </w:r>
      <w:proofErr w:type="gramStart"/>
      <w:r>
        <w:t>Payments</w:t>
      </w:r>
      <w:proofErr w:type="gramEnd"/>
      <w:r>
        <w:t xml:space="preserve"> and Charges for PTP Obligations Settled in Real-Time;</w:t>
      </w:r>
      <w:r w:rsidR="00246FD3">
        <w:t xml:space="preserve"> and</w:t>
      </w:r>
    </w:p>
    <w:p w14:paraId="523A948A" w14:textId="240F35ED" w:rsidR="00BC66E2" w:rsidRDefault="00DD1AC6">
      <w:pPr>
        <w:pStyle w:val="List"/>
      </w:pPr>
      <w:r>
        <w:t>(</w:t>
      </w:r>
      <w:proofErr w:type="spellStart"/>
      <w:r w:rsidR="00397195">
        <w:t>ooo</w:t>
      </w:r>
      <w:proofErr w:type="spellEnd"/>
      <w:r>
        <w:t>)</w:t>
      </w:r>
      <w:r>
        <w:tab/>
        <w:t xml:space="preserve">Section 9.16.1, ERCOT System Administration </w:t>
      </w:r>
      <w:r w:rsidR="00681A15">
        <w:t>Fee</w:t>
      </w:r>
      <w:r w:rsidR="00351268">
        <w:t>.</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4C53DD" w:rsidRPr="00E566EB" w14:paraId="5C423E76" w14:textId="77777777" w:rsidTr="001552F0">
        <w:tc>
          <w:tcPr>
            <w:tcW w:w="9766" w:type="dxa"/>
            <w:tcBorders>
              <w:top w:val="single" w:sz="4" w:space="0" w:color="auto"/>
              <w:left w:val="single" w:sz="4" w:space="0" w:color="auto"/>
              <w:bottom w:val="single" w:sz="4" w:space="0" w:color="auto"/>
              <w:right w:val="single" w:sz="4" w:space="0" w:color="auto"/>
            </w:tcBorders>
            <w:shd w:val="pct12" w:color="auto" w:fill="auto"/>
          </w:tcPr>
          <w:p w14:paraId="2526D162" w14:textId="272FC273" w:rsidR="004C53DD" w:rsidRPr="00E566EB" w:rsidRDefault="004C53DD" w:rsidP="001552F0">
            <w:pPr>
              <w:spacing w:before="120" w:after="240"/>
              <w:rPr>
                <w:b/>
                <w:i/>
                <w:iCs/>
              </w:rPr>
            </w:pPr>
            <w:r>
              <w:rPr>
                <w:b/>
                <w:i/>
                <w:iCs/>
              </w:rPr>
              <w:t xml:space="preserve">[NPRR841, NPRR885, </w:t>
            </w:r>
            <w:r w:rsidR="00D211B0">
              <w:rPr>
                <w:b/>
                <w:i/>
                <w:iCs/>
              </w:rPr>
              <w:t xml:space="preserve">NPRR963, </w:t>
            </w:r>
            <w:r w:rsidR="00986EAF">
              <w:rPr>
                <w:b/>
                <w:i/>
                <w:iCs/>
              </w:rPr>
              <w:t xml:space="preserve">NPRR995, </w:t>
            </w:r>
            <w:r>
              <w:rPr>
                <w:b/>
                <w:i/>
                <w:iCs/>
              </w:rPr>
              <w:t>NPRR1012</w:t>
            </w:r>
            <w:r w:rsidR="00AA58A1">
              <w:rPr>
                <w:b/>
                <w:i/>
                <w:iCs/>
              </w:rPr>
              <w:t xml:space="preserve">, </w:t>
            </w:r>
            <w:r w:rsidR="0047587C">
              <w:rPr>
                <w:b/>
                <w:i/>
                <w:iCs/>
              </w:rPr>
              <w:t xml:space="preserve">and </w:t>
            </w:r>
            <w:r w:rsidR="00AA58A1">
              <w:rPr>
                <w:b/>
                <w:i/>
                <w:iCs/>
              </w:rPr>
              <w:t>NPRR1014</w:t>
            </w:r>
            <w:r w:rsidRPr="00E566EB">
              <w:rPr>
                <w:b/>
                <w:i/>
                <w:iCs/>
              </w:rPr>
              <w:t xml:space="preserve">: </w:t>
            </w:r>
            <w:r>
              <w:rPr>
                <w:b/>
                <w:i/>
                <w:iCs/>
              </w:rPr>
              <w:t xml:space="preserve"> Replace applicable portions of paragraph (1) above with the following upon </w:t>
            </w:r>
            <w:r w:rsidRPr="00E566EB">
              <w:rPr>
                <w:b/>
                <w:i/>
                <w:iCs/>
              </w:rPr>
              <w:t>system implementation</w:t>
            </w:r>
            <w:r>
              <w:rPr>
                <w:b/>
                <w:i/>
                <w:iCs/>
              </w:rPr>
              <w:t xml:space="preserve"> </w:t>
            </w:r>
            <w:r w:rsidR="000F3178">
              <w:rPr>
                <w:b/>
                <w:i/>
                <w:iCs/>
              </w:rPr>
              <w:t>for</w:t>
            </w:r>
            <w:r>
              <w:rPr>
                <w:b/>
                <w:i/>
                <w:iCs/>
              </w:rPr>
              <w:t xml:space="preserve"> NPRR841, NPRR885</w:t>
            </w:r>
            <w:r w:rsidR="003720B5">
              <w:rPr>
                <w:b/>
                <w:i/>
                <w:iCs/>
              </w:rPr>
              <w:t xml:space="preserve">, </w:t>
            </w:r>
            <w:r w:rsidR="00D211B0">
              <w:rPr>
                <w:b/>
                <w:i/>
                <w:iCs/>
              </w:rPr>
              <w:t>NPRR963</w:t>
            </w:r>
            <w:r w:rsidR="00AA58A1">
              <w:rPr>
                <w:b/>
                <w:i/>
                <w:iCs/>
              </w:rPr>
              <w:t xml:space="preserve">, </w:t>
            </w:r>
            <w:r w:rsidR="00986EAF">
              <w:rPr>
                <w:b/>
                <w:i/>
                <w:iCs/>
              </w:rPr>
              <w:t xml:space="preserve">NPRR995, </w:t>
            </w:r>
            <w:r w:rsidR="0047587C">
              <w:rPr>
                <w:b/>
                <w:i/>
                <w:iCs/>
              </w:rPr>
              <w:t xml:space="preserve">or </w:t>
            </w:r>
            <w:r w:rsidR="00AA58A1">
              <w:rPr>
                <w:b/>
                <w:i/>
                <w:iCs/>
              </w:rPr>
              <w:t>NPRR1014</w:t>
            </w:r>
            <w:r>
              <w:rPr>
                <w:b/>
                <w:i/>
                <w:iCs/>
              </w:rPr>
              <w:t>; or upon system implementation of the Real-Time Co-Optimization (RTC) project for NPRR1012</w:t>
            </w:r>
            <w:r w:rsidRPr="00E566EB">
              <w:rPr>
                <w:b/>
                <w:i/>
                <w:iCs/>
              </w:rPr>
              <w:t>:]</w:t>
            </w:r>
          </w:p>
          <w:p w14:paraId="2571DB7A" w14:textId="77777777" w:rsidR="004C53DD" w:rsidRPr="00561931" w:rsidRDefault="004C53DD" w:rsidP="004C53DD">
            <w:pPr>
              <w:spacing w:after="240"/>
              <w:ind w:left="720" w:hanging="720"/>
            </w:pPr>
            <w:r w:rsidRPr="00561931">
              <w:t>(1)</w:t>
            </w:r>
            <w:r w:rsidRPr="00561931">
              <w:tab/>
              <w:t>ERCOT shall provide, on each RTM Settlement Statement, the dollar amount for each RTM Settlement charge and payment.  The RTM Settlement “Charge Types” are:</w:t>
            </w:r>
          </w:p>
          <w:p w14:paraId="1BFDA3E6" w14:textId="77777777" w:rsidR="004C53DD" w:rsidRPr="00561931" w:rsidRDefault="004C53DD" w:rsidP="004C53DD">
            <w:pPr>
              <w:spacing w:after="240"/>
              <w:ind w:left="1440" w:hanging="720"/>
            </w:pPr>
            <w:r w:rsidRPr="00561931">
              <w:t>(a)</w:t>
            </w:r>
            <w:r w:rsidRPr="00561931">
              <w:tab/>
              <w:t>Section 5.7.1, RUC Make-Whole Payment;</w:t>
            </w:r>
          </w:p>
          <w:p w14:paraId="6C857A74" w14:textId="77777777" w:rsidR="004C53DD" w:rsidRPr="00561931" w:rsidRDefault="004C53DD" w:rsidP="004C53DD">
            <w:pPr>
              <w:spacing w:after="240"/>
              <w:ind w:left="1440" w:hanging="720"/>
            </w:pPr>
            <w:r w:rsidRPr="00561931">
              <w:t>(b)</w:t>
            </w:r>
            <w:r w:rsidRPr="00561931">
              <w:tab/>
              <w:t xml:space="preserve">Section 5.7.2, RUC </w:t>
            </w:r>
            <w:proofErr w:type="spellStart"/>
            <w:r w:rsidRPr="00561931">
              <w:t>Clawback</w:t>
            </w:r>
            <w:proofErr w:type="spellEnd"/>
            <w:r w:rsidRPr="00561931">
              <w:t xml:space="preserve"> Charge;</w:t>
            </w:r>
          </w:p>
          <w:p w14:paraId="57B7B46B" w14:textId="77777777" w:rsidR="004C53DD" w:rsidRPr="00561931" w:rsidRDefault="004C53DD" w:rsidP="004C53DD">
            <w:pPr>
              <w:spacing w:after="240"/>
              <w:ind w:left="1440" w:hanging="720"/>
            </w:pPr>
            <w:r w:rsidRPr="00561931">
              <w:t>(c)</w:t>
            </w:r>
            <w:r w:rsidRPr="00561931">
              <w:tab/>
              <w:t>Section 5.7.3, Payment When ERCOT Decommits a QSE-Committed Resource;</w:t>
            </w:r>
          </w:p>
          <w:p w14:paraId="3D914583" w14:textId="77777777" w:rsidR="004C53DD" w:rsidRPr="00561931" w:rsidRDefault="004C53DD" w:rsidP="004C53DD">
            <w:pPr>
              <w:spacing w:after="240"/>
              <w:ind w:left="1440" w:hanging="720"/>
            </w:pPr>
            <w:r w:rsidRPr="00561931">
              <w:t>(d)</w:t>
            </w:r>
            <w:r w:rsidRPr="00561931">
              <w:tab/>
              <w:t>Section 5.7.4.1, RUC Capacity-Short Charge;</w:t>
            </w:r>
          </w:p>
          <w:p w14:paraId="092487DD" w14:textId="77777777" w:rsidR="004C53DD" w:rsidRPr="00561931" w:rsidRDefault="004C53DD" w:rsidP="004C53DD">
            <w:pPr>
              <w:spacing w:after="240"/>
              <w:ind w:left="1440" w:hanging="720"/>
            </w:pPr>
            <w:r w:rsidRPr="00561931">
              <w:t>(e)</w:t>
            </w:r>
            <w:r w:rsidRPr="00561931">
              <w:tab/>
              <w:t>Section 5.7.4.2, RUC Make-Whole Uplift Charge;</w:t>
            </w:r>
          </w:p>
          <w:p w14:paraId="597CD185" w14:textId="77777777" w:rsidR="004C53DD" w:rsidRPr="00561931" w:rsidRDefault="004C53DD" w:rsidP="004C53DD">
            <w:pPr>
              <w:spacing w:after="240"/>
              <w:ind w:left="1440" w:hanging="720"/>
            </w:pPr>
            <w:r w:rsidRPr="00561931">
              <w:t>(f)</w:t>
            </w:r>
            <w:r w:rsidRPr="00561931">
              <w:tab/>
              <w:t xml:space="preserve">Section </w:t>
            </w:r>
            <w:hyperlink w:anchor="_Toc109528011" w:history="1">
              <w:r w:rsidRPr="00561931">
                <w:t xml:space="preserve">5.7.5, RUC </w:t>
              </w:r>
              <w:proofErr w:type="spellStart"/>
              <w:r w:rsidRPr="00561931">
                <w:t>Clawback</w:t>
              </w:r>
              <w:proofErr w:type="spellEnd"/>
              <w:r w:rsidRPr="00561931">
                <w:t xml:space="preserve"> Payment</w:t>
              </w:r>
            </w:hyperlink>
            <w:r w:rsidRPr="00561931">
              <w:t>;</w:t>
            </w:r>
          </w:p>
          <w:p w14:paraId="247EC9EA" w14:textId="77777777" w:rsidR="004C53DD" w:rsidRPr="00561931" w:rsidRDefault="004C53DD" w:rsidP="004C53DD">
            <w:pPr>
              <w:spacing w:after="240"/>
              <w:ind w:left="1440" w:hanging="720"/>
            </w:pPr>
            <w:r w:rsidRPr="00561931">
              <w:t>(g)</w:t>
            </w:r>
            <w:r w:rsidRPr="00561931">
              <w:tab/>
              <w:t xml:space="preserve">Section </w:t>
            </w:r>
            <w:hyperlink w:anchor="_Toc109528014" w:history="1">
              <w:r w:rsidRPr="00561931">
                <w:t>5.7.6, RUC Decommitment Charge</w:t>
              </w:r>
            </w:hyperlink>
            <w:r w:rsidRPr="00561931">
              <w:t>;</w:t>
            </w:r>
          </w:p>
          <w:p w14:paraId="2F14CD62" w14:textId="77777777" w:rsidR="004C53DD" w:rsidRPr="00561931" w:rsidRDefault="004C53DD" w:rsidP="004C53DD">
            <w:pPr>
              <w:spacing w:after="240"/>
              <w:ind w:left="1440" w:hanging="720"/>
            </w:pPr>
            <w:r w:rsidRPr="00561931">
              <w:t>(h)</w:t>
            </w:r>
            <w:r w:rsidRPr="00561931">
              <w:tab/>
              <w:t xml:space="preserve">Section 6.6.3.1, Real-Time Energy Imbalance </w:t>
            </w:r>
            <w:proofErr w:type="gramStart"/>
            <w:r w:rsidRPr="00561931">
              <w:t>Payment</w:t>
            </w:r>
            <w:proofErr w:type="gramEnd"/>
            <w:r w:rsidRPr="00561931">
              <w:t xml:space="preserve"> or Charge at a Resource Node; </w:t>
            </w:r>
          </w:p>
          <w:p w14:paraId="4C17E4FE" w14:textId="77777777" w:rsidR="004C53DD" w:rsidRPr="00561931" w:rsidRDefault="004C53DD" w:rsidP="004C53DD">
            <w:pPr>
              <w:spacing w:after="240"/>
              <w:ind w:left="1440" w:hanging="720"/>
            </w:pPr>
            <w:r w:rsidRPr="00561931">
              <w:t>(i)</w:t>
            </w:r>
            <w:r w:rsidRPr="00561931">
              <w:tab/>
              <w:t xml:space="preserve">Section 6.6.3.2, Real-Time Energy Imbalance </w:t>
            </w:r>
            <w:proofErr w:type="gramStart"/>
            <w:r w:rsidRPr="00561931">
              <w:t>Payment</w:t>
            </w:r>
            <w:proofErr w:type="gramEnd"/>
            <w:r w:rsidRPr="00561931">
              <w:t xml:space="preserve"> or Charge at a Load Zone;</w:t>
            </w:r>
          </w:p>
          <w:p w14:paraId="4BB8CD8C" w14:textId="77777777" w:rsidR="004C53DD" w:rsidRPr="00561931" w:rsidRDefault="004C53DD" w:rsidP="004C53DD">
            <w:pPr>
              <w:spacing w:after="240"/>
              <w:ind w:left="1440" w:hanging="720"/>
            </w:pPr>
            <w:r w:rsidRPr="00561931">
              <w:t>(j)</w:t>
            </w:r>
            <w:r w:rsidRPr="00561931">
              <w:tab/>
              <w:t xml:space="preserve">Section 6.6.3.3, Real-Time Energy Imbalance </w:t>
            </w:r>
            <w:proofErr w:type="gramStart"/>
            <w:r w:rsidRPr="00561931">
              <w:t>Payment</w:t>
            </w:r>
            <w:proofErr w:type="gramEnd"/>
            <w:r w:rsidRPr="00561931">
              <w:t xml:space="preserve"> or Charge at a Hub;</w:t>
            </w:r>
          </w:p>
          <w:p w14:paraId="0BB25592" w14:textId="77777777" w:rsidR="004C53DD" w:rsidRPr="00561931" w:rsidRDefault="004C53DD" w:rsidP="004C53DD">
            <w:pPr>
              <w:spacing w:after="240"/>
              <w:ind w:left="1440" w:hanging="720"/>
            </w:pPr>
            <w:r w:rsidRPr="00561931">
              <w:t>(k)</w:t>
            </w:r>
            <w:r w:rsidRPr="00561931">
              <w:tab/>
              <w:t>Section 6.6.3.4, Real-Time Energy Payment for DC Tie Import;</w:t>
            </w:r>
          </w:p>
          <w:p w14:paraId="5389701E" w14:textId="77777777" w:rsidR="004C53DD" w:rsidRPr="00561931" w:rsidRDefault="004C53DD" w:rsidP="004C53DD">
            <w:pPr>
              <w:spacing w:after="240"/>
              <w:ind w:left="1440" w:hanging="720"/>
            </w:pPr>
            <w:r w:rsidRPr="00561931">
              <w:t>(l)</w:t>
            </w:r>
            <w:r w:rsidRPr="00561931">
              <w:tab/>
              <w:t>Section 6.6.3.5, Real-Time Payment for a Block Load Transfer Point;</w:t>
            </w:r>
          </w:p>
          <w:p w14:paraId="26327D63" w14:textId="44A90098" w:rsidR="004C53DD" w:rsidRPr="00561931" w:rsidRDefault="004C53DD" w:rsidP="004C53DD">
            <w:pPr>
              <w:spacing w:after="240"/>
              <w:ind w:left="1440" w:hanging="720"/>
            </w:pPr>
            <w:r w:rsidRPr="00561931">
              <w:lastRenderedPageBreak/>
              <w:t>(</w:t>
            </w:r>
            <w:r w:rsidR="008828C3">
              <w:t>m</w:t>
            </w:r>
            <w:r w:rsidRPr="00561931">
              <w:t>)</w:t>
            </w:r>
            <w:r w:rsidRPr="00561931">
              <w:tab/>
              <w:t>Section 6.6.3.</w:t>
            </w:r>
            <w:r w:rsidR="00F033E3">
              <w:t>6</w:t>
            </w:r>
            <w:r w:rsidRPr="00561931">
              <w:t>, Real-Time High Dispatch Limit Override Energy Payment;</w:t>
            </w:r>
          </w:p>
          <w:p w14:paraId="7A011893" w14:textId="6EEDCA3D" w:rsidR="004C53DD" w:rsidRPr="00561931" w:rsidRDefault="004C53DD" w:rsidP="004C53DD">
            <w:pPr>
              <w:spacing w:after="240"/>
              <w:ind w:left="1440" w:hanging="720"/>
            </w:pPr>
            <w:r w:rsidRPr="00561931">
              <w:t>(</w:t>
            </w:r>
            <w:r w:rsidR="008828C3">
              <w:t>n</w:t>
            </w:r>
            <w:r w:rsidRPr="00561931">
              <w:t>)</w:t>
            </w:r>
            <w:r w:rsidRPr="00561931">
              <w:tab/>
              <w:t>Section 6.6.3.</w:t>
            </w:r>
            <w:r w:rsidR="00F033E3">
              <w:t>7</w:t>
            </w:r>
            <w:r w:rsidRPr="00561931">
              <w:t>, Real-Time High Dispatch Limit Override Energy Charge;</w:t>
            </w:r>
          </w:p>
          <w:p w14:paraId="7B84F5A3" w14:textId="694C5411" w:rsidR="004C53DD" w:rsidRDefault="004C53DD" w:rsidP="002B4852">
            <w:pPr>
              <w:spacing w:after="240"/>
              <w:ind w:left="1440" w:hanging="720"/>
            </w:pPr>
            <w:r w:rsidRPr="00561931">
              <w:t>(</w:t>
            </w:r>
            <w:r w:rsidR="008828C3">
              <w:t>o</w:t>
            </w:r>
            <w:r w:rsidRPr="00561931">
              <w:t>)</w:t>
            </w:r>
            <w:r w:rsidRPr="00561931">
              <w:tab/>
              <w:t>Section 6.6.3.</w:t>
            </w:r>
            <w:r w:rsidR="00F033E3">
              <w:t>8</w:t>
            </w:r>
            <w:r w:rsidRPr="00561931">
              <w:t xml:space="preserve">, Real-Time </w:t>
            </w:r>
            <w:proofErr w:type="gramStart"/>
            <w:r w:rsidRPr="00561931">
              <w:t>Payment</w:t>
            </w:r>
            <w:proofErr w:type="gramEnd"/>
            <w:r w:rsidRPr="00561931">
              <w:t xml:space="preserve"> or Charge for Energy from a Settlement Only Distribution Generator (SODG)</w:t>
            </w:r>
            <w:r w:rsidR="00986EAF">
              <w:t>,</w:t>
            </w:r>
            <w:r w:rsidRPr="00561931">
              <w:t xml:space="preserve"> Settlement Only Transmission Generator (SOTG)</w:t>
            </w:r>
            <w:r w:rsidR="00986EAF">
              <w:t>, Settlement Only Distribution Energy Storage System (SODESS), or</w:t>
            </w:r>
            <w:r w:rsidR="003720B5">
              <w:t xml:space="preserve"> </w:t>
            </w:r>
            <w:r w:rsidR="00986EAF">
              <w:t>Settlement Only Transmission Energy Storage System (SOTESS)</w:t>
            </w:r>
            <w:r w:rsidRPr="00561931">
              <w:t xml:space="preserve">; </w:t>
            </w:r>
          </w:p>
          <w:p w14:paraId="575854A9" w14:textId="22E8F1E3" w:rsidR="004C53DD" w:rsidRPr="00561931" w:rsidRDefault="00544C15" w:rsidP="002B4852">
            <w:pPr>
              <w:spacing w:after="240"/>
              <w:ind w:left="1440" w:hanging="720"/>
            </w:pPr>
            <w:r>
              <w:t>(</w:t>
            </w:r>
            <w:r w:rsidR="008828C3">
              <w:t>p</w:t>
            </w:r>
            <w:r w:rsidR="004C53DD" w:rsidRPr="00561931">
              <w:t>)</w:t>
            </w:r>
            <w:r w:rsidR="004C53DD" w:rsidRPr="00561931">
              <w:tab/>
              <w:t xml:space="preserve">Section 6.6.4, Real-Time Congestion </w:t>
            </w:r>
            <w:proofErr w:type="gramStart"/>
            <w:r w:rsidR="004C53DD" w:rsidRPr="00561931">
              <w:t>Payment</w:t>
            </w:r>
            <w:proofErr w:type="gramEnd"/>
            <w:r w:rsidR="004C53DD" w:rsidRPr="00561931">
              <w:t xml:space="preserve"> or Charge for Self-Schedules;</w:t>
            </w:r>
          </w:p>
          <w:p w14:paraId="72B4BB32" w14:textId="1E8CC78D" w:rsidR="004C53DD" w:rsidRPr="00561931" w:rsidRDefault="00544C15" w:rsidP="004C53DD">
            <w:pPr>
              <w:spacing w:after="240"/>
              <w:ind w:left="1440" w:hanging="720"/>
            </w:pPr>
            <w:r>
              <w:t>(</w:t>
            </w:r>
            <w:r w:rsidR="008828C3">
              <w:t>q</w:t>
            </w:r>
            <w:r w:rsidR="004C53DD" w:rsidRPr="00561931">
              <w:t>)</w:t>
            </w:r>
            <w:r w:rsidR="004C53DD" w:rsidRPr="00561931">
              <w:tab/>
              <w:t>Section 6.6.5.</w:t>
            </w:r>
            <w:r w:rsidR="00F033E3">
              <w:t>2</w:t>
            </w:r>
            <w:r w:rsidR="004C53DD" w:rsidRPr="00561931">
              <w:t xml:space="preserve">, </w:t>
            </w:r>
            <w:r w:rsidR="004C53DD">
              <w:t>Set</w:t>
            </w:r>
            <w:r w:rsidR="004C53DD" w:rsidRPr="00561931">
              <w:t xml:space="preserve"> Point Deviation Charge for Over Generation; </w:t>
            </w:r>
          </w:p>
          <w:p w14:paraId="1A7E6B45" w14:textId="605CE7B3" w:rsidR="004C53DD" w:rsidRDefault="00544C15" w:rsidP="004C53DD">
            <w:pPr>
              <w:spacing w:after="240"/>
              <w:ind w:left="1440" w:hanging="720"/>
            </w:pPr>
            <w:r>
              <w:t>(</w:t>
            </w:r>
            <w:r w:rsidR="008828C3">
              <w:t>r</w:t>
            </w:r>
            <w:r w:rsidR="004C53DD" w:rsidRPr="00561931">
              <w:t>)</w:t>
            </w:r>
            <w:r w:rsidR="004C53DD" w:rsidRPr="00561931">
              <w:tab/>
              <w:t>Section 6.6.5.</w:t>
            </w:r>
            <w:r w:rsidR="00F033E3">
              <w:t>2.</w:t>
            </w:r>
            <w:r w:rsidR="004C53DD" w:rsidRPr="00561931">
              <w:t xml:space="preserve">1, </w:t>
            </w:r>
            <w:r w:rsidR="004C53DD">
              <w:t>Set</w:t>
            </w:r>
            <w:r w:rsidR="004C53DD" w:rsidRPr="00561931">
              <w:t xml:space="preserve"> Point Deviation Charge for Under Generation; </w:t>
            </w:r>
          </w:p>
          <w:p w14:paraId="7EE60483" w14:textId="748AB218" w:rsidR="004C53DD" w:rsidRDefault="00544C15" w:rsidP="004C53DD">
            <w:pPr>
              <w:spacing w:after="240"/>
              <w:ind w:left="1440" w:hanging="720"/>
            </w:pPr>
            <w:r>
              <w:t>(</w:t>
            </w:r>
            <w:r w:rsidR="008828C3">
              <w:t>s</w:t>
            </w:r>
            <w:r w:rsidR="004C53DD">
              <w:t>)</w:t>
            </w:r>
            <w:r w:rsidR="004C53DD">
              <w:tab/>
              <w:t>Section 6.6.5.</w:t>
            </w:r>
            <w:r w:rsidR="00F033E3">
              <w:t>3</w:t>
            </w:r>
            <w:r w:rsidR="004C53DD">
              <w:t xml:space="preserve">, Controllable Load Resource Set Point Deviation Charge for Over Consumption; </w:t>
            </w:r>
          </w:p>
          <w:p w14:paraId="59481C9C" w14:textId="18FAC1CC" w:rsidR="004C53DD" w:rsidRPr="00561931" w:rsidRDefault="00544C15" w:rsidP="004C53DD">
            <w:pPr>
              <w:spacing w:after="240"/>
              <w:ind w:left="1440" w:hanging="720"/>
            </w:pPr>
            <w:r>
              <w:t>(</w:t>
            </w:r>
            <w:r w:rsidR="008828C3">
              <w:t>t</w:t>
            </w:r>
            <w:r w:rsidR="004C53DD">
              <w:t>)</w:t>
            </w:r>
            <w:r w:rsidR="004C53DD">
              <w:tab/>
              <w:t>Section 6.6.5.</w:t>
            </w:r>
            <w:r w:rsidR="00F033E3">
              <w:t>3.</w:t>
            </w:r>
            <w:r w:rsidR="004C53DD">
              <w:t>1, Controllable Load Resource Set Point Deviation Charge for Under Consumption;</w:t>
            </w:r>
          </w:p>
          <w:p w14:paraId="19AEAD2A" w14:textId="24916DFB" w:rsidR="004C53DD" w:rsidRPr="00561931" w:rsidRDefault="004C53DD" w:rsidP="004C53DD">
            <w:pPr>
              <w:spacing w:after="240"/>
              <w:ind w:left="1440" w:hanging="720"/>
            </w:pPr>
            <w:r w:rsidRPr="00561931">
              <w:t>(</w:t>
            </w:r>
            <w:r w:rsidR="008828C3">
              <w:t>u</w:t>
            </w:r>
            <w:r w:rsidRPr="00561931">
              <w:t>)</w:t>
            </w:r>
            <w:r w:rsidRPr="00561931">
              <w:tab/>
              <w:t>Section 6.6.5.</w:t>
            </w:r>
            <w:r w:rsidR="00EA4531">
              <w:t>4</w:t>
            </w:r>
            <w:r w:rsidRPr="00561931">
              <w:t xml:space="preserve">, IRR Generation Resource </w:t>
            </w:r>
            <w:r>
              <w:t>Set</w:t>
            </w:r>
            <w:r w:rsidRPr="00561931">
              <w:t xml:space="preserve"> Point Deviation Charge; </w:t>
            </w:r>
          </w:p>
          <w:p w14:paraId="2C64289C" w14:textId="4FCF6986" w:rsidR="004C53DD" w:rsidRPr="00561931" w:rsidRDefault="004C53DD" w:rsidP="004C53DD">
            <w:pPr>
              <w:spacing w:after="240"/>
              <w:ind w:left="1440" w:hanging="720"/>
            </w:pPr>
            <w:r w:rsidRPr="00561931">
              <w:t>(</w:t>
            </w:r>
            <w:r w:rsidR="00EA4531">
              <w:t>v</w:t>
            </w:r>
            <w:r w:rsidRPr="00561931">
              <w:t>)</w:t>
            </w:r>
            <w:r w:rsidRPr="00561931">
              <w:tab/>
              <w:t xml:space="preserve">Section 6.6.5.4, </w:t>
            </w:r>
            <w:r>
              <w:t>Set</w:t>
            </w:r>
            <w:r w:rsidRPr="00561931">
              <w:t xml:space="preserve"> Point Deviation Payment;</w:t>
            </w:r>
          </w:p>
          <w:p w14:paraId="0EE41263" w14:textId="6310213B" w:rsidR="004C53DD" w:rsidRPr="00D566D5" w:rsidRDefault="004C53DD" w:rsidP="004C53DD">
            <w:pPr>
              <w:spacing w:after="240"/>
              <w:ind w:left="1440" w:hanging="720"/>
            </w:pPr>
            <w:r w:rsidRPr="00D566D5">
              <w:t>(</w:t>
            </w:r>
            <w:r w:rsidR="00EA4531">
              <w:t>w</w:t>
            </w:r>
            <w:r w:rsidRPr="00D566D5">
              <w:t>)</w:t>
            </w:r>
            <w:r w:rsidRPr="00D566D5">
              <w:tab/>
              <w:t xml:space="preserve">Section 6.6.5.5, Energy Storage Resource </w:t>
            </w:r>
            <w:r>
              <w:t>Set</w:t>
            </w:r>
            <w:r w:rsidRPr="00D566D5">
              <w:t xml:space="preserve"> Point Deviation Charge for Over Performance; </w:t>
            </w:r>
          </w:p>
          <w:p w14:paraId="01A0207E" w14:textId="7CD7AF51" w:rsidR="004C53DD" w:rsidRDefault="004C53DD" w:rsidP="004C53DD">
            <w:pPr>
              <w:spacing w:after="240"/>
              <w:ind w:left="1440" w:hanging="720"/>
            </w:pPr>
            <w:r w:rsidRPr="00D566D5">
              <w:t>(</w:t>
            </w:r>
            <w:r w:rsidR="00EA4531">
              <w:t>x</w:t>
            </w:r>
            <w:r w:rsidRPr="00D566D5">
              <w:t>)</w:t>
            </w:r>
            <w:r w:rsidRPr="00D566D5">
              <w:tab/>
              <w:t xml:space="preserve">Section 6.6.5.5.1, Energy Storage Resource </w:t>
            </w:r>
            <w:r>
              <w:t>Set</w:t>
            </w:r>
            <w:r w:rsidRPr="00D566D5">
              <w:t xml:space="preserve"> Point Deviation Charge for Under Performance;</w:t>
            </w:r>
            <w:r w:rsidRPr="00561931">
              <w:t xml:space="preserve"> </w:t>
            </w:r>
          </w:p>
          <w:p w14:paraId="1976B4BA" w14:textId="796DC34A" w:rsidR="004C53DD" w:rsidRPr="00561931" w:rsidRDefault="00544C15" w:rsidP="004C53DD">
            <w:pPr>
              <w:spacing w:after="240"/>
              <w:ind w:left="1440" w:hanging="720"/>
            </w:pPr>
            <w:r>
              <w:t>(</w:t>
            </w:r>
            <w:r w:rsidR="00EA4531">
              <w:t>y</w:t>
            </w:r>
            <w:r w:rsidR="004C53DD" w:rsidRPr="00561931">
              <w:t>)</w:t>
            </w:r>
            <w:r w:rsidR="004C53DD" w:rsidRPr="00561931">
              <w:tab/>
              <w:t>Section 6.6.6.1, RMR Standby Payment;</w:t>
            </w:r>
          </w:p>
          <w:p w14:paraId="7A00050E" w14:textId="02E9DA4F" w:rsidR="004C53DD" w:rsidRPr="00561931" w:rsidRDefault="004C53DD" w:rsidP="004C53DD">
            <w:pPr>
              <w:spacing w:after="240"/>
              <w:ind w:left="1440" w:hanging="720"/>
            </w:pPr>
            <w:r w:rsidRPr="00561931">
              <w:t>(</w:t>
            </w:r>
            <w:r w:rsidR="00EA4531">
              <w:t>z</w:t>
            </w:r>
            <w:r w:rsidRPr="00561931">
              <w:t>)</w:t>
            </w:r>
            <w:r w:rsidRPr="00561931">
              <w:tab/>
              <w:t>Section 6.6.6.2, RMR Payment for Energy;</w:t>
            </w:r>
          </w:p>
          <w:p w14:paraId="6DCEE0D8" w14:textId="6068B5E1" w:rsidR="004C53DD" w:rsidRPr="00561931" w:rsidRDefault="004C53DD" w:rsidP="004C53DD">
            <w:pPr>
              <w:spacing w:after="240"/>
              <w:ind w:left="1440" w:hanging="720"/>
            </w:pPr>
            <w:r w:rsidRPr="00561931">
              <w:t>(</w:t>
            </w:r>
            <w:r w:rsidR="00EA4531">
              <w:t>aa</w:t>
            </w:r>
            <w:r w:rsidRPr="00561931">
              <w:t>)</w:t>
            </w:r>
            <w:r w:rsidRPr="00561931">
              <w:tab/>
              <w:t>Section 6.6.6.3, RMR Adjustment Charge;</w:t>
            </w:r>
          </w:p>
          <w:p w14:paraId="3494BAED" w14:textId="2C1666E3" w:rsidR="004C53DD" w:rsidRPr="00561931" w:rsidRDefault="004C53DD" w:rsidP="004C53DD">
            <w:pPr>
              <w:spacing w:after="240"/>
              <w:ind w:left="1440" w:hanging="720"/>
            </w:pPr>
            <w:r w:rsidRPr="00561931">
              <w:t>(</w:t>
            </w:r>
            <w:r w:rsidR="00EA4531">
              <w:t>bb</w:t>
            </w:r>
            <w:r w:rsidRPr="00561931">
              <w:t>)</w:t>
            </w:r>
            <w:r w:rsidRPr="00561931">
              <w:tab/>
              <w:t>Section 6.6.6.4, RMR Charge for Unexcused Misconduct;</w:t>
            </w:r>
          </w:p>
          <w:p w14:paraId="48D3E4B2" w14:textId="7275DD64" w:rsidR="004C53DD" w:rsidRPr="00561931" w:rsidRDefault="004C53DD" w:rsidP="004C53DD">
            <w:pPr>
              <w:spacing w:after="240"/>
              <w:ind w:left="1440" w:hanging="720"/>
            </w:pPr>
            <w:r w:rsidRPr="00561931">
              <w:t>(</w:t>
            </w:r>
            <w:r w:rsidR="00EA4531">
              <w:t>cc</w:t>
            </w:r>
            <w:r w:rsidRPr="00561931">
              <w:t>)</w:t>
            </w:r>
            <w:r w:rsidRPr="00561931">
              <w:tab/>
              <w:t>Section 6.6.6.5, RMR Service Charge;</w:t>
            </w:r>
          </w:p>
          <w:p w14:paraId="03F96F43" w14:textId="2DFC132E" w:rsidR="004C53DD" w:rsidRDefault="004C53DD" w:rsidP="004C53DD">
            <w:pPr>
              <w:spacing w:after="240"/>
              <w:ind w:left="1440" w:hanging="720"/>
            </w:pPr>
            <w:r w:rsidRPr="00561931">
              <w:t>(</w:t>
            </w:r>
            <w:r w:rsidR="00EA4531">
              <w:t>dd</w:t>
            </w:r>
            <w:r w:rsidRPr="00561931">
              <w:t>)</w:t>
            </w:r>
            <w:r w:rsidRPr="00561931">
              <w:tab/>
              <w:t>Section 6.6.6.6, Method for Reconciling RMR Actual Eligible Costs, RMR and MRA Contributed Capital Expenditures, and Miscellaneous RMR Incurred Expenses;</w:t>
            </w:r>
          </w:p>
          <w:p w14:paraId="371E8FA3" w14:textId="5F565BF3" w:rsidR="004C53DD" w:rsidRPr="00561931" w:rsidRDefault="004C53DD" w:rsidP="004C53DD">
            <w:pPr>
              <w:spacing w:after="240"/>
              <w:ind w:left="1440" w:hanging="720"/>
            </w:pPr>
            <w:r w:rsidRPr="00561931">
              <w:t>(</w:t>
            </w:r>
            <w:proofErr w:type="spellStart"/>
            <w:r w:rsidR="00EA4531">
              <w:t>ee</w:t>
            </w:r>
            <w:proofErr w:type="spellEnd"/>
            <w:r w:rsidRPr="00561931">
              <w:t>)</w:t>
            </w:r>
            <w:r w:rsidRPr="00561931">
              <w:tab/>
              <w:t>Section 6.6.6.7, MRA Standby Payment;</w:t>
            </w:r>
          </w:p>
          <w:p w14:paraId="2A7943B9" w14:textId="0F1250A6" w:rsidR="004C53DD" w:rsidRPr="00561931" w:rsidRDefault="004C53DD" w:rsidP="004C53DD">
            <w:pPr>
              <w:spacing w:after="240"/>
              <w:ind w:left="1440" w:hanging="720"/>
            </w:pPr>
            <w:r w:rsidRPr="00561931">
              <w:t>(</w:t>
            </w:r>
            <w:r w:rsidR="00EA4531">
              <w:t>ff</w:t>
            </w:r>
            <w:r w:rsidRPr="00561931">
              <w:t>)</w:t>
            </w:r>
            <w:r w:rsidRPr="00561931">
              <w:tab/>
              <w:t>Section 6.6.6.8, MRA Contributed Capital Expenditures Payment;</w:t>
            </w:r>
          </w:p>
          <w:p w14:paraId="0927CC14" w14:textId="4CAC9BD6" w:rsidR="004C53DD" w:rsidRPr="00561931" w:rsidRDefault="004C53DD" w:rsidP="004C53DD">
            <w:pPr>
              <w:spacing w:after="240"/>
              <w:ind w:left="1440" w:hanging="720"/>
            </w:pPr>
            <w:r w:rsidRPr="00561931">
              <w:lastRenderedPageBreak/>
              <w:t>(</w:t>
            </w:r>
            <w:r w:rsidR="00EA4531">
              <w:t>gg</w:t>
            </w:r>
            <w:r w:rsidRPr="00561931">
              <w:t>)</w:t>
            </w:r>
            <w:r w:rsidRPr="00561931">
              <w:tab/>
              <w:t>Section 6.6.6.9, MRA Payment for Deployment Event;</w:t>
            </w:r>
          </w:p>
          <w:p w14:paraId="56CCD3C3" w14:textId="14E34F0A" w:rsidR="004C53DD" w:rsidRPr="00561931" w:rsidRDefault="004C53DD" w:rsidP="004C53DD">
            <w:pPr>
              <w:spacing w:after="240"/>
              <w:ind w:left="1440" w:hanging="720"/>
            </w:pPr>
            <w:r w:rsidRPr="00561931">
              <w:t>(</w:t>
            </w:r>
            <w:proofErr w:type="spellStart"/>
            <w:r w:rsidR="00EA4531">
              <w:t>hh</w:t>
            </w:r>
            <w:proofErr w:type="spellEnd"/>
            <w:r w:rsidRPr="00561931">
              <w:t>)</w:t>
            </w:r>
            <w:r w:rsidRPr="00561931">
              <w:tab/>
              <w:t xml:space="preserve">Section 6.6.6.10, MRA Variable Payment for Deployment; </w:t>
            </w:r>
          </w:p>
          <w:p w14:paraId="0AE4B809" w14:textId="6F5BF47E" w:rsidR="004C53DD" w:rsidRPr="00561931" w:rsidRDefault="004C53DD" w:rsidP="004C53DD">
            <w:pPr>
              <w:spacing w:after="240"/>
              <w:ind w:left="1440" w:hanging="720"/>
            </w:pPr>
            <w:r w:rsidRPr="00561931">
              <w:t>(</w:t>
            </w:r>
            <w:r w:rsidR="00EA4531">
              <w:t>ii</w:t>
            </w:r>
            <w:r w:rsidRPr="00561931">
              <w:t>)</w:t>
            </w:r>
            <w:r w:rsidRPr="00561931">
              <w:tab/>
              <w:t>Section 6.6.6.11, MRA Charge for Unexcused Misconduct;</w:t>
            </w:r>
          </w:p>
          <w:p w14:paraId="442E1669" w14:textId="35BF7904" w:rsidR="004C53DD" w:rsidRPr="00561931" w:rsidRDefault="004C53DD" w:rsidP="004C53DD">
            <w:pPr>
              <w:spacing w:after="240"/>
              <w:ind w:left="1440" w:hanging="720"/>
            </w:pPr>
            <w:r w:rsidRPr="00561931">
              <w:t>(</w:t>
            </w:r>
            <w:proofErr w:type="spellStart"/>
            <w:r w:rsidR="00EA4531">
              <w:t>jj</w:t>
            </w:r>
            <w:proofErr w:type="spellEnd"/>
            <w:r w:rsidRPr="00561931">
              <w:t>)</w:t>
            </w:r>
            <w:r w:rsidRPr="00561931">
              <w:tab/>
              <w:t>Section 6.6.6.12, MRA Service Charge;</w:t>
            </w:r>
          </w:p>
          <w:p w14:paraId="76BB5D5A" w14:textId="0D925005" w:rsidR="004C53DD" w:rsidRPr="00561931" w:rsidRDefault="004C53DD" w:rsidP="004C53DD">
            <w:pPr>
              <w:spacing w:after="240"/>
              <w:ind w:left="1440" w:hanging="720"/>
            </w:pPr>
            <w:r w:rsidRPr="00561931">
              <w:t>(</w:t>
            </w:r>
            <w:r w:rsidR="00EA4531">
              <w:t>kk</w:t>
            </w:r>
            <w:r w:rsidRPr="00561931">
              <w:t>)</w:t>
            </w:r>
            <w:r w:rsidRPr="00561931">
              <w:tab/>
              <w:t>Paragraph (</w:t>
            </w:r>
            <w:r>
              <w:t>3</w:t>
            </w:r>
            <w:r w:rsidRPr="00561931">
              <w:t>) of Section 6.6.7.1, Voltage Support Service Payments;</w:t>
            </w:r>
          </w:p>
          <w:p w14:paraId="0CF92B74" w14:textId="411480D2" w:rsidR="004C53DD" w:rsidRPr="00561931" w:rsidRDefault="004C53DD" w:rsidP="004C53DD">
            <w:pPr>
              <w:spacing w:after="240"/>
              <w:ind w:left="1440" w:hanging="720"/>
            </w:pPr>
            <w:r w:rsidRPr="00561931">
              <w:t>(</w:t>
            </w:r>
            <w:proofErr w:type="spellStart"/>
            <w:r w:rsidR="00EA4531">
              <w:t>ll</w:t>
            </w:r>
            <w:proofErr w:type="spellEnd"/>
            <w:r w:rsidRPr="00561931">
              <w:t>)</w:t>
            </w:r>
            <w:r w:rsidRPr="00561931">
              <w:tab/>
              <w:t>Paragraph (</w:t>
            </w:r>
            <w:r>
              <w:t>5</w:t>
            </w:r>
            <w:r w:rsidRPr="00561931">
              <w:t>) of Section 6.6.7.1;</w:t>
            </w:r>
          </w:p>
          <w:p w14:paraId="4E04A807" w14:textId="4A9ECA2F" w:rsidR="004C53DD" w:rsidRPr="00561931" w:rsidRDefault="004C53DD" w:rsidP="004C53DD">
            <w:pPr>
              <w:spacing w:after="240"/>
              <w:ind w:left="1440" w:hanging="720"/>
            </w:pPr>
            <w:r w:rsidRPr="00561931">
              <w:t>(</w:t>
            </w:r>
            <w:r w:rsidR="00EA4531">
              <w:t>mm</w:t>
            </w:r>
            <w:r w:rsidRPr="00561931">
              <w:t>)</w:t>
            </w:r>
            <w:r w:rsidRPr="00561931">
              <w:tab/>
              <w:t>Section 6.6.7.2, Voltage Support Charge;</w:t>
            </w:r>
          </w:p>
          <w:p w14:paraId="23AEF8CD" w14:textId="48BF5B5E" w:rsidR="004C53DD" w:rsidRPr="00561931" w:rsidRDefault="004C53DD" w:rsidP="004C53DD">
            <w:pPr>
              <w:spacing w:after="240"/>
              <w:ind w:left="1440" w:hanging="720"/>
            </w:pPr>
            <w:r w:rsidRPr="00561931">
              <w:t>(</w:t>
            </w:r>
            <w:proofErr w:type="spellStart"/>
            <w:r w:rsidR="00EA4531">
              <w:t>nn</w:t>
            </w:r>
            <w:proofErr w:type="spellEnd"/>
            <w:r w:rsidRPr="00561931">
              <w:t>)</w:t>
            </w:r>
            <w:r w:rsidRPr="00561931">
              <w:tab/>
              <w:t>Section 6.6.8.1, Black Start Hourly Standby Fee Payment;</w:t>
            </w:r>
          </w:p>
          <w:p w14:paraId="0A8B854D" w14:textId="70210D5F" w:rsidR="004C53DD" w:rsidRPr="00561931" w:rsidRDefault="004C53DD" w:rsidP="004C53DD">
            <w:pPr>
              <w:spacing w:after="240"/>
              <w:ind w:left="1440" w:hanging="720"/>
            </w:pPr>
            <w:r w:rsidRPr="00561931">
              <w:t>(</w:t>
            </w:r>
            <w:proofErr w:type="spellStart"/>
            <w:r w:rsidR="00EA4531">
              <w:t>oo</w:t>
            </w:r>
            <w:proofErr w:type="spellEnd"/>
            <w:r w:rsidRPr="00561931">
              <w:t>)</w:t>
            </w:r>
            <w:r w:rsidRPr="00561931">
              <w:tab/>
              <w:t>Section 6.6.8.2, Black Start Capacity Charge;</w:t>
            </w:r>
          </w:p>
          <w:p w14:paraId="258590A0" w14:textId="3F0AE8C0" w:rsidR="004C53DD" w:rsidRPr="00561931" w:rsidRDefault="004C53DD" w:rsidP="004C53DD">
            <w:pPr>
              <w:spacing w:after="240"/>
              <w:ind w:left="1440" w:hanging="720"/>
            </w:pPr>
            <w:r w:rsidRPr="00561931">
              <w:t>(</w:t>
            </w:r>
            <w:r w:rsidR="00EA4531">
              <w:t>pp</w:t>
            </w:r>
            <w:r w:rsidRPr="00561931">
              <w:t>)</w:t>
            </w:r>
            <w:r w:rsidRPr="00561931">
              <w:tab/>
              <w:t xml:space="preserve">Section 6.6.9.1, Payment for Emergency </w:t>
            </w:r>
            <w:r w:rsidR="00AA58A1" w:rsidRPr="00A552C3">
              <w:t>Operations Settlement</w:t>
            </w:r>
            <w:r w:rsidRPr="00561931">
              <w:t>;</w:t>
            </w:r>
          </w:p>
          <w:p w14:paraId="1009FFB4" w14:textId="208FF5AE" w:rsidR="004C53DD" w:rsidRPr="00561931" w:rsidRDefault="004C53DD" w:rsidP="004C53DD">
            <w:pPr>
              <w:spacing w:after="240"/>
              <w:ind w:left="1440" w:hanging="720"/>
            </w:pPr>
            <w:r w:rsidRPr="00561931">
              <w:t>(</w:t>
            </w:r>
            <w:proofErr w:type="spellStart"/>
            <w:r w:rsidR="00EA4531">
              <w:t>qq</w:t>
            </w:r>
            <w:proofErr w:type="spellEnd"/>
            <w:r w:rsidRPr="00561931">
              <w:t>)</w:t>
            </w:r>
            <w:r w:rsidRPr="00561931">
              <w:tab/>
              <w:t xml:space="preserve">Section 6.6.9.2, Charge for Emergency </w:t>
            </w:r>
            <w:r w:rsidR="00AA58A1" w:rsidRPr="00A552C3">
              <w:t>Operations Settlement</w:t>
            </w:r>
            <w:r w:rsidRPr="00561931">
              <w:t>;</w:t>
            </w:r>
          </w:p>
          <w:p w14:paraId="6AA34AFE" w14:textId="4DD0C537" w:rsidR="004C53DD" w:rsidRDefault="004C53DD" w:rsidP="004C53DD">
            <w:pPr>
              <w:spacing w:after="240"/>
              <w:ind w:left="1440" w:hanging="720"/>
            </w:pPr>
            <w:r w:rsidRPr="00561931">
              <w:t>(</w:t>
            </w:r>
            <w:proofErr w:type="spellStart"/>
            <w:r w:rsidR="00EA4531">
              <w:t>rr</w:t>
            </w:r>
            <w:proofErr w:type="spellEnd"/>
            <w:r w:rsidRPr="00561931">
              <w:t>)</w:t>
            </w:r>
            <w:r w:rsidRPr="00561931">
              <w:tab/>
              <w:t>Section 6.6.10, Real-Time Revenue Neutrality Allocation;</w:t>
            </w:r>
          </w:p>
          <w:p w14:paraId="1580F1BB" w14:textId="5D2AA0E0" w:rsidR="004C53DD" w:rsidRDefault="004C53DD" w:rsidP="004C53DD">
            <w:pPr>
              <w:spacing w:after="240"/>
              <w:ind w:left="1440" w:hanging="720"/>
            </w:pPr>
            <w:r>
              <w:t>(</w:t>
            </w:r>
            <w:r w:rsidR="00EA4531">
              <w:t>ss</w:t>
            </w:r>
            <w:r>
              <w:t>)</w:t>
            </w:r>
            <w:r>
              <w:tab/>
              <w:t xml:space="preserve">Section 6.6.11.1, Emergency Response Service Capacity Payments; </w:t>
            </w:r>
          </w:p>
          <w:p w14:paraId="0EC6454A" w14:textId="476A9FAB" w:rsidR="004C53DD" w:rsidRPr="00561931" w:rsidRDefault="004C53DD" w:rsidP="004C53DD">
            <w:pPr>
              <w:spacing w:after="240"/>
              <w:ind w:left="1440" w:hanging="720"/>
            </w:pPr>
            <w:r>
              <w:t>(</w:t>
            </w:r>
            <w:proofErr w:type="spellStart"/>
            <w:r w:rsidR="00EA4531">
              <w:t>tt</w:t>
            </w:r>
            <w:proofErr w:type="spellEnd"/>
            <w:r w:rsidR="00544C15">
              <w:t>)</w:t>
            </w:r>
            <w:r>
              <w:tab/>
              <w:t xml:space="preserve">Section 6.6.11.2, Emergency Response Service Capacity Charge; </w:t>
            </w:r>
          </w:p>
          <w:p w14:paraId="63CB0E6E" w14:textId="2D32A657" w:rsidR="00484E17" w:rsidRPr="000C3B2F" w:rsidRDefault="00484E17" w:rsidP="00484E17">
            <w:pPr>
              <w:spacing w:after="240"/>
              <w:ind w:left="1440" w:hanging="720"/>
            </w:pPr>
            <w:r w:rsidRPr="00400932">
              <w:t>(</w:t>
            </w:r>
            <w:proofErr w:type="spellStart"/>
            <w:r w:rsidRPr="00400932">
              <w:t>uu</w:t>
            </w:r>
            <w:proofErr w:type="spellEnd"/>
            <w:r w:rsidRPr="00400932">
              <w:t>)</w:t>
            </w:r>
            <w:r w:rsidRPr="00400932">
              <w:tab/>
              <w:t>Section 6.6.1</w:t>
            </w:r>
            <w:r w:rsidR="006439F4" w:rsidRPr="00400932">
              <w:t>4</w:t>
            </w:r>
            <w:r w:rsidRPr="00400932">
              <w:t xml:space="preserve">.2, Firm Fuel Supply Service Hourly Standby Fee </w:t>
            </w:r>
            <w:proofErr w:type="gramStart"/>
            <w:r w:rsidRPr="00400932">
              <w:t>Payment</w:t>
            </w:r>
            <w:proofErr w:type="gramEnd"/>
            <w:r w:rsidRPr="00400932">
              <w:t xml:space="preserve"> and Fuel Replacement Cost Recovery;</w:t>
            </w:r>
          </w:p>
          <w:p w14:paraId="7FF56FD8" w14:textId="0B2428E8" w:rsidR="00484E17" w:rsidRPr="000C3B2F" w:rsidRDefault="00484E17" w:rsidP="00484E17">
            <w:pPr>
              <w:spacing w:after="240"/>
              <w:ind w:left="1440" w:hanging="720"/>
            </w:pPr>
            <w:r w:rsidRPr="00400932">
              <w:t>(</w:t>
            </w:r>
            <w:proofErr w:type="spellStart"/>
            <w:r w:rsidRPr="00400932">
              <w:t>vv</w:t>
            </w:r>
            <w:proofErr w:type="spellEnd"/>
            <w:r w:rsidRPr="00400932">
              <w:t>)</w:t>
            </w:r>
            <w:r w:rsidRPr="00400932">
              <w:tab/>
              <w:t>Section 6.6.1</w:t>
            </w:r>
            <w:r w:rsidR="006439F4" w:rsidRPr="00400932">
              <w:t>4</w:t>
            </w:r>
            <w:r w:rsidRPr="00400932">
              <w:t>.3, Firm Fuel Supply Service Capacity Charge;</w:t>
            </w:r>
          </w:p>
          <w:p w14:paraId="675CDDC1" w14:textId="3C37CE21" w:rsidR="004C53DD" w:rsidRDefault="00544C15" w:rsidP="004C53DD">
            <w:pPr>
              <w:spacing w:after="240"/>
              <w:ind w:left="1440" w:hanging="720"/>
            </w:pPr>
            <w:r>
              <w:t>(</w:t>
            </w:r>
            <w:r w:rsidR="00484E17">
              <w:t>ww</w:t>
            </w:r>
            <w:r w:rsidR="004C53DD">
              <w:t>)</w:t>
            </w:r>
            <w:r w:rsidR="004C53DD">
              <w:tab/>
              <w:t xml:space="preserve">Section </w:t>
            </w:r>
            <w:r w:rsidR="004C53DD" w:rsidRPr="00B81A98">
              <w:t>6.7.4</w:t>
            </w:r>
            <w:r w:rsidR="004C53DD">
              <w:t xml:space="preserve">, </w:t>
            </w:r>
            <w:r w:rsidR="004C53DD" w:rsidRPr="00B81A98">
              <w:t xml:space="preserve">Real-Time </w:t>
            </w:r>
            <w:r w:rsidR="004C53DD">
              <w:t>Settlement for</w:t>
            </w:r>
            <w:r w:rsidR="004C53DD" w:rsidRPr="00B81A98">
              <w:t xml:space="preserve"> Updated</w:t>
            </w:r>
            <w:r w:rsidR="004C53DD">
              <w:t xml:space="preserve"> Day-Ahead Market</w:t>
            </w:r>
            <w:r w:rsidR="004C53DD" w:rsidRPr="00B81A98">
              <w:t xml:space="preserve"> </w:t>
            </w:r>
            <w:r w:rsidR="004C53DD">
              <w:t xml:space="preserve">Ancillary Service </w:t>
            </w:r>
            <w:r w:rsidR="004C53DD" w:rsidRPr="00B81A98">
              <w:t>Obligation</w:t>
            </w:r>
            <w:r w:rsidR="004C53DD">
              <w:t>s;</w:t>
            </w:r>
          </w:p>
          <w:p w14:paraId="70B425F4" w14:textId="43EB9397" w:rsidR="004C53DD" w:rsidRDefault="00544C15" w:rsidP="004C53DD">
            <w:pPr>
              <w:spacing w:after="240"/>
              <w:ind w:left="1440" w:hanging="720"/>
            </w:pPr>
            <w:r>
              <w:t>(</w:t>
            </w:r>
            <w:r w:rsidR="00484E17">
              <w:t>xx</w:t>
            </w:r>
            <w:r>
              <w:t>)</w:t>
            </w:r>
            <w:r w:rsidR="004C53DD">
              <w:tab/>
              <w:t xml:space="preserve">Section </w:t>
            </w:r>
            <w:r w:rsidR="004C53DD" w:rsidRPr="00BC31EE">
              <w:t>6.7.5.</w:t>
            </w:r>
            <w:r w:rsidR="004C53DD">
              <w:t xml:space="preserve">2, </w:t>
            </w:r>
            <w:r w:rsidR="004C53DD" w:rsidRPr="00BC31EE">
              <w:t xml:space="preserve">Regulation Up </w:t>
            </w:r>
            <w:r w:rsidR="004C53DD">
              <w:t xml:space="preserve">Service </w:t>
            </w:r>
            <w:proofErr w:type="gramStart"/>
            <w:r w:rsidR="004C53DD" w:rsidRPr="00BC31EE">
              <w:t>Payments</w:t>
            </w:r>
            <w:proofErr w:type="gramEnd"/>
            <w:r w:rsidR="004C53DD" w:rsidRPr="00BC31EE">
              <w:t xml:space="preserve"> and Charges</w:t>
            </w:r>
            <w:r w:rsidR="004C53DD">
              <w:t>;</w:t>
            </w:r>
          </w:p>
          <w:p w14:paraId="4A20F09C" w14:textId="3F89EC42" w:rsidR="004C53DD" w:rsidRDefault="00544C15" w:rsidP="004C53DD">
            <w:pPr>
              <w:spacing w:after="240"/>
              <w:ind w:left="1440" w:hanging="720"/>
            </w:pPr>
            <w:r>
              <w:t>(</w:t>
            </w:r>
            <w:proofErr w:type="spellStart"/>
            <w:r w:rsidR="00484E17">
              <w:t>yy</w:t>
            </w:r>
            <w:proofErr w:type="spellEnd"/>
            <w:r>
              <w:t>)</w:t>
            </w:r>
            <w:r w:rsidR="004C53DD">
              <w:tab/>
              <w:t xml:space="preserve">Section </w:t>
            </w:r>
            <w:r w:rsidR="004C53DD" w:rsidRPr="00BC31EE">
              <w:t>6.7.5.</w:t>
            </w:r>
            <w:r w:rsidR="004C53DD">
              <w:t xml:space="preserve">3, </w:t>
            </w:r>
            <w:r w:rsidR="004C53DD" w:rsidRPr="00B81A98">
              <w:t xml:space="preserve">Regulation Down </w:t>
            </w:r>
            <w:r w:rsidR="004C53DD">
              <w:t xml:space="preserve">Service </w:t>
            </w:r>
            <w:proofErr w:type="gramStart"/>
            <w:r w:rsidR="004C53DD" w:rsidRPr="00B81A98">
              <w:t>Payments</w:t>
            </w:r>
            <w:proofErr w:type="gramEnd"/>
            <w:r w:rsidR="004C53DD" w:rsidRPr="00B81A98">
              <w:t xml:space="preserve"> and Charges</w:t>
            </w:r>
            <w:r w:rsidR="004C53DD">
              <w:t>;</w:t>
            </w:r>
          </w:p>
          <w:p w14:paraId="6CBB6AF5" w14:textId="2939891A" w:rsidR="004C53DD" w:rsidRDefault="00544C15" w:rsidP="004C53DD">
            <w:pPr>
              <w:spacing w:after="240"/>
              <w:ind w:left="1440" w:hanging="720"/>
            </w:pPr>
            <w:r>
              <w:t>(</w:t>
            </w:r>
            <w:proofErr w:type="spellStart"/>
            <w:r w:rsidR="00484E17">
              <w:t>zz</w:t>
            </w:r>
            <w:proofErr w:type="spellEnd"/>
            <w:r>
              <w:t>)</w:t>
            </w:r>
            <w:r w:rsidR="004C53DD">
              <w:tab/>
              <w:t xml:space="preserve">Section </w:t>
            </w:r>
            <w:r w:rsidR="004C53DD" w:rsidRPr="00BC31EE">
              <w:t>6.7.5.</w:t>
            </w:r>
            <w:r w:rsidR="004C53DD">
              <w:t xml:space="preserve">4, </w:t>
            </w:r>
            <w:r w:rsidR="004C53DD" w:rsidRPr="00B81A98">
              <w:t xml:space="preserve">Responsive Reserve </w:t>
            </w:r>
            <w:proofErr w:type="gramStart"/>
            <w:r w:rsidR="004C53DD" w:rsidRPr="00B81A98">
              <w:t>Payments</w:t>
            </w:r>
            <w:proofErr w:type="gramEnd"/>
            <w:r w:rsidR="004C53DD" w:rsidRPr="00B81A98">
              <w:t xml:space="preserve"> and Charges</w:t>
            </w:r>
            <w:r w:rsidR="004C53DD">
              <w:t>;</w:t>
            </w:r>
          </w:p>
          <w:p w14:paraId="6D03347C" w14:textId="1F4D7E38" w:rsidR="004C53DD" w:rsidRDefault="00544C15" w:rsidP="004C53DD">
            <w:pPr>
              <w:spacing w:after="240"/>
              <w:ind w:left="1440" w:hanging="720"/>
            </w:pPr>
            <w:r>
              <w:t>(</w:t>
            </w:r>
            <w:proofErr w:type="spellStart"/>
            <w:r w:rsidR="00484E17">
              <w:t>aaa</w:t>
            </w:r>
            <w:proofErr w:type="spellEnd"/>
            <w:r>
              <w:t>)</w:t>
            </w:r>
            <w:r w:rsidR="004C53DD">
              <w:tab/>
              <w:t xml:space="preserve">Section </w:t>
            </w:r>
            <w:r w:rsidR="004C53DD" w:rsidRPr="00BC31EE">
              <w:t>6.7.5.</w:t>
            </w:r>
            <w:r w:rsidR="004C53DD">
              <w:t>5</w:t>
            </w:r>
            <w:r w:rsidR="004C53DD" w:rsidRPr="00BC31EE">
              <w:tab/>
            </w:r>
            <w:r w:rsidR="004C53DD">
              <w:t xml:space="preserve">, </w:t>
            </w:r>
            <w:r w:rsidR="004C53DD" w:rsidRPr="00BC31EE">
              <w:t xml:space="preserve">Non-Spinning Reserve </w:t>
            </w:r>
            <w:r w:rsidR="00EA4531">
              <w:t xml:space="preserve">Service </w:t>
            </w:r>
            <w:proofErr w:type="gramStart"/>
            <w:r w:rsidR="004C53DD" w:rsidRPr="00BC31EE">
              <w:t>Payments</w:t>
            </w:r>
            <w:proofErr w:type="gramEnd"/>
            <w:r w:rsidR="004C53DD" w:rsidRPr="00BC31EE">
              <w:t xml:space="preserve"> and Charges</w:t>
            </w:r>
            <w:r w:rsidR="004C53DD">
              <w:t>;</w:t>
            </w:r>
          </w:p>
          <w:p w14:paraId="2F016013" w14:textId="7AEFE0AA" w:rsidR="004C53DD" w:rsidRDefault="00544C15" w:rsidP="004C53DD">
            <w:pPr>
              <w:spacing w:after="240"/>
              <w:ind w:left="1440" w:hanging="720"/>
            </w:pPr>
            <w:r>
              <w:t>(</w:t>
            </w:r>
            <w:proofErr w:type="spellStart"/>
            <w:r w:rsidR="00484E17">
              <w:t>bbb</w:t>
            </w:r>
            <w:proofErr w:type="spellEnd"/>
            <w:r>
              <w:t>)</w:t>
            </w:r>
            <w:r w:rsidR="004C53DD">
              <w:tab/>
              <w:t xml:space="preserve">Section </w:t>
            </w:r>
            <w:r w:rsidR="004C53DD" w:rsidRPr="00BC31EE">
              <w:t>6.7.5.</w:t>
            </w:r>
            <w:r w:rsidR="004C53DD">
              <w:t>6</w:t>
            </w:r>
            <w:r w:rsidR="004C53DD" w:rsidRPr="00BC31EE">
              <w:tab/>
            </w:r>
            <w:r w:rsidR="004C53DD">
              <w:t xml:space="preserve">, </w:t>
            </w:r>
            <w:r w:rsidR="004C53DD" w:rsidRPr="00BC31EE">
              <w:t>ERCOT Contingency Reserve Service Payments and Charges</w:t>
            </w:r>
            <w:r w:rsidR="004C53DD">
              <w:t>;</w:t>
            </w:r>
          </w:p>
          <w:p w14:paraId="62CF8973" w14:textId="5F8ACE0B" w:rsidR="004C53DD" w:rsidRDefault="00544C15" w:rsidP="004C53DD">
            <w:pPr>
              <w:spacing w:after="240"/>
              <w:ind w:left="1440" w:hanging="720"/>
            </w:pPr>
            <w:r>
              <w:t>(</w:t>
            </w:r>
            <w:r w:rsidR="00484E17">
              <w:t>ccc</w:t>
            </w:r>
            <w:r>
              <w:t>)</w:t>
            </w:r>
            <w:r w:rsidR="004C53DD">
              <w:tab/>
              <w:t xml:space="preserve">Section </w:t>
            </w:r>
            <w:r w:rsidR="004C53DD" w:rsidRPr="00BC31EE">
              <w:t>6.7.5.</w:t>
            </w:r>
            <w:r w:rsidR="004C53DD">
              <w:t>7</w:t>
            </w:r>
            <w:r w:rsidR="004C53DD" w:rsidRPr="00BC31EE">
              <w:tab/>
            </w:r>
            <w:r w:rsidR="004C53DD">
              <w:t xml:space="preserve">, </w:t>
            </w:r>
            <w:r w:rsidR="004C53DD" w:rsidRPr="00BC31EE">
              <w:t>Real-Time Derated Ancillary Service Capability Payment</w:t>
            </w:r>
            <w:r w:rsidR="004C53DD">
              <w:t>;</w:t>
            </w:r>
          </w:p>
          <w:p w14:paraId="4ED8E4BB" w14:textId="6B0F7899" w:rsidR="004C53DD" w:rsidRPr="00561931" w:rsidRDefault="00544C15" w:rsidP="004C53DD">
            <w:pPr>
              <w:spacing w:after="240"/>
              <w:ind w:left="1440" w:hanging="720"/>
            </w:pPr>
            <w:r>
              <w:t>(</w:t>
            </w:r>
            <w:proofErr w:type="spellStart"/>
            <w:r w:rsidR="00484E17">
              <w:t>ddd</w:t>
            </w:r>
            <w:proofErr w:type="spellEnd"/>
            <w:r>
              <w:t>)</w:t>
            </w:r>
            <w:r w:rsidR="004C53DD">
              <w:tab/>
              <w:t xml:space="preserve">Section </w:t>
            </w:r>
            <w:r w:rsidR="004C53DD" w:rsidRPr="00BC31EE">
              <w:t>6.7.5.</w:t>
            </w:r>
            <w:r w:rsidR="004C53DD">
              <w:t>8</w:t>
            </w:r>
            <w:r w:rsidR="004C53DD" w:rsidRPr="00BC31EE">
              <w:tab/>
            </w:r>
            <w:r w:rsidR="004C53DD">
              <w:t xml:space="preserve">, </w:t>
            </w:r>
            <w:r w:rsidR="004C53DD" w:rsidRPr="00BC31EE">
              <w:t>Real-Time Derated Ancillary Service Capability Charge</w:t>
            </w:r>
            <w:r w:rsidR="004C53DD">
              <w:t>;</w:t>
            </w:r>
          </w:p>
          <w:p w14:paraId="71CBBF9C" w14:textId="4B928868" w:rsidR="004C53DD" w:rsidRPr="00561931" w:rsidRDefault="004C53DD" w:rsidP="004C53DD">
            <w:pPr>
              <w:spacing w:after="240"/>
              <w:ind w:left="1440" w:hanging="720"/>
            </w:pPr>
            <w:r w:rsidRPr="00561931">
              <w:lastRenderedPageBreak/>
              <w:t>(</w:t>
            </w:r>
            <w:proofErr w:type="spellStart"/>
            <w:r w:rsidR="00484E17">
              <w:t>eee</w:t>
            </w:r>
            <w:proofErr w:type="spellEnd"/>
            <w:r w:rsidRPr="00561931">
              <w:t>)</w:t>
            </w:r>
            <w:r w:rsidRPr="00561931">
              <w:tab/>
              <w:t>Section 6.7.6, Real</w:t>
            </w:r>
            <w:r w:rsidR="00EA4531">
              <w:t>-</w:t>
            </w:r>
            <w:r w:rsidRPr="00561931">
              <w:t>Time Ancillary Service Revenue Neutrality Allocation</w:t>
            </w:r>
            <w:r>
              <w:t>;</w:t>
            </w:r>
          </w:p>
          <w:p w14:paraId="3082B02B" w14:textId="4F87DD50" w:rsidR="004C53DD" w:rsidRPr="00561931" w:rsidRDefault="004C53DD" w:rsidP="004C53DD">
            <w:pPr>
              <w:spacing w:after="240"/>
              <w:ind w:left="1440" w:hanging="720"/>
            </w:pPr>
            <w:r w:rsidRPr="00561931">
              <w:t>(</w:t>
            </w:r>
            <w:proofErr w:type="spellStart"/>
            <w:r w:rsidR="00484E17">
              <w:t>fff</w:t>
            </w:r>
            <w:proofErr w:type="spellEnd"/>
            <w:r w:rsidRPr="00561931">
              <w:t>)</w:t>
            </w:r>
            <w:r w:rsidRPr="00561931">
              <w:tab/>
              <w:t xml:space="preserve">Section 7.9.2.1, </w:t>
            </w:r>
            <w:proofErr w:type="gramStart"/>
            <w:r w:rsidRPr="00561931">
              <w:t>Payments</w:t>
            </w:r>
            <w:proofErr w:type="gramEnd"/>
            <w:r w:rsidRPr="00561931">
              <w:t xml:space="preserve"> and Charges for PTP Obligations Settled in Real-Time; and</w:t>
            </w:r>
          </w:p>
          <w:p w14:paraId="4AFCB896" w14:textId="2A42369B" w:rsidR="004C53DD" w:rsidRPr="008A04B3" w:rsidRDefault="004C53DD" w:rsidP="004C53DD">
            <w:pPr>
              <w:spacing w:after="240"/>
              <w:ind w:left="1440" w:hanging="720"/>
            </w:pPr>
            <w:r w:rsidRPr="00561931">
              <w:t>(</w:t>
            </w:r>
            <w:proofErr w:type="spellStart"/>
            <w:r w:rsidR="00484E17">
              <w:t>ggg</w:t>
            </w:r>
            <w:proofErr w:type="spellEnd"/>
            <w:r w:rsidRPr="00561931">
              <w:t>)</w:t>
            </w:r>
            <w:r w:rsidRPr="00561931">
              <w:tab/>
              <w:t>Section 9.16.1, ERCOT System Administration Fee.</w:t>
            </w:r>
          </w:p>
        </w:tc>
      </w:tr>
    </w:tbl>
    <w:p w14:paraId="2C614514" w14:textId="1B7F3628" w:rsidR="002F5868" w:rsidRDefault="00DD1AC6" w:rsidP="002B4852">
      <w:pPr>
        <w:pStyle w:val="List"/>
        <w:spacing w:before="240"/>
        <w:ind w:left="720"/>
      </w:pPr>
      <w:r>
        <w:lastRenderedPageBreak/>
        <w:t>(2)</w:t>
      </w:r>
      <w:r>
        <w:tab/>
        <w:t xml:space="preserve">In the event that ERCOT is unable to execute the </w:t>
      </w:r>
      <w:r w:rsidR="001A2B58">
        <w:t>Day-Ahead Market (</w:t>
      </w:r>
      <w:r>
        <w:t>DAM</w:t>
      </w:r>
      <w:r w:rsidR="001A2B58">
        <w:t>)</w:t>
      </w:r>
      <w:r>
        <w:t>, ERCOT shall provide, on each RTM Settlement Statement, the dollar amount for the following RTM Congestion Revenue Right (CRR) Settlement charges and payments:</w:t>
      </w:r>
    </w:p>
    <w:p w14:paraId="2AA3ED07" w14:textId="77777777" w:rsidR="002F5868" w:rsidRDefault="00DD1AC6">
      <w:pPr>
        <w:pStyle w:val="List"/>
      </w:pPr>
      <w:r>
        <w:t>(a)</w:t>
      </w:r>
      <w:r>
        <w:tab/>
        <w:t>Section 7.9.2.4, Payments for FGRs in Real-Time;</w:t>
      </w:r>
      <w:r w:rsidR="00AC12CB">
        <w:t xml:space="preserve"> and</w:t>
      </w:r>
    </w:p>
    <w:p w14:paraId="6DC8FA6F" w14:textId="77777777" w:rsidR="002F5868" w:rsidRDefault="00DD1AC6">
      <w:pPr>
        <w:pStyle w:val="List"/>
      </w:pPr>
      <w:r>
        <w:t>(b)</w:t>
      </w:r>
      <w:r>
        <w:tab/>
        <w:t xml:space="preserve">Section 7.9.2.5, </w:t>
      </w:r>
      <w:proofErr w:type="gramStart"/>
      <w:r>
        <w:t>Payments</w:t>
      </w:r>
      <w:proofErr w:type="gramEnd"/>
      <w:r>
        <w:t xml:space="preserve"> and Charges for PTP Obligations with Refund in Real-Time.</w:t>
      </w:r>
    </w:p>
    <w:p w14:paraId="523C6CCF" w14:textId="77777777" w:rsidR="002F5868" w:rsidRPr="008910B8" w:rsidRDefault="00DD1AC6">
      <w:pPr>
        <w:pStyle w:val="H3"/>
        <w:rPr>
          <w:b/>
          <w:i/>
        </w:rPr>
      </w:pPr>
      <w:bookmarkStart w:id="144" w:name="_Toc309731045"/>
      <w:bookmarkStart w:id="145" w:name="_Toc405814020"/>
      <w:bookmarkStart w:id="146" w:name="_Toc422207910"/>
      <w:bookmarkStart w:id="147" w:name="_Toc438044824"/>
      <w:bookmarkStart w:id="148" w:name="_Toc447622607"/>
      <w:bookmarkStart w:id="149" w:name="_Toc80175257"/>
      <w:r w:rsidRPr="008910B8">
        <w:rPr>
          <w:b/>
          <w:i/>
        </w:rPr>
        <w:t>9.5.4</w:t>
      </w:r>
      <w:r w:rsidRPr="008910B8">
        <w:rPr>
          <w:b/>
          <w:i/>
        </w:rPr>
        <w:tab/>
        <w:t>RTM Initial Statement</w:t>
      </w:r>
      <w:bookmarkEnd w:id="144"/>
      <w:bookmarkEnd w:id="145"/>
      <w:bookmarkEnd w:id="146"/>
      <w:bookmarkEnd w:id="147"/>
      <w:bookmarkEnd w:id="148"/>
      <w:bookmarkEnd w:id="149"/>
    </w:p>
    <w:p w14:paraId="73271E08" w14:textId="64DA2AB1" w:rsidR="00B64340" w:rsidRDefault="00A0123C" w:rsidP="00660ED3">
      <w:pPr>
        <w:pStyle w:val="BodyTextNumbered"/>
        <w:rPr>
          <w:iCs/>
        </w:rPr>
      </w:pPr>
      <w:r>
        <w:rPr>
          <w:iCs/>
        </w:rPr>
        <w:t>(1)</w:t>
      </w:r>
      <w:r>
        <w:rPr>
          <w:iCs/>
        </w:rPr>
        <w:tab/>
      </w:r>
      <w:r w:rsidR="001349D5" w:rsidRPr="0013170D">
        <w:t xml:space="preserve">ERCOT shall issue an RTM Initial Statement for each Statement Recipient for a given Operating Day on the </w:t>
      </w:r>
      <w:r w:rsidR="001349D5">
        <w:rPr>
          <w:iCs/>
        </w:rPr>
        <w:t>fifth</w:t>
      </w:r>
      <w:r w:rsidR="001349D5" w:rsidRPr="0013170D">
        <w:t xml:space="preserve"> day after the Operating Day, unless that </w:t>
      </w:r>
      <w:r w:rsidR="001349D5">
        <w:rPr>
          <w:iCs/>
        </w:rPr>
        <w:t>fifth</w:t>
      </w:r>
      <w:r w:rsidR="001349D5" w:rsidRPr="0013170D">
        <w:t xml:space="preserve"> day is not a Business Day.  If the </w:t>
      </w:r>
      <w:r w:rsidR="001349D5">
        <w:t>fifth</w:t>
      </w:r>
      <w:r w:rsidR="001349D5" w:rsidRPr="0013170D">
        <w:t xml:space="preserve"> day is not a Business Day, then ERCOT shall issue the RTM Initial Statement on the next Business Day after the </w:t>
      </w:r>
      <w:r w:rsidR="001349D5">
        <w:t>fifth</w:t>
      </w:r>
      <w:r w:rsidR="001349D5" w:rsidRPr="0013170D">
        <w:t xml:space="preserve"> day.  </w:t>
      </w:r>
      <w:r w:rsidR="001349D5">
        <w:rPr>
          <w:iCs/>
        </w:rPr>
        <w:t>Notwithstanding the above, i</w:t>
      </w:r>
      <w:r w:rsidR="001349D5">
        <w:t>f the fifth day after the Operating Day is on or prior to the Business Day on which Real-Time prices are final pursuant to paragraph (</w:t>
      </w:r>
      <w:r w:rsidR="00D40A3A">
        <w:t>7</w:t>
      </w:r>
      <w:r w:rsidR="001349D5">
        <w:t>) of Section 6.3, Adjustment Period and Real-Time Operations Timeline</w:t>
      </w:r>
      <w:r w:rsidR="001349D5" w:rsidRPr="00297A83">
        <w:t xml:space="preserve">, then ERCOT shall issue the RTM Initial Statement on the first Business Day after the </w:t>
      </w:r>
      <w:r w:rsidR="001349D5">
        <w:t xml:space="preserve">Real-Time </w:t>
      </w:r>
      <w:r w:rsidR="001349D5" w:rsidRPr="00297A83">
        <w:t>prices are final.</w:t>
      </w:r>
    </w:p>
    <w:p w14:paraId="3EB81B22" w14:textId="77777777" w:rsidR="002F5868" w:rsidRPr="008910B8" w:rsidRDefault="00DD1AC6" w:rsidP="00E63934">
      <w:pPr>
        <w:pStyle w:val="H3"/>
        <w:rPr>
          <w:b/>
          <w:i/>
        </w:rPr>
      </w:pPr>
      <w:bookmarkStart w:id="150" w:name="_Toc309731046"/>
      <w:bookmarkStart w:id="151" w:name="_Toc405814021"/>
      <w:bookmarkStart w:id="152" w:name="_Toc422207911"/>
      <w:bookmarkStart w:id="153" w:name="_Toc438044825"/>
      <w:bookmarkStart w:id="154" w:name="_Toc447622608"/>
      <w:bookmarkStart w:id="155" w:name="_Toc80175258"/>
      <w:r w:rsidRPr="008910B8">
        <w:rPr>
          <w:b/>
          <w:i/>
        </w:rPr>
        <w:t>9.5.5</w:t>
      </w:r>
      <w:r w:rsidRPr="008910B8">
        <w:rPr>
          <w:b/>
          <w:i/>
        </w:rPr>
        <w:tab/>
        <w:t>RTM Final Statement</w:t>
      </w:r>
      <w:bookmarkEnd w:id="150"/>
      <w:bookmarkEnd w:id="151"/>
      <w:bookmarkEnd w:id="152"/>
      <w:bookmarkEnd w:id="153"/>
      <w:bookmarkEnd w:id="154"/>
      <w:bookmarkEnd w:id="155"/>
    </w:p>
    <w:p w14:paraId="37F5B581" w14:textId="77777777" w:rsidR="002F5868" w:rsidRDefault="001349D5">
      <w:pPr>
        <w:pStyle w:val="BodyTextNumbered"/>
      </w:pPr>
      <w:r w:rsidRPr="0013170D">
        <w:t>(1)</w:t>
      </w:r>
      <w:r w:rsidRPr="0013170D">
        <w:tab/>
        <w:t>ERCOT shall issue an RTM Final Statement for each Statement Recipient for a given Operating Day on the 5</w:t>
      </w:r>
      <w:r>
        <w:t>5</w:t>
      </w:r>
      <w:r w:rsidRPr="0013170D">
        <w:t>th day after the Operating Day, unless that 5</w:t>
      </w:r>
      <w:r>
        <w:t>5</w:t>
      </w:r>
      <w:r w:rsidRPr="0013170D">
        <w:t>th day is not a Business Day.  If the 5</w:t>
      </w:r>
      <w:r>
        <w:t>5</w:t>
      </w:r>
      <w:r w:rsidRPr="0013170D">
        <w:t>th day is not a Business Day, then ERCOT shall issue the RTM Final Statement on the first Business Day after the 5</w:t>
      </w:r>
      <w:r>
        <w:t>5</w:t>
      </w:r>
      <w:r w:rsidRPr="0013170D">
        <w:t>th day.</w:t>
      </w:r>
    </w:p>
    <w:p w14:paraId="6840DAA5" w14:textId="77777777" w:rsidR="00656F6C" w:rsidRDefault="00DD1AC6" w:rsidP="00660ED3">
      <w:pPr>
        <w:pStyle w:val="BodyTextNumbered"/>
      </w:pPr>
      <w:r>
        <w:t>(2)</w:t>
      </w:r>
      <w:r>
        <w:tab/>
        <w:t>An RTM Final Statement will reflect differences to financial records generated on the previous Settlement Statement for the given Operating Day.</w:t>
      </w:r>
      <w:r w:rsidR="00656F6C">
        <w:t xml:space="preserve"> </w:t>
      </w:r>
    </w:p>
    <w:p w14:paraId="1B10E268" w14:textId="77777777" w:rsidR="002F5868" w:rsidRPr="008910B8" w:rsidRDefault="00DD1AC6">
      <w:pPr>
        <w:pStyle w:val="H3"/>
        <w:rPr>
          <w:b/>
          <w:i/>
        </w:rPr>
      </w:pPr>
      <w:bookmarkStart w:id="156" w:name="_Toc309731047"/>
      <w:bookmarkStart w:id="157" w:name="_Toc405814022"/>
      <w:bookmarkStart w:id="158" w:name="_Toc422207912"/>
      <w:bookmarkStart w:id="159" w:name="_Toc438044826"/>
      <w:bookmarkStart w:id="160" w:name="_Toc447622609"/>
      <w:bookmarkStart w:id="161" w:name="_Toc80175259"/>
      <w:r w:rsidRPr="008910B8">
        <w:rPr>
          <w:b/>
          <w:i/>
        </w:rPr>
        <w:t>9.5.6</w:t>
      </w:r>
      <w:r w:rsidRPr="008910B8">
        <w:rPr>
          <w:b/>
          <w:i/>
        </w:rPr>
        <w:tab/>
        <w:t>RTM Resettlement Statement</w:t>
      </w:r>
      <w:bookmarkEnd w:id="156"/>
      <w:bookmarkEnd w:id="157"/>
      <w:bookmarkEnd w:id="158"/>
      <w:bookmarkEnd w:id="159"/>
      <w:bookmarkEnd w:id="160"/>
      <w:bookmarkEnd w:id="161"/>
    </w:p>
    <w:p w14:paraId="71CA69EC" w14:textId="556827DF" w:rsidR="00D41086" w:rsidRPr="00A10FC3" w:rsidRDefault="00D41086" w:rsidP="00D41086">
      <w:pPr>
        <w:spacing w:after="240"/>
        <w:ind w:left="720" w:hanging="720"/>
      </w:pPr>
      <w:r w:rsidRPr="00A10FC3">
        <w:t>(1)</w:t>
      </w:r>
      <w:r w:rsidRPr="00A10FC3">
        <w:tab/>
        <w:t xml:space="preserve">ERCOT shall issue </w:t>
      </w:r>
      <w:proofErr w:type="gramStart"/>
      <w:r w:rsidRPr="00A10FC3">
        <w:t>a</w:t>
      </w:r>
      <w:proofErr w:type="gramEnd"/>
      <w:r w:rsidRPr="00A10FC3">
        <w:t xml:space="preserve"> RTM Resettlement Statement using corrected Settlement data due to resolution of Settlement and </w:t>
      </w:r>
      <w:r>
        <w:t>b</w:t>
      </w:r>
      <w:r w:rsidRPr="00A10FC3">
        <w:t>illing disputes</w:t>
      </w:r>
      <w:r w:rsidR="004E366D" w:rsidRPr="004E366D">
        <w:t xml:space="preserve"> </w:t>
      </w:r>
      <w:r w:rsidR="004E366D" w:rsidRPr="00FC5192">
        <w:t>and</w:t>
      </w:r>
      <w:r w:rsidR="004E366D" w:rsidRPr="00491B0E">
        <w:t xml:space="preserve"> </w:t>
      </w:r>
      <w:r w:rsidR="004E366D" w:rsidRPr="00FC5192">
        <w:t xml:space="preserve">the correction of </w:t>
      </w:r>
      <w:r w:rsidR="004E366D">
        <w:t>errors</w:t>
      </w:r>
      <w:r w:rsidR="004E366D" w:rsidRPr="00FC5192">
        <w:t xml:space="preserve"> </w:t>
      </w:r>
      <w:r w:rsidR="004E366D">
        <w:t>other than price errors</w:t>
      </w:r>
      <w:r w:rsidR="004E366D" w:rsidRPr="00FC5192">
        <w:t xml:space="preserve"> pursuant to this </w:t>
      </w:r>
      <w:r w:rsidR="004E366D">
        <w:t>S</w:t>
      </w:r>
      <w:r w:rsidR="004E366D" w:rsidRPr="00FC5192">
        <w:t>ection</w:t>
      </w:r>
      <w:r w:rsidRPr="00A10FC3">
        <w:t xml:space="preserve">.  </w:t>
      </w:r>
      <w:r w:rsidRPr="00A10FC3">
        <w:rPr>
          <w:rFonts w:ascii="TimesNewRomanPSMT" w:hAnsi="TimesNewRomanPSMT" w:cs="TimesNewRomanPSMT"/>
        </w:rPr>
        <w:t xml:space="preserve">Any resettlement occurring after an RTM True-Up Statement has been issued must meet the same Interval Data Recorder (IDR) Meter Data Threshold requirements defined in Section 9.5.8, RTM True-Up Statement, and is subject </w:t>
      </w:r>
      <w:r w:rsidRPr="00A10FC3">
        <w:rPr>
          <w:rFonts w:ascii="TimesNewRomanPSMT" w:hAnsi="TimesNewRomanPSMT" w:cs="TimesNewRomanPSMT"/>
        </w:rPr>
        <w:lastRenderedPageBreak/>
        <w:t xml:space="preserve">to the same limitations for filing a dispute.  </w:t>
      </w:r>
      <w:r w:rsidRPr="00A10FC3">
        <w:t>Despite the preceding sentence, the ERCOT Board may, in its discretion, direct ERCOT to run a resettlement of any Operating Day, at any time, to address unusual circumstances.</w:t>
      </w:r>
    </w:p>
    <w:p w14:paraId="7D4E8123" w14:textId="77777777" w:rsidR="00D41086" w:rsidRDefault="00D41086" w:rsidP="00D41086">
      <w:pPr>
        <w:spacing w:after="240"/>
        <w:ind w:left="720" w:hanging="720"/>
      </w:pPr>
      <w:r w:rsidRPr="00A10FC3">
        <w:t>(2)</w:t>
      </w:r>
      <w:r w:rsidRPr="00A10FC3">
        <w:tab/>
        <w:t xml:space="preserve">ERCOT shall issue </w:t>
      </w:r>
      <w:proofErr w:type="gramStart"/>
      <w:r w:rsidRPr="00A10FC3">
        <w:t>a</w:t>
      </w:r>
      <w:proofErr w:type="gramEnd"/>
      <w:r w:rsidRPr="00A10FC3">
        <w:t xml:space="preserve"> RTM Resettlement Statement for a given Operating Day due to errors other than errors in prices when</w:t>
      </w:r>
      <w:r>
        <w:t>:</w:t>
      </w:r>
    </w:p>
    <w:p w14:paraId="47BD060A" w14:textId="001FF124" w:rsidR="00D41086" w:rsidRDefault="00D41086" w:rsidP="00D41086">
      <w:pPr>
        <w:spacing w:after="240"/>
        <w:ind w:left="1440" w:hanging="720"/>
      </w:pPr>
      <w:r w:rsidRPr="001044B0">
        <w:t>(a)</w:t>
      </w:r>
      <w:r w:rsidRPr="001044B0">
        <w:tab/>
      </w:r>
      <w:r>
        <w:t>T</w:t>
      </w:r>
      <w:r w:rsidRPr="00A10FC3">
        <w:t>he total of all errors other than price errors results in an absolute value impact greater than 4% of the total RTM Statement amount for any single Statement Recipient for the Operating Day</w:t>
      </w:r>
      <w:r>
        <w:t>;</w:t>
      </w:r>
    </w:p>
    <w:p w14:paraId="36092FF0" w14:textId="77777777" w:rsidR="004E366D" w:rsidRDefault="00D41086" w:rsidP="004E366D">
      <w:pPr>
        <w:spacing w:after="240"/>
        <w:ind w:left="1440" w:hanging="720"/>
        <w:rPr>
          <w:iCs/>
        </w:rPr>
      </w:pPr>
      <w:r w:rsidRPr="001044B0">
        <w:t>(b)</w:t>
      </w:r>
      <w:r w:rsidRPr="001044B0">
        <w:tab/>
      </w:r>
      <w:r>
        <w:t xml:space="preserve">The </w:t>
      </w:r>
      <w:r w:rsidRPr="00A10FC3">
        <w:t>impact to the Statement Recipient is greater than $400.00</w:t>
      </w:r>
      <w:r w:rsidR="004E366D">
        <w:rPr>
          <w:iCs/>
        </w:rPr>
        <w:t>;</w:t>
      </w:r>
      <w:r w:rsidR="004E366D" w:rsidRPr="00491B0E">
        <w:rPr>
          <w:iCs/>
        </w:rPr>
        <w:t xml:space="preserve"> </w:t>
      </w:r>
      <w:r w:rsidR="004E366D">
        <w:rPr>
          <w:iCs/>
        </w:rPr>
        <w:t>and</w:t>
      </w:r>
    </w:p>
    <w:p w14:paraId="399D7DE2" w14:textId="1980EDD8" w:rsidR="00D41086" w:rsidRDefault="004E366D" w:rsidP="004E366D">
      <w:pPr>
        <w:spacing w:after="240"/>
        <w:ind w:left="1440" w:hanging="720"/>
      </w:pPr>
      <w:r>
        <w:rPr>
          <w:iCs/>
        </w:rPr>
        <w:t>(c)</w:t>
      </w:r>
      <w:r>
        <w:rPr>
          <w:iCs/>
        </w:rPr>
        <w:tab/>
        <w:t xml:space="preserve">The </w:t>
      </w:r>
      <w:r w:rsidRPr="00324D4D">
        <w:t>error is discovered</w:t>
      </w:r>
      <w:r>
        <w:t>,</w:t>
      </w:r>
      <w:r w:rsidRPr="00324D4D">
        <w:t xml:space="preserve"> and </w:t>
      </w:r>
      <w:r>
        <w:t>a Market N</w:t>
      </w:r>
      <w:r w:rsidRPr="00324D4D">
        <w:t>otice of the error is provided to Market Participants</w:t>
      </w:r>
      <w:r>
        <w:t>,</w:t>
      </w:r>
      <w:r w:rsidRPr="00324D4D">
        <w:t xml:space="preserve"> </w:t>
      </w:r>
      <w:r>
        <w:t xml:space="preserve">within </w:t>
      </w:r>
      <w:r w:rsidRPr="00585E54">
        <w:t>one year of the Operating Day at issue</w:t>
      </w:r>
      <w:r w:rsidR="00D41086">
        <w:t>.</w:t>
      </w:r>
    </w:p>
    <w:p w14:paraId="69F30F2E" w14:textId="77777777" w:rsidR="00D41086" w:rsidRPr="00A10FC3" w:rsidRDefault="00D41086" w:rsidP="00D41086">
      <w:pPr>
        <w:tabs>
          <w:tab w:val="left" w:pos="720"/>
        </w:tabs>
        <w:spacing w:after="240"/>
        <w:ind w:left="720" w:hanging="720"/>
      </w:pPr>
      <w:r>
        <w:t>(3)</w:t>
      </w:r>
      <w:r>
        <w:tab/>
        <w:t>Changes to meter data managed through a process other than a dispute or Alternative Dispute Resolution will not require evaluation of a resettlement defined in paragraph (2) above.</w:t>
      </w:r>
    </w:p>
    <w:p w14:paraId="2C9A4DE0" w14:textId="77777777" w:rsidR="00D41086" w:rsidRPr="00A10FC3" w:rsidRDefault="00D41086" w:rsidP="00D41086">
      <w:pPr>
        <w:spacing w:after="240"/>
        <w:ind w:left="720" w:hanging="720"/>
      </w:pPr>
      <w:r w:rsidRPr="00A10FC3">
        <w:t>(</w:t>
      </w:r>
      <w:r>
        <w:t>4</w:t>
      </w:r>
      <w:r w:rsidRPr="00A10FC3">
        <w:t>)</w:t>
      </w:r>
      <w:r w:rsidRPr="00A10FC3">
        <w:tab/>
        <w:t xml:space="preserve">For any Settlement and billing disputes resolved prior to issuance of the RTM Final Statement, ERCOT shall </w:t>
      </w:r>
      <w:proofErr w:type="gramStart"/>
      <w:r w:rsidRPr="00A10FC3">
        <w:t>effect</w:t>
      </w:r>
      <w:proofErr w:type="gramEnd"/>
      <w:r w:rsidRPr="00A10FC3">
        <w:t xml:space="preserve"> the dispute’s resolution on the RTM Final Statement for that Operating Day.  If a dispute is submitted by 15 Business Days after the issuance of the RTM Initial Statement for an Operating Day and is not resolved on the RTM Final Statement, ERCOT will affect the dispute’s resolution on an RTM Resettlement Statement for that Operating Day.  ERCOT shall issue such an RTM Resettlement Statement within a reasonable time after resolving the Settlement and billing dispute.  </w:t>
      </w:r>
    </w:p>
    <w:p w14:paraId="36AA4F03" w14:textId="77777777" w:rsidR="00D41086" w:rsidRPr="00A10FC3" w:rsidRDefault="00D41086" w:rsidP="00D41086">
      <w:pPr>
        <w:spacing w:after="240"/>
        <w:ind w:left="720" w:hanging="720"/>
      </w:pPr>
      <w:r w:rsidRPr="00A10FC3">
        <w:t>(</w:t>
      </w:r>
      <w:r>
        <w:t>5</w:t>
      </w:r>
      <w:r w:rsidRPr="00A10FC3">
        <w:t>)</w:t>
      </w:r>
      <w:r w:rsidRPr="00A10FC3">
        <w:tab/>
        <w:t xml:space="preserve">ERCOT must </w:t>
      </w:r>
      <w:proofErr w:type="gramStart"/>
      <w:r w:rsidRPr="00A10FC3">
        <w:t>effect</w:t>
      </w:r>
      <w:proofErr w:type="gramEnd"/>
      <w:r w:rsidRPr="00A10FC3">
        <w:t xml:space="preserve"> the resolution of any dispute submitted more than 15 Business Days after the issuance of the RTM Initial Statement on the next available Resettlement or RTM True-Up statement for that Operating Day.  For Settlement and billing disputes resolved under Section 9.14, Settlement and Billing Dispute Process, and submitted at least 20 Business Days before the scheduled date for issuance of the RTM True-Up Statement, ERCOT will include adjustments relating to the dispute on the RTM True-Up Statement.  Resolved disputes must be included on the next available Settlement Invoice after ERCOT has issued the RTM True-Up Statement.</w:t>
      </w:r>
    </w:p>
    <w:p w14:paraId="3EA5E840" w14:textId="77777777" w:rsidR="00296824" w:rsidRDefault="00D41086" w:rsidP="008436F5">
      <w:pPr>
        <w:pStyle w:val="BodyTextNumbered"/>
      </w:pPr>
      <w:r w:rsidRPr="00A10FC3">
        <w:t>(</w:t>
      </w:r>
      <w:r>
        <w:t>6</w:t>
      </w:r>
      <w:r w:rsidRPr="00A10FC3">
        <w:t>)</w:t>
      </w:r>
      <w:r w:rsidRPr="00A10FC3">
        <w:tab/>
        <w:t>ERCOT may not issue an RTM Resettlement Statement less than 20 days before a scheduled RTM Final Statement or RTM True-Up Statement for the relevant Operating Day.  An RTM Resettlement Statement will reflect differences to financial records generated on the previous Settlement Statement for the given Operating Day.</w:t>
      </w:r>
    </w:p>
    <w:p w14:paraId="76401DD1" w14:textId="14C4C9AC" w:rsidR="00054E2F" w:rsidRDefault="00054E2F" w:rsidP="008436F5">
      <w:pPr>
        <w:pStyle w:val="BodyTextNumbered"/>
      </w:pPr>
      <w:r w:rsidRPr="00F057BA">
        <w:t>(7)</w:t>
      </w:r>
      <w:r w:rsidRPr="00F057BA">
        <w:tab/>
        <w:t xml:space="preserve">ERCOT may issue an RTM Resettlement Statement after the issuance of an RTM Final Statement </w:t>
      </w:r>
      <w:proofErr w:type="gramStart"/>
      <w:r w:rsidRPr="00F057BA">
        <w:t>in order to</w:t>
      </w:r>
      <w:proofErr w:type="gramEnd"/>
      <w:r w:rsidRPr="00F057BA">
        <w:t xml:space="preserve"> resolve approved disputes related to Section 5.6.5.2, RUC Make-Whole Payment and RUC </w:t>
      </w:r>
      <w:proofErr w:type="spellStart"/>
      <w:r w:rsidRPr="00F057BA">
        <w:t>Clawback</w:t>
      </w:r>
      <w:proofErr w:type="spellEnd"/>
      <w:r w:rsidRPr="00F057BA">
        <w:t xml:space="preserve"> Charge for Resources Receiving OSAs.</w:t>
      </w:r>
    </w:p>
    <w:p w14:paraId="03380CAF" w14:textId="600F988C" w:rsidR="004E366D" w:rsidRPr="00495A70" w:rsidRDefault="004E366D" w:rsidP="004E366D">
      <w:pPr>
        <w:spacing w:after="240"/>
        <w:ind w:left="720" w:hanging="720"/>
      </w:pPr>
      <w:bookmarkStart w:id="162" w:name="_Toc309731048"/>
      <w:bookmarkStart w:id="163" w:name="_Toc405814023"/>
      <w:bookmarkStart w:id="164" w:name="_Toc422207913"/>
      <w:bookmarkStart w:id="165" w:name="_Toc438044827"/>
      <w:bookmarkStart w:id="166" w:name="_Toc447622610"/>
      <w:bookmarkStart w:id="167" w:name="_Toc80175260"/>
      <w:r>
        <w:t>(8)</w:t>
      </w:r>
      <w:r>
        <w:tab/>
        <w:t xml:space="preserve">ERCOT may issue RTM Resettlement Statements after the timeline referenced in paragraph (2) above if directed by the ERCOT Board, the result of a resolution of an </w:t>
      </w:r>
      <w:r>
        <w:lastRenderedPageBreak/>
        <w:t>Alternative Dispute Resolution (ADR) procedure, or under the procedure for Return of Settlement Funds.</w:t>
      </w:r>
    </w:p>
    <w:p w14:paraId="184B5065" w14:textId="1283808F" w:rsidR="004E366D" w:rsidRDefault="004E366D" w:rsidP="004E366D">
      <w:pPr>
        <w:pStyle w:val="BodyText"/>
        <w:ind w:left="720" w:hanging="720"/>
      </w:pPr>
      <w:r>
        <w:t>(9)</w:t>
      </w:r>
      <w:r>
        <w:tab/>
      </w:r>
      <w:r w:rsidRPr="003760AA">
        <w:t>I</w:t>
      </w:r>
      <w:r>
        <w:t xml:space="preserve">f ERCOT is required to issue a Resettlement Statement per this Section, but resettlement </w:t>
      </w:r>
      <w:r w:rsidRPr="003760AA">
        <w:t xml:space="preserve">is not </w:t>
      </w:r>
      <w:r>
        <w:t xml:space="preserve">practicable due to system limitations, </w:t>
      </w:r>
      <w:r w:rsidRPr="003760AA">
        <w:t xml:space="preserve">ERCOT shall make the adjustments through a separate Invoice that is produced outside of normal Settlement </w:t>
      </w:r>
      <w:r>
        <w:t>Invoices</w:t>
      </w:r>
      <w:r w:rsidRPr="003760AA">
        <w:t xml:space="preserve">.  The appropriate payments and charges, along with </w:t>
      </w:r>
      <w:r>
        <w:t>S</w:t>
      </w:r>
      <w:r w:rsidRPr="003760AA">
        <w:t xml:space="preserve">ettlement quality information, shall be supplied to all </w:t>
      </w:r>
      <w:r>
        <w:t xml:space="preserve">impacted </w:t>
      </w:r>
      <w:r w:rsidRPr="003760AA">
        <w:t>Market Participants.</w:t>
      </w:r>
      <w:r>
        <w:t xml:space="preserve"> </w:t>
      </w:r>
      <w:r w:rsidRPr="003760AA">
        <w:t xml:space="preserve"> </w:t>
      </w:r>
    </w:p>
    <w:p w14:paraId="260C0946" w14:textId="77777777" w:rsidR="002F5868" w:rsidRPr="008910B8" w:rsidRDefault="00DD1AC6" w:rsidP="008D5547">
      <w:pPr>
        <w:pStyle w:val="H3"/>
        <w:rPr>
          <w:b/>
          <w:i/>
        </w:rPr>
      </w:pPr>
      <w:r w:rsidRPr="008910B8">
        <w:rPr>
          <w:b/>
          <w:i/>
        </w:rPr>
        <w:t>9.5.7</w:t>
      </w:r>
      <w:r w:rsidRPr="008910B8">
        <w:rPr>
          <w:b/>
          <w:i/>
        </w:rPr>
        <w:tab/>
        <w:t>Notice of Resettlement for the Real-Time Market</w:t>
      </w:r>
      <w:bookmarkEnd w:id="162"/>
      <w:bookmarkEnd w:id="163"/>
      <w:bookmarkEnd w:id="164"/>
      <w:bookmarkEnd w:id="165"/>
      <w:bookmarkEnd w:id="166"/>
      <w:bookmarkEnd w:id="167"/>
    </w:p>
    <w:p w14:paraId="36CC7FCC" w14:textId="77777777" w:rsidR="00D41086" w:rsidRPr="00A10FC3" w:rsidRDefault="00D41086" w:rsidP="00D41086">
      <w:pPr>
        <w:spacing w:after="240"/>
        <w:ind w:left="720" w:hanging="720"/>
      </w:pPr>
      <w:r w:rsidRPr="00A10FC3">
        <w:rPr>
          <w:iCs/>
        </w:rPr>
        <w:t>(1)</w:t>
      </w:r>
      <w:r w:rsidRPr="00A10FC3">
        <w:rPr>
          <w:iCs/>
        </w:rPr>
        <w:tab/>
      </w:r>
      <w:r w:rsidRPr="00A10FC3">
        <w:t xml:space="preserve">While maintaining confidentiality of all Market Participants, ERCOT shall </w:t>
      </w:r>
      <w:r w:rsidRPr="00A10FC3">
        <w:rPr>
          <w:iCs/>
        </w:rPr>
        <w:t xml:space="preserve">send a Market Notice </w:t>
      </w:r>
      <w:r w:rsidRPr="00A10FC3">
        <w:t>in conjunction with the resettlement, indicating the resettlement of a specific Operating Day and the date of issuance of the RTM Resettlement Statements.  ERCOT shall include the following information in the notice of resettlement:</w:t>
      </w:r>
    </w:p>
    <w:p w14:paraId="5E4F85E1" w14:textId="77777777" w:rsidR="00D41086" w:rsidRPr="00A10FC3" w:rsidRDefault="00D41086" w:rsidP="00D41086">
      <w:pPr>
        <w:spacing w:after="240"/>
        <w:ind w:left="1440" w:hanging="720"/>
      </w:pPr>
      <w:r w:rsidRPr="00A10FC3">
        <w:t>(a)</w:t>
      </w:r>
      <w:r w:rsidRPr="00A10FC3">
        <w:tab/>
        <w:t>Detailed description of reason(s) for resettlement;</w:t>
      </w:r>
    </w:p>
    <w:p w14:paraId="2BD00199" w14:textId="77777777" w:rsidR="00D41086" w:rsidRPr="00A10FC3" w:rsidRDefault="00D41086" w:rsidP="00D41086">
      <w:pPr>
        <w:spacing w:after="240"/>
        <w:ind w:left="1440" w:hanging="720"/>
      </w:pPr>
      <w:r w:rsidRPr="00A10FC3">
        <w:t>(b)</w:t>
      </w:r>
      <w:r w:rsidRPr="00A10FC3">
        <w:tab/>
        <w:t>Affected Operating Days;</w:t>
      </w:r>
    </w:p>
    <w:p w14:paraId="65DA23E5" w14:textId="77777777" w:rsidR="00D41086" w:rsidRPr="00A10FC3" w:rsidRDefault="00D41086" w:rsidP="00D41086">
      <w:pPr>
        <w:spacing w:after="240"/>
        <w:ind w:left="1440" w:hanging="720"/>
      </w:pPr>
      <w:r w:rsidRPr="00A10FC3">
        <w:t>(c)</w:t>
      </w:r>
      <w:r w:rsidRPr="00A10FC3">
        <w:tab/>
        <w:t>Affected settlement Charge Types; and</w:t>
      </w:r>
    </w:p>
    <w:p w14:paraId="7C9FF5CF" w14:textId="77777777" w:rsidR="002F5868" w:rsidRDefault="00D41086">
      <w:pPr>
        <w:pStyle w:val="List"/>
      </w:pPr>
      <w:r w:rsidRPr="00A10FC3">
        <w:t>(d)</w:t>
      </w:r>
      <w:r w:rsidRPr="00A10FC3">
        <w:tab/>
        <w:t>Total resettled amount, by Charge Type.</w:t>
      </w:r>
    </w:p>
    <w:p w14:paraId="1FA5FC70" w14:textId="77777777" w:rsidR="002F5868" w:rsidRPr="008910B8" w:rsidRDefault="00DD1AC6" w:rsidP="00B34F9F">
      <w:pPr>
        <w:pStyle w:val="H3"/>
        <w:rPr>
          <w:b/>
          <w:i/>
        </w:rPr>
      </w:pPr>
      <w:bookmarkStart w:id="168" w:name="_Toc309731049"/>
      <w:bookmarkStart w:id="169" w:name="_Toc405814024"/>
      <w:bookmarkStart w:id="170" w:name="_Toc422207914"/>
      <w:bookmarkStart w:id="171" w:name="_Toc438044828"/>
      <w:bookmarkStart w:id="172" w:name="_Toc447622611"/>
      <w:bookmarkStart w:id="173" w:name="_Toc80175261"/>
      <w:r w:rsidRPr="008910B8">
        <w:rPr>
          <w:b/>
          <w:i/>
        </w:rPr>
        <w:t>9.5.8</w:t>
      </w:r>
      <w:r w:rsidRPr="008910B8">
        <w:rPr>
          <w:b/>
          <w:i/>
        </w:rPr>
        <w:tab/>
        <w:t>RTM True-Up Statement</w:t>
      </w:r>
      <w:bookmarkEnd w:id="168"/>
      <w:bookmarkEnd w:id="169"/>
      <w:bookmarkEnd w:id="170"/>
      <w:bookmarkEnd w:id="171"/>
      <w:bookmarkEnd w:id="172"/>
      <w:bookmarkEnd w:id="173"/>
    </w:p>
    <w:p w14:paraId="3DD22071" w14:textId="77777777" w:rsidR="002F5868" w:rsidRDefault="00DD1AC6">
      <w:pPr>
        <w:pStyle w:val="BodyTextNumbered"/>
      </w:pPr>
      <w:r>
        <w:t>(1)</w:t>
      </w:r>
      <w:r>
        <w:tab/>
        <w:t>ERCOT shall use the best available Settlement data, as described in Section 9.5.2, Settlement Statements for the RTM, to produce an RTM True-Up Statement for each Statement Recipient for each given Operating Day.</w:t>
      </w:r>
    </w:p>
    <w:p w14:paraId="41335B07" w14:textId="77777777" w:rsidR="002F5868" w:rsidRDefault="00DD1AC6">
      <w:pPr>
        <w:pStyle w:val="BodyTextNumbered"/>
      </w:pPr>
      <w:r>
        <w:t>(2)</w:t>
      </w:r>
      <w:r>
        <w:tab/>
        <w:t xml:space="preserve">ERCOT shall issue RTM True-Up Statements 180 days following the Operating Day, if ERCOT has received and validated </w:t>
      </w:r>
      <w:r w:rsidR="00E559DF">
        <w:t xml:space="preserve">usage data from </w:t>
      </w:r>
      <w:r>
        <w:t xml:space="preserve">at least 99% of the total number of Electric Service Identifiers (ESI IDs) with a BUSIDRRQ </w:t>
      </w:r>
      <w:r w:rsidR="00E559DF">
        <w:t>Load Profile T</w:t>
      </w:r>
      <w:r>
        <w:t xml:space="preserve">ype code and if ERCOT has received and validated </w:t>
      </w:r>
      <w:r w:rsidR="00E559DF">
        <w:t xml:space="preserve">usage data from </w:t>
      </w:r>
      <w:r>
        <w:t xml:space="preserve">at least 90% of the total number of ESI IDs with a BUSIDRRQ </w:t>
      </w:r>
      <w:r w:rsidR="00E559DF">
        <w:t>Load Profile T</w:t>
      </w:r>
      <w:r>
        <w:t xml:space="preserve">ype code from each Meter Reading Entity (MRE) representing at least 20 Interval Data Recorder (IDR) ESI IDs (IDR </w:t>
      </w:r>
      <w:r w:rsidR="00E559DF">
        <w:t xml:space="preserve">Meter </w:t>
      </w:r>
      <w:r>
        <w:t xml:space="preserve">Data Threshold).  If the above conditions have not been met, then ERCOT shall issue RTM True-Up Statements as soon as the </w:t>
      </w:r>
      <w:smartTag w:uri="urn:schemas-microsoft-com:office:smarttags" w:element="stockticker">
        <w:r>
          <w:t>IDR</w:t>
        </w:r>
      </w:smartTag>
      <w:r>
        <w:t xml:space="preserve"> </w:t>
      </w:r>
      <w:r w:rsidR="00E559DF">
        <w:t xml:space="preserve">Meter </w:t>
      </w:r>
      <w:r>
        <w:t xml:space="preserve">data becomes available for that Operating Day.  If no RTM True-Up Statement has been issued 365 days after the Operating Day, then ERCOT shall issue </w:t>
      </w:r>
      <w:proofErr w:type="gramStart"/>
      <w:r>
        <w:t>a</w:t>
      </w:r>
      <w:proofErr w:type="gramEnd"/>
      <w:r>
        <w:t xml:space="preserve"> RTM True-Up Statement for that Operating Day.  If any RTM True-Up Statement issuance date does not fall on a Business Day, then the RTM True-Up Statement must be issued by the end of the next Business Day after the RTM True-Up </w:t>
      </w:r>
      <w:r w:rsidR="00E559DF">
        <w:t>S</w:t>
      </w:r>
      <w:r>
        <w:t>ettlement date.</w:t>
      </w:r>
    </w:p>
    <w:p w14:paraId="6A37FC6C" w14:textId="77777777" w:rsidR="00F56172" w:rsidRDefault="00DD1AC6">
      <w:pPr>
        <w:pStyle w:val="BodyTextNumbered"/>
      </w:pPr>
      <w:r>
        <w:t>(3)</w:t>
      </w:r>
      <w:r>
        <w:tab/>
        <w:t>An RTM True-Up Statement will reflect differences to financial records generated on the previous Settlement Statement for the given Operating Day.</w:t>
      </w:r>
      <w:r w:rsidR="00F56172" w:rsidDel="00F56172">
        <w:t xml:space="preserve"> </w:t>
      </w:r>
    </w:p>
    <w:p w14:paraId="00DBB61F" w14:textId="77777777" w:rsidR="002F5868" w:rsidRPr="008910B8" w:rsidRDefault="00DD1AC6">
      <w:pPr>
        <w:pStyle w:val="H3"/>
        <w:rPr>
          <w:b/>
          <w:i/>
        </w:rPr>
      </w:pPr>
      <w:bookmarkStart w:id="174" w:name="_Toc309731050"/>
      <w:bookmarkStart w:id="175" w:name="_Toc405814025"/>
      <w:bookmarkStart w:id="176" w:name="_Toc422207915"/>
      <w:bookmarkStart w:id="177" w:name="_Toc438044829"/>
      <w:bookmarkStart w:id="178" w:name="_Toc447622612"/>
      <w:bookmarkStart w:id="179" w:name="_Toc80175262"/>
      <w:r w:rsidRPr="008910B8">
        <w:rPr>
          <w:b/>
          <w:i/>
        </w:rPr>
        <w:lastRenderedPageBreak/>
        <w:t>9.5.9</w:t>
      </w:r>
      <w:r w:rsidRPr="008910B8">
        <w:rPr>
          <w:b/>
          <w:i/>
        </w:rPr>
        <w:tab/>
        <w:t>Notice of True-Up Settlement Timeline Changes for the Real-Time Market</w:t>
      </w:r>
      <w:bookmarkEnd w:id="174"/>
      <w:bookmarkEnd w:id="175"/>
      <w:bookmarkEnd w:id="176"/>
      <w:bookmarkEnd w:id="177"/>
      <w:bookmarkEnd w:id="178"/>
      <w:bookmarkEnd w:id="179"/>
    </w:p>
    <w:p w14:paraId="07E6728C" w14:textId="77777777" w:rsidR="002F5868" w:rsidRDefault="00DD1AC6">
      <w:pPr>
        <w:pStyle w:val="BodyTextNumbered"/>
      </w:pPr>
      <w:r>
        <w:t>(1)</w:t>
      </w:r>
      <w:r>
        <w:tab/>
        <w:t xml:space="preserve">If the IDR </w:t>
      </w:r>
      <w:r w:rsidR="00E559DF">
        <w:t xml:space="preserve">Meter </w:t>
      </w:r>
      <w:r>
        <w:t>Data Threshold has not been met by the 180</w:t>
      </w:r>
      <w:r>
        <w:rPr>
          <w:vertAlign w:val="superscript"/>
        </w:rPr>
        <w:t>th</w:t>
      </w:r>
      <w:r>
        <w:t xml:space="preserve"> day after the Operating Day (or, if the 180</w:t>
      </w:r>
      <w:r>
        <w:rPr>
          <w:vertAlign w:val="superscript"/>
        </w:rPr>
        <w:t>th</w:t>
      </w:r>
      <w:r>
        <w:t xml:space="preserve"> day is not a Business Day, by the next day thereafter that is a Business Day), then ERCOT shall </w:t>
      </w:r>
      <w:r w:rsidR="00E2470C">
        <w:t>send a Market Notice about the</w:t>
      </w:r>
      <w:r>
        <w:t xml:space="preserve"> delay of any RTM True-Up Statement issuance indicating the IDR </w:t>
      </w:r>
      <w:r w:rsidR="00E559DF">
        <w:t xml:space="preserve">Meter </w:t>
      </w:r>
      <w:r>
        <w:t>Data Threshold has not been met.</w:t>
      </w:r>
    </w:p>
    <w:p w14:paraId="2EC50994" w14:textId="77777777" w:rsidR="002F5868" w:rsidRDefault="00DD1AC6">
      <w:pPr>
        <w:pStyle w:val="BodyTextNumbered"/>
      </w:pPr>
      <w:r>
        <w:t>(2)</w:t>
      </w:r>
      <w:r>
        <w:tab/>
        <w:t xml:space="preserve">For any delayed RTM True-Up Statement, ERCOT shall </w:t>
      </w:r>
      <w:r w:rsidR="00E2470C">
        <w:t>send a Market Notice</w:t>
      </w:r>
      <w:r>
        <w:t xml:space="preserve"> indicating that it will issue an RTM True-Up Statement for a specific Operating Day within two Business Days after discovering the delay.  As soon as practicable, ERCOT shall </w:t>
      </w:r>
      <w:r w:rsidR="00E2470C">
        <w:t>send a Market Notice with</w:t>
      </w:r>
      <w:r>
        <w:t xml:space="preserve"> the revised date on which the delayed RTM True-Up Statement will be issued.</w:t>
      </w:r>
    </w:p>
    <w:p w14:paraId="580D31E4" w14:textId="77777777" w:rsidR="002F5868" w:rsidRPr="008910B8" w:rsidRDefault="00DD1AC6">
      <w:pPr>
        <w:pStyle w:val="H3"/>
        <w:rPr>
          <w:b/>
          <w:i/>
        </w:rPr>
      </w:pPr>
      <w:bookmarkStart w:id="180" w:name="_Toc309731051"/>
      <w:bookmarkStart w:id="181" w:name="_Toc405814026"/>
      <w:bookmarkStart w:id="182" w:name="_Toc422207916"/>
      <w:bookmarkStart w:id="183" w:name="_Toc438044830"/>
      <w:bookmarkStart w:id="184" w:name="_Toc447622613"/>
      <w:bookmarkStart w:id="185" w:name="_Toc80175263"/>
      <w:r w:rsidRPr="008910B8">
        <w:rPr>
          <w:b/>
          <w:i/>
        </w:rPr>
        <w:t>9.5.10</w:t>
      </w:r>
      <w:r w:rsidRPr="008910B8">
        <w:rPr>
          <w:b/>
          <w:i/>
        </w:rPr>
        <w:tab/>
        <w:t>Confirmation for the Real-Time Market</w:t>
      </w:r>
      <w:bookmarkEnd w:id="180"/>
      <w:bookmarkEnd w:id="181"/>
      <w:bookmarkEnd w:id="182"/>
      <w:bookmarkEnd w:id="183"/>
      <w:bookmarkEnd w:id="184"/>
      <w:bookmarkEnd w:id="185"/>
    </w:p>
    <w:p w14:paraId="0D3FE617" w14:textId="77777777" w:rsidR="002F5868" w:rsidRDefault="00A0123C" w:rsidP="00660ED3">
      <w:pPr>
        <w:pStyle w:val="BodyTextNumbered"/>
      </w:pPr>
      <w:r>
        <w:rPr>
          <w:iCs/>
        </w:rPr>
        <w:t>(1)</w:t>
      </w:r>
      <w:r>
        <w:rPr>
          <w:iCs/>
        </w:rPr>
        <w:tab/>
      </w:r>
      <w:r w:rsidR="00DD1AC6">
        <w:t xml:space="preserve">It is the responsibility of each Statement Recipient to notify ERCOT if a Settlement Statement for the RTM is not available on the MIS Certified Area on the date specified for posting of that Settlement Statement in the Settlement Calendar.  Each Settlement Statement for the RTM is deemed to have been available on the posting date specified on the Settlement </w:t>
      </w:r>
      <w:proofErr w:type="gramStart"/>
      <w:r w:rsidR="00DD1AC6">
        <w:t>Calendar, unless</w:t>
      </w:r>
      <w:proofErr w:type="gramEnd"/>
      <w:r w:rsidR="00DD1AC6">
        <w:t xml:space="preserve"> it notifies ERCOT to the contrary.  If ERCOT receives notice that a Settlement Statement is not available, ERCOT shall make reasonable attempts to provide the Settlement Statement to the Statement Recipient, and ERCOT shall modify the Settlement and billing timeline accordingly for that Settlement Statement.  </w:t>
      </w:r>
    </w:p>
    <w:p w14:paraId="676AAB83" w14:textId="77777777" w:rsidR="002F5868" w:rsidRPr="008910B8" w:rsidRDefault="00DD1AC6">
      <w:pPr>
        <w:pStyle w:val="H3"/>
        <w:rPr>
          <w:b/>
          <w:i/>
        </w:rPr>
      </w:pPr>
      <w:bookmarkStart w:id="186" w:name="_Toc309731052"/>
      <w:bookmarkStart w:id="187" w:name="_Toc405814027"/>
      <w:bookmarkStart w:id="188" w:name="_Toc422207917"/>
      <w:bookmarkStart w:id="189" w:name="_Toc438044831"/>
      <w:bookmarkStart w:id="190" w:name="_Toc447622614"/>
      <w:bookmarkStart w:id="191" w:name="_Toc80175264"/>
      <w:r w:rsidRPr="008910B8">
        <w:rPr>
          <w:b/>
          <w:i/>
        </w:rPr>
        <w:t>9.5.11</w:t>
      </w:r>
      <w:r w:rsidRPr="008910B8">
        <w:rPr>
          <w:b/>
          <w:i/>
        </w:rPr>
        <w:tab/>
        <w:t>Validation of the True-Up Statement for the Real-Time Market</w:t>
      </w:r>
      <w:bookmarkEnd w:id="186"/>
      <w:bookmarkEnd w:id="187"/>
      <w:bookmarkEnd w:id="188"/>
      <w:bookmarkEnd w:id="189"/>
      <w:bookmarkEnd w:id="190"/>
      <w:bookmarkEnd w:id="191"/>
    </w:p>
    <w:p w14:paraId="0242B269" w14:textId="77777777" w:rsidR="002F5868" w:rsidRDefault="00A0123C" w:rsidP="00660ED3">
      <w:pPr>
        <w:pStyle w:val="BodyTextNumbered"/>
      </w:pPr>
      <w:r>
        <w:rPr>
          <w:iCs/>
        </w:rPr>
        <w:t>(1)</w:t>
      </w:r>
      <w:r>
        <w:rPr>
          <w:iCs/>
        </w:rPr>
        <w:tab/>
      </w:r>
      <w:r w:rsidR="00DD1AC6">
        <w:t xml:space="preserve">The Statement Recipient is considered to have validated each RTM True-Up Statement unless it has filed a Settlement and billing dispute or reported an exception within ten Business Days after the RTM True-Up Statement has been posted on the MIS Certified Area.  </w:t>
      </w:r>
    </w:p>
    <w:p w14:paraId="53C3163F" w14:textId="77777777" w:rsidR="002F5868" w:rsidRPr="008910B8" w:rsidRDefault="00DD1AC6">
      <w:pPr>
        <w:pStyle w:val="H3"/>
        <w:rPr>
          <w:b/>
          <w:i/>
        </w:rPr>
      </w:pPr>
      <w:bookmarkStart w:id="192" w:name="_Toc309731053"/>
      <w:bookmarkStart w:id="193" w:name="_Toc405814028"/>
      <w:bookmarkStart w:id="194" w:name="_Toc422207918"/>
      <w:bookmarkStart w:id="195" w:name="_Toc438044832"/>
      <w:bookmarkStart w:id="196" w:name="_Toc447622615"/>
      <w:bookmarkStart w:id="197" w:name="_Toc80175265"/>
      <w:r w:rsidRPr="008910B8">
        <w:rPr>
          <w:b/>
          <w:i/>
        </w:rPr>
        <w:t>9.5.12</w:t>
      </w:r>
      <w:r w:rsidRPr="008910B8">
        <w:rPr>
          <w:b/>
          <w:i/>
        </w:rPr>
        <w:tab/>
        <w:t>Suspension of Issuing Settlement Statements for the Real-Time Market</w:t>
      </w:r>
      <w:bookmarkEnd w:id="192"/>
      <w:bookmarkEnd w:id="193"/>
      <w:bookmarkEnd w:id="194"/>
      <w:bookmarkEnd w:id="195"/>
      <w:bookmarkEnd w:id="196"/>
      <w:bookmarkEnd w:id="197"/>
    </w:p>
    <w:p w14:paraId="7E396041" w14:textId="77777777" w:rsidR="002F5868" w:rsidRDefault="00A0123C" w:rsidP="00660ED3">
      <w:pPr>
        <w:pStyle w:val="BodyTextNumbered"/>
      </w:pPr>
      <w:r>
        <w:rPr>
          <w:iCs/>
        </w:rPr>
        <w:t>(1)</w:t>
      </w:r>
      <w:r>
        <w:rPr>
          <w:iCs/>
        </w:rPr>
        <w:tab/>
      </w:r>
      <w:r w:rsidR="00DD1AC6">
        <w:t xml:space="preserve">The ERCOT Board may direct ERCOT to suspend the issuance of any Settlement Statement for the RTM to address unusual circumstances.  Any proposal to suspend settlements must be presented to the Technical Advisory Committee (TAC) for review and comment, in a reasonable manner under the </w:t>
      </w:r>
      <w:proofErr w:type="gramStart"/>
      <w:r w:rsidR="00DD1AC6">
        <w:t>circumstances, before</w:t>
      </w:r>
      <w:proofErr w:type="gramEnd"/>
      <w:r w:rsidR="00DD1AC6">
        <w:t xml:space="preserve"> such suspension.</w:t>
      </w:r>
    </w:p>
    <w:p w14:paraId="7A2E87A2" w14:textId="77777777" w:rsidR="00171BE5" w:rsidRPr="00A06E01" w:rsidRDefault="00171BE5" w:rsidP="00171BE5">
      <w:pPr>
        <w:pStyle w:val="H2"/>
        <w:rPr>
          <w:lang w:val="en-US" w:eastAsia="en-US"/>
        </w:rPr>
      </w:pPr>
      <w:bookmarkStart w:id="198" w:name="_Toc405814029"/>
      <w:bookmarkStart w:id="199" w:name="_Toc422207919"/>
      <w:bookmarkStart w:id="200" w:name="_Toc438044833"/>
      <w:bookmarkStart w:id="201" w:name="_Toc447622616"/>
      <w:bookmarkStart w:id="202" w:name="_Toc80175266"/>
      <w:bookmarkStart w:id="203" w:name="_Toc309731054"/>
      <w:r w:rsidRPr="00A06E01">
        <w:rPr>
          <w:lang w:val="en-US" w:eastAsia="en-US"/>
        </w:rPr>
        <w:t>9.6</w:t>
      </w:r>
      <w:r w:rsidRPr="00A06E01">
        <w:rPr>
          <w:lang w:val="en-US" w:eastAsia="en-US"/>
        </w:rPr>
        <w:tab/>
        <w:t>Settlement Invoices for the Day-Ahead Market and Real-Time Market</w:t>
      </w:r>
      <w:bookmarkEnd w:id="198"/>
      <w:bookmarkEnd w:id="199"/>
      <w:bookmarkEnd w:id="200"/>
      <w:bookmarkEnd w:id="201"/>
      <w:bookmarkEnd w:id="202"/>
    </w:p>
    <w:p w14:paraId="661652F3" w14:textId="77777777" w:rsidR="00171BE5" w:rsidRPr="00A06E01" w:rsidRDefault="00171BE5" w:rsidP="00171BE5">
      <w:pPr>
        <w:pStyle w:val="BodyTextNumbered"/>
        <w:rPr>
          <w:iCs/>
        </w:rPr>
      </w:pPr>
      <w:r w:rsidRPr="00A06E01">
        <w:rPr>
          <w:iCs/>
        </w:rPr>
        <w:t>(1)</w:t>
      </w:r>
      <w:r w:rsidRPr="00A06E01">
        <w:rPr>
          <w:iCs/>
        </w:rPr>
        <w:tab/>
        <w:t xml:space="preserve">ERCOT shall prepare Settlement Invoices on a net basis based on Day-Ahead Market (DAM) Statements, DAM Resettlement Statements, Real-Time Market (RTM) Initial Statements, RTM Final Statements, RTM True-Up Statements and RTM Resettlement </w:t>
      </w:r>
      <w:r w:rsidRPr="00A06E01">
        <w:rPr>
          <w:iCs/>
        </w:rPr>
        <w:lastRenderedPageBreak/>
        <w:t xml:space="preserve">Statements.  ERCOT shall issue the Settlement Invoices on the same Business Day as the day that the DAM and RTM Statements are posted to the Market Information System (MIS) Certified Area.  ERCOT will post the actual dates that it will issue the Settlement Invoices under Section 9.1.2, Settlement Calendar.  The Market Participant to whom the Settlement Invoice is addressed (“Invoice Recipient”) is either a net payee or net payor.  </w:t>
      </w:r>
    </w:p>
    <w:p w14:paraId="01793349" w14:textId="77777777" w:rsidR="00171BE5" w:rsidRPr="00A06E01" w:rsidRDefault="00171BE5" w:rsidP="00171BE5">
      <w:pPr>
        <w:pStyle w:val="BodyTextNumbered"/>
        <w:rPr>
          <w:iCs/>
        </w:rPr>
      </w:pPr>
      <w:r w:rsidRPr="00A06E01">
        <w:rPr>
          <w:iCs/>
        </w:rPr>
        <w:t>(2)</w:t>
      </w:r>
      <w:r w:rsidRPr="00A06E01">
        <w:rPr>
          <w:iCs/>
        </w:rPr>
        <w:tab/>
        <w:t xml:space="preserve">Each Invoice Recipient shall pay any net debit and be entitled to receive any net credit shown on the Settlement Invoice on the payment due date, </w:t>
      </w:r>
      <w:proofErr w:type="gramStart"/>
      <w:r w:rsidRPr="00A06E01">
        <w:rPr>
          <w:iCs/>
        </w:rPr>
        <w:t>whether or not</w:t>
      </w:r>
      <w:proofErr w:type="gramEnd"/>
      <w:r w:rsidRPr="00A06E01">
        <w:rPr>
          <w:iCs/>
        </w:rPr>
        <w:t xml:space="preserve"> there is any Settlement and billing dispute regarding the amount of the debit or credit.</w:t>
      </w:r>
    </w:p>
    <w:p w14:paraId="21B1266D" w14:textId="77777777" w:rsidR="00171BE5" w:rsidRPr="00A06E01" w:rsidRDefault="00171BE5" w:rsidP="00171BE5">
      <w:pPr>
        <w:pStyle w:val="BodyTextNumbered"/>
        <w:rPr>
          <w:iCs/>
        </w:rPr>
      </w:pPr>
      <w:r w:rsidRPr="00A06E01">
        <w:rPr>
          <w:iCs/>
        </w:rPr>
        <w:t>(3)</w:t>
      </w:r>
      <w:r w:rsidRPr="00A06E01">
        <w:rPr>
          <w:iCs/>
        </w:rPr>
        <w:tab/>
        <w:t xml:space="preserve">ERCOT shall post Settlement Invoices on the MIS Certified Area.  The Invoice Recipient is responsible for accessing the Settlement Invoice on the MIS Certified Area once posted by ERCOT. </w:t>
      </w:r>
    </w:p>
    <w:p w14:paraId="241BF233" w14:textId="77777777" w:rsidR="00171BE5" w:rsidRPr="00A06E01" w:rsidRDefault="00171BE5" w:rsidP="00171BE5">
      <w:pPr>
        <w:pStyle w:val="BodyTextNumbered"/>
        <w:rPr>
          <w:iCs/>
        </w:rPr>
      </w:pPr>
      <w:r w:rsidRPr="00A06E01">
        <w:rPr>
          <w:iCs/>
        </w:rPr>
        <w:t>(4)</w:t>
      </w:r>
      <w:r w:rsidRPr="00A06E01">
        <w:rPr>
          <w:iCs/>
        </w:rPr>
        <w:tab/>
        <w:t>Settlement Invoice items must be grouped by DAM, DAM Resettlement, RTM Initial, RTM Final, RTM Resettlement, and RTM True-Up categories and must be sorted by Operating Day within each category.  Settlement Invoices must contain the following information:</w:t>
      </w:r>
    </w:p>
    <w:p w14:paraId="5F276242" w14:textId="77777777" w:rsidR="00171BE5" w:rsidRPr="00A06E01" w:rsidRDefault="00171BE5" w:rsidP="00171BE5">
      <w:pPr>
        <w:pStyle w:val="BodyTextNumbered"/>
        <w:ind w:left="1440"/>
        <w:rPr>
          <w:iCs/>
        </w:rPr>
      </w:pPr>
      <w:r w:rsidRPr="00A06E01">
        <w:rPr>
          <w:iCs/>
        </w:rPr>
        <w:t>(a)</w:t>
      </w:r>
      <w:r w:rsidRPr="00A06E01">
        <w:rPr>
          <w:iCs/>
        </w:rPr>
        <w:tab/>
      </w:r>
      <w:r w:rsidRPr="00A06E01">
        <w:t>The Invoice Recipient’s name;</w:t>
      </w:r>
    </w:p>
    <w:p w14:paraId="04F16A5D" w14:textId="77777777" w:rsidR="00171BE5" w:rsidRPr="00A06E01" w:rsidRDefault="00171BE5" w:rsidP="00171BE5">
      <w:pPr>
        <w:pStyle w:val="BodyTextNumbered"/>
        <w:ind w:left="1440"/>
        <w:rPr>
          <w:iCs/>
        </w:rPr>
      </w:pPr>
      <w:r w:rsidRPr="00A06E01">
        <w:t>(b)</w:t>
      </w:r>
      <w:r w:rsidRPr="00A06E01">
        <w:tab/>
        <w:t>The ERCOT identifier (Settlement identification number issued by ERCOT);</w:t>
      </w:r>
    </w:p>
    <w:p w14:paraId="3C8A2EA1" w14:textId="77777777" w:rsidR="00171BE5" w:rsidRDefault="00171BE5" w:rsidP="00171BE5">
      <w:pPr>
        <w:pStyle w:val="List"/>
      </w:pPr>
      <w:r>
        <w:t>(c)</w:t>
      </w:r>
      <w:r>
        <w:tab/>
        <w:t>Net Amount Due/Payable – the aggregate summary of all charges owed by or due to the Invoice Recipient;</w:t>
      </w:r>
    </w:p>
    <w:p w14:paraId="1C2B9CD9" w14:textId="77777777" w:rsidR="00171BE5" w:rsidRDefault="00171BE5" w:rsidP="00171BE5">
      <w:pPr>
        <w:pStyle w:val="List"/>
      </w:pPr>
      <w:r>
        <w:t>(d)</w:t>
      </w:r>
      <w:r>
        <w:tab/>
        <w:t xml:space="preserve">Time Periods – the </w:t>
      </w:r>
      <w:proofErr w:type="gramStart"/>
      <w:r>
        <w:t>time period</w:t>
      </w:r>
      <w:proofErr w:type="gramEnd"/>
      <w:r>
        <w:t xml:space="preserve"> covered for each line item;</w:t>
      </w:r>
    </w:p>
    <w:p w14:paraId="502CF9D0" w14:textId="77777777" w:rsidR="00171BE5" w:rsidRDefault="00171BE5" w:rsidP="00171BE5">
      <w:pPr>
        <w:pStyle w:val="List"/>
      </w:pPr>
      <w:r>
        <w:t>(e)</w:t>
      </w:r>
      <w:r>
        <w:tab/>
        <w:t>Run Date – the date on which the Invoice was created and published;</w:t>
      </w:r>
    </w:p>
    <w:p w14:paraId="68787741" w14:textId="77777777" w:rsidR="00171BE5" w:rsidRDefault="00171BE5" w:rsidP="00171BE5">
      <w:pPr>
        <w:pStyle w:val="List"/>
      </w:pPr>
      <w:r>
        <w:t>(f)</w:t>
      </w:r>
      <w:r>
        <w:tab/>
        <w:t>Invoice Reference Number – a unique number generated by ERCOT for payment tracking purposes;</w:t>
      </w:r>
    </w:p>
    <w:p w14:paraId="7083D885" w14:textId="77777777" w:rsidR="00171BE5" w:rsidRDefault="00171BE5" w:rsidP="00171BE5">
      <w:pPr>
        <w:pStyle w:val="List"/>
      </w:pPr>
      <w:r>
        <w:t>(g)</w:t>
      </w:r>
      <w:r>
        <w:tab/>
        <w:t>Statement Reference – an identification code used to reference each Settlement Statement invoiced;</w:t>
      </w:r>
    </w:p>
    <w:p w14:paraId="0D165357" w14:textId="77777777" w:rsidR="00171BE5" w:rsidRDefault="00171BE5" w:rsidP="00171BE5">
      <w:pPr>
        <w:pStyle w:val="List"/>
      </w:pPr>
      <w:r>
        <w:t>(h)</w:t>
      </w:r>
      <w:r>
        <w:tab/>
        <w:t>Payment Date and Time – the date and time that Invoice amounts are to be paid or received;</w:t>
      </w:r>
    </w:p>
    <w:p w14:paraId="2C87EF2C" w14:textId="77777777" w:rsidR="00171BE5" w:rsidRDefault="00171BE5" w:rsidP="00171BE5">
      <w:pPr>
        <w:pStyle w:val="List"/>
      </w:pPr>
      <w:r>
        <w:t>(i)</w:t>
      </w:r>
      <w:r>
        <w:tab/>
        <w:t>Remittance Information Details – details including the account number, bank name and electronic transfer instructions of the ERCOT account to which any amounts owed by the Invoice Recipient are to be paid or of the Invoice Recipient’s account from which ERCOT may draw payments due; and</w:t>
      </w:r>
    </w:p>
    <w:p w14:paraId="75EF3828" w14:textId="77777777" w:rsidR="00171BE5" w:rsidRPr="008436F5" w:rsidRDefault="00171BE5" w:rsidP="008436F5">
      <w:pPr>
        <w:pStyle w:val="H2"/>
        <w:keepNext w:val="0"/>
        <w:spacing w:before="0"/>
        <w:ind w:left="1440" w:hanging="720"/>
        <w:outlineLvl w:val="9"/>
        <w:rPr>
          <w:b w:val="0"/>
          <w:lang w:val="en-US" w:eastAsia="en-US"/>
        </w:rPr>
      </w:pPr>
      <w:bookmarkStart w:id="204" w:name="_Toc339972322"/>
      <w:bookmarkStart w:id="205" w:name="_Toc341693080"/>
      <w:bookmarkStart w:id="206" w:name="_Toc343244561"/>
      <w:bookmarkStart w:id="207" w:name="_Toc348420633"/>
      <w:r w:rsidRPr="008436F5">
        <w:rPr>
          <w:b w:val="0"/>
          <w:lang w:val="en-US" w:eastAsia="en-US"/>
        </w:rPr>
        <w:t>(j)</w:t>
      </w:r>
      <w:r w:rsidRPr="008436F5">
        <w:rPr>
          <w:b w:val="0"/>
          <w:lang w:val="en-US" w:eastAsia="en-US"/>
        </w:rPr>
        <w:tab/>
        <w:t>Overdue Terms – the terms that would be applied if payments were received late.</w:t>
      </w:r>
      <w:bookmarkEnd w:id="204"/>
      <w:bookmarkEnd w:id="205"/>
      <w:bookmarkEnd w:id="206"/>
      <w:bookmarkEnd w:id="207"/>
    </w:p>
    <w:p w14:paraId="754A5A2D" w14:textId="77777777" w:rsidR="00171BE5" w:rsidRPr="00A06E01" w:rsidRDefault="00171BE5" w:rsidP="008436F5">
      <w:pPr>
        <w:pStyle w:val="H2"/>
        <w:keepNext w:val="0"/>
        <w:rPr>
          <w:lang w:val="en-US" w:eastAsia="en-US"/>
        </w:rPr>
      </w:pPr>
      <w:bookmarkStart w:id="208" w:name="_Toc405814030"/>
      <w:bookmarkStart w:id="209" w:name="_Toc422207920"/>
      <w:bookmarkStart w:id="210" w:name="_Toc438044834"/>
      <w:bookmarkStart w:id="211" w:name="_Toc447622617"/>
      <w:bookmarkStart w:id="212" w:name="_Toc80175267"/>
      <w:bookmarkStart w:id="213" w:name="_Toc309731056"/>
      <w:bookmarkEnd w:id="203"/>
      <w:r w:rsidRPr="00A06E01">
        <w:rPr>
          <w:lang w:val="en-US" w:eastAsia="en-US"/>
        </w:rPr>
        <w:t>9.7</w:t>
      </w:r>
      <w:r w:rsidRPr="00A06E01">
        <w:rPr>
          <w:lang w:val="en-US" w:eastAsia="en-US"/>
        </w:rPr>
        <w:tab/>
        <w:t>Payment Process for the Settlement Invoices</w:t>
      </w:r>
      <w:bookmarkEnd w:id="208"/>
      <w:bookmarkEnd w:id="209"/>
      <w:bookmarkEnd w:id="210"/>
      <w:bookmarkEnd w:id="211"/>
      <w:bookmarkEnd w:id="212"/>
    </w:p>
    <w:p w14:paraId="40727618" w14:textId="77777777" w:rsidR="002F5868" w:rsidRPr="00EB11F5" w:rsidRDefault="00A0123C" w:rsidP="00660ED3">
      <w:pPr>
        <w:pStyle w:val="BodyTextNumbered"/>
      </w:pPr>
      <w:r>
        <w:rPr>
          <w:iCs/>
        </w:rPr>
        <w:lastRenderedPageBreak/>
        <w:t>(1)</w:t>
      </w:r>
      <w:r>
        <w:rPr>
          <w:iCs/>
        </w:rPr>
        <w:tab/>
      </w:r>
      <w:r w:rsidR="00171BE5" w:rsidRPr="008436F5">
        <w:t xml:space="preserve">Payments for the </w:t>
      </w:r>
      <w:r w:rsidR="00171BE5" w:rsidRPr="00A0123C">
        <w:rPr>
          <w:iCs/>
        </w:rPr>
        <w:t>Settlement</w:t>
      </w:r>
      <w:r w:rsidR="00171BE5" w:rsidRPr="008436F5">
        <w:t xml:space="preserve"> Invoices are due on a Business Day and Bank Business Day basis in a two-day, two-step process as detailed below.</w:t>
      </w:r>
      <w:bookmarkEnd w:id="213"/>
    </w:p>
    <w:p w14:paraId="02295967" w14:textId="77777777" w:rsidR="00171BE5" w:rsidRPr="00A06E01" w:rsidRDefault="00171BE5" w:rsidP="00171BE5">
      <w:pPr>
        <w:pStyle w:val="H3"/>
        <w:rPr>
          <w:b/>
          <w:bCs/>
          <w:i/>
        </w:rPr>
      </w:pPr>
      <w:bookmarkStart w:id="214" w:name="_Toc405814031"/>
      <w:bookmarkStart w:id="215" w:name="_Toc422207921"/>
      <w:bookmarkStart w:id="216" w:name="_Toc438044835"/>
      <w:bookmarkStart w:id="217" w:name="_Toc447622618"/>
      <w:bookmarkStart w:id="218" w:name="_Toc80175268"/>
      <w:bookmarkStart w:id="219" w:name="_Toc309731058"/>
      <w:r w:rsidRPr="00A06E01">
        <w:rPr>
          <w:b/>
          <w:bCs/>
          <w:i/>
        </w:rPr>
        <w:t>9.7.1</w:t>
      </w:r>
      <w:r w:rsidRPr="00A06E01">
        <w:rPr>
          <w:b/>
          <w:bCs/>
          <w:i/>
        </w:rPr>
        <w:tab/>
        <w:t>Invoice Recipient Payment to ERCOT for the Settlement Invoices</w:t>
      </w:r>
      <w:bookmarkEnd w:id="214"/>
      <w:bookmarkEnd w:id="215"/>
      <w:bookmarkEnd w:id="216"/>
      <w:bookmarkEnd w:id="217"/>
      <w:bookmarkEnd w:id="218"/>
    </w:p>
    <w:p w14:paraId="0757805D" w14:textId="77777777" w:rsidR="00171BE5" w:rsidRPr="00A06E01" w:rsidRDefault="00171BE5" w:rsidP="00171BE5">
      <w:pPr>
        <w:pStyle w:val="BodyTextNumbered"/>
        <w:rPr>
          <w:iCs/>
        </w:rPr>
      </w:pPr>
      <w:r w:rsidRPr="00A06E01">
        <w:rPr>
          <w:iCs/>
        </w:rPr>
        <w:t>(1)</w:t>
      </w:r>
      <w:r w:rsidRPr="00A06E01">
        <w:rPr>
          <w:iCs/>
        </w:rPr>
        <w:tab/>
        <w:t>The payment due date and time for the Settlement Invoice, with funds owed by an Invoice Recipient, is 1700 on the second Bank Business Day after the Settlement Invoice date, unless the second Bank Business Day is not a Business Day.  If the second Bank Business Day is not a Business Day, the payment is due by 1700 on the next Bank Business Day after the second Bank Business Day that is also a Business Day.</w:t>
      </w:r>
    </w:p>
    <w:p w14:paraId="42E42F40" w14:textId="77777777" w:rsidR="002F5868" w:rsidRDefault="00171BE5" w:rsidP="008436F5">
      <w:pPr>
        <w:pStyle w:val="List"/>
        <w:ind w:left="720"/>
      </w:pPr>
      <w:r w:rsidRPr="00A06E01">
        <w:rPr>
          <w:iCs/>
        </w:rPr>
        <w:t>(2)</w:t>
      </w:r>
      <w:r w:rsidRPr="00A06E01">
        <w:rPr>
          <w:iCs/>
        </w:rPr>
        <w:tab/>
        <w:t>All Settlement Invoices due, with funds owed by an Invoice Recipient, must be paid to ERCOT in U.S. Dollars (USDs) by Electronic Funds Transfer (EFT) in immediately available or good funds (i.e., not subject to reversal) on or before the payment due date.</w:t>
      </w:r>
      <w:bookmarkEnd w:id="219"/>
      <w:r w:rsidR="00DD1AC6">
        <w:t xml:space="preserve"> </w:t>
      </w:r>
    </w:p>
    <w:p w14:paraId="77EBE4F3" w14:textId="77777777" w:rsidR="00171BE5" w:rsidRPr="00A06E01" w:rsidRDefault="00171BE5" w:rsidP="00F55173">
      <w:pPr>
        <w:pStyle w:val="H3"/>
        <w:rPr>
          <w:b/>
          <w:bCs/>
          <w:i/>
        </w:rPr>
      </w:pPr>
      <w:bookmarkStart w:id="220" w:name="_Toc405814032"/>
      <w:bookmarkStart w:id="221" w:name="_Toc422207922"/>
      <w:bookmarkStart w:id="222" w:name="_Toc438044836"/>
      <w:bookmarkStart w:id="223" w:name="_Toc447622619"/>
      <w:bookmarkStart w:id="224" w:name="_Toc80175269"/>
      <w:bookmarkStart w:id="225" w:name="_Toc309731061"/>
      <w:r w:rsidRPr="00A06E01">
        <w:rPr>
          <w:b/>
          <w:bCs/>
          <w:i/>
        </w:rPr>
        <w:t>9.7.2</w:t>
      </w:r>
      <w:r w:rsidRPr="00A06E01">
        <w:rPr>
          <w:b/>
          <w:bCs/>
          <w:i/>
        </w:rPr>
        <w:tab/>
        <w:t>ERCOT Payment to Invoice Recipients for the Settlement Invoices</w:t>
      </w:r>
      <w:bookmarkEnd w:id="220"/>
      <w:bookmarkEnd w:id="221"/>
      <w:bookmarkEnd w:id="222"/>
      <w:bookmarkEnd w:id="223"/>
      <w:bookmarkEnd w:id="224"/>
    </w:p>
    <w:p w14:paraId="2FBB2C59" w14:textId="77777777" w:rsidR="00171BE5" w:rsidRPr="00082CB5" w:rsidRDefault="00171BE5" w:rsidP="00171BE5">
      <w:pPr>
        <w:pStyle w:val="BodyTextNumbered"/>
        <w:rPr>
          <w:iCs/>
        </w:rPr>
      </w:pPr>
      <w:r w:rsidRPr="00A06E01">
        <w:rPr>
          <w:iCs/>
        </w:rPr>
        <w:t>(1)</w:t>
      </w:r>
      <w:r w:rsidRPr="00A06E01">
        <w:rPr>
          <w:iCs/>
        </w:rPr>
        <w:tab/>
        <w:t xml:space="preserve">Subject to the availability of funds as discussed in paragraph (2) below, ERCOT must pay Settlement Invoices with funds owed to an Invoice Recipient by 1700 on the next Bank Business Day after payments are due for that Settlement Invoice under Section 9.7.1, Invoice Recipient Payment to ERCOT for the Settlement Invoices, subject to ERCOT’s right to withhold payments for any reason set forth in these Protocols or as a matter of law, unless that next Bank Business Day is not a Business Day.  If that next Bank Business Day is not a Business Day, the payment is due on the next Bank Business </w:t>
      </w:r>
      <w:r w:rsidRPr="00082CB5">
        <w:rPr>
          <w:iCs/>
        </w:rPr>
        <w:t xml:space="preserve">Day thereafter that is also a Business Day. </w:t>
      </w:r>
    </w:p>
    <w:p w14:paraId="3AA125BA" w14:textId="77777777" w:rsidR="00625828" w:rsidRPr="00EB11F5" w:rsidRDefault="00171BE5">
      <w:pPr>
        <w:pStyle w:val="BodyTextNumbered"/>
      </w:pPr>
      <w:r w:rsidRPr="008436F5">
        <w:t>(2)</w:t>
      </w:r>
      <w:r w:rsidRPr="008436F5">
        <w:tab/>
        <w:t>ERCOT shall give irrevocable instructions to the ERCOT financial institution to remit to each Invoice Recipient for same day value the amounts determined by ERCOT to be available for payment to that Invoice Recipient under paragraph (d) of Section 9.19, Partial Payments by Invoice Recipients.</w:t>
      </w:r>
      <w:bookmarkEnd w:id="225"/>
      <w:r w:rsidR="00DD1AC6" w:rsidRPr="00EB11F5">
        <w:t xml:space="preserve"> </w:t>
      </w:r>
    </w:p>
    <w:p w14:paraId="608FAFC9" w14:textId="77777777" w:rsidR="00625828" w:rsidRPr="008910B8" w:rsidRDefault="00DD1AC6" w:rsidP="00F55173">
      <w:pPr>
        <w:pStyle w:val="H3"/>
        <w:rPr>
          <w:b/>
          <w:i/>
        </w:rPr>
      </w:pPr>
      <w:bookmarkStart w:id="226" w:name="_Toc309731063"/>
      <w:bookmarkStart w:id="227" w:name="_Toc405814033"/>
      <w:bookmarkStart w:id="228" w:name="_Toc422207923"/>
      <w:bookmarkStart w:id="229" w:name="_Toc438044837"/>
      <w:bookmarkStart w:id="230" w:name="_Toc447622620"/>
      <w:bookmarkStart w:id="231" w:name="_Toc80175270"/>
      <w:r w:rsidRPr="008910B8">
        <w:rPr>
          <w:b/>
          <w:i/>
        </w:rPr>
        <w:t>9.7.</w:t>
      </w:r>
      <w:r w:rsidR="00BE2B09" w:rsidRPr="008910B8">
        <w:rPr>
          <w:b/>
          <w:i/>
        </w:rPr>
        <w:t>3</w:t>
      </w:r>
      <w:r w:rsidRPr="008910B8">
        <w:rPr>
          <w:b/>
          <w:i/>
        </w:rPr>
        <w:tab/>
        <w:t xml:space="preserve">Enforcing the </w:t>
      </w:r>
      <w:r w:rsidR="00505105">
        <w:rPr>
          <w:b/>
          <w:i/>
        </w:rPr>
        <w:t xml:space="preserve">Financial </w:t>
      </w:r>
      <w:r w:rsidRPr="008910B8">
        <w:rPr>
          <w:b/>
          <w:i/>
        </w:rPr>
        <w:t>Security of a Short-Paying Invoice Recipient</w:t>
      </w:r>
      <w:bookmarkEnd w:id="226"/>
      <w:bookmarkEnd w:id="227"/>
      <w:bookmarkEnd w:id="228"/>
      <w:bookmarkEnd w:id="229"/>
      <w:bookmarkEnd w:id="230"/>
      <w:bookmarkEnd w:id="231"/>
    </w:p>
    <w:p w14:paraId="03578B43" w14:textId="77777777" w:rsidR="002F5868" w:rsidRDefault="00505105" w:rsidP="00505105">
      <w:pPr>
        <w:pStyle w:val="BodyText"/>
        <w:ind w:left="720" w:hanging="720"/>
      </w:pPr>
      <w:r>
        <w:t>(1)</w:t>
      </w:r>
      <w:r>
        <w:tab/>
      </w:r>
      <w:r w:rsidR="00DD1AC6">
        <w:t xml:space="preserve">ERCOT shall make reasonable efforts to enforce the </w:t>
      </w:r>
      <w:r>
        <w:t>Financial S</w:t>
      </w:r>
      <w:r w:rsidR="00DD1AC6">
        <w:t>ecurity of the short-paying Invoice Recipient (pursuant to Section 16.11.6</w:t>
      </w:r>
      <w:r w:rsidR="00E11944">
        <w:t>, Payment Breach and Late Payments by Market Participants</w:t>
      </w:r>
      <w:r w:rsidR="00DD1AC6">
        <w:t xml:space="preserve">) to the extent necessary to cover the short-pay.  A short-paying Invoice Recipient shall restore the level of its </w:t>
      </w:r>
      <w:r>
        <w:t>Financial Security</w:t>
      </w:r>
      <w:r w:rsidR="00DD1AC6">
        <w:t xml:space="preserve"> under Section 16</w:t>
      </w:r>
      <w:r w:rsidR="00E11944">
        <w:t>, Registration and Qualification of Market Participants</w:t>
      </w:r>
      <w:r w:rsidR="00DD1AC6">
        <w:t>.</w:t>
      </w:r>
    </w:p>
    <w:p w14:paraId="508649A1" w14:textId="77777777" w:rsidR="00505105" w:rsidRDefault="00505105" w:rsidP="00505105">
      <w:pPr>
        <w:pStyle w:val="BodyTextNumbered"/>
      </w:pPr>
      <w:r>
        <w:t>(2)</w:t>
      </w:r>
      <w:r>
        <w:tab/>
      </w:r>
      <w:r w:rsidRPr="008436F5">
        <w:t xml:space="preserve">ERCOT shall provide to all </w:t>
      </w:r>
      <w:r w:rsidRPr="00F222E9">
        <w:t>Market Participants payment details on all short payments and subsequent reimbursements of short pays.  Details must include the identity of each short-paying Invoice Recipient and the dollar amount attributab</w:t>
      </w:r>
      <w:r w:rsidRPr="008436F5">
        <w:t>le to that Invoice Recipient, broken down by Invoice numbers.  In addition, ERCOT shall provide the aggregate total of all amounts due to all Invoice Recipients before applying the amount not paid on the Invoice.</w:t>
      </w:r>
    </w:p>
    <w:p w14:paraId="4AC3797C" w14:textId="77777777" w:rsidR="00625828" w:rsidRDefault="00DD1AC6" w:rsidP="008436F5">
      <w:pPr>
        <w:pStyle w:val="H2"/>
        <w:ind w:left="907" w:hanging="907"/>
      </w:pPr>
      <w:bookmarkStart w:id="232" w:name="_Toc309731066"/>
      <w:bookmarkStart w:id="233" w:name="_Toc405814034"/>
      <w:bookmarkStart w:id="234" w:name="_Toc422207924"/>
      <w:bookmarkStart w:id="235" w:name="_Toc438044838"/>
      <w:bookmarkStart w:id="236" w:name="_Toc447622621"/>
      <w:bookmarkStart w:id="237" w:name="_Toc80175271"/>
      <w:r>
        <w:lastRenderedPageBreak/>
        <w:t>9.8</w:t>
      </w:r>
      <w:r>
        <w:tab/>
        <w:t>CRR Auction Award Invoices</w:t>
      </w:r>
      <w:bookmarkEnd w:id="232"/>
      <w:bookmarkEnd w:id="233"/>
      <w:bookmarkEnd w:id="234"/>
      <w:bookmarkEnd w:id="235"/>
      <w:bookmarkEnd w:id="236"/>
      <w:bookmarkEnd w:id="237"/>
    </w:p>
    <w:p w14:paraId="48185546" w14:textId="77777777" w:rsidR="002F5868" w:rsidRDefault="00DD1AC6">
      <w:pPr>
        <w:pStyle w:val="BodyTextNumbered"/>
      </w:pPr>
      <w:r>
        <w:t>(1)</w:t>
      </w:r>
      <w:r>
        <w:tab/>
        <w:t xml:space="preserve">ERCOT shall prepare invoices for each </w:t>
      </w:r>
      <w:r w:rsidR="00983E12">
        <w:t>Congestion Revenue Right (</w:t>
      </w:r>
      <w:r>
        <w:t>CRR</w:t>
      </w:r>
      <w:r w:rsidR="00983E12">
        <w:t>)</w:t>
      </w:r>
      <w:r>
        <w:t xml:space="preserve"> Auction (CRR Auction Invoice) on a net basis.  Invoices must be issued on the first Business Day following the completion of a CRR Auction on the date specified in the Settlement Calendar.  For each CRR Auction Invoice, the CRR Account Holder to whom the Invoice is addressed (“Invoice Recipient”) is either a net payee or net payor.  The Invoice Recipient is responsible for accessing the CRR Auction Invoice on the </w:t>
      </w:r>
      <w:r w:rsidR="00983E12">
        <w:t>Market Information System (</w:t>
      </w:r>
      <w:r>
        <w:t>MIS</w:t>
      </w:r>
      <w:r w:rsidR="00983E12">
        <w:t>)</w:t>
      </w:r>
      <w:r>
        <w:t xml:space="preserve"> Certified Area once posted by ERCOT.</w:t>
      </w:r>
    </w:p>
    <w:p w14:paraId="688C465A" w14:textId="77777777" w:rsidR="002F5868" w:rsidRDefault="00DD1AC6" w:rsidP="00C342E1">
      <w:pPr>
        <w:pStyle w:val="BodyTextNumbered"/>
      </w:pPr>
      <w:r>
        <w:t>(2)</w:t>
      </w:r>
      <w:r>
        <w:tab/>
        <w:t xml:space="preserve">Each Invoice Recipient shall pay any net debit and be entitled to receive any net credit shown on the CRR Auction Invoice on the payment due date.  Payments for CRR Auction Invoices are due on the applicable payment due date, </w:t>
      </w:r>
      <w:proofErr w:type="gramStart"/>
      <w:r>
        <w:t>whether or not</w:t>
      </w:r>
      <w:proofErr w:type="gramEnd"/>
      <w:r>
        <w:t xml:space="preserve"> there is any Settlement and </w:t>
      </w:r>
      <w:r w:rsidR="001B5C4D">
        <w:t>b</w:t>
      </w:r>
      <w:r>
        <w:t xml:space="preserve">illing dispute regarding the amount of the payment. </w:t>
      </w:r>
    </w:p>
    <w:p w14:paraId="6873E86C" w14:textId="77777777" w:rsidR="002F5868" w:rsidRDefault="00DD1AC6">
      <w:pPr>
        <w:pStyle w:val="BodyTextNumbered"/>
      </w:pPr>
      <w:r>
        <w:t>(3)</w:t>
      </w:r>
      <w:r>
        <w:tab/>
        <w:t>ERCOT shall post on the MIS Certified Area for each Invoice Recipient a CRR Auction Invoice based on CRR Auction charges and payments as set forth in:</w:t>
      </w:r>
    </w:p>
    <w:p w14:paraId="41A86F7F" w14:textId="77777777" w:rsidR="002F5868" w:rsidRDefault="00DD1AC6">
      <w:pPr>
        <w:pStyle w:val="List"/>
      </w:pPr>
      <w:r>
        <w:t>(a)</w:t>
      </w:r>
      <w:r>
        <w:tab/>
        <w:t>Section 7.5.6.1, Payment of an Awarded CRR Auction Offer;</w:t>
      </w:r>
    </w:p>
    <w:p w14:paraId="75CA2311" w14:textId="77777777" w:rsidR="002F5868" w:rsidRDefault="00DD1AC6">
      <w:pPr>
        <w:pStyle w:val="List"/>
      </w:pPr>
      <w:r>
        <w:t>(b)</w:t>
      </w:r>
      <w:r>
        <w:tab/>
        <w:t>Section 7.5.6.2, Charge of an Awarded CRR Auction Bid; and</w:t>
      </w:r>
    </w:p>
    <w:p w14:paraId="66B02B66" w14:textId="77777777" w:rsidR="00983E12" w:rsidRDefault="00DD1AC6" w:rsidP="00983E12">
      <w:pPr>
        <w:pStyle w:val="List"/>
      </w:pPr>
      <w:r>
        <w:t>(c)</w:t>
      </w:r>
      <w:r>
        <w:tab/>
        <w:t xml:space="preserve">Section 7.5.6.3, Charge of PCRRs Pertaining to a CRR Auction. </w:t>
      </w:r>
    </w:p>
    <w:p w14:paraId="0F7DDB5F" w14:textId="77777777" w:rsidR="003B6C4D" w:rsidRDefault="003B6C4D" w:rsidP="00983E12">
      <w:pPr>
        <w:pStyle w:val="List"/>
      </w:pPr>
      <w:r w:rsidRPr="00FC3C22">
        <w:t>(d)</w:t>
      </w:r>
      <w:r w:rsidRPr="00FC3C22">
        <w:tab/>
        <w:t xml:space="preserve">Section 7.7, Point-to-Point (PTP) Option Award </w:t>
      </w:r>
      <w:r w:rsidR="00C15C18">
        <w:t>Charge</w:t>
      </w:r>
      <w:r w:rsidRPr="00FC3C22">
        <w:t>.</w:t>
      </w:r>
    </w:p>
    <w:p w14:paraId="6A5593E4" w14:textId="77777777" w:rsidR="002F5868" w:rsidRDefault="00DD1AC6" w:rsidP="003B6C4D">
      <w:pPr>
        <w:pStyle w:val="BodyTextNumbered"/>
      </w:pPr>
      <w:r>
        <w:t>(4)</w:t>
      </w:r>
      <w:r>
        <w:tab/>
        <w:t>CRR Auction Invoices must contain the following information:</w:t>
      </w:r>
    </w:p>
    <w:p w14:paraId="70177D7F" w14:textId="77777777" w:rsidR="002F5868" w:rsidRDefault="00DD1AC6">
      <w:pPr>
        <w:pStyle w:val="List"/>
      </w:pPr>
      <w:r>
        <w:t>(a)</w:t>
      </w:r>
      <w:r>
        <w:tab/>
        <w:t>The Invoice Recipient’s name;</w:t>
      </w:r>
    </w:p>
    <w:p w14:paraId="50367203" w14:textId="77777777" w:rsidR="002F5868" w:rsidRDefault="00DD1AC6">
      <w:pPr>
        <w:pStyle w:val="BodyTextNumbered"/>
        <w:ind w:left="1440"/>
      </w:pPr>
      <w:r>
        <w:t>(b)</w:t>
      </w:r>
      <w:r>
        <w:tab/>
        <w:t>The ERCOT identifier (Settlement identification number issued by ERCOT);</w:t>
      </w:r>
    </w:p>
    <w:p w14:paraId="53C0C71D" w14:textId="77777777" w:rsidR="002F5868" w:rsidRDefault="00DD1AC6">
      <w:pPr>
        <w:pStyle w:val="List"/>
      </w:pPr>
      <w:r>
        <w:t>(c)</w:t>
      </w:r>
      <w:r>
        <w:tab/>
        <w:t>Net Amount Due/Payable – the aggregate summary of all charges owed to or due from the Invoice Recipient summarized by CRR Auction;</w:t>
      </w:r>
    </w:p>
    <w:p w14:paraId="25A37E33" w14:textId="77777777" w:rsidR="002F5868" w:rsidRDefault="00DD1AC6">
      <w:pPr>
        <w:pStyle w:val="List"/>
      </w:pPr>
      <w:r>
        <w:t>(d)</w:t>
      </w:r>
      <w:r>
        <w:tab/>
        <w:t>Time Period – the CRR Auction for which the Invoice is generated;</w:t>
      </w:r>
    </w:p>
    <w:p w14:paraId="0C2D3C21" w14:textId="77777777" w:rsidR="002F5868" w:rsidRDefault="00DD1AC6" w:rsidP="00C342E1">
      <w:pPr>
        <w:pStyle w:val="List"/>
      </w:pPr>
      <w:r>
        <w:t>(e)</w:t>
      </w:r>
      <w:r>
        <w:tab/>
        <w:t>Run Date – the date on which ERCOT created and published the Invoice;</w:t>
      </w:r>
    </w:p>
    <w:p w14:paraId="3E686A0C" w14:textId="77777777" w:rsidR="002F5868" w:rsidRDefault="00DD1AC6">
      <w:pPr>
        <w:pStyle w:val="List"/>
      </w:pPr>
      <w:r>
        <w:t>(f)</w:t>
      </w:r>
      <w:r>
        <w:tab/>
        <w:t>Invoice Reference Number – a unique number generated by ERCOT for payment tracking purposes;</w:t>
      </w:r>
    </w:p>
    <w:p w14:paraId="46B920B5" w14:textId="77777777" w:rsidR="002F5868" w:rsidRDefault="00DD1AC6">
      <w:pPr>
        <w:pStyle w:val="List"/>
      </w:pPr>
      <w:r>
        <w:t>(g)</w:t>
      </w:r>
      <w:r>
        <w:tab/>
        <w:t>Product Description – a description of each product awarded in, sold in, or allocated before the CRR Auction</w:t>
      </w:r>
      <w:r w:rsidR="00A828AC">
        <w:t>s</w:t>
      </w:r>
      <w:r w:rsidR="00983E12">
        <w:t xml:space="preserve">, or of any applicable </w:t>
      </w:r>
      <w:r w:rsidR="00C15C18">
        <w:t>charge</w:t>
      </w:r>
      <w:r>
        <w:t>;</w:t>
      </w:r>
    </w:p>
    <w:p w14:paraId="47288B22" w14:textId="77777777" w:rsidR="002F5868" w:rsidRDefault="00DD1AC6">
      <w:pPr>
        <w:pStyle w:val="List"/>
      </w:pPr>
      <w:r>
        <w:t>(h)</w:t>
      </w:r>
      <w:r>
        <w:tab/>
        <w:t>Payment Date – the date and time that Invoice amounts are to be paid or received; and</w:t>
      </w:r>
    </w:p>
    <w:p w14:paraId="796E66D9" w14:textId="77777777" w:rsidR="002F5868" w:rsidRDefault="00DD1AC6">
      <w:pPr>
        <w:pStyle w:val="List"/>
      </w:pPr>
      <w:r>
        <w:lastRenderedPageBreak/>
        <w:t>(i)</w:t>
      </w:r>
      <w:r>
        <w:tab/>
        <w:t>Remittance Information Details – details including the account number, bank name and electronic transfer instructions of the ERCOT account to which any amounts owed by the Invoice Recipient are to be paid or of the Invoice Recipient’s account from which ERCOT may draw payments due.</w:t>
      </w:r>
    </w:p>
    <w:p w14:paraId="1B6C8852" w14:textId="77777777" w:rsidR="002F5868" w:rsidRDefault="00DD1AC6">
      <w:pPr>
        <w:pStyle w:val="H2"/>
      </w:pPr>
      <w:bookmarkStart w:id="238" w:name="_Toc309731067"/>
      <w:bookmarkStart w:id="239" w:name="_Toc402267313"/>
      <w:bookmarkStart w:id="240" w:name="_Toc405814035"/>
      <w:bookmarkStart w:id="241" w:name="_Toc419199518"/>
      <w:bookmarkStart w:id="242" w:name="_Toc419200649"/>
      <w:bookmarkStart w:id="243" w:name="_Toc422207925"/>
      <w:bookmarkStart w:id="244" w:name="_Toc438044839"/>
      <w:bookmarkStart w:id="245" w:name="_Toc447622622"/>
      <w:bookmarkStart w:id="246" w:name="_Toc80175272"/>
      <w:r>
        <w:t>9.9</w:t>
      </w:r>
      <w:r>
        <w:tab/>
        <w:t>Payment Process for CRR Auction Invoices</w:t>
      </w:r>
      <w:bookmarkEnd w:id="238"/>
      <w:bookmarkEnd w:id="239"/>
      <w:bookmarkEnd w:id="240"/>
      <w:bookmarkEnd w:id="241"/>
      <w:bookmarkEnd w:id="242"/>
      <w:bookmarkEnd w:id="243"/>
      <w:bookmarkEnd w:id="244"/>
      <w:bookmarkEnd w:id="245"/>
      <w:bookmarkEnd w:id="246"/>
    </w:p>
    <w:p w14:paraId="2DB68470" w14:textId="77777777" w:rsidR="002F5868" w:rsidRDefault="00A0123C" w:rsidP="00660ED3">
      <w:pPr>
        <w:pStyle w:val="BodyTextNumbered"/>
      </w:pPr>
      <w:r>
        <w:rPr>
          <w:iCs/>
        </w:rPr>
        <w:t>(1)</w:t>
      </w:r>
      <w:r>
        <w:rPr>
          <w:iCs/>
        </w:rPr>
        <w:tab/>
      </w:r>
      <w:r w:rsidR="00DD1AC6">
        <w:t>Payments for the Congestion Revenue Right (CRR) Auction are due on a Business Day and Bank Business Day basis in a two-day, two-step process as detailed below.</w:t>
      </w:r>
    </w:p>
    <w:p w14:paraId="4E037D93" w14:textId="77777777" w:rsidR="002F5868" w:rsidRPr="008910B8" w:rsidRDefault="00DD1AC6" w:rsidP="00C342E1">
      <w:pPr>
        <w:pStyle w:val="H3"/>
        <w:rPr>
          <w:b/>
          <w:i/>
        </w:rPr>
      </w:pPr>
      <w:bookmarkStart w:id="247" w:name="_Toc309731068"/>
      <w:bookmarkStart w:id="248" w:name="_Toc405814037"/>
      <w:bookmarkStart w:id="249" w:name="_Toc422207927"/>
      <w:bookmarkStart w:id="250" w:name="_Toc438044840"/>
      <w:bookmarkStart w:id="251" w:name="_Toc447622623"/>
      <w:bookmarkStart w:id="252" w:name="_Toc80175273"/>
      <w:r w:rsidRPr="008910B8">
        <w:rPr>
          <w:b/>
          <w:i/>
        </w:rPr>
        <w:t>9.9.1</w:t>
      </w:r>
      <w:r w:rsidRPr="008910B8">
        <w:rPr>
          <w:b/>
          <w:i/>
        </w:rPr>
        <w:tab/>
        <w:t>Invoice Recipient Payment to ERCOT for the CRR Auction</w:t>
      </w:r>
      <w:bookmarkEnd w:id="247"/>
      <w:bookmarkEnd w:id="248"/>
      <w:bookmarkEnd w:id="249"/>
      <w:bookmarkEnd w:id="250"/>
      <w:bookmarkEnd w:id="251"/>
      <w:bookmarkEnd w:id="252"/>
    </w:p>
    <w:p w14:paraId="76F555C7" w14:textId="77777777" w:rsidR="002F5868" w:rsidRDefault="00DD1AC6">
      <w:pPr>
        <w:pStyle w:val="BodyTextNumbered"/>
      </w:pPr>
      <w:r>
        <w:t>(1)</w:t>
      </w:r>
      <w:r>
        <w:tab/>
        <w:t xml:space="preserve">The payment due date and time for the </w:t>
      </w:r>
      <w:smartTag w:uri="urn:schemas-microsoft-com:office:smarttags" w:element="stockticker">
        <w:r>
          <w:t>CRR</w:t>
        </w:r>
      </w:smartTag>
      <w:r>
        <w:t xml:space="preserve"> Auction Invoice, with funds owed by an Invoice Recipient, is 1700 on the third Bank Business Day after the </w:t>
      </w:r>
      <w:smartTag w:uri="urn:schemas-microsoft-com:office:smarttags" w:element="stockticker">
        <w:r>
          <w:t>CRR</w:t>
        </w:r>
      </w:smartTag>
      <w:r>
        <w:t xml:space="preserve"> Auction Invoice date, unless third</w:t>
      </w:r>
      <w:r>
        <w:rPr>
          <w:vertAlign w:val="superscript"/>
        </w:rPr>
        <w:t xml:space="preserve"> </w:t>
      </w:r>
      <w:r>
        <w:t>Bank Business Day is not a Business Day.  If the third Bank Business Day is not a Business Day, the payment is due by 1700 on the next Bank Business Day after the third Bank Business Day that is also a Business Day.</w:t>
      </w:r>
    </w:p>
    <w:p w14:paraId="3CE8AA48" w14:textId="77777777" w:rsidR="002F5868" w:rsidRDefault="00C114BB" w:rsidP="00C114BB">
      <w:pPr>
        <w:pStyle w:val="List"/>
        <w:ind w:left="720"/>
      </w:pPr>
      <w:r>
        <w:t>(2)</w:t>
      </w:r>
      <w:r>
        <w:tab/>
        <w:t>All CRR Auction Invoices due, with funds owed by an Invoice Recipient, must be paid to ERCOT in U.S. Dollars (USDs) by Electronic Funds Transfer (EFT) in immediately available or good funds (i.e., not subject to reversal) on or before the payment due date.</w:t>
      </w:r>
      <w:r w:rsidR="00DD1AC6">
        <w:t xml:space="preserve"> </w:t>
      </w:r>
    </w:p>
    <w:p w14:paraId="44D950B7" w14:textId="77777777" w:rsidR="000A226C" w:rsidRDefault="00DD1AC6" w:rsidP="006A3225">
      <w:pPr>
        <w:pStyle w:val="List"/>
        <w:ind w:left="720"/>
      </w:pPr>
      <w:r>
        <w:t>(3)</w:t>
      </w:r>
      <w:r>
        <w:tab/>
        <w:t>All CRR Auction Invoices must be paid in full on the Invoice due date.</w:t>
      </w:r>
    </w:p>
    <w:p w14:paraId="02666CA7" w14:textId="585F3C92" w:rsidR="002F5868" w:rsidRPr="008910B8" w:rsidRDefault="00DD1AC6" w:rsidP="00C342E1">
      <w:pPr>
        <w:pStyle w:val="H3"/>
        <w:rPr>
          <w:b/>
          <w:i/>
        </w:rPr>
      </w:pPr>
      <w:bookmarkStart w:id="253" w:name="_Toc309731069"/>
      <w:bookmarkStart w:id="254" w:name="_Toc405814039"/>
      <w:bookmarkStart w:id="255" w:name="_Toc422207929"/>
      <w:bookmarkStart w:id="256" w:name="_Toc438044841"/>
      <w:bookmarkStart w:id="257" w:name="_Toc447622624"/>
      <w:bookmarkStart w:id="258" w:name="_Toc80175274"/>
      <w:r w:rsidRPr="008910B8">
        <w:rPr>
          <w:b/>
          <w:i/>
        </w:rPr>
        <w:t>9.9.2</w:t>
      </w:r>
      <w:r w:rsidRPr="008910B8">
        <w:rPr>
          <w:b/>
          <w:i/>
        </w:rPr>
        <w:tab/>
        <w:t>ERCOT Payment to Invoice Recipients for the CRR Auction</w:t>
      </w:r>
      <w:bookmarkEnd w:id="253"/>
      <w:bookmarkEnd w:id="254"/>
      <w:bookmarkEnd w:id="255"/>
      <w:bookmarkEnd w:id="256"/>
      <w:bookmarkEnd w:id="257"/>
      <w:bookmarkEnd w:id="258"/>
    </w:p>
    <w:p w14:paraId="2E630249" w14:textId="77777777" w:rsidR="002F5868" w:rsidRDefault="00DD1AC6">
      <w:pPr>
        <w:pStyle w:val="BodyTextNumbered"/>
      </w:pPr>
      <w:r>
        <w:t>(1)</w:t>
      </w:r>
      <w:r>
        <w:tab/>
        <w:t xml:space="preserve">CRR Auction Invoices with funds owed to an Invoice Recipient must be paid by ERCOT to the Invoice Recipient by 1700 on the next day that is both a Business Day and a Bank Business Day after the day that payments are due for that CRR Auction Invoice under Section 9.9.1, Invoice Recipient Payment to ERCOT for the CRR Auction, subject to ERCOT’s right to withhold payments under Section 16, Registration and Qualification of Market Participants or pursuant to the common law. </w:t>
      </w:r>
    </w:p>
    <w:p w14:paraId="275B662B" w14:textId="77777777" w:rsidR="000A226C" w:rsidRDefault="00DD1AC6" w:rsidP="00477FF2">
      <w:pPr>
        <w:pStyle w:val="BodyTextNumbered"/>
      </w:pPr>
      <w:r>
        <w:t>(2)</w:t>
      </w:r>
      <w:r>
        <w:tab/>
        <w:t xml:space="preserve">ERCOT shall give irrevocable instructions to the ERCOT financial institution to </w:t>
      </w:r>
      <w:proofErr w:type="gramStart"/>
      <w:r>
        <w:t>remit,</w:t>
      </w:r>
      <w:proofErr w:type="gramEnd"/>
      <w:r>
        <w:t xml:space="preserve"> to each Invoice Recipient for same day value the amounts owed to each Invoice Recipient.</w:t>
      </w:r>
    </w:p>
    <w:p w14:paraId="075DC38B" w14:textId="77777777" w:rsidR="002F5868" w:rsidRPr="008910B8" w:rsidRDefault="00DD1AC6" w:rsidP="00C342E1">
      <w:pPr>
        <w:pStyle w:val="H3"/>
        <w:rPr>
          <w:b/>
          <w:i/>
        </w:rPr>
      </w:pPr>
      <w:bookmarkStart w:id="259" w:name="_Toc309731070"/>
      <w:bookmarkStart w:id="260" w:name="_Toc405814041"/>
      <w:bookmarkStart w:id="261" w:name="_Toc422207931"/>
      <w:bookmarkStart w:id="262" w:name="_Toc438044842"/>
      <w:bookmarkStart w:id="263" w:name="_Toc447622625"/>
      <w:bookmarkStart w:id="264" w:name="_Toc80175275"/>
      <w:r w:rsidRPr="008910B8">
        <w:rPr>
          <w:b/>
          <w:i/>
        </w:rPr>
        <w:t>9.9.3</w:t>
      </w:r>
      <w:r w:rsidRPr="008910B8">
        <w:rPr>
          <w:b/>
          <w:i/>
        </w:rPr>
        <w:tab/>
        <w:t>Enforcing the Security of a Short-Paying CRR Auction Invoice Recipient</w:t>
      </w:r>
      <w:bookmarkEnd w:id="259"/>
      <w:bookmarkEnd w:id="260"/>
      <w:bookmarkEnd w:id="261"/>
      <w:bookmarkEnd w:id="262"/>
      <w:bookmarkEnd w:id="263"/>
      <w:bookmarkEnd w:id="264"/>
    </w:p>
    <w:p w14:paraId="33235B9A" w14:textId="77777777" w:rsidR="002F5868" w:rsidRDefault="00A0123C" w:rsidP="00660ED3">
      <w:pPr>
        <w:pStyle w:val="BodyTextNumbered"/>
      </w:pPr>
      <w:r>
        <w:rPr>
          <w:iCs/>
        </w:rPr>
        <w:t>(1)</w:t>
      </w:r>
      <w:r>
        <w:rPr>
          <w:iCs/>
        </w:rPr>
        <w:tab/>
      </w:r>
      <w:r w:rsidR="00DD1AC6">
        <w:t xml:space="preserve">ERCOT shall make reasonable efforts to enforce the security of the short-paying Invoice Recipient (pursuant to Section 16.11.6, Payment Breach and Late Payments by Market Participants) to the extent necessary to cover the short-pay.  A short-paying Invoice Recipient shall restore the level of its security under Section 16, Registration and Qualification of Market Participants.  </w:t>
      </w:r>
    </w:p>
    <w:p w14:paraId="6E7DEDF2" w14:textId="77777777" w:rsidR="002F5868" w:rsidRDefault="00DD1AC6">
      <w:pPr>
        <w:pStyle w:val="H2"/>
      </w:pPr>
      <w:bookmarkStart w:id="265" w:name="_Toc309731071"/>
      <w:bookmarkStart w:id="266" w:name="_Toc405814042"/>
      <w:bookmarkStart w:id="267" w:name="_Toc422207932"/>
      <w:bookmarkStart w:id="268" w:name="_Toc438044843"/>
      <w:bookmarkStart w:id="269" w:name="_Toc447622626"/>
      <w:bookmarkStart w:id="270" w:name="_Toc80175276"/>
      <w:r>
        <w:lastRenderedPageBreak/>
        <w:t>9.10</w:t>
      </w:r>
      <w:r>
        <w:tab/>
        <w:t>CRR Auction Revenue Distribution Invoices</w:t>
      </w:r>
      <w:bookmarkEnd w:id="265"/>
      <w:bookmarkEnd w:id="266"/>
      <w:bookmarkEnd w:id="267"/>
      <w:bookmarkEnd w:id="268"/>
      <w:bookmarkEnd w:id="269"/>
      <w:bookmarkEnd w:id="270"/>
    </w:p>
    <w:p w14:paraId="701E564C" w14:textId="364FFDD4" w:rsidR="002F5868" w:rsidRDefault="00DD1AC6">
      <w:pPr>
        <w:pStyle w:val="BodyTextNumbered"/>
      </w:pPr>
      <w:r>
        <w:t>(1)</w:t>
      </w:r>
      <w:r>
        <w:tab/>
      </w:r>
      <w:r w:rsidR="005902CB">
        <w:t xml:space="preserve">ERCOT shall prepare Invoices for Congestion Revenue Right (CRR) Auction Revenue Distribution (CARD) </w:t>
      </w:r>
      <w:proofErr w:type="gramStart"/>
      <w:r w:rsidR="005902CB">
        <w:t>on a monthly basis</w:t>
      </w:r>
      <w:proofErr w:type="gramEnd"/>
      <w:r w:rsidR="005902CB">
        <w:t xml:space="preserve"> on the first Business Day following the Real-Time Market (RTM) Initial Settlement posting of the last day of the month on the date specified in the Settlement Calendar.</w:t>
      </w:r>
    </w:p>
    <w:p w14:paraId="766F4180" w14:textId="77777777" w:rsidR="002F5868" w:rsidRDefault="00DD1AC6" w:rsidP="00CC5824">
      <w:pPr>
        <w:pStyle w:val="BodyTextNumbered"/>
      </w:pPr>
      <w:r>
        <w:t>(2)</w:t>
      </w:r>
      <w:r>
        <w:tab/>
        <w:t xml:space="preserve">ERCOT shall true up the distribution of monthly CRR Auction </w:t>
      </w:r>
      <w:r w:rsidR="0008638A">
        <w:t>r</w:t>
      </w:r>
      <w:r>
        <w:t xml:space="preserve">evenues by posting additional Settlement Invoices on the first Business Day following the RTM Final Settlement posting of the last day of the month on the date specified in the Settlement Calendar.  A </w:t>
      </w:r>
      <w:proofErr w:type="gramStart"/>
      <w:r>
        <w:t>trued up</w:t>
      </w:r>
      <w:proofErr w:type="gramEnd"/>
      <w:r>
        <w:t xml:space="preserve"> CARD Invoice will reflect differences to financial records generated on the previous CARD Invoice for a given month.</w:t>
      </w:r>
    </w:p>
    <w:p w14:paraId="2530B97F" w14:textId="77777777" w:rsidR="002F5868" w:rsidRDefault="00DD1AC6">
      <w:pPr>
        <w:pStyle w:val="BodyTextNumbered"/>
      </w:pPr>
      <w:r>
        <w:t>(3)</w:t>
      </w:r>
      <w:r>
        <w:tab/>
        <w:t xml:space="preserve">For each cycle, the Market Participant to whom the CARD Invoice is addressed (“Invoice Recipient”) is either a payee or payor.  The Invoice Recipient is responsible for accessing the CARD Invoice on the </w:t>
      </w:r>
      <w:r w:rsidR="00321B52">
        <w:t>Market Information System (</w:t>
      </w:r>
      <w:r>
        <w:t>MIS</w:t>
      </w:r>
      <w:r w:rsidR="00321B52">
        <w:t>)</w:t>
      </w:r>
      <w:r>
        <w:t xml:space="preserve"> Certified Area once posted by ERCOT.</w:t>
      </w:r>
    </w:p>
    <w:p w14:paraId="5949097D" w14:textId="35C97AF8" w:rsidR="002F5868" w:rsidRDefault="00DD1AC6">
      <w:pPr>
        <w:pStyle w:val="BodyTextNumbered"/>
      </w:pPr>
      <w:r>
        <w:t>(4)</w:t>
      </w:r>
      <w:r>
        <w:tab/>
        <w:t xml:space="preserve">Each Invoice Recipient shall pay any debit and be entitled to receive any credit shown on the CARD Invoice on the payment due date.  Payments for </w:t>
      </w:r>
      <w:smartTag w:uri="urn:schemas-microsoft-com:office:smarttags" w:element="stockticker">
        <w:r>
          <w:t>CARD</w:t>
        </w:r>
      </w:smartTag>
      <w:r>
        <w:t xml:space="preserve"> Invoices are due on the applicable payment due date </w:t>
      </w:r>
      <w:proofErr w:type="gramStart"/>
      <w:r>
        <w:t>whether or not</w:t>
      </w:r>
      <w:proofErr w:type="gramEnd"/>
      <w:r>
        <w:t xml:space="preserve"> there is any Settlement and </w:t>
      </w:r>
      <w:r w:rsidR="00A16DB0">
        <w:t>b</w:t>
      </w:r>
      <w:r>
        <w:t>illing dispute regarding the amount of the payment.</w:t>
      </w:r>
    </w:p>
    <w:p w14:paraId="61FDDDC5" w14:textId="77777777" w:rsidR="002F5868" w:rsidRDefault="00DD1AC6">
      <w:pPr>
        <w:pStyle w:val="BodyTextNumbered"/>
      </w:pPr>
      <w:r>
        <w:t>(5)</w:t>
      </w:r>
      <w:r>
        <w:tab/>
        <w:t>ERCOT shall post on the MIS Certified Area for each Invoice Recipient a CARD Invoice based the calculations located:</w:t>
      </w:r>
    </w:p>
    <w:p w14:paraId="6331B4D7" w14:textId="77777777" w:rsidR="002F5868" w:rsidRDefault="00DD1AC6">
      <w:pPr>
        <w:pStyle w:val="BodyTextNumbered"/>
        <w:ind w:firstLine="0"/>
      </w:pPr>
      <w:r>
        <w:t>(a)</w:t>
      </w:r>
      <w:r>
        <w:tab/>
        <w:t>Section 7.5.6.4, CRR Auction Revenues; and</w:t>
      </w:r>
    </w:p>
    <w:p w14:paraId="04F399FD" w14:textId="77777777" w:rsidR="002F5868" w:rsidRDefault="00DD1AC6">
      <w:pPr>
        <w:pStyle w:val="BodyTextNumbered"/>
        <w:ind w:left="1440"/>
      </w:pPr>
      <w:r>
        <w:t>(b)</w:t>
      </w:r>
      <w:r>
        <w:tab/>
        <w:t>Section 7.5.7, Method for Distributing CRR Auction Revenues.</w:t>
      </w:r>
    </w:p>
    <w:p w14:paraId="10673862" w14:textId="77777777" w:rsidR="002F5868" w:rsidRDefault="00DD1AC6">
      <w:pPr>
        <w:pStyle w:val="List"/>
        <w:ind w:left="720"/>
      </w:pPr>
      <w:r>
        <w:t>(6)</w:t>
      </w:r>
      <w:r>
        <w:tab/>
        <w:t xml:space="preserve">CARD Invoices must contain the following information: </w:t>
      </w:r>
    </w:p>
    <w:p w14:paraId="62EAC74A" w14:textId="77777777" w:rsidR="002F5868" w:rsidRDefault="00DD1AC6">
      <w:pPr>
        <w:pStyle w:val="List"/>
      </w:pPr>
      <w:r>
        <w:t>(a)</w:t>
      </w:r>
      <w:r>
        <w:tab/>
        <w:t>The Invoice Recipient’s name;</w:t>
      </w:r>
    </w:p>
    <w:p w14:paraId="63EC4ADB" w14:textId="77777777" w:rsidR="002F5868" w:rsidRDefault="00DD1AC6">
      <w:pPr>
        <w:pStyle w:val="List"/>
      </w:pPr>
      <w:r>
        <w:t>(b)</w:t>
      </w:r>
      <w:r>
        <w:tab/>
        <w:t xml:space="preserve">The ERCOT identifier (Settlement identification number issued by ERCOT); </w:t>
      </w:r>
    </w:p>
    <w:p w14:paraId="7B009FC0" w14:textId="0D7F447A" w:rsidR="002F5868" w:rsidRDefault="00DD1AC6">
      <w:pPr>
        <w:pStyle w:val="List"/>
      </w:pPr>
      <w:r>
        <w:t>(c)</w:t>
      </w:r>
      <w:r>
        <w:tab/>
        <w:t xml:space="preserve">Net Amount Due/Payable – the aggregate summary of all charges owed to or due from the Invoice Recipient summarized by CRR Auction </w:t>
      </w:r>
      <w:r w:rsidR="00A16DB0">
        <w:t>r</w:t>
      </w:r>
      <w:r>
        <w:t>evenue month;</w:t>
      </w:r>
    </w:p>
    <w:p w14:paraId="61FD940A" w14:textId="77777777" w:rsidR="002F5868" w:rsidRDefault="00DD1AC6">
      <w:pPr>
        <w:pStyle w:val="List"/>
      </w:pPr>
      <w:r>
        <w:t>(d)</w:t>
      </w:r>
      <w:r>
        <w:tab/>
        <w:t xml:space="preserve">Time Period – the CRR Auction </w:t>
      </w:r>
      <w:r w:rsidR="0008638A">
        <w:t>r</w:t>
      </w:r>
      <w:r>
        <w:t>evenue month for which the Invoice is generated, including Initial or Final distribution;</w:t>
      </w:r>
    </w:p>
    <w:p w14:paraId="5825373F" w14:textId="77777777" w:rsidR="002F5868" w:rsidRDefault="00DD1AC6">
      <w:pPr>
        <w:pStyle w:val="List"/>
      </w:pPr>
      <w:r>
        <w:t>(e)</w:t>
      </w:r>
      <w:r>
        <w:tab/>
        <w:t>Run Date – the date on which ERCOT created and published the Invoice;</w:t>
      </w:r>
    </w:p>
    <w:p w14:paraId="26C55025" w14:textId="77777777" w:rsidR="002F5868" w:rsidRDefault="00DD1AC6">
      <w:pPr>
        <w:pStyle w:val="List"/>
      </w:pPr>
      <w:r>
        <w:t>(f)</w:t>
      </w:r>
      <w:r>
        <w:tab/>
        <w:t>Invoice Reference Number – a unique number generated by ERCOT for payment tracking purposes;</w:t>
      </w:r>
    </w:p>
    <w:p w14:paraId="7AA05043" w14:textId="77777777" w:rsidR="002F5868" w:rsidRDefault="00DD1AC6">
      <w:pPr>
        <w:pStyle w:val="List"/>
      </w:pPr>
      <w:r>
        <w:lastRenderedPageBreak/>
        <w:t>(g)</w:t>
      </w:r>
      <w:r>
        <w:tab/>
        <w:t>Payment Date – the date and time that Invoice amounts are to be paid or received; and</w:t>
      </w:r>
    </w:p>
    <w:p w14:paraId="73341CB6" w14:textId="77777777" w:rsidR="002F5868" w:rsidRDefault="00DD1AC6">
      <w:pPr>
        <w:pStyle w:val="BodyText"/>
        <w:ind w:left="1440" w:hanging="720"/>
      </w:pPr>
      <w:r>
        <w:t>(h)</w:t>
      </w:r>
      <w:r>
        <w:tab/>
        <w:t>Remittance Information Details – details including the account number, bank name and electronic transfer instructions of the ERCOT account to which any amounts owed by the Invoice Recipient are to be paid or of the Invoice Recipient’s account from which ERCOT may draw payments due.</w:t>
      </w:r>
    </w:p>
    <w:p w14:paraId="313E746B" w14:textId="77777777" w:rsidR="002F5868" w:rsidRDefault="00DD1AC6">
      <w:pPr>
        <w:pStyle w:val="H2"/>
      </w:pPr>
      <w:bookmarkStart w:id="271" w:name="_Toc309731072"/>
      <w:bookmarkStart w:id="272" w:name="_Toc405814043"/>
      <w:bookmarkStart w:id="273" w:name="_Toc422207933"/>
      <w:bookmarkStart w:id="274" w:name="_Toc438044844"/>
      <w:bookmarkStart w:id="275" w:name="_Toc447622627"/>
      <w:bookmarkStart w:id="276" w:name="_Toc80175277"/>
      <w:r>
        <w:t>9.11</w:t>
      </w:r>
      <w:r>
        <w:tab/>
        <w:t>Payment Process for CRR Auction Revenue Distribution</w:t>
      </w:r>
      <w:bookmarkEnd w:id="271"/>
      <w:bookmarkEnd w:id="272"/>
      <w:bookmarkEnd w:id="273"/>
      <w:bookmarkEnd w:id="274"/>
      <w:bookmarkEnd w:id="275"/>
      <w:bookmarkEnd w:id="276"/>
    </w:p>
    <w:p w14:paraId="440501EA" w14:textId="77777777" w:rsidR="002F5868" w:rsidRDefault="00A0123C" w:rsidP="00660ED3">
      <w:pPr>
        <w:pStyle w:val="BodyTextNumbered"/>
      </w:pPr>
      <w:r>
        <w:rPr>
          <w:iCs/>
        </w:rPr>
        <w:t>(1)</w:t>
      </w:r>
      <w:r>
        <w:rPr>
          <w:iCs/>
        </w:rPr>
        <w:tab/>
      </w:r>
      <w:r w:rsidR="00DD1AC6">
        <w:t xml:space="preserve">Payments for </w:t>
      </w:r>
      <w:r w:rsidR="001C0B6C">
        <w:t>Congestion Revenue Right (CRR) Auction Revenue Distribution (</w:t>
      </w:r>
      <w:r w:rsidR="00DD1AC6">
        <w:t>CARD</w:t>
      </w:r>
      <w:r w:rsidR="001C0B6C">
        <w:t>)</w:t>
      </w:r>
      <w:r w:rsidR="00DD1AC6">
        <w:t xml:space="preserve"> Invoices are due on a Business Day and Bank Business Day basis in a two-day, two-step process as detailed below.</w:t>
      </w:r>
    </w:p>
    <w:p w14:paraId="0F274E12" w14:textId="77777777" w:rsidR="002F5868" w:rsidRPr="008910B8" w:rsidRDefault="00DD1AC6">
      <w:pPr>
        <w:pStyle w:val="H3"/>
        <w:rPr>
          <w:b/>
          <w:i/>
        </w:rPr>
      </w:pPr>
      <w:bookmarkStart w:id="277" w:name="_Toc309731073"/>
      <w:bookmarkStart w:id="278" w:name="_Toc405814044"/>
      <w:bookmarkStart w:id="279" w:name="_Toc422207934"/>
      <w:bookmarkStart w:id="280" w:name="_Toc438044845"/>
      <w:bookmarkStart w:id="281" w:name="_Toc447622628"/>
      <w:bookmarkStart w:id="282" w:name="_Toc80175278"/>
      <w:r w:rsidRPr="008910B8">
        <w:rPr>
          <w:b/>
          <w:i/>
        </w:rPr>
        <w:t>9.11.1</w:t>
      </w:r>
      <w:r w:rsidRPr="008910B8">
        <w:rPr>
          <w:b/>
          <w:i/>
        </w:rPr>
        <w:tab/>
        <w:t>Invoice Recipient Payment to ERCOT for CRR Auction Revenue Distribution</w:t>
      </w:r>
      <w:bookmarkEnd w:id="277"/>
      <w:bookmarkEnd w:id="278"/>
      <w:bookmarkEnd w:id="279"/>
      <w:bookmarkEnd w:id="280"/>
      <w:bookmarkEnd w:id="281"/>
      <w:bookmarkEnd w:id="282"/>
    </w:p>
    <w:p w14:paraId="71EAB6C4" w14:textId="77777777" w:rsidR="002F5868" w:rsidRDefault="00DD1AC6">
      <w:pPr>
        <w:pStyle w:val="BodyTextNumbered"/>
      </w:pPr>
      <w:r>
        <w:t>(1)</w:t>
      </w:r>
      <w:r>
        <w:tab/>
        <w:t xml:space="preserve">The payment due date and time for the </w:t>
      </w:r>
      <w:smartTag w:uri="urn:schemas-microsoft-com:office:smarttags" w:element="stockticker">
        <w:r>
          <w:t>CARD</w:t>
        </w:r>
      </w:smartTag>
      <w:r>
        <w:t xml:space="preserve"> Invoice, with funds owed by an Invoice Recipient, is 1700 on the fifth Bank Business Day after the </w:t>
      </w:r>
      <w:smartTag w:uri="urn:schemas-microsoft-com:office:smarttags" w:element="stockticker">
        <w:r>
          <w:t>CARD</w:t>
        </w:r>
      </w:smartTag>
      <w:r>
        <w:t xml:space="preserve"> Invoice date, unless the fifth</w:t>
      </w:r>
      <w:r>
        <w:rPr>
          <w:vertAlign w:val="superscript"/>
        </w:rPr>
        <w:t xml:space="preserve"> </w:t>
      </w:r>
      <w:r>
        <w:t>Bank Business Day is not a Business Day.  If the fifth Bank Business Day is not a Business Day, the payment is due by 1700 on the next Bank Business Day after the fifth Bank Business Day that is also a Business Day.</w:t>
      </w:r>
    </w:p>
    <w:p w14:paraId="5472802D" w14:textId="77777777" w:rsidR="002F5868" w:rsidRDefault="00C114BB" w:rsidP="00C114BB">
      <w:pPr>
        <w:pStyle w:val="List"/>
        <w:ind w:left="720"/>
      </w:pPr>
      <w:r>
        <w:t>(2)</w:t>
      </w:r>
      <w:r>
        <w:tab/>
        <w:t>All CARD Invoices due, with funds owed by an Invoice Recipient, must be paid to ERCOT in U.S. Dollars (USDs) by Electronic Funds Transfer (EFT) in immediately available or good funds (i.e., not subject to reversal) on or before the payment due date.</w:t>
      </w:r>
      <w:r w:rsidR="00DD1AC6">
        <w:t xml:space="preserve"> </w:t>
      </w:r>
    </w:p>
    <w:p w14:paraId="3880A942" w14:textId="77777777" w:rsidR="002F5868" w:rsidRPr="008910B8" w:rsidRDefault="00DD1AC6" w:rsidP="00F55173">
      <w:pPr>
        <w:pStyle w:val="H3"/>
        <w:rPr>
          <w:b/>
          <w:i/>
        </w:rPr>
      </w:pPr>
      <w:bookmarkStart w:id="283" w:name="_Toc309731074"/>
      <w:bookmarkStart w:id="284" w:name="_Toc405814045"/>
      <w:bookmarkStart w:id="285" w:name="_Toc422207935"/>
      <w:bookmarkStart w:id="286" w:name="_Toc438044846"/>
      <w:bookmarkStart w:id="287" w:name="_Toc447622629"/>
      <w:bookmarkStart w:id="288" w:name="_Toc80175279"/>
      <w:r w:rsidRPr="008910B8">
        <w:rPr>
          <w:b/>
          <w:i/>
        </w:rPr>
        <w:t>9.11.2</w:t>
      </w:r>
      <w:r w:rsidRPr="008910B8">
        <w:rPr>
          <w:b/>
          <w:i/>
        </w:rPr>
        <w:tab/>
        <w:t>ERCOT Payment to Invoice Recipients for CRR Auction Revenue Distribution</w:t>
      </w:r>
      <w:bookmarkEnd w:id="283"/>
      <w:bookmarkEnd w:id="284"/>
      <w:bookmarkEnd w:id="285"/>
      <w:bookmarkEnd w:id="286"/>
      <w:bookmarkEnd w:id="287"/>
      <w:bookmarkEnd w:id="288"/>
    </w:p>
    <w:p w14:paraId="3AEA19D3" w14:textId="77777777" w:rsidR="002F5868" w:rsidRDefault="00DD1AC6">
      <w:pPr>
        <w:pStyle w:val="BodyTextNumbered"/>
      </w:pPr>
      <w:r>
        <w:t>(1)</w:t>
      </w:r>
      <w:r>
        <w:tab/>
        <w:t xml:space="preserve">CARD Invoices with funds owed to an Invoice Recipient must be paid by ERCOT to the Invoice Recipient by 1700 on the next day that is both a Business Day and a Bank Business Day after the day that payments are due for that CARD Invoice under Section 9.11.1, Invoice Recipient Payment to ERCOT for CRR Auction Revenue Distribution, subject to ERCOT’s right to withhold payments under Section 16 and pursuant to common law. </w:t>
      </w:r>
    </w:p>
    <w:p w14:paraId="41ED8D1E" w14:textId="77777777" w:rsidR="002F5868" w:rsidRDefault="00DD1AC6">
      <w:pPr>
        <w:pStyle w:val="BodyTextNumbered"/>
      </w:pPr>
      <w:r>
        <w:t>(2)</w:t>
      </w:r>
      <w:r>
        <w:tab/>
        <w:t xml:space="preserve">ERCOT shall give irrevocable instructions to the ERCOT financial institution to </w:t>
      </w:r>
      <w:proofErr w:type="gramStart"/>
      <w:r>
        <w:t>remit,</w:t>
      </w:r>
      <w:proofErr w:type="gramEnd"/>
      <w:r>
        <w:t xml:space="preserve"> to each Invoice Recipient for same day value, the amounts owed to each Invoice Recipient. </w:t>
      </w:r>
    </w:p>
    <w:p w14:paraId="19D52C20" w14:textId="77777777" w:rsidR="002F5868" w:rsidRPr="008910B8" w:rsidRDefault="00DD1AC6" w:rsidP="00F55173">
      <w:pPr>
        <w:pStyle w:val="H3"/>
        <w:rPr>
          <w:b/>
          <w:i/>
        </w:rPr>
      </w:pPr>
      <w:bookmarkStart w:id="289" w:name="_Toc309731075"/>
      <w:bookmarkStart w:id="290" w:name="_Toc405814046"/>
      <w:bookmarkStart w:id="291" w:name="_Toc422207936"/>
      <w:bookmarkStart w:id="292" w:name="_Toc438044847"/>
      <w:bookmarkStart w:id="293" w:name="_Toc447622630"/>
      <w:bookmarkStart w:id="294" w:name="_Toc80175280"/>
      <w:r w:rsidRPr="008910B8">
        <w:rPr>
          <w:b/>
          <w:i/>
        </w:rPr>
        <w:t>9.11.3</w:t>
      </w:r>
      <w:r w:rsidRPr="008910B8">
        <w:rPr>
          <w:b/>
          <w:i/>
        </w:rPr>
        <w:tab/>
        <w:t>Partial Payments by Invoice Recipients for CRR Auction Revenue Distribution</w:t>
      </w:r>
      <w:bookmarkEnd w:id="289"/>
      <w:bookmarkEnd w:id="290"/>
      <w:bookmarkEnd w:id="291"/>
      <w:bookmarkEnd w:id="292"/>
      <w:bookmarkEnd w:id="293"/>
      <w:bookmarkEnd w:id="294"/>
    </w:p>
    <w:p w14:paraId="220A78C8" w14:textId="77777777" w:rsidR="002F5868" w:rsidRDefault="00AF146B" w:rsidP="00C342E1">
      <w:pPr>
        <w:pStyle w:val="BodyTextNumbered"/>
      </w:pPr>
      <w:r>
        <w:t>(1)</w:t>
      </w:r>
      <w:r>
        <w:tab/>
      </w:r>
      <w:r w:rsidR="00DD1AC6">
        <w:t>If at least one Invoice Recipient owing funds does not pay its CARD Invoice in full (</w:t>
      </w:r>
      <w:proofErr w:type="gramStart"/>
      <w:r w:rsidR="00DD1AC6">
        <w:t>short-pay</w:t>
      </w:r>
      <w:proofErr w:type="gramEnd"/>
      <w:r w:rsidR="00DD1AC6">
        <w:t>), ERCOT shall follow the procedure set forth below:</w:t>
      </w:r>
    </w:p>
    <w:p w14:paraId="06C84A21" w14:textId="6672C1A1" w:rsidR="002F5868" w:rsidRDefault="00DD1AC6">
      <w:pPr>
        <w:pStyle w:val="List"/>
      </w:pPr>
      <w:r>
        <w:t>(a)</w:t>
      </w:r>
      <w:r>
        <w:tab/>
        <w:t xml:space="preserve">ERCOT shall make every reasonable attempt to collect payment from each short-paying Invoice Recipient before any payments owed by ERCOT for that month’s </w:t>
      </w:r>
      <w:r>
        <w:lastRenderedPageBreak/>
        <w:t xml:space="preserve">distribution of CRR Auction </w:t>
      </w:r>
      <w:r w:rsidR="00A16DB0">
        <w:t>r</w:t>
      </w:r>
      <w:r>
        <w:t xml:space="preserve">evenues is due to be paid to applicable Invoice Recipient(s). </w:t>
      </w:r>
    </w:p>
    <w:p w14:paraId="4CD093AD" w14:textId="77777777" w:rsidR="002F5868" w:rsidRDefault="00DD1AC6">
      <w:pPr>
        <w:pStyle w:val="List"/>
      </w:pPr>
      <w:r>
        <w:t>(b)</w:t>
      </w:r>
      <w:r>
        <w:tab/>
      </w:r>
      <w:r w:rsidR="00E82827">
        <w:t xml:space="preserve">ERCOT shall draw on any available security pledged to ERCOT by each short-paying Invoice Recipient that did not pay the amount due under paragraph (a) above.  If the amount of any such draw is greater than the amount of the </w:t>
      </w:r>
      <w:r w:rsidR="00E82827" w:rsidRPr="00BF0D35">
        <w:t xml:space="preserve">short-paying Invoice Recipient’s </w:t>
      </w:r>
      <w:r w:rsidR="00E82827">
        <w:t xml:space="preserve">cash collateral held </w:t>
      </w:r>
      <w:proofErr w:type="gramStart"/>
      <w:r w:rsidR="00E82827">
        <w:t>in excess of</w:t>
      </w:r>
      <w:proofErr w:type="gramEnd"/>
      <w:r w:rsidR="00E82827">
        <w:t xml:space="preserve"> that required to cover its Total Potential Exposure (TPE) (“Excess Collateral”), then a draw on available security for a short-paying Invoice Recipient shall be considered a Late Payment for purposes of Section 16.11.6, Payment Breach and Late Payments by Market Participants.</w:t>
      </w:r>
    </w:p>
    <w:p w14:paraId="47DCE8FF" w14:textId="77777777" w:rsidR="002F5868" w:rsidRDefault="00DD1AC6" w:rsidP="00F55173">
      <w:pPr>
        <w:pStyle w:val="List"/>
      </w:pPr>
      <w:r>
        <w:t>(c)</w:t>
      </w:r>
      <w:r>
        <w:tab/>
        <w:t>ERCOT shall offset or recoup any amounts owed, or to be owed, by ERCOT to a short-paying Invoice Recipient against amounts not paid by that Invoice Recipient and ERCOT shall apply the amount offset or recouped to cover payment shortages by that Invoice Recipient.</w:t>
      </w:r>
    </w:p>
    <w:p w14:paraId="00E35BED" w14:textId="77777777" w:rsidR="002F5868" w:rsidRDefault="00DD1AC6">
      <w:pPr>
        <w:pStyle w:val="BodyTextNumbered"/>
        <w:ind w:left="1440"/>
        <w:rPr>
          <w:rFonts w:ascii="TimesNewRomanPSMT" w:hAnsi="TimesNewRomanPSMT"/>
          <w:iCs/>
        </w:rPr>
      </w:pPr>
      <w:r>
        <w:rPr>
          <w:rFonts w:ascii="TimesNewRomanPSMT" w:hAnsi="TimesNewRomanPSMT"/>
          <w:iCs/>
        </w:rPr>
        <w:t>(d)</w:t>
      </w:r>
      <w:r>
        <w:rPr>
          <w:rFonts w:ascii="TimesNewRomanPSMT" w:hAnsi="TimesNewRomanPSMT"/>
          <w:iCs/>
        </w:rPr>
        <w:tab/>
        <w:t>If, after taking the actions set forth in paragraph</w:t>
      </w:r>
      <w:r w:rsidR="00AF146B">
        <w:rPr>
          <w:rFonts w:ascii="TimesNewRomanPSMT" w:hAnsi="TimesNewRomanPSMT"/>
          <w:iCs/>
        </w:rPr>
        <w:t xml:space="preserve">s </w:t>
      </w:r>
      <w:r>
        <w:rPr>
          <w:rFonts w:ascii="TimesNewRomanPSMT" w:hAnsi="TimesNewRomanPSMT"/>
          <w:iCs/>
        </w:rPr>
        <w:t>(a), (b) and (c), above, ERCOT still does not have sufficient funds to pay all amounts that it owes to CARD Invoice Recipients in full, ERCOT shall reduce payments to all CARD Invoice Recipients owed monies from ERCOT.  The reductions shall be based on a pro rata basis of monies owed to each CARD Invoice Recipient, to the extent necessary to clear ERCOT’s accounts on the payment due date to achieve revenue neutrality for ERCOT.  ERCOT shall provide to all Market Participants payment details on all short payments and subsequent reimbursements of short pays.  Details must include the identity of each short-paying Invoice Recipient and the dollar amount attributable to that Invoice Recipient, broken down by Invoice numbers.  In addition, ERCOT shall provide the aggregate total of all amounts due to all Invoice Recipients before applying the amount not paid on the CARD Invoice.</w:t>
      </w:r>
    </w:p>
    <w:p w14:paraId="2D4A4C0B" w14:textId="77777777" w:rsidR="002F5868" w:rsidRPr="008910B8" w:rsidRDefault="00DD1AC6">
      <w:pPr>
        <w:pStyle w:val="H3"/>
        <w:rPr>
          <w:b/>
          <w:i/>
        </w:rPr>
      </w:pPr>
      <w:bookmarkStart w:id="295" w:name="_Toc309731076"/>
      <w:bookmarkStart w:id="296" w:name="_Toc405814047"/>
      <w:bookmarkStart w:id="297" w:name="_Toc422207937"/>
      <w:bookmarkStart w:id="298" w:name="_Toc438044848"/>
      <w:bookmarkStart w:id="299" w:name="_Toc447622631"/>
      <w:bookmarkStart w:id="300" w:name="_Toc80175281"/>
      <w:r w:rsidRPr="008910B8">
        <w:rPr>
          <w:b/>
          <w:i/>
        </w:rPr>
        <w:t>9.11.4</w:t>
      </w:r>
      <w:r w:rsidRPr="008910B8">
        <w:rPr>
          <w:b/>
          <w:i/>
        </w:rPr>
        <w:tab/>
        <w:t>Enforcing the Security of a Short-Paying CARD Invoice Recipient</w:t>
      </w:r>
      <w:bookmarkEnd w:id="295"/>
      <w:bookmarkEnd w:id="296"/>
      <w:bookmarkEnd w:id="297"/>
      <w:bookmarkEnd w:id="298"/>
      <w:bookmarkEnd w:id="299"/>
      <w:bookmarkEnd w:id="300"/>
    </w:p>
    <w:p w14:paraId="16541DA3" w14:textId="77777777" w:rsidR="002F5868" w:rsidRDefault="00AF146B" w:rsidP="00C342E1">
      <w:pPr>
        <w:pStyle w:val="BodyTextNumbered"/>
      </w:pPr>
      <w:r>
        <w:t>(1)</w:t>
      </w:r>
      <w:r>
        <w:tab/>
      </w:r>
      <w:r w:rsidR="00DD1AC6">
        <w:t>ERCOT shall make reasonable efforts to enforce the security of the short-paying Invoice Recipient (pursuant to Section 16.11.6</w:t>
      </w:r>
      <w:r>
        <w:t xml:space="preserve">, </w:t>
      </w:r>
      <w:r w:rsidRPr="00BC07EB">
        <w:t>Payment Breach and Late Payments by Market Participants</w:t>
      </w:r>
      <w:r w:rsidR="00DD1AC6">
        <w:t>) to the extent necessary to cover the short-pay.  A short-paying Invoice Recipient shall restore the level of its security under Section 16</w:t>
      </w:r>
      <w:r>
        <w:t>, Registration and Qualification of Market Participants</w:t>
      </w:r>
      <w:r w:rsidR="00DD1AC6">
        <w:t>.</w:t>
      </w:r>
    </w:p>
    <w:p w14:paraId="3401BAD0" w14:textId="77777777" w:rsidR="002F5868" w:rsidRDefault="00DD1AC6">
      <w:pPr>
        <w:pStyle w:val="H2"/>
      </w:pPr>
      <w:bookmarkStart w:id="301" w:name="_Toc309731077"/>
      <w:bookmarkStart w:id="302" w:name="_Toc405814048"/>
      <w:bookmarkStart w:id="303" w:name="_Toc422207938"/>
      <w:bookmarkStart w:id="304" w:name="_Toc438044849"/>
      <w:bookmarkStart w:id="305" w:name="_Toc447622632"/>
      <w:bookmarkStart w:id="306" w:name="_Toc80175282"/>
      <w:r>
        <w:t>9.12</w:t>
      </w:r>
      <w:r>
        <w:tab/>
        <w:t>CRR Balancing Account Invoices</w:t>
      </w:r>
      <w:bookmarkEnd w:id="301"/>
      <w:bookmarkEnd w:id="302"/>
      <w:bookmarkEnd w:id="303"/>
      <w:bookmarkEnd w:id="304"/>
      <w:bookmarkEnd w:id="305"/>
      <w:bookmarkEnd w:id="306"/>
    </w:p>
    <w:p w14:paraId="41688F6C" w14:textId="6F6B576A" w:rsidR="002F5868" w:rsidRDefault="00DD1AC6">
      <w:pPr>
        <w:pStyle w:val="BodyTextNumbered"/>
      </w:pPr>
      <w:r>
        <w:t>(1)</w:t>
      </w:r>
      <w:r>
        <w:tab/>
      </w:r>
      <w:r w:rsidR="005902CB" w:rsidRPr="005B1106">
        <w:t xml:space="preserve">ERCOT shall prepare </w:t>
      </w:r>
      <w:r w:rsidR="005902CB">
        <w:t>I</w:t>
      </w:r>
      <w:r w:rsidR="005902CB" w:rsidRPr="005B1106">
        <w:t xml:space="preserve">nvoices for the Congestion Revenue Right (CRR) Balancing Account (CRRBA) </w:t>
      </w:r>
      <w:proofErr w:type="gramStart"/>
      <w:r w:rsidR="005902CB" w:rsidRPr="005B1106">
        <w:t>on a monthly basis</w:t>
      </w:r>
      <w:proofErr w:type="gramEnd"/>
      <w:r w:rsidR="005902CB" w:rsidRPr="005B1106">
        <w:t xml:space="preserve"> on the first Business Day following the Real-Time Market (RTM) Initial Settlement posting of the last day of the month on the date specified in the Settlement Calendar.</w:t>
      </w:r>
    </w:p>
    <w:p w14:paraId="6AF58D0B" w14:textId="431D9330" w:rsidR="0008638A" w:rsidRDefault="005902CB" w:rsidP="00CC5824">
      <w:pPr>
        <w:pStyle w:val="BodyTextNumbered"/>
      </w:pPr>
      <w:r w:rsidRPr="005B1106">
        <w:lastRenderedPageBreak/>
        <w:t>(2)</w:t>
      </w:r>
      <w:r w:rsidRPr="005B1106">
        <w:tab/>
        <w:t xml:space="preserve">ERCOT shall true up the distribution of monthly </w:t>
      </w:r>
      <w:r>
        <w:t xml:space="preserve">the </w:t>
      </w:r>
      <w:r w:rsidRPr="005B1106">
        <w:t>CRRBA by posting additional Settlement Invoices on the first Business Day following the RTM Final Settlement posting of the last day of the month on the date specified in the Settlement Calendar.  A trued up CRRBA Invoice will reflect differences to financial records generated on the previous CRRBA Invoice for a given month.</w:t>
      </w:r>
    </w:p>
    <w:p w14:paraId="04CBD9AF" w14:textId="42EF7842" w:rsidR="001012EA" w:rsidRDefault="001012EA" w:rsidP="00CC5824">
      <w:pPr>
        <w:pStyle w:val="BodyTextNumbered"/>
      </w:pPr>
      <w:r>
        <w:t>(</w:t>
      </w:r>
      <w:r w:rsidR="005902CB">
        <w:t>3</w:t>
      </w:r>
      <w:r>
        <w:t>)</w:t>
      </w:r>
      <w:r>
        <w:tab/>
      </w:r>
      <w:r w:rsidR="005902CB">
        <w:t xml:space="preserve">ERCOT shall prepare resettlement Invoices </w:t>
      </w:r>
      <w:proofErr w:type="gramStart"/>
      <w:r w:rsidR="005902CB">
        <w:t>in the event that</w:t>
      </w:r>
      <w:proofErr w:type="gramEnd"/>
      <w:r w:rsidR="005902CB">
        <w:t xml:space="preserve"> the balance in the CRRBA for the month changes due to a Day-Ahead Market (DAM) resettlement after the initial balancing account Invoices for that month have been posted as specified in the Settlement Calendar.  The Monthly Load Ratio Share (MLRS) as described in Section 7.9.3.5, </w:t>
      </w:r>
      <w:r w:rsidR="005902CB" w:rsidRPr="002025F1">
        <w:rPr>
          <w:bCs/>
        </w:rPr>
        <w:t>CRR Balancing Account Closure</w:t>
      </w:r>
      <w:r w:rsidR="005902CB">
        <w:rPr>
          <w:bCs/>
        </w:rPr>
        <w:t>, used for the resettlement CRRBA Invoice will be the same one used for the most recently posted balancing account Invoices.</w:t>
      </w:r>
      <w:r w:rsidR="005902CB" w:rsidRPr="003F6CE1">
        <w:t xml:space="preserve"> </w:t>
      </w:r>
      <w:r w:rsidR="005902CB">
        <w:t xml:space="preserve"> A resettlement CRRBA Invoice will reflect differences to financial records generated on the previous CRRBA Invoice for a given month.</w:t>
      </w:r>
    </w:p>
    <w:p w14:paraId="032C392D" w14:textId="77E5659F" w:rsidR="002F5868" w:rsidRDefault="00DD1AC6" w:rsidP="00CC5824">
      <w:pPr>
        <w:pStyle w:val="BodyTextNumbered"/>
      </w:pPr>
      <w:r>
        <w:t>(</w:t>
      </w:r>
      <w:r w:rsidR="005902CB">
        <w:t>4</w:t>
      </w:r>
      <w:r>
        <w:t>)</w:t>
      </w:r>
      <w:r>
        <w:tab/>
        <w:t xml:space="preserve">For each Invoice cycle, the Market Participant to whom the </w:t>
      </w:r>
      <w:r w:rsidR="001012EA">
        <w:t>CRRBA</w:t>
      </w:r>
      <w:r>
        <w:t xml:space="preserve"> Invoice is addressed (“Invoice Recipient”) is a payee.  The Invoice Recipient is responsible for accessing the </w:t>
      </w:r>
      <w:r w:rsidR="001012EA">
        <w:t>CRRBA</w:t>
      </w:r>
      <w:r>
        <w:t xml:space="preserve"> Invoice on the </w:t>
      </w:r>
      <w:r w:rsidR="00DF5A03">
        <w:t>Market Information System (</w:t>
      </w:r>
      <w:r>
        <w:t>MIS</w:t>
      </w:r>
      <w:r w:rsidR="00DF5A03">
        <w:t>)</w:t>
      </w:r>
      <w:r>
        <w:t xml:space="preserve"> Certified Area once posted by ERCOT.</w:t>
      </w:r>
    </w:p>
    <w:p w14:paraId="529A26AC" w14:textId="36788950" w:rsidR="002F5868" w:rsidRDefault="00DD1AC6" w:rsidP="0070210E">
      <w:pPr>
        <w:pStyle w:val="BodyTextNumbered"/>
      </w:pPr>
      <w:r>
        <w:t>(</w:t>
      </w:r>
      <w:r w:rsidR="005902CB">
        <w:t>5</w:t>
      </w:r>
      <w:r>
        <w:t>)</w:t>
      </w:r>
      <w:r>
        <w:tab/>
        <w:t>ERCOT shall post on the MIS Certified Area for each Invoice Recipient a CRR</w:t>
      </w:r>
      <w:r w:rsidR="005125D9">
        <w:t xml:space="preserve">BA </w:t>
      </w:r>
      <w:r>
        <w:t xml:space="preserve">Invoice based </w:t>
      </w:r>
      <w:r w:rsidR="00DF5A03">
        <w:t xml:space="preserve">on </w:t>
      </w:r>
      <w:r>
        <w:t>the calculations located</w:t>
      </w:r>
      <w:r w:rsidR="000C67FC">
        <w:t xml:space="preserve"> in</w:t>
      </w:r>
      <w:r w:rsidR="00DF5A03">
        <w:t xml:space="preserve"> </w:t>
      </w:r>
      <w:r>
        <w:t>Section</w:t>
      </w:r>
      <w:r w:rsidR="001012EA">
        <w:t>s</w:t>
      </w:r>
      <w:r>
        <w:t xml:space="preserve"> 7.9.3.4, Monthly Refunds to Short-Paid CRR Owners</w:t>
      </w:r>
      <w:r w:rsidR="005125D9">
        <w:t>,</w:t>
      </w:r>
      <w:r w:rsidR="001012EA">
        <w:t xml:space="preserve"> and 7</w:t>
      </w:r>
      <w:r>
        <w:t>.9.3.5.</w:t>
      </w:r>
    </w:p>
    <w:p w14:paraId="7ECA7E95" w14:textId="493881FA" w:rsidR="002F5868" w:rsidRDefault="00DD1AC6">
      <w:pPr>
        <w:pStyle w:val="BodyTextNumbered"/>
      </w:pPr>
      <w:r>
        <w:t>(</w:t>
      </w:r>
      <w:r w:rsidR="005902CB">
        <w:t>6</w:t>
      </w:r>
      <w:r>
        <w:t>)</w:t>
      </w:r>
      <w:r>
        <w:tab/>
        <w:t>CRR</w:t>
      </w:r>
      <w:r w:rsidR="001012EA">
        <w:t xml:space="preserve">BA </w:t>
      </w:r>
      <w:r>
        <w:t xml:space="preserve">Invoices must contain the following information: </w:t>
      </w:r>
    </w:p>
    <w:p w14:paraId="396712C4" w14:textId="77777777" w:rsidR="002F5868" w:rsidRDefault="00DD1AC6">
      <w:pPr>
        <w:pStyle w:val="List"/>
      </w:pPr>
      <w:r>
        <w:t>(a)</w:t>
      </w:r>
      <w:r>
        <w:tab/>
        <w:t>The Invoice Recipient’s name;</w:t>
      </w:r>
    </w:p>
    <w:p w14:paraId="4247ADC3" w14:textId="77777777" w:rsidR="002F5868" w:rsidRDefault="00DD1AC6">
      <w:pPr>
        <w:pStyle w:val="BodyTextNumbered"/>
        <w:ind w:left="1440"/>
      </w:pPr>
      <w:r>
        <w:t>(b)</w:t>
      </w:r>
      <w:r>
        <w:tab/>
        <w:t xml:space="preserve">The ERCOT identifier (Settlement identification number issued by ERCOT); </w:t>
      </w:r>
    </w:p>
    <w:p w14:paraId="52E1F365" w14:textId="77777777" w:rsidR="002F5868" w:rsidRDefault="00DD1AC6">
      <w:pPr>
        <w:pStyle w:val="BodyTextNumbered"/>
        <w:ind w:left="1440"/>
      </w:pPr>
      <w:r>
        <w:t>(c)</w:t>
      </w:r>
      <w:r>
        <w:tab/>
        <w:t>Net Amount Payable – the aggregate summary of all amounts owed to the Invoice Recipient summarized by month;</w:t>
      </w:r>
    </w:p>
    <w:p w14:paraId="41435690" w14:textId="77777777" w:rsidR="002F5868" w:rsidRDefault="00DD1AC6">
      <w:pPr>
        <w:pStyle w:val="List"/>
      </w:pPr>
      <w:r>
        <w:t>(d)</w:t>
      </w:r>
      <w:r>
        <w:tab/>
        <w:t xml:space="preserve">Time Period – the </w:t>
      </w:r>
      <w:proofErr w:type="gramStart"/>
      <w:r>
        <w:t>time period</w:t>
      </w:r>
      <w:proofErr w:type="gramEnd"/>
      <w:r>
        <w:t xml:space="preserve"> covered for each line item;</w:t>
      </w:r>
    </w:p>
    <w:p w14:paraId="4F5CA93B" w14:textId="77777777" w:rsidR="002F5868" w:rsidRDefault="00DD1AC6">
      <w:pPr>
        <w:pStyle w:val="List"/>
      </w:pPr>
      <w:r>
        <w:t>(e)</w:t>
      </w:r>
      <w:r>
        <w:tab/>
        <w:t>Run Date – the date on which the ERCOT created and published Invoice;</w:t>
      </w:r>
    </w:p>
    <w:p w14:paraId="30D50AE3" w14:textId="77777777" w:rsidR="002F5868" w:rsidRDefault="00DD1AC6">
      <w:pPr>
        <w:pStyle w:val="List"/>
      </w:pPr>
      <w:r>
        <w:t>(f)</w:t>
      </w:r>
      <w:r>
        <w:tab/>
        <w:t>Invoice Reference Number – a unique number generated by ERCOT for payment tracking purposes; and</w:t>
      </w:r>
    </w:p>
    <w:p w14:paraId="780F60C2" w14:textId="77777777" w:rsidR="002F5868" w:rsidRDefault="00DD1AC6">
      <w:pPr>
        <w:pStyle w:val="List"/>
      </w:pPr>
      <w:r>
        <w:t>(g)</w:t>
      </w:r>
      <w:r>
        <w:tab/>
        <w:t>Payment Date – the date and time that Invoice amounts are to be received.</w:t>
      </w:r>
    </w:p>
    <w:p w14:paraId="00FFD875" w14:textId="17DF2B57" w:rsidR="00C12F14" w:rsidRDefault="00DF5A03">
      <w:pPr>
        <w:pStyle w:val="List"/>
        <w:ind w:left="720"/>
      </w:pPr>
      <w:r>
        <w:t>(</w:t>
      </w:r>
      <w:r w:rsidR="005902CB">
        <w:t>7</w:t>
      </w:r>
      <w:r>
        <w:t>)</w:t>
      </w:r>
      <w:r>
        <w:tab/>
        <w:t xml:space="preserve">Each Invoice </w:t>
      </w:r>
      <w:r w:rsidRPr="00B73E11">
        <w:t xml:space="preserve">Recipient shall receive any credit shown on the </w:t>
      </w:r>
      <w:r>
        <w:t>CRR</w:t>
      </w:r>
      <w:r w:rsidR="001012EA">
        <w:t xml:space="preserve">BA </w:t>
      </w:r>
      <w:r>
        <w:t>Invoice</w:t>
      </w:r>
      <w:r w:rsidRPr="00B73E11">
        <w:t xml:space="preserve"> on the payment due date.  </w:t>
      </w:r>
      <w:r>
        <w:t>Credit shown on the CRR</w:t>
      </w:r>
      <w:r w:rsidR="001012EA">
        <w:t xml:space="preserve">BA </w:t>
      </w:r>
      <w:r>
        <w:t>I</w:t>
      </w:r>
      <w:r w:rsidRPr="00B73E11">
        <w:t xml:space="preserve">nvoice </w:t>
      </w:r>
      <w:r>
        <w:t>will be paid on due d</w:t>
      </w:r>
      <w:r w:rsidRPr="00B73E11">
        <w:t xml:space="preserve">ate </w:t>
      </w:r>
      <w:proofErr w:type="gramStart"/>
      <w:r w:rsidRPr="00B73E11">
        <w:t>whether or not</w:t>
      </w:r>
      <w:proofErr w:type="gramEnd"/>
      <w:r w:rsidRPr="00B73E11">
        <w:t xml:space="preserve"> there is any Settlement and </w:t>
      </w:r>
      <w:r>
        <w:t>b</w:t>
      </w:r>
      <w:r w:rsidRPr="00B73E11">
        <w:t>illing dispute regarding the amount of the payment.</w:t>
      </w:r>
    </w:p>
    <w:p w14:paraId="721FBC38" w14:textId="77777777" w:rsidR="002F5868" w:rsidRDefault="00DD1AC6">
      <w:pPr>
        <w:pStyle w:val="H2"/>
        <w:rPr>
          <w:lang w:val="en-US"/>
        </w:rPr>
      </w:pPr>
      <w:bookmarkStart w:id="307" w:name="_Toc309731078"/>
      <w:bookmarkStart w:id="308" w:name="_Toc405814049"/>
      <w:bookmarkStart w:id="309" w:name="_Toc422207939"/>
      <w:bookmarkStart w:id="310" w:name="_Toc438044850"/>
      <w:bookmarkStart w:id="311" w:name="_Toc447622633"/>
      <w:bookmarkStart w:id="312" w:name="_Toc80175283"/>
      <w:r>
        <w:lastRenderedPageBreak/>
        <w:t>9.13</w:t>
      </w:r>
      <w:r>
        <w:tab/>
        <w:t>Payment Process for the CRR Balancing Account</w:t>
      </w:r>
      <w:bookmarkEnd w:id="307"/>
      <w:bookmarkEnd w:id="308"/>
      <w:bookmarkEnd w:id="309"/>
      <w:bookmarkEnd w:id="310"/>
      <w:bookmarkEnd w:id="311"/>
      <w:bookmarkEnd w:id="312"/>
    </w:p>
    <w:p w14:paraId="4684A7A1" w14:textId="77777777" w:rsidR="001012EA" w:rsidRPr="0070210E" w:rsidRDefault="001012EA" w:rsidP="0070210E">
      <w:pPr>
        <w:pStyle w:val="BodyText"/>
        <w:spacing w:before="240"/>
        <w:ind w:left="1080" w:hanging="1080"/>
        <w:outlineLvl w:val="2"/>
        <w:rPr>
          <w:b/>
          <w:i/>
        </w:rPr>
      </w:pPr>
      <w:bookmarkStart w:id="313" w:name="_Toc405814050"/>
      <w:bookmarkStart w:id="314" w:name="_Toc422207940"/>
      <w:bookmarkStart w:id="315" w:name="_Toc438044851"/>
      <w:bookmarkStart w:id="316" w:name="_Toc447622634"/>
      <w:bookmarkStart w:id="317" w:name="_Toc80175284"/>
      <w:r w:rsidRPr="000F79B5">
        <w:rPr>
          <w:b/>
          <w:i/>
        </w:rPr>
        <w:t>9.13.1</w:t>
      </w:r>
      <w:r>
        <w:rPr>
          <w:b/>
          <w:i/>
        </w:rPr>
        <w:tab/>
      </w:r>
      <w:r w:rsidRPr="000F79B5">
        <w:rPr>
          <w:b/>
          <w:i/>
        </w:rPr>
        <w:t>Payment Process for the Initial CRR Balancing Account</w:t>
      </w:r>
      <w:bookmarkEnd w:id="313"/>
      <w:bookmarkEnd w:id="314"/>
      <w:bookmarkEnd w:id="315"/>
      <w:bookmarkEnd w:id="316"/>
      <w:bookmarkEnd w:id="317"/>
    </w:p>
    <w:p w14:paraId="6A1FB775" w14:textId="77777777" w:rsidR="002F5868" w:rsidRDefault="00EB11F5" w:rsidP="008436F5">
      <w:pPr>
        <w:pStyle w:val="ListIntroduction"/>
        <w:ind w:left="720" w:hanging="720"/>
      </w:pPr>
      <w:r>
        <w:t>(1)</w:t>
      </w:r>
      <w:r>
        <w:tab/>
      </w:r>
      <w:r w:rsidR="00DD1AC6">
        <w:t xml:space="preserve">Payments for the </w:t>
      </w:r>
      <w:r w:rsidR="000253C4">
        <w:t>Congestion Revenue Right (</w:t>
      </w:r>
      <w:r w:rsidR="00DD1AC6">
        <w:t>CRR</w:t>
      </w:r>
      <w:r w:rsidR="000253C4">
        <w:t>)</w:t>
      </w:r>
      <w:r w:rsidR="00DD1AC6">
        <w:t xml:space="preserve"> Balancing Account</w:t>
      </w:r>
      <w:r w:rsidR="00067966">
        <w:t xml:space="preserve"> (CRRBA)</w:t>
      </w:r>
      <w:r w:rsidR="00DD1AC6">
        <w:t xml:space="preserve"> are due on a Business Day and Bank Business Day basis in a one-day, one-step process, as detailed below.</w:t>
      </w:r>
    </w:p>
    <w:p w14:paraId="5DCDF9E4" w14:textId="77777777" w:rsidR="00082CB5" w:rsidRPr="00A06E01" w:rsidRDefault="00082CB5" w:rsidP="00082CB5">
      <w:pPr>
        <w:pStyle w:val="BodyTextNumbered"/>
        <w:ind w:left="1440"/>
        <w:rPr>
          <w:iCs/>
        </w:rPr>
      </w:pPr>
      <w:r w:rsidRPr="00A06E01">
        <w:rPr>
          <w:iCs/>
        </w:rPr>
        <w:t>(a)</w:t>
      </w:r>
      <w:r w:rsidRPr="00A06E01">
        <w:rPr>
          <w:iCs/>
        </w:rPr>
        <w:tab/>
        <w:t xml:space="preserve">By 1700 on the first day that is both a Business Day and a Bank Business Day following the due date of the Settlement Invoice that includes the Real-Time Market (RTM) Initial Settlement </w:t>
      </w:r>
      <w:r w:rsidR="00A327D9">
        <w:rPr>
          <w:iCs/>
        </w:rPr>
        <w:t>S</w:t>
      </w:r>
      <w:r w:rsidRPr="00A06E01">
        <w:rPr>
          <w:iCs/>
        </w:rPr>
        <w:t xml:space="preserve">tatement for the last day of the month and subject to ERCOT’s right to withhold payments under Section 16, Registration and Qualification of Market Participants, and pursuant to common law, ERCOT shall pay on a net credit shown on the </w:t>
      </w:r>
      <w:r w:rsidR="005125D9">
        <w:rPr>
          <w:iCs/>
        </w:rPr>
        <w:t>CRRBA</w:t>
      </w:r>
      <w:r w:rsidRPr="00A06E01">
        <w:rPr>
          <w:iCs/>
        </w:rPr>
        <w:t xml:space="preserve"> Invoice based on amounts due:</w:t>
      </w:r>
    </w:p>
    <w:p w14:paraId="41F8795E" w14:textId="77777777" w:rsidR="00082CB5" w:rsidRDefault="00082CB5" w:rsidP="00082CB5">
      <w:pPr>
        <w:pStyle w:val="List"/>
        <w:ind w:left="2160"/>
      </w:pPr>
      <w:r>
        <w:t>(i)</w:t>
      </w:r>
      <w:r>
        <w:tab/>
        <w:t xml:space="preserve">To each short-paid </w:t>
      </w:r>
      <w:smartTag w:uri="urn:schemas-microsoft-com:office:smarttags" w:element="stockticker">
        <w:r>
          <w:t>CRR</w:t>
        </w:r>
      </w:smartTag>
      <w:r>
        <w:t xml:space="preserve"> Owner a monthly refund from the positive balance in the CRR</w:t>
      </w:r>
      <w:r w:rsidR="00A327D9">
        <w:t>BA</w:t>
      </w:r>
      <w:r>
        <w:t xml:space="preserve">, with the amount paid to each </w:t>
      </w:r>
      <w:smartTag w:uri="urn:schemas-microsoft-com:office:smarttags" w:element="stockticker">
        <w:r>
          <w:t>CRR</w:t>
        </w:r>
      </w:smartTag>
      <w:r>
        <w:t xml:space="preserve"> Owner as calculated in Section 7.9.3.4, Monthly Refunds to Short-Paid CRR Owners; and  </w:t>
      </w:r>
    </w:p>
    <w:p w14:paraId="7454E74F" w14:textId="77777777" w:rsidR="00625828" w:rsidRDefault="00082CB5">
      <w:pPr>
        <w:pStyle w:val="BodyTextNumbered"/>
        <w:tabs>
          <w:tab w:val="left" w:pos="8010"/>
        </w:tabs>
        <w:ind w:left="2160"/>
      </w:pPr>
      <w:r w:rsidRPr="00A06E01">
        <w:rPr>
          <w:iCs/>
        </w:rPr>
        <w:t>(ii)</w:t>
      </w:r>
      <w:r w:rsidRPr="00A06E01">
        <w:rPr>
          <w:iCs/>
        </w:rPr>
        <w:tab/>
        <w:t xml:space="preserve">To each Qualified Scheduling Entity (QSE), any remaining positive balance in the </w:t>
      </w:r>
      <w:smartTag w:uri="urn:schemas-microsoft-com:office:smarttags" w:element="stockticker">
        <w:r w:rsidRPr="00A06E01">
          <w:rPr>
            <w:iCs/>
          </w:rPr>
          <w:t>CRR</w:t>
        </w:r>
      </w:smartTag>
      <w:r w:rsidR="00A327D9">
        <w:rPr>
          <w:iCs/>
        </w:rPr>
        <w:t>BA</w:t>
      </w:r>
      <w:r w:rsidRPr="00A06E01">
        <w:rPr>
          <w:iCs/>
        </w:rPr>
        <w:t>, with the amount paid to each QSE as calculated in Section 7.9.3.5, CRR Balancing Account Closure.</w:t>
      </w:r>
    </w:p>
    <w:p w14:paraId="783AAB92" w14:textId="77777777" w:rsidR="00625828" w:rsidRDefault="00DD1AC6">
      <w:pPr>
        <w:pStyle w:val="BodyTextNumbered"/>
        <w:ind w:left="1440"/>
      </w:pPr>
      <w:r>
        <w:t>(</w:t>
      </w:r>
      <w:r w:rsidR="000B7C5F">
        <w:t>b</w:t>
      </w:r>
      <w:r>
        <w:t>)</w:t>
      </w:r>
      <w:r>
        <w:tab/>
        <w:t xml:space="preserve">ERCOT shall give irrevocable instructions to the ERCOT financial institution to </w:t>
      </w:r>
      <w:proofErr w:type="gramStart"/>
      <w:r>
        <w:t>remit,</w:t>
      </w:r>
      <w:proofErr w:type="gramEnd"/>
      <w:r>
        <w:t xml:space="preserve"> to each CRR Owner or QSE, for same day value, the amounts determined by ERCOT to be available for payment.</w:t>
      </w:r>
      <w:r w:rsidR="0054792C">
        <w:t xml:space="preserve"> </w:t>
      </w:r>
    </w:p>
    <w:p w14:paraId="7555AB12" w14:textId="77777777" w:rsidR="00A327D9" w:rsidRPr="000F79B5" w:rsidRDefault="00A327D9" w:rsidP="00F55173">
      <w:pPr>
        <w:pStyle w:val="BodyTextNumbered"/>
        <w:spacing w:before="240"/>
        <w:ind w:left="1080" w:hanging="1080"/>
        <w:outlineLvl w:val="2"/>
        <w:rPr>
          <w:b/>
          <w:i/>
        </w:rPr>
      </w:pPr>
      <w:bookmarkStart w:id="318" w:name="_Toc405814051"/>
      <w:bookmarkStart w:id="319" w:name="_Toc422207941"/>
      <w:bookmarkStart w:id="320" w:name="_Toc438044852"/>
      <w:bookmarkStart w:id="321" w:name="_Toc447622635"/>
      <w:bookmarkStart w:id="322" w:name="_Toc80175285"/>
      <w:r w:rsidRPr="000F79B5">
        <w:rPr>
          <w:b/>
          <w:i/>
        </w:rPr>
        <w:t xml:space="preserve">9.13.2 </w:t>
      </w:r>
      <w:r w:rsidRPr="000F79B5">
        <w:rPr>
          <w:b/>
          <w:i/>
        </w:rPr>
        <w:tab/>
        <w:t>Payment Process for Resettlement of the CRR Balancing Account</w:t>
      </w:r>
      <w:bookmarkEnd w:id="318"/>
      <w:bookmarkEnd w:id="319"/>
      <w:bookmarkEnd w:id="320"/>
      <w:bookmarkEnd w:id="321"/>
      <w:bookmarkEnd w:id="322"/>
    </w:p>
    <w:p w14:paraId="7290CE24" w14:textId="77777777" w:rsidR="00A327D9" w:rsidRDefault="00A0123C" w:rsidP="00660ED3">
      <w:pPr>
        <w:pStyle w:val="BodyTextNumbered"/>
      </w:pPr>
      <w:r>
        <w:rPr>
          <w:iCs/>
        </w:rPr>
        <w:t>(1)</w:t>
      </w:r>
      <w:r>
        <w:rPr>
          <w:iCs/>
        </w:rPr>
        <w:tab/>
      </w:r>
      <w:r w:rsidR="00A327D9">
        <w:t xml:space="preserve">In the event that a resettlement CRRBA Invoice is required, </w:t>
      </w:r>
      <w:bookmarkStart w:id="323" w:name="_Toc314466033"/>
      <w:r w:rsidR="00A327D9">
        <w:t>payments for the resettlement CRRBA</w:t>
      </w:r>
      <w:r w:rsidR="00A327D9" w:rsidRPr="00F31353">
        <w:t xml:space="preserve"> </w:t>
      </w:r>
      <w:r w:rsidR="00A327D9">
        <w:t xml:space="preserve">Invoice are due on a Business Day and Bank Business Day basis in a two-day, two-step process as detailed below in Section 9.13.2.1, Invoice Recipient </w:t>
      </w:r>
      <w:r w:rsidR="00A327D9" w:rsidRPr="005D6650">
        <w:t>Payment</w:t>
      </w:r>
      <w:r w:rsidR="00A327D9">
        <w:t xml:space="preserve"> to ERCOT</w:t>
      </w:r>
      <w:r w:rsidR="00A327D9" w:rsidRPr="005D6650">
        <w:t xml:space="preserve"> for Resettlement of the CRR</w:t>
      </w:r>
      <w:r w:rsidR="005125D9">
        <w:t xml:space="preserve"> Balancing Account</w:t>
      </w:r>
      <w:r w:rsidR="00A327D9">
        <w:t xml:space="preserve">. </w:t>
      </w:r>
    </w:p>
    <w:p w14:paraId="38413DFB" w14:textId="77777777" w:rsidR="00A327D9" w:rsidRPr="005125D9" w:rsidRDefault="00A327D9" w:rsidP="005125D9">
      <w:pPr>
        <w:pStyle w:val="H4"/>
      </w:pPr>
      <w:bookmarkStart w:id="324" w:name="_Toc405814052"/>
      <w:bookmarkStart w:id="325" w:name="_Toc422207942"/>
      <w:bookmarkStart w:id="326" w:name="_Toc438044853"/>
      <w:bookmarkStart w:id="327" w:name="_Toc447622636"/>
      <w:bookmarkStart w:id="328" w:name="_Toc80175286"/>
      <w:bookmarkEnd w:id="323"/>
      <w:r w:rsidRPr="005125D9">
        <w:t>9.13.2.1</w:t>
      </w:r>
      <w:r w:rsidRPr="005125D9">
        <w:tab/>
        <w:t>Invoice Recipient Payment to ERCOT</w:t>
      </w:r>
      <w:r w:rsidRPr="005125D9">
        <w:rPr>
          <w:b w:val="0"/>
        </w:rPr>
        <w:t xml:space="preserve"> </w:t>
      </w:r>
      <w:r w:rsidRPr="005125D9">
        <w:t>for Resettlement of the CRR Balancing Account</w:t>
      </w:r>
      <w:bookmarkEnd w:id="324"/>
      <w:bookmarkEnd w:id="325"/>
      <w:bookmarkEnd w:id="326"/>
      <w:bookmarkEnd w:id="327"/>
      <w:bookmarkEnd w:id="328"/>
    </w:p>
    <w:p w14:paraId="39F3863F" w14:textId="77777777" w:rsidR="00A327D9" w:rsidRDefault="00A327D9" w:rsidP="00A327D9">
      <w:pPr>
        <w:pStyle w:val="BodyTextNumbered"/>
      </w:pPr>
      <w:r>
        <w:t>(1)</w:t>
      </w:r>
      <w:r>
        <w:tab/>
        <w:t>The payment due date and time for the resettlement CRRBA Invoice, with funds owed by an Invoice Recipient, is 1700 on the fifth Bank Business Day after the resettlement CRRBA Invoice date, unless the fifth</w:t>
      </w:r>
      <w:r>
        <w:rPr>
          <w:vertAlign w:val="superscript"/>
        </w:rPr>
        <w:t xml:space="preserve"> </w:t>
      </w:r>
      <w:r>
        <w:t>Bank Business Day is not a Business Day.  If the fifth Bank Business Day is not a Business Day, the payment is due by 1700 on the next Bank Business Day after the fifth Bank Business Day that is also a Business Day.</w:t>
      </w:r>
    </w:p>
    <w:p w14:paraId="4E720457" w14:textId="77777777" w:rsidR="00A327D9" w:rsidRDefault="00A327D9" w:rsidP="0070210E">
      <w:pPr>
        <w:pStyle w:val="List"/>
        <w:ind w:left="720"/>
      </w:pPr>
      <w:r>
        <w:lastRenderedPageBreak/>
        <w:t>(2)</w:t>
      </w:r>
      <w:r>
        <w:tab/>
        <w:t xml:space="preserve">All resettlement CRRBA Invoices due, with funds owed by an Invoice Recipient, must be paid to ERCOT in U.S. Dollars (USDs) by Electronic Funds Transfer (EFT) in immediately available or good funds (i.e., not subject to reversal) on or before the payment due date. </w:t>
      </w:r>
    </w:p>
    <w:p w14:paraId="6E159ABE" w14:textId="77777777" w:rsidR="00A327D9" w:rsidRPr="005125D9" w:rsidRDefault="00A327D9" w:rsidP="00F55173">
      <w:pPr>
        <w:pStyle w:val="H4"/>
      </w:pPr>
      <w:bookmarkStart w:id="329" w:name="_Toc405814053"/>
      <w:bookmarkStart w:id="330" w:name="_Toc422207943"/>
      <w:bookmarkStart w:id="331" w:name="_Toc438044854"/>
      <w:bookmarkStart w:id="332" w:name="_Toc447622637"/>
      <w:bookmarkStart w:id="333" w:name="_Toc80175287"/>
      <w:r w:rsidRPr="005125D9">
        <w:t>9.13.2.2</w:t>
      </w:r>
      <w:r w:rsidRPr="005125D9">
        <w:tab/>
        <w:t>ERCOT Payment to Invoice Recipients for Resettlement of the CRR Balancing Account</w:t>
      </w:r>
      <w:bookmarkEnd w:id="329"/>
      <w:bookmarkEnd w:id="330"/>
      <w:bookmarkEnd w:id="331"/>
      <w:bookmarkEnd w:id="332"/>
      <w:bookmarkEnd w:id="333"/>
    </w:p>
    <w:p w14:paraId="4DDE53B3" w14:textId="77777777" w:rsidR="00A327D9" w:rsidRDefault="00A327D9" w:rsidP="00A327D9">
      <w:pPr>
        <w:pStyle w:val="BodyTextNumbered"/>
      </w:pPr>
      <w:r>
        <w:t>(1)</w:t>
      </w:r>
      <w:r>
        <w:tab/>
        <w:t>Resettlement CRRBA Invoices with funds owed to an Invoice Recipient must be paid by ERCOT to the Invoice Recipient by 1700 on the next day that is both a Business Day and a Bank Business Day after the day that payments are due for that resettlement CRRBA Invoice as described in paragraph (1) of Section 9.13.2.1, Invoice Recipient Payment to ERCOT for Resettlement of CRR Balancing Accoun</w:t>
      </w:r>
      <w:r w:rsidRPr="0047609A">
        <w:t>t.</w:t>
      </w:r>
      <w:r>
        <w:t xml:space="preserve">  The Invoice Recipient payment to ERCOT for resettlement of the CRRBA </w:t>
      </w:r>
      <w:r w:rsidRPr="0047609A">
        <w:t>is</w:t>
      </w:r>
      <w:r>
        <w:t xml:space="preserve"> subject to ERCOT’s right to withhold payments under Section 16, Registration and Qualification of Market Participants.</w:t>
      </w:r>
    </w:p>
    <w:p w14:paraId="653DCA6C" w14:textId="77777777" w:rsidR="00A327D9" w:rsidRDefault="00A327D9" w:rsidP="00A327D9">
      <w:pPr>
        <w:pStyle w:val="BodyTextNumbered"/>
      </w:pPr>
      <w:r>
        <w:t>(2)</w:t>
      </w:r>
      <w:r>
        <w:tab/>
        <w:t xml:space="preserve">ERCOT shall give irrevocable instructions to the ERCOT financial institution to remit to each Invoice Recipient for same day value, the amounts owed to each Invoice Recipient. </w:t>
      </w:r>
    </w:p>
    <w:p w14:paraId="3BBF3351" w14:textId="77777777" w:rsidR="00A327D9" w:rsidRPr="005125D9" w:rsidRDefault="00A327D9" w:rsidP="00F55173">
      <w:pPr>
        <w:pStyle w:val="H4"/>
      </w:pPr>
      <w:bookmarkStart w:id="334" w:name="_Toc314466035"/>
      <w:bookmarkStart w:id="335" w:name="_Toc405814054"/>
      <w:bookmarkStart w:id="336" w:name="_Toc422207944"/>
      <w:bookmarkStart w:id="337" w:name="_Toc438044855"/>
      <w:bookmarkStart w:id="338" w:name="_Toc447622638"/>
      <w:bookmarkStart w:id="339" w:name="_Toc80175288"/>
      <w:r w:rsidRPr="005125D9">
        <w:t>9.13.2.3</w:t>
      </w:r>
      <w:r w:rsidRPr="00CC2C42">
        <w:tab/>
      </w:r>
      <w:bookmarkEnd w:id="334"/>
      <w:r w:rsidRPr="005125D9">
        <w:t>Partial Payments by Invoice Recipients for Resettlement of CRR Balancing Account</w:t>
      </w:r>
      <w:bookmarkEnd w:id="335"/>
      <w:bookmarkEnd w:id="336"/>
      <w:bookmarkEnd w:id="337"/>
      <w:bookmarkEnd w:id="338"/>
      <w:bookmarkEnd w:id="339"/>
    </w:p>
    <w:p w14:paraId="31208577" w14:textId="77777777" w:rsidR="00A327D9" w:rsidRDefault="00A327D9" w:rsidP="00A327D9">
      <w:pPr>
        <w:pStyle w:val="ListIntroduction"/>
        <w:ind w:left="720" w:hanging="720"/>
      </w:pPr>
      <w:r>
        <w:t>(1)</w:t>
      </w:r>
      <w:r>
        <w:tab/>
        <w:t>If at least one Invoice Recipient owing funds does not pay its resettlement CRRBA Invoice in full (</w:t>
      </w:r>
      <w:proofErr w:type="gramStart"/>
      <w:r>
        <w:t>short-pay</w:t>
      </w:r>
      <w:proofErr w:type="gramEnd"/>
      <w:r>
        <w:t>), ERCOT shall follow the procedure set forth below:</w:t>
      </w:r>
    </w:p>
    <w:p w14:paraId="47ACF44E" w14:textId="77777777" w:rsidR="00A327D9" w:rsidRDefault="00A327D9" w:rsidP="00A327D9">
      <w:pPr>
        <w:pStyle w:val="List"/>
      </w:pPr>
      <w:r>
        <w:t>(a)</w:t>
      </w:r>
      <w:r>
        <w:tab/>
        <w:t xml:space="preserve">ERCOT shall make every reasonable attempt to collect payment from each short-paying Invoice Recipient before any payments owed by ERCOT for that month’s distribution of resettlement CRRBA revenues is due to be paid to applicable Invoice Recipient(s). </w:t>
      </w:r>
    </w:p>
    <w:p w14:paraId="51253884" w14:textId="77777777" w:rsidR="00A327D9" w:rsidRDefault="00A327D9" w:rsidP="00A327D9">
      <w:pPr>
        <w:pStyle w:val="List"/>
      </w:pPr>
      <w:r>
        <w:t>(b)</w:t>
      </w:r>
      <w:r>
        <w:tab/>
      </w:r>
      <w:r w:rsidR="00E82827">
        <w:t xml:space="preserve">ERCOT shall draw on any available security pledged to ERCOT by each short-paying Invoice Recipient that did not pay the amount due under paragraph (a) above.  If the amount of any such draw is greater than the amount of </w:t>
      </w:r>
      <w:r w:rsidR="00E82827" w:rsidRPr="00BF0D35">
        <w:t xml:space="preserve">the short-paying Invoice Recipient’s </w:t>
      </w:r>
      <w:r w:rsidR="00E82827">
        <w:t xml:space="preserve">cash collateral held </w:t>
      </w:r>
      <w:proofErr w:type="gramStart"/>
      <w:r w:rsidR="00E82827">
        <w:t>in excess of</w:t>
      </w:r>
      <w:proofErr w:type="gramEnd"/>
      <w:r w:rsidR="00E82827">
        <w:t xml:space="preserve"> that required to cover its Total Potential Exposure (TPE) (“Excess Collateral”), then a draw on available security for a short-paying Invoice Recipient shall be considered a Late Payment for purposes of Section 16.11.6, Payment Breach and Late Payments by Market Participants.</w:t>
      </w:r>
    </w:p>
    <w:p w14:paraId="7C17355B" w14:textId="77777777" w:rsidR="00A327D9" w:rsidRDefault="00A327D9" w:rsidP="00F55173">
      <w:pPr>
        <w:pStyle w:val="List"/>
      </w:pPr>
      <w:r>
        <w:t>(c)</w:t>
      </w:r>
      <w:r>
        <w:tab/>
        <w:t>ERCOT shall offset or recoup any amounts owed, or to be owed, by ERCOT to a short-paying Invoice Recipient against amounts not paid by that Invoice Recipient and ERCOT shall apply the amount offset or recouped to cover payment shortages by that Invoice Recipient.</w:t>
      </w:r>
    </w:p>
    <w:p w14:paraId="2166D1C1" w14:textId="77777777" w:rsidR="00A327D9" w:rsidRDefault="00A327D9" w:rsidP="00A327D9">
      <w:pPr>
        <w:pStyle w:val="BodyTextNumbered"/>
        <w:ind w:left="1440"/>
      </w:pPr>
      <w:r>
        <w:rPr>
          <w:rFonts w:ascii="TimesNewRomanPSMT" w:hAnsi="TimesNewRomanPSMT"/>
          <w:iCs/>
        </w:rPr>
        <w:t>(d)</w:t>
      </w:r>
      <w:r>
        <w:rPr>
          <w:rFonts w:ascii="TimesNewRomanPSMT" w:hAnsi="TimesNewRomanPSMT"/>
          <w:iCs/>
        </w:rPr>
        <w:tab/>
        <w:t xml:space="preserve">If, after taking the actions set forth in paragraphs (a), (b) and (c) above, ERCOT still does not have sufficient funds to pay all amounts that it owes to </w:t>
      </w:r>
      <w:r>
        <w:t xml:space="preserve">resettlement </w:t>
      </w:r>
      <w:r>
        <w:lastRenderedPageBreak/>
        <w:t>CRRBA</w:t>
      </w:r>
      <w:r>
        <w:rPr>
          <w:rFonts w:ascii="TimesNewRomanPSMT" w:hAnsi="TimesNewRomanPSMT"/>
          <w:iCs/>
        </w:rPr>
        <w:t xml:space="preserve"> Invoice Recipients in full, ERCOT shall reduce payments to all </w:t>
      </w:r>
      <w:r>
        <w:t>resettlement CRRBA</w:t>
      </w:r>
      <w:r>
        <w:rPr>
          <w:rFonts w:ascii="TimesNewRomanPSMT" w:hAnsi="TimesNewRomanPSMT"/>
          <w:iCs/>
        </w:rPr>
        <w:t xml:space="preserve"> Invoice Recipients owed monies from ERCOT.  The reductions shall be based on a pro rata basis of monies owed to each </w:t>
      </w:r>
      <w:r>
        <w:t>resettlement CRRBA</w:t>
      </w:r>
      <w:r>
        <w:rPr>
          <w:rFonts w:ascii="TimesNewRomanPSMT" w:hAnsi="TimesNewRomanPSMT"/>
          <w:iCs/>
        </w:rPr>
        <w:t xml:space="preserve"> Invoice Recipient, to the extent necessary to clear ERCOT’s accounts on the payment due date to achieve revenue neutrality for ERCOT.  ERCOT shall provide to all Market Participants payment details on all short payments and subsequent reimbursements of short pays.  Details must include the identity of each short-paying Invoice Recipient and the dollar amount attributable to that Invoice Recipient, broken down by Invoice numbers.  In addition, ERCOT shall provide the aggregate total of all amounts due to all Invoice Recipients before applying the amount not paid on the </w:t>
      </w:r>
      <w:r>
        <w:t>resettlement CRRBA</w:t>
      </w:r>
      <w:r>
        <w:rPr>
          <w:rFonts w:ascii="TimesNewRomanPSMT" w:hAnsi="TimesNewRomanPSMT"/>
          <w:iCs/>
        </w:rPr>
        <w:t xml:space="preserve"> Invoice.</w:t>
      </w:r>
    </w:p>
    <w:p w14:paraId="0089AFF6" w14:textId="77777777" w:rsidR="002F5868" w:rsidRDefault="00DD1AC6">
      <w:pPr>
        <w:pStyle w:val="H2"/>
      </w:pPr>
      <w:bookmarkStart w:id="340" w:name="_Toc309731079"/>
      <w:bookmarkStart w:id="341" w:name="_Toc405814055"/>
      <w:bookmarkStart w:id="342" w:name="_Toc422207945"/>
      <w:bookmarkStart w:id="343" w:name="_Toc438044856"/>
      <w:bookmarkStart w:id="344" w:name="_Toc447622639"/>
      <w:bookmarkStart w:id="345" w:name="_Toc80175289"/>
      <w:r>
        <w:t>9.14</w:t>
      </w:r>
      <w:r>
        <w:tab/>
        <w:t>Settlement and Billing Dispute Process</w:t>
      </w:r>
      <w:bookmarkEnd w:id="340"/>
      <w:bookmarkEnd w:id="341"/>
      <w:bookmarkEnd w:id="342"/>
      <w:bookmarkEnd w:id="343"/>
      <w:bookmarkEnd w:id="344"/>
      <w:bookmarkEnd w:id="345"/>
    </w:p>
    <w:p w14:paraId="3D30117C" w14:textId="77777777" w:rsidR="002F5868" w:rsidRPr="008910B8" w:rsidRDefault="00DD1AC6">
      <w:pPr>
        <w:pStyle w:val="H3"/>
        <w:rPr>
          <w:b/>
          <w:i/>
        </w:rPr>
      </w:pPr>
      <w:bookmarkStart w:id="346" w:name="_Toc309731080"/>
      <w:bookmarkStart w:id="347" w:name="_Toc405814056"/>
      <w:bookmarkStart w:id="348" w:name="_Toc422207946"/>
      <w:bookmarkStart w:id="349" w:name="_Toc438044857"/>
      <w:bookmarkStart w:id="350" w:name="_Toc447622640"/>
      <w:bookmarkStart w:id="351" w:name="_Toc80175290"/>
      <w:r w:rsidRPr="008910B8">
        <w:rPr>
          <w:b/>
          <w:i/>
        </w:rPr>
        <w:t>9.14.1</w:t>
      </w:r>
      <w:r w:rsidRPr="008910B8">
        <w:rPr>
          <w:b/>
          <w:i/>
        </w:rPr>
        <w:tab/>
        <w:t>Data Review, Validation, Confirmation, and Dispute of Settlement Statements</w:t>
      </w:r>
      <w:bookmarkEnd w:id="346"/>
      <w:bookmarkEnd w:id="347"/>
      <w:bookmarkEnd w:id="348"/>
      <w:bookmarkEnd w:id="349"/>
      <w:bookmarkEnd w:id="350"/>
      <w:bookmarkEnd w:id="351"/>
    </w:p>
    <w:p w14:paraId="781BA6D3" w14:textId="4D191507" w:rsidR="002F5868" w:rsidRDefault="00A0123C" w:rsidP="00660ED3">
      <w:pPr>
        <w:pStyle w:val="BodyTextNumbered"/>
      </w:pPr>
      <w:r>
        <w:t>(1)</w:t>
      </w:r>
      <w:r>
        <w:tab/>
      </w:r>
      <w:r w:rsidR="00DF5A03">
        <w:t xml:space="preserve">Settlement </w:t>
      </w:r>
      <w:r w:rsidR="00DD1AC6">
        <w:t>Statement Recipients and Invoice Recipients for the Day-Ahead Market (DAM)</w:t>
      </w:r>
      <w:r w:rsidR="00DF5A03">
        <w:t xml:space="preserve">, </w:t>
      </w:r>
      <w:r w:rsidR="00DD1AC6">
        <w:t>Real-Time Market (RTM)</w:t>
      </w:r>
      <w:r w:rsidR="00DF5A03">
        <w:t>, and Congestion Revenue Right (CRR) Auction</w:t>
      </w:r>
      <w:r w:rsidR="00DD1AC6">
        <w:t xml:space="preserve"> are responsible for reviewing their Settlement Statements and Settlement Invoices to verify the accuracy of the data used to produce them.  </w:t>
      </w:r>
      <w:r w:rsidRPr="00A47FD4">
        <w:t xml:space="preserve">Other than disputes related to resettlement arising from a completed Alternative Dispute Resolution (ADR) proceeding, </w:t>
      </w:r>
      <w:r w:rsidR="00DF5A03">
        <w:t xml:space="preserve">Settlement </w:t>
      </w:r>
      <w:r w:rsidR="00DD1AC6">
        <w:t>Statement Recipients and Invoice Recipients must submit any dispute related to a Settlement Statement or Settlement Invoice pursuant to this Section.</w:t>
      </w:r>
      <w:r w:rsidRPr="00A0123C">
        <w:t xml:space="preserve"> </w:t>
      </w:r>
      <w:r>
        <w:t xml:space="preserve"> </w:t>
      </w:r>
      <w:r w:rsidRPr="00A47FD4">
        <w:t>A Market Participant who wishes to dispute a resettlement arising from a completed ADR proceeding must appeal ERCOT’s disposition of that proceeding in accordance with paragraph (</w:t>
      </w:r>
      <w:r w:rsidR="003A7B7F">
        <w:t>4</w:t>
      </w:r>
      <w:r w:rsidRPr="00A47FD4">
        <w:t>) of Section 20.</w:t>
      </w:r>
      <w:r w:rsidR="00A46174">
        <w:t>9</w:t>
      </w:r>
      <w:r w:rsidRPr="00A47FD4">
        <w:t>, Resolution of Alternative Dispute Resolution Proceedings and Notification to Market Participants.</w:t>
      </w:r>
    </w:p>
    <w:p w14:paraId="57DBDDB8" w14:textId="77777777" w:rsidR="002F5868" w:rsidRPr="008910B8" w:rsidRDefault="00DD1AC6">
      <w:pPr>
        <w:pStyle w:val="H3"/>
        <w:rPr>
          <w:b/>
          <w:i/>
        </w:rPr>
      </w:pPr>
      <w:bookmarkStart w:id="352" w:name="_Toc309731081"/>
      <w:bookmarkStart w:id="353" w:name="_Toc405814057"/>
      <w:bookmarkStart w:id="354" w:name="_Toc422207947"/>
      <w:bookmarkStart w:id="355" w:name="_Toc438044858"/>
      <w:bookmarkStart w:id="356" w:name="_Toc447622641"/>
      <w:bookmarkStart w:id="357" w:name="_Toc80175291"/>
      <w:r w:rsidRPr="008910B8">
        <w:rPr>
          <w:b/>
          <w:i/>
        </w:rPr>
        <w:t>9.14.2</w:t>
      </w:r>
      <w:r w:rsidRPr="008910B8">
        <w:rPr>
          <w:b/>
          <w:i/>
        </w:rPr>
        <w:tab/>
        <w:t>Notice of Dispute</w:t>
      </w:r>
      <w:bookmarkEnd w:id="352"/>
      <w:bookmarkEnd w:id="353"/>
      <w:bookmarkEnd w:id="354"/>
      <w:bookmarkEnd w:id="355"/>
      <w:bookmarkEnd w:id="356"/>
      <w:bookmarkEnd w:id="357"/>
    </w:p>
    <w:p w14:paraId="28D5B96E" w14:textId="77777777" w:rsidR="002F5868" w:rsidRDefault="00DD1AC6">
      <w:pPr>
        <w:pStyle w:val="BodyTextNumbered"/>
      </w:pPr>
      <w:r>
        <w:t>(1)</w:t>
      </w:r>
      <w:r>
        <w:tab/>
        <w:t xml:space="preserve">A Settlement Statement Recipient may dispute items or calculations in the most recently issued Settlement Statement for an Operating Day, except as limited for RTM True-Up Statements in paragraph (3) below.  The dispute will apply to the Operating Day in question, not to the associated Settlement Statement.  The Market Participant must enter the Settlement and billing dispute electronically through the ERCOT dispute tool provided on the Market Information System (MIS) Certified Area.  In processing disputes under this Section, ERCOT will analyze the latest Settlement Statement issued.    </w:t>
      </w:r>
    </w:p>
    <w:p w14:paraId="2A3785C8" w14:textId="77777777" w:rsidR="002F5868" w:rsidRDefault="00082CB5">
      <w:pPr>
        <w:pStyle w:val="BodyTextNumbered"/>
      </w:pPr>
      <w:r w:rsidRPr="00A06E01">
        <w:rPr>
          <w:iCs/>
        </w:rPr>
        <w:t>(2)</w:t>
      </w:r>
      <w:r w:rsidRPr="00A06E01">
        <w:rPr>
          <w:iCs/>
        </w:rPr>
        <w:tab/>
        <w:t>An Invoice Recipient may dispute elements of an Invoice that are not the result of a Settlement Statement that are contained on the Invoice.  The Invoice Recipient must file the Invoice dispute within ten Business Days of the date on which ERCOT posted the Invoice.</w:t>
      </w:r>
    </w:p>
    <w:p w14:paraId="2F1414D0" w14:textId="77777777" w:rsidR="002F5868" w:rsidRDefault="00DD1AC6" w:rsidP="00DF5A03">
      <w:pPr>
        <w:pStyle w:val="BodyTextNumbered"/>
      </w:pPr>
      <w:r>
        <w:t>(3)</w:t>
      </w:r>
      <w:r>
        <w:tab/>
        <w:t xml:space="preserve">The </w:t>
      </w:r>
      <w:r w:rsidR="00DF5A03">
        <w:t xml:space="preserve">Settlement </w:t>
      </w:r>
      <w:r>
        <w:t xml:space="preserve">Statement Recipient is deemed to have validated each RTM True-Up Statement or Resettlement Statement arising from the True-Up Statement unless it has </w:t>
      </w:r>
      <w:r>
        <w:lastRenderedPageBreak/>
        <w:t xml:space="preserve">raised a Settlement and billing dispute or reported an exception within ten Business Days of the date on which ERCOT issued the Settlement Statement.  With respect to an RTM True-Up Statement or any subsequent Resettlement Statement after ERCOT issued the True-Up Statement, ERCOT will consider only Settlement and billing disputes associated with incremental changes between the RTM True-Up Statement or Resettlement Statement, and the most recent previous Settlement Statement for that Operating Day.  The </w:t>
      </w:r>
      <w:r w:rsidR="00DF5A03">
        <w:t xml:space="preserve">Settlement </w:t>
      </w:r>
      <w:r>
        <w:t xml:space="preserve">Statement Recipient may recover only the amounts associated with the incremental monetary change between the prior </w:t>
      </w:r>
      <w:r w:rsidR="00DF5A03">
        <w:t>s</w:t>
      </w:r>
      <w:r>
        <w:t xml:space="preserve">tatement and the </w:t>
      </w:r>
      <w:r w:rsidR="00DF5A03">
        <w:t>s</w:t>
      </w:r>
      <w:r>
        <w:t xml:space="preserve">tatement from which the dispute arose.  ERCOT shall reject late-filed Settlement and billing disputes.  Once the deadline for filing a dispute has passed, </w:t>
      </w:r>
      <w:r w:rsidR="00DF5A03">
        <w:t>the</w:t>
      </w:r>
      <w:r>
        <w:t xml:space="preserve"> RTM True-Up Statement binds the </w:t>
      </w:r>
      <w:r w:rsidR="005C29D8">
        <w:t xml:space="preserve">Settlement </w:t>
      </w:r>
      <w:r>
        <w:t xml:space="preserve">Statement Recipient to which it relates unless ERCOT issues a subsequent Resettlement Statement pursuant to this Section.    </w:t>
      </w:r>
    </w:p>
    <w:p w14:paraId="306F2A28" w14:textId="77777777" w:rsidR="002F5868" w:rsidRDefault="00DD1AC6">
      <w:pPr>
        <w:pStyle w:val="BodyTextNumbered"/>
      </w:pPr>
      <w:r>
        <w:t>(</w:t>
      </w:r>
      <w:r w:rsidR="00DF5A03">
        <w:t>4</w:t>
      </w:r>
      <w:r>
        <w:t>)</w:t>
      </w:r>
      <w:r>
        <w:tab/>
        <w:t xml:space="preserve">ERCOT shall reject Settlement and billing disputes for a given Operating Day during the 20 Business Days before the scheduled date for issuance of the RTM True-Up Statement for that Operating Day. </w:t>
      </w:r>
    </w:p>
    <w:p w14:paraId="33B11C05" w14:textId="77777777" w:rsidR="002F5868" w:rsidRDefault="00DD1AC6">
      <w:pPr>
        <w:pStyle w:val="BodyTextNumbered"/>
      </w:pPr>
      <w:r>
        <w:t>(</w:t>
      </w:r>
      <w:r w:rsidR="00DF5A03">
        <w:t>5</w:t>
      </w:r>
      <w:r>
        <w:t>)</w:t>
      </w:r>
      <w:r>
        <w:tab/>
        <w:t>However, to the extent a disputing party claims that the Settlement or billing dispute relates to information made available under Section 1.3.3, Expiration of Confidentiality, the disputing party must register the Settlement and billing dispute with ERCOT by electronic means within 60 days after the date the information became available.  All communication to and from ERCOT concerning disputes must be made through either the MIS Certified Area or other electronic communication.</w:t>
      </w:r>
    </w:p>
    <w:p w14:paraId="2C8CBD57" w14:textId="77777777" w:rsidR="00DF5A03" w:rsidRDefault="00DF5A03" w:rsidP="00DF5A03">
      <w:pPr>
        <w:pStyle w:val="BodyTextNumbered"/>
      </w:pPr>
      <w:r>
        <w:t>(6)</w:t>
      </w:r>
      <w:r>
        <w:tab/>
        <w:t>The Settlement Statement Recipient is deemed to have validated each DAM Settlement or Resettlement Statement unless it has raised a Settlement and billing dispute or reported an exception within ten Business Days of the date on which ERCOT issued the Settlement or Resettlement Statement.  With respect to a DAM Resettlement Statement, ERCOT will consider only Settlement and billing disputes associated with incremental changes between the DAM Resettlement Statement and the most recent previous Settlement Statement for that Operating Day.  The Settlement Statement Recipient may recover only the amounts associated with the incremental monetary change between the prior statement and the statement from which the dispute arose.  ERCOT shall reject late-filed Settlement and billing disputes.  Once the deadline for filing a dispute has passed, a DAM Statement binds the Settlement Statement Recipient to which it relates unless ERCOT issues a subsequent Resettlement Statement.</w:t>
      </w:r>
    </w:p>
    <w:p w14:paraId="2E487E0F" w14:textId="1A5D5862" w:rsidR="00DF5A03" w:rsidRDefault="00DF5A03" w:rsidP="00DF5A03">
      <w:pPr>
        <w:pStyle w:val="BodyTextNumbered"/>
      </w:pPr>
      <w:r>
        <w:t>(7)</w:t>
      </w:r>
      <w:r>
        <w:tab/>
        <w:t xml:space="preserve">A CRR Auction </w:t>
      </w:r>
      <w:r w:rsidRPr="00C05B64">
        <w:t>Invoice</w:t>
      </w:r>
      <w:r>
        <w:t xml:space="preserve">, CRR Auction Revenue Distribution (CARD) Invoice, or CRR Balancing Account </w:t>
      </w:r>
      <w:r w:rsidR="00A16DB0">
        <w:t xml:space="preserve">(CRRBA) </w:t>
      </w:r>
      <w:r>
        <w:t xml:space="preserve">Invoice </w:t>
      </w:r>
      <w:r w:rsidRPr="00C05B64">
        <w:t>Recipient</w:t>
      </w:r>
      <w:r>
        <w:t xml:space="preserve"> </w:t>
      </w:r>
      <w:r w:rsidRPr="00C05B64">
        <w:t xml:space="preserve">may dispute elements of an Invoice that are contained on the Invoice.  The Invoice Recipient must file the </w:t>
      </w:r>
      <w:r>
        <w:t xml:space="preserve">CRR </w:t>
      </w:r>
      <w:r w:rsidRPr="00C05B64">
        <w:t>Invoice dispute within ten Business Days of the date on which ERCOT posted the Invoice.</w:t>
      </w:r>
    </w:p>
    <w:p w14:paraId="2E18DBEB" w14:textId="77777777" w:rsidR="002F5868" w:rsidRPr="008910B8" w:rsidRDefault="00DD1AC6">
      <w:pPr>
        <w:pStyle w:val="H3"/>
        <w:rPr>
          <w:b/>
          <w:i/>
        </w:rPr>
      </w:pPr>
      <w:bookmarkStart w:id="358" w:name="_Toc309731082"/>
      <w:bookmarkStart w:id="359" w:name="_Toc405814058"/>
      <w:bookmarkStart w:id="360" w:name="_Toc422207948"/>
      <w:bookmarkStart w:id="361" w:name="_Toc438044859"/>
      <w:bookmarkStart w:id="362" w:name="_Toc447622642"/>
      <w:bookmarkStart w:id="363" w:name="_Toc80175292"/>
      <w:r w:rsidRPr="008910B8">
        <w:rPr>
          <w:b/>
          <w:i/>
        </w:rPr>
        <w:t>9.14.3</w:t>
      </w:r>
      <w:r w:rsidRPr="008910B8">
        <w:rPr>
          <w:b/>
          <w:i/>
        </w:rPr>
        <w:tab/>
        <w:t>Contents of Notice</w:t>
      </w:r>
      <w:bookmarkEnd w:id="358"/>
      <w:bookmarkEnd w:id="359"/>
      <w:bookmarkEnd w:id="360"/>
      <w:bookmarkEnd w:id="361"/>
      <w:bookmarkEnd w:id="362"/>
      <w:bookmarkEnd w:id="363"/>
    </w:p>
    <w:p w14:paraId="0AB99161" w14:textId="77777777" w:rsidR="002F5868" w:rsidRDefault="00DD1AC6">
      <w:pPr>
        <w:pStyle w:val="BodyTextNumbered"/>
      </w:pPr>
      <w:r>
        <w:t>(1)</w:t>
      </w:r>
      <w:r>
        <w:tab/>
        <w:t xml:space="preserve">ERCOT shall reject a dispute that does not contain the </w:t>
      </w:r>
      <w:r w:rsidR="00DF5A03">
        <w:t>data elements</w:t>
      </w:r>
      <w:r>
        <w:t xml:space="preserve"> listed in this Section.</w:t>
      </w:r>
    </w:p>
    <w:p w14:paraId="0C0AE2E6" w14:textId="77777777" w:rsidR="002F5868" w:rsidRDefault="00DD1AC6">
      <w:pPr>
        <w:pStyle w:val="BodyTextNumbered"/>
      </w:pPr>
      <w:r>
        <w:lastRenderedPageBreak/>
        <w:t>(2)</w:t>
      </w:r>
      <w:r>
        <w:tab/>
        <w:t>ERCOT shall provide automatic field population techniques or drop-down boxes for appropriate data elements below.  The notice of Settlement and billing dispute must state clearly:</w:t>
      </w:r>
    </w:p>
    <w:p w14:paraId="18AF4EEC" w14:textId="77777777" w:rsidR="002F5868" w:rsidRDefault="00DD1AC6">
      <w:pPr>
        <w:pStyle w:val="List"/>
      </w:pPr>
      <w:r>
        <w:t>(a)</w:t>
      </w:r>
      <w:r>
        <w:tab/>
        <w:t>Disputing Entity;</w:t>
      </w:r>
    </w:p>
    <w:p w14:paraId="18738483" w14:textId="77777777" w:rsidR="002F5868" w:rsidRDefault="00DD1AC6">
      <w:pPr>
        <w:pStyle w:val="List"/>
      </w:pPr>
      <w:r>
        <w:t>(b)</w:t>
      </w:r>
      <w:r>
        <w:tab/>
        <w:t>Dispute contact person(s);</w:t>
      </w:r>
    </w:p>
    <w:p w14:paraId="22AF41BA" w14:textId="77777777" w:rsidR="002F5868" w:rsidRDefault="00DD1AC6">
      <w:pPr>
        <w:pStyle w:val="List"/>
      </w:pPr>
      <w:r>
        <w:t>(c)</w:t>
      </w:r>
      <w:r>
        <w:tab/>
        <w:t>Dispute contact information;</w:t>
      </w:r>
    </w:p>
    <w:p w14:paraId="38792F86" w14:textId="77777777" w:rsidR="002F5868" w:rsidRDefault="00DD1AC6">
      <w:pPr>
        <w:pStyle w:val="List"/>
      </w:pPr>
      <w:r>
        <w:t>(d)</w:t>
      </w:r>
      <w:r>
        <w:tab/>
        <w:t xml:space="preserve">Operating Day </w:t>
      </w:r>
      <w:r w:rsidR="00DF5A03">
        <w:t xml:space="preserve">or Invoice date </w:t>
      </w:r>
      <w:r>
        <w:t>in dispute;</w:t>
      </w:r>
    </w:p>
    <w:p w14:paraId="1C20EEF0" w14:textId="77777777" w:rsidR="002F5868" w:rsidRDefault="00DD1AC6">
      <w:pPr>
        <w:pStyle w:val="List"/>
      </w:pPr>
      <w:r>
        <w:t>(</w:t>
      </w:r>
      <w:r w:rsidR="00DF5A03">
        <w:t>e</w:t>
      </w:r>
      <w:r>
        <w:t>)</w:t>
      </w:r>
      <w:r>
        <w:tab/>
        <w:t>Charge Type;</w:t>
      </w:r>
    </w:p>
    <w:p w14:paraId="367B3D10" w14:textId="77777777" w:rsidR="002F5868" w:rsidRDefault="00DD1AC6">
      <w:pPr>
        <w:pStyle w:val="List"/>
      </w:pPr>
      <w:r>
        <w:t>(</w:t>
      </w:r>
      <w:r w:rsidR="00DF5A03">
        <w:t>f</w:t>
      </w:r>
      <w:r>
        <w:t>)</w:t>
      </w:r>
      <w:r>
        <w:tab/>
        <w:t>Time period in dispute;</w:t>
      </w:r>
    </w:p>
    <w:p w14:paraId="30E25A6B" w14:textId="77777777" w:rsidR="002F5868" w:rsidRDefault="00DD1AC6">
      <w:pPr>
        <w:pStyle w:val="List"/>
      </w:pPr>
      <w:r>
        <w:t>(</w:t>
      </w:r>
      <w:r w:rsidR="00DF5A03">
        <w:t>g</w:t>
      </w:r>
      <w:r>
        <w:t>)</w:t>
      </w:r>
      <w:r>
        <w:tab/>
        <w:t>Amount in dispute;</w:t>
      </w:r>
    </w:p>
    <w:p w14:paraId="76B378E9" w14:textId="77777777" w:rsidR="002F5868" w:rsidRDefault="00DD1AC6">
      <w:pPr>
        <w:pStyle w:val="List"/>
      </w:pPr>
      <w:r>
        <w:t>(</w:t>
      </w:r>
      <w:r w:rsidR="00DF5A03">
        <w:t>h</w:t>
      </w:r>
      <w:r>
        <w:t>)</w:t>
      </w:r>
      <w:r>
        <w:tab/>
        <w:t>Settlement and billing dispute type; and</w:t>
      </w:r>
    </w:p>
    <w:p w14:paraId="5E326BC4" w14:textId="77777777" w:rsidR="002F5868" w:rsidRDefault="00DD1AC6">
      <w:pPr>
        <w:pStyle w:val="List"/>
      </w:pPr>
      <w:r>
        <w:t>(</w:t>
      </w:r>
      <w:r w:rsidR="00DF5A03">
        <w:t>i</w:t>
      </w:r>
      <w:r>
        <w:t>)</w:t>
      </w:r>
      <w:r>
        <w:tab/>
        <w:t>Reasons for the dispute.</w:t>
      </w:r>
    </w:p>
    <w:p w14:paraId="4F5D3869" w14:textId="77777777" w:rsidR="002F5868" w:rsidRDefault="00DD1AC6">
      <w:pPr>
        <w:pStyle w:val="BodyTextNumbered"/>
      </w:pPr>
      <w:r>
        <w:t>(3)</w:t>
      </w:r>
      <w:r>
        <w:tab/>
        <w:t xml:space="preserve">Each Settlement and billing dispute must specify an Operating Day </w:t>
      </w:r>
      <w:r w:rsidR="00DF5A03">
        <w:t xml:space="preserve">or Invoice date </w:t>
      </w:r>
      <w:r>
        <w:t xml:space="preserve">and a Charge Type.  If a condition causing a dispute affects multiple Operating Days or Charge Types, a Settlement Statement </w:t>
      </w:r>
      <w:r w:rsidR="005E45CD">
        <w:t xml:space="preserve">Recipient </w:t>
      </w:r>
      <w:r>
        <w:t>or Invoice Recipient may file a dispute form for each Charge Type for one or more Operating Days affected on a single dispute that are all in the same calendar month.</w:t>
      </w:r>
    </w:p>
    <w:p w14:paraId="4649F7CD" w14:textId="77777777" w:rsidR="002F5868" w:rsidRDefault="00DD1AC6">
      <w:pPr>
        <w:pStyle w:val="BodyTextNumbered"/>
      </w:pPr>
      <w:r>
        <w:t>(4)</w:t>
      </w:r>
      <w:r>
        <w:tab/>
        <w:t xml:space="preserve">A Settlement Statement </w:t>
      </w:r>
      <w:r w:rsidR="005E45CD">
        <w:t xml:space="preserve">Recipient </w:t>
      </w:r>
      <w:r>
        <w:t>or Invoice Recipient may pursue the dispute through any process provided by ERCOT for resolving differences in Settlement determinants.</w:t>
      </w:r>
    </w:p>
    <w:p w14:paraId="1EB43D48" w14:textId="77777777" w:rsidR="002F5868" w:rsidRDefault="00DD1AC6">
      <w:pPr>
        <w:pStyle w:val="BodyTextNumbered"/>
      </w:pPr>
      <w:r>
        <w:t>(5)</w:t>
      </w:r>
      <w:r>
        <w:tab/>
        <w:t>Forms for entering a Settlement and billing dispute must be provided on the MIS Certified Area.</w:t>
      </w:r>
    </w:p>
    <w:p w14:paraId="039FA36A" w14:textId="77777777" w:rsidR="002F5868" w:rsidRDefault="00DD1AC6">
      <w:pPr>
        <w:pStyle w:val="BodyTextNumbered"/>
      </w:pPr>
      <w:r>
        <w:t>(6)</w:t>
      </w:r>
      <w:r>
        <w:tab/>
        <w:t xml:space="preserve">The Market Participant must submit the Settlement and billing dispute to ERCOT with sufficient evidence to support the claim.  </w:t>
      </w:r>
    </w:p>
    <w:p w14:paraId="1E4CCC16" w14:textId="77777777" w:rsidR="002F5868" w:rsidRDefault="00DD1AC6">
      <w:pPr>
        <w:pStyle w:val="BodyTextNumbered"/>
      </w:pPr>
      <w:r>
        <w:t>(7)</w:t>
      </w:r>
      <w:r>
        <w:tab/>
        <w:t xml:space="preserve">The Market Participant must submit a dispute using an ERCOT-approved electronic format.  ERCOT shall provide a dispute tracking identifier to the </w:t>
      </w:r>
      <w:r w:rsidR="005E45CD">
        <w:t xml:space="preserve">Settlement </w:t>
      </w:r>
      <w:r>
        <w:t>Statement Recipient or Invoice Recipient.</w:t>
      </w:r>
    </w:p>
    <w:p w14:paraId="033E32C6" w14:textId="4BE49B39" w:rsidR="002F5868" w:rsidRPr="008910B8" w:rsidRDefault="00DD1AC6">
      <w:pPr>
        <w:pStyle w:val="H3"/>
        <w:rPr>
          <w:b/>
          <w:i/>
        </w:rPr>
      </w:pPr>
      <w:bookmarkStart w:id="364" w:name="_Toc309731083"/>
      <w:bookmarkStart w:id="365" w:name="_Toc405814059"/>
      <w:bookmarkStart w:id="366" w:name="_Toc422207949"/>
      <w:bookmarkStart w:id="367" w:name="_Toc438044860"/>
      <w:bookmarkStart w:id="368" w:name="_Toc447622643"/>
      <w:bookmarkStart w:id="369" w:name="_Toc80175293"/>
      <w:r w:rsidRPr="008910B8">
        <w:rPr>
          <w:b/>
          <w:i/>
        </w:rPr>
        <w:t>9.14.4</w:t>
      </w:r>
      <w:r w:rsidRPr="008910B8">
        <w:rPr>
          <w:b/>
          <w:i/>
        </w:rPr>
        <w:tab/>
        <w:t>ERCOT Processing of Disputes</w:t>
      </w:r>
      <w:bookmarkEnd w:id="364"/>
      <w:bookmarkEnd w:id="365"/>
      <w:bookmarkEnd w:id="366"/>
      <w:bookmarkEnd w:id="367"/>
      <w:bookmarkEnd w:id="368"/>
      <w:bookmarkEnd w:id="369"/>
    </w:p>
    <w:p w14:paraId="042E940D" w14:textId="77777777" w:rsidR="002F5868" w:rsidRDefault="00DD1AC6">
      <w:pPr>
        <w:pStyle w:val="BodyTextNumbered"/>
      </w:pPr>
      <w:r>
        <w:t>(1)</w:t>
      </w:r>
      <w:r>
        <w:tab/>
        <w:t>ERCOT shall process disputes in accordance with this Section, Section 9.14.2, Notice of Dispute, and the required data in Section 9.14.3, Contents of Notice.</w:t>
      </w:r>
    </w:p>
    <w:p w14:paraId="09F25A18" w14:textId="77777777" w:rsidR="002F5868" w:rsidRDefault="00DD1AC6">
      <w:pPr>
        <w:pStyle w:val="BodyTextNumbered"/>
      </w:pPr>
      <w:r>
        <w:t>(2)</w:t>
      </w:r>
      <w:r>
        <w:tab/>
        <w:t xml:space="preserve">If ERCOT requires additional data to resolve the dispute, ERCOT shall send the </w:t>
      </w:r>
      <w:r w:rsidR="00A739B7">
        <w:t xml:space="preserve">Settlement </w:t>
      </w:r>
      <w:r>
        <w:t xml:space="preserve">Statement </w:t>
      </w:r>
      <w:r w:rsidR="00A739B7">
        <w:t xml:space="preserve">Recipient </w:t>
      </w:r>
      <w:r>
        <w:t xml:space="preserve">or Invoice Recipient a list of the required additional data </w:t>
      </w:r>
      <w:r>
        <w:lastRenderedPageBreak/>
        <w:t xml:space="preserve">within seven Business Days of the date the dispute was filed.  The </w:t>
      </w:r>
      <w:r w:rsidR="00A739B7">
        <w:t xml:space="preserve">Settlement </w:t>
      </w:r>
      <w:r>
        <w:t>Statement</w:t>
      </w:r>
      <w:r w:rsidR="00A739B7">
        <w:t xml:space="preserve"> Recipient</w:t>
      </w:r>
      <w:r>
        <w:t xml:space="preserve"> or Invoice Recipient shall respond with the entire set of required data within five Business Days of ERCOT’s request or by a date agreed upon by ERCOT and the Market Participant that is no later than eight Business Days prior to the posting of the True-Up Settlement Statement for the disputed Operating Day.  If ERCOT does not receive the data within that time frame, ERCOT shall deny the dispute.</w:t>
      </w:r>
    </w:p>
    <w:p w14:paraId="31770B00" w14:textId="77777777" w:rsidR="002F5868" w:rsidRDefault="00DD1AC6">
      <w:pPr>
        <w:pStyle w:val="BodyTextNumbered"/>
      </w:pPr>
      <w:r>
        <w:t>(3)</w:t>
      </w:r>
      <w:r>
        <w:tab/>
        <w:t xml:space="preserve">On each Business Day, ERCOT shall issue an aggregated Settlement and </w:t>
      </w:r>
      <w:r w:rsidR="00A739B7">
        <w:t>b</w:t>
      </w:r>
      <w:r>
        <w:t xml:space="preserve">illing dispute resolution report on the MIS Secure Area containing information related to all disputes that are not yet closed or that have been closed recently.  Additionally, on each Business Day and for each </w:t>
      </w:r>
      <w:r w:rsidR="00A739B7">
        <w:t xml:space="preserve">Settlement </w:t>
      </w:r>
      <w:r>
        <w:t>Statement</w:t>
      </w:r>
      <w:r w:rsidR="00A739B7">
        <w:t xml:space="preserve"> Recipient</w:t>
      </w:r>
      <w:r>
        <w:t xml:space="preserve"> or Invoice Recipient, ERCOT shall issue a report on the MIS Certified Area containing </w:t>
      </w:r>
      <w:r w:rsidR="00587BE3">
        <w:t>the status of</w:t>
      </w:r>
      <w:r>
        <w:t xml:space="preserve"> each </w:t>
      </w:r>
      <w:r w:rsidR="00587BE3">
        <w:t xml:space="preserve">submitted </w:t>
      </w:r>
      <w:r>
        <w:t>dispute.</w:t>
      </w:r>
      <w:r w:rsidR="00587BE3" w:rsidRPr="00587BE3">
        <w:t xml:space="preserve"> </w:t>
      </w:r>
      <w:r w:rsidR="00587BE3">
        <w:t xml:space="preserve"> The report </w:t>
      </w:r>
      <w:r w:rsidR="00A0123C">
        <w:t>shall</w:t>
      </w:r>
      <w:r w:rsidR="00587BE3">
        <w:t xml:space="preserve"> identify the disputed charge type(s), status of the dispute, </w:t>
      </w:r>
      <w:proofErr w:type="gramStart"/>
      <w:r w:rsidR="00587BE3">
        <w:t>resolution</w:t>
      </w:r>
      <w:proofErr w:type="gramEnd"/>
      <w:r w:rsidR="00A0123C">
        <w:t xml:space="preserve"> and resolution date</w:t>
      </w:r>
      <w:r w:rsidR="00587BE3">
        <w:t>, if applicable, and a financial impact in dollars of the dispute as submitted by disputing Entity.</w:t>
      </w:r>
    </w:p>
    <w:p w14:paraId="3EEDC3BD" w14:textId="77777777" w:rsidR="002F5868" w:rsidRDefault="00DD1AC6">
      <w:pPr>
        <w:pStyle w:val="BodyTextNumbered"/>
      </w:pPr>
      <w:r>
        <w:t>(4)</w:t>
      </w:r>
      <w:r>
        <w:tab/>
        <w:t xml:space="preserve">ERCOT shall make all reasonable attempts to complete all RTM Settlement and </w:t>
      </w:r>
      <w:r w:rsidR="00A739B7">
        <w:t>b</w:t>
      </w:r>
      <w:r>
        <w:t>illing disputes submitted within 15 Business Days of the issuance of the RTM Initial Statement in time for inclusion on the RTM Final Statement for the relevant Operating Day.</w:t>
      </w:r>
    </w:p>
    <w:p w14:paraId="427AFA35" w14:textId="77777777" w:rsidR="002F5868" w:rsidRDefault="00DD1AC6">
      <w:pPr>
        <w:pStyle w:val="BodyTextNumbered"/>
      </w:pPr>
      <w:r>
        <w:t>(5)</w:t>
      </w:r>
      <w:r>
        <w:tab/>
        <w:t xml:space="preserve">All complete disputes of the DAM received within ten Business Days after ERCOT posts that day’s DAM Settlement Statement </w:t>
      </w:r>
      <w:r w:rsidR="00A0123C">
        <w:t>shall</w:t>
      </w:r>
      <w:r>
        <w:t xml:space="preserve"> be included in a Resettlement of the DAM Operating Day under Section 9.2.5, DAM Resettlement Statement.  </w:t>
      </w:r>
    </w:p>
    <w:p w14:paraId="02DDA736" w14:textId="77777777" w:rsidR="002F5868" w:rsidRDefault="00DD1AC6">
      <w:pPr>
        <w:pStyle w:val="BodyTextNumbered"/>
      </w:pPr>
      <w:r>
        <w:t>(6)</w:t>
      </w:r>
      <w:r>
        <w:tab/>
        <w:t xml:space="preserve">For Settlement and billing disputes requiring complex research or additional time for resolution, ERCOT shall notify the Invoice Recipient or </w:t>
      </w:r>
      <w:r w:rsidR="00A739B7">
        <w:t xml:space="preserve">Settlement </w:t>
      </w:r>
      <w:r>
        <w:t xml:space="preserve">Statement Recipient of the length of time expected to research and resolve those disputes and, if ERCOT grants a portion or </w:t>
      </w:r>
      <w:proofErr w:type="gramStart"/>
      <w:r>
        <w:t>all of</w:t>
      </w:r>
      <w:proofErr w:type="gramEnd"/>
      <w:r>
        <w:t xml:space="preserve"> the dispute, ERCOT shall post the necessary adjustments on the next available Settlement Statement for the Operating Day.  </w:t>
      </w:r>
    </w:p>
    <w:p w14:paraId="0C6481EF" w14:textId="0651CCAB" w:rsidR="002F5868" w:rsidRDefault="00DD1AC6">
      <w:pPr>
        <w:pStyle w:val="BodyTextNumbered"/>
      </w:pPr>
      <w:r>
        <w:t>(7)</w:t>
      </w:r>
      <w:r>
        <w:tab/>
      </w:r>
      <w:r w:rsidR="00A739B7">
        <w:t xml:space="preserve">Settlement </w:t>
      </w:r>
      <w:r>
        <w:t>Statement</w:t>
      </w:r>
      <w:r w:rsidR="00A739B7">
        <w:t xml:space="preserve"> Recipients</w:t>
      </w:r>
      <w:r>
        <w:t xml:space="preserve"> or Invoice Recipients have the right to proceed to the ADR process in Section 20, Alternative Dispute Resolution Procedure</w:t>
      </w:r>
      <w:r w:rsidR="0064455F">
        <w:t xml:space="preserve"> and Procedure for Return of Settlement Funds</w:t>
      </w:r>
      <w:r>
        <w:t>, for filed disputes that cannot be resolved through the Settlement and billing dispute process outlined in Section 9.14, Settlement and Billing Dispute Process.</w:t>
      </w:r>
    </w:p>
    <w:p w14:paraId="06D973F7" w14:textId="77777777" w:rsidR="00A739B7" w:rsidRDefault="00A739B7" w:rsidP="00A739B7">
      <w:pPr>
        <w:pStyle w:val="BodyTextNumbered"/>
      </w:pPr>
      <w:r>
        <w:t>(8)</w:t>
      </w:r>
      <w:r>
        <w:tab/>
        <w:t xml:space="preserve">All complete disputes of the CRR Market received within ten Business Days after ERCOT posts that day’s CRR Settlement Statement </w:t>
      </w:r>
      <w:r w:rsidR="00A0123C">
        <w:t>shall</w:t>
      </w:r>
      <w:r>
        <w:t xml:space="preserve"> be resolved as soon as practicable.  </w:t>
      </w:r>
    </w:p>
    <w:p w14:paraId="5F426F6F" w14:textId="77777777" w:rsidR="002F5868" w:rsidRDefault="00DD1AC6">
      <w:pPr>
        <w:pStyle w:val="H4"/>
      </w:pPr>
      <w:r>
        <w:t xml:space="preserve"> </w:t>
      </w:r>
      <w:bookmarkStart w:id="370" w:name="_Toc309731084"/>
      <w:bookmarkStart w:id="371" w:name="_Toc405814060"/>
      <w:bookmarkStart w:id="372" w:name="_Toc422207950"/>
      <w:bookmarkStart w:id="373" w:name="_Toc438044861"/>
      <w:bookmarkStart w:id="374" w:name="_Toc447622644"/>
      <w:bookmarkStart w:id="375" w:name="_Toc80175294"/>
      <w:r>
        <w:t>9.14.4.1</w:t>
      </w:r>
      <w:r>
        <w:tab/>
        <w:t>Status of Dispute</w:t>
      </w:r>
      <w:bookmarkEnd w:id="370"/>
      <w:bookmarkEnd w:id="371"/>
      <w:bookmarkEnd w:id="372"/>
      <w:bookmarkEnd w:id="373"/>
      <w:bookmarkEnd w:id="374"/>
      <w:bookmarkEnd w:id="375"/>
      <w:r>
        <w:t xml:space="preserve"> </w:t>
      </w:r>
    </w:p>
    <w:p w14:paraId="12B9E66C" w14:textId="77777777" w:rsidR="002F5868" w:rsidRDefault="00A0123C" w:rsidP="00660ED3">
      <w:pPr>
        <w:pStyle w:val="BodyTextNumbered"/>
      </w:pPr>
      <w:r>
        <w:rPr>
          <w:iCs/>
        </w:rPr>
        <w:t>(1)</w:t>
      </w:r>
      <w:r>
        <w:rPr>
          <w:iCs/>
        </w:rPr>
        <w:tab/>
      </w:r>
      <w:r w:rsidR="00DD1AC6">
        <w:t>ERCOT will assign a status to each dispute as defined in the following Sections.</w:t>
      </w:r>
    </w:p>
    <w:p w14:paraId="00C97BCE" w14:textId="77777777" w:rsidR="002F5868" w:rsidRDefault="00DD1AC6">
      <w:pPr>
        <w:pStyle w:val="H5"/>
      </w:pPr>
      <w:bookmarkStart w:id="376" w:name="_Toc309731085"/>
      <w:bookmarkStart w:id="377" w:name="_Toc405814061"/>
      <w:bookmarkStart w:id="378" w:name="_Toc422207951"/>
      <w:bookmarkStart w:id="379" w:name="_Toc438044862"/>
      <w:bookmarkStart w:id="380" w:name="_Toc447622645"/>
      <w:bookmarkStart w:id="381" w:name="_Toc80175295"/>
      <w:r>
        <w:lastRenderedPageBreak/>
        <w:t>9.14.4.1.1</w:t>
      </w:r>
      <w:r>
        <w:tab/>
        <w:t>Not Started</w:t>
      </w:r>
      <w:bookmarkEnd w:id="376"/>
      <w:bookmarkEnd w:id="377"/>
      <w:bookmarkEnd w:id="378"/>
      <w:bookmarkEnd w:id="379"/>
      <w:bookmarkEnd w:id="380"/>
      <w:bookmarkEnd w:id="381"/>
    </w:p>
    <w:p w14:paraId="4C9F34A6" w14:textId="77777777" w:rsidR="002F5868" w:rsidRDefault="00A0123C" w:rsidP="00660ED3">
      <w:pPr>
        <w:pStyle w:val="BodyTextNumbered"/>
      </w:pPr>
      <w:r>
        <w:rPr>
          <w:iCs/>
        </w:rPr>
        <w:t>(1)</w:t>
      </w:r>
      <w:r>
        <w:rPr>
          <w:iCs/>
        </w:rPr>
        <w:tab/>
      </w:r>
      <w:r w:rsidR="00DD1AC6">
        <w:t xml:space="preserve">The status of a Settlement and billing dispute will initially be set to “Not Started” when the Market Participant enters the dispute into the ERCOT dispute resolution system. </w:t>
      </w:r>
    </w:p>
    <w:p w14:paraId="12B3A198" w14:textId="77777777" w:rsidR="002F5868" w:rsidRDefault="00DD1AC6">
      <w:pPr>
        <w:pStyle w:val="H5"/>
      </w:pPr>
      <w:bookmarkStart w:id="382" w:name="_Toc309731086"/>
      <w:bookmarkStart w:id="383" w:name="_Toc405814062"/>
      <w:bookmarkStart w:id="384" w:name="_Toc422207952"/>
      <w:bookmarkStart w:id="385" w:name="_Toc438044863"/>
      <w:bookmarkStart w:id="386" w:name="_Toc447622646"/>
      <w:bookmarkStart w:id="387" w:name="_Toc80175296"/>
      <w:r>
        <w:t>9.14.4.1.2</w:t>
      </w:r>
      <w:r>
        <w:tab/>
        <w:t>Open</w:t>
      </w:r>
      <w:bookmarkEnd w:id="382"/>
      <w:bookmarkEnd w:id="383"/>
      <w:bookmarkEnd w:id="384"/>
      <w:bookmarkEnd w:id="385"/>
      <w:bookmarkEnd w:id="386"/>
      <w:bookmarkEnd w:id="387"/>
      <w:r>
        <w:t xml:space="preserve"> </w:t>
      </w:r>
    </w:p>
    <w:p w14:paraId="104B08A2" w14:textId="77777777" w:rsidR="002F5868" w:rsidRDefault="00A0123C" w:rsidP="00660ED3">
      <w:pPr>
        <w:pStyle w:val="BodyTextNumbered"/>
      </w:pPr>
      <w:r>
        <w:rPr>
          <w:iCs/>
        </w:rPr>
        <w:t>(1)</w:t>
      </w:r>
      <w:r>
        <w:rPr>
          <w:iCs/>
        </w:rPr>
        <w:tab/>
      </w:r>
      <w:r w:rsidR="00DD1AC6">
        <w:t xml:space="preserve">The status of a Settlement and billing dispute is set to “Open” when the Settlement Statement or Invoice Recipient submits a dispute to ERCOT and ERCOT begins the resolution process. </w:t>
      </w:r>
    </w:p>
    <w:p w14:paraId="2996DC1C" w14:textId="77777777" w:rsidR="002F5868" w:rsidRDefault="00DD1AC6">
      <w:pPr>
        <w:pStyle w:val="H5"/>
      </w:pPr>
      <w:bookmarkStart w:id="388" w:name="_Toc309731087"/>
      <w:bookmarkStart w:id="389" w:name="_Toc405814063"/>
      <w:bookmarkStart w:id="390" w:name="_Toc422207953"/>
      <w:bookmarkStart w:id="391" w:name="_Toc438044864"/>
      <w:bookmarkStart w:id="392" w:name="_Toc447622647"/>
      <w:bookmarkStart w:id="393" w:name="_Toc80175297"/>
      <w:r>
        <w:t>9.14.4.1.3</w:t>
      </w:r>
      <w:r>
        <w:tab/>
        <w:t>Closed</w:t>
      </w:r>
      <w:bookmarkEnd w:id="388"/>
      <w:bookmarkEnd w:id="389"/>
      <w:bookmarkEnd w:id="390"/>
      <w:bookmarkEnd w:id="391"/>
      <w:bookmarkEnd w:id="392"/>
      <w:bookmarkEnd w:id="393"/>
    </w:p>
    <w:p w14:paraId="1B86ECED" w14:textId="77777777" w:rsidR="002F5868" w:rsidRDefault="00A0123C" w:rsidP="00660ED3">
      <w:pPr>
        <w:pStyle w:val="BodyTextNumbered"/>
      </w:pPr>
      <w:r>
        <w:rPr>
          <w:iCs/>
        </w:rPr>
        <w:t>(1)</w:t>
      </w:r>
      <w:r>
        <w:rPr>
          <w:iCs/>
        </w:rPr>
        <w:tab/>
      </w:r>
      <w:r w:rsidR="00DD1AC6">
        <w:t>When the status is set to “Closed,” no updates or additions are permitted to the dispute record.  The status of the dispute is “Closed” when one of the following conditions occurs:</w:t>
      </w:r>
    </w:p>
    <w:p w14:paraId="223BEFE7" w14:textId="77777777" w:rsidR="00C12F14" w:rsidRDefault="00DD1AC6">
      <w:pPr>
        <w:pStyle w:val="BodyTextNumbered"/>
        <w:ind w:left="1440"/>
      </w:pPr>
      <w:r>
        <w:t>(</w:t>
      </w:r>
      <w:r w:rsidR="00A739B7">
        <w:t>a</w:t>
      </w:r>
      <w:r>
        <w:t>)</w:t>
      </w:r>
      <w:r>
        <w:tab/>
        <w:t xml:space="preserve">If, after 45 days from receiving notice of a denied dispute, the Settlement Statement </w:t>
      </w:r>
      <w:r w:rsidR="00A739B7">
        <w:t xml:space="preserve">Recipient </w:t>
      </w:r>
      <w:r>
        <w:t xml:space="preserve">or Invoice Recipient does not begin the ADR process, ERCOT will close the dispute.  </w:t>
      </w:r>
    </w:p>
    <w:p w14:paraId="706F4669" w14:textId="77777777" w:rsidR="00C12F14" w:rsidRDefault="00DD1AC6">
      <w:pPr>
        <w:pStyle w:val="BodyTextNumbered"/>
        <w:ind w:left="1440"/>
      </w:pPr>
      <w:r>
        <w:t>(</w:t>
      </w:r>
      <w:r w:rsidR="00A739B7">
        <w:t>b</w:t>
      </w:r>
      <w:r>
        <w:t>)</w:t>
      </w:r>
      <w:r>
        <w:tab/>
        <w:t xml:space="preserve">If ERCOT grants a Settlement and billing dispute, ERCOT will close the dispute no sooner than </w:t>
      </w:r>
      <w:r w:rsidR="00A739B7">
        <w:t xml:space="preserve">the date ERCOT publishes the next available Settlement Statement or Invoice for the associated Operating Day.  </w:t>
      </w:r>
    </w:p>
    <w:p w14:paraId="77ED0DA5" w14:textId="1551C657" w:rsidR="00C12F14" w:rsidRDefault="00DD1AC6">
      <w:pPr>
        <w:pStyle w:val="BodyTextNumbered"/>
        <w:ind w:left="1440"/>
      </w:pPr>
      <w:r>
        <w:t>(</w:t>
      </w:r>
      <w:r w:rsidR="00A739B7">
        <w:t>c</w:t>
      </w:r>
      <w:r>
        <w:t>)</w:t>
      </w:r>
      <w:r>
        <w:tab/>
        <w:t xml:space="preserve">If ERCOT grants a dispute with exceptions, ERCOT will close the dispute no sooner than </w:t>
      </w:r>
      <w:r w:rsidR="00A739B7">
        <w:t xml:space="preserve">ten Business Days after ERCOT publishes the resolution.  </w:t>
      </w:r>
      <w:r>
        <w:t>If the Settlement Statement Recipient or Invoice Recipient disagrees with ERCOT’s exceptions, ERCOT will close dispute upon completion of further investigation and resolution in accordance with Section 9.14.4.2.3, Granted with Exceptions.</w:t>
      </w:r>
    </w:p>
    <w:p w14:paraId="5C317B89" w14:textId="77777777" w:rsidR="00A739B7" w:rsidRDefault="00A739B7" w:rsidP="00A739B7">
      <w:pPr>
        <w:pStyle w:val="H5"/>
      </w:pPr>
      <w:bookmarkStart w:id="394" w:name="_Toc309731088"/>
      <w:bookmarkStart w:id="395" w:name="_Toc405814064"/>
      <w:bookmarkStart w:id="396" w:name="_Toc422207954"/>
      <w:bookmarkStart w:id="397" w:name="_Toc438044865"/>
      <w:bookmarkStart w:id="398" w:name="_Toc447622648"/>
      <w:bookmarkStart w:id="399" w:name="_Toc80175298"/>
      <w:r>
        <w:t>9.14.4.1.4</w:t>
      </w:r>
      <w:r>
        <w:tab/>
        <w:t>Rejected</w:t>
      </w:r>
      <w:bookmarkEnd w:id="394"/>
      <w:bookmarkEnd w:id="395"/>
      <w:bookmarkEnd w:id="396"/>
      <w:bookmarkEnd w:id="397"/>
      <w:bookmarkEnd w:id="398"/>
      <w:bookmarkEnd w:id="399"/>
    </w:p>
    <w:p w14:paraId="715D15B3" w14:textId="77777777" w:rsidR="00A739B7" w:rsidRDefault="00A0123C" w:rsidP="00660ED3">
      <w:pPr>
        <w:pStyle w:val="BodyTextNumbered"/>
      </w:pPr>
      <w:r>
        <w:rPr>
          <w:iCs/>
        </w:rPr>
        <w:t>(1)</w:t>
      </w:r>
      <w:r>
        <w:rPr>
          <w:iCs/>
        </w:rPr>
        <w:tab/>
      </w:r>
      <w:r w:rsidR="00A739B7">
        <w:t>ERCOT shall set the status of a Settlement and billing dispute to “Rejected” when one of the following circumstances is met:</w:t>
      </w:r>
    </w:p>
    <w:p w14:paraId="1B16798D" w14:textId="77777777" w:rsidR="00C12F14" w:rsidRDefault="00A739B7">
      <w:pPr>
        <w:pStyle w:val="BodyText"/>
        <w:ind w:left="1440" w:hanging="720"/>
      </w:pPr>
      <w:r>
        <w:t xml:space="preserve">(a) </w:t>
      </w:r>
      <w:r>
        <w:tab/>
        <w:t xml:space="preserve">The dispute is filed late, unless filed in accordance with paragraph (5) of Section 9.14.2, Notice of Dispute, due to an expiration of confidentiality as defined under Section 1.3.3, Expiration of Confidentiality. </w:t>
      </w:r>
    </w:p>
    <w:p w14:paraId="4841E413" w14:textId="77777777" w:rsidR="00C12F14" w:rsidRDefault="00A739B7">
      <w:pPr>
        <w:pStyle w:val="BodyText"/>
        <w:ind w:left="1440" w:hanging="720"/>
      </w:pPr>
      <w:r>
        <w:t>(b)</w:t>
      </w:r>
      <w:r>
        <w:tab/>
        <w:t xml:space="preserve">During the 20 Business Days before the scheduled date for issuance of the RTM True-Up Statement for that Operating Day. </w:t>
      </w:r>
    </w:p>
    <w:p w14:paraId="22D77C2E" w14:textId="77777777" w:rsidR="00C12F14" w:rsidRDefault="00A739B7">
      <w:pPr>
        <w:pStyle w:val="BodyTextNumbered"/>
        <w:ind w:left="1440"/>
      </w:pPr>
      <w:r>
        <w:t>(c)</w:t>
      </w:r>
      <w:r>
        <w:tab/>
        <w:t xml:space="preserve">The dispute does not contain the required data as set forth in Section 9.14.3, Contents of Notice.  </w:t>
      </w:r>
      <w:r w:rsidRPr="005A498B">
        <w:rPr>
          <w:iCs/>
        </w:rPr>
        <w:t xml:space="preserve">ERCOT shall provide specific Protocol language supporting the reasons that data provided by the Settlement Statement </w:t>
      </w:r>
      <w:r>
        <w:rPr>
          <w:iCs/>
        </w:rPr>
        <w:t xml:space="preserve">Recipient </w:t>
      </w:r>
      <w:r w:rsidRPr="005A498B">
        <w:rPr>
          <w:iCs/>
        </w:rPr>
        <w:t xml:space="preserve">or Invoice </w:t>
      </w:r>
      <w:r w:rsidRPr="005A498B">
        <w:rPr>
          <w:iCs/>
        </w:rPr>
        <w:lastRenderedPageBreak/>
        <w:t>Recipient is insufficient.  If able to do so timely, an Invoice Recipient or Settlement Statement Recipient may resubmit the dispute with addition</w:t>
      </w:r>
      <w:r>
        <w:rPr>
          <w:iCs/>
        </w:rPr>
        <w:t>al information under Section 9.14</w:t>
      </w:r>
      <w:r w:rsidRPr="005A498B">
        <w:rPr>
          <w:iCs/>
        </w:rPr>
        <w:t xml:space="preserve">.2.  Once the </w:t>
      </w:r>
      <w:r>
        <w:rPr>
          <w:iCs/>
        </w:rPr>
        <w:t xml:space="preserve">Settlement </w:t>
      </w:r>
      <w:r w:rsidRPr="005A498B">
        <w:rPr>
          <w:iCs/>
        </w:rPr>
        <w:t xml:space="preserve">Statement </w:t>
      </w:r>
      <w:r>
        <w:rPr>
          <w:iCs/>
        </w:rPr>
        <w:t xml:space="preserve">Recipient </w:t>
      </w:r>
      <w:r w:rsidRPr="005A498B">
        <w:rPr>
          <w:iCs/>
        </w:rPr>
        <w:t>or Invoice Recipient submits the required information and ERCOT determines the Settlement and billing dispute is timely and complete, the dispute status is</w:t>
      </w:r>
      <w:r>
        <w:rPr>
          <w:iCs/>
        </w:rPr>
        <w:t xml:space="preserve"> changed to</w:t>
      </w:r>
      <w:r w:rsidRPr="005A498B">
        <w:rPr>
          <w:iCs/>
        </w:rPr>
        <w:t xml:space="preserve"> “Open</w:t>
      </w:r>
      <w:r w:rsidR="00866CD3">
        <w:rPr>
          <w:iCs/>
        </w:rPr>
        <w:t>.</w:t>
      </w:r>
      <w:r w:rsidRPr="005A498B">
        <w:rPr>
          <w:iCs/>
        </w:rPr>
        <w:t>”</w:t>
      </w:r>
    </w:p>
    <w:p w14:paraId="3FC3AAEE" w14:textId="77777777" w:rsidR="002F5868" w:rsidRDefault="00DD1AC6">
      <w:pPr>
        <w:pStyle w:val="H5"/>
      </w:pPr>
      <w:bookmarkStart w:id="400" w:name="_Toc309731089"/>
      <w:bookmarkStart w:id="401" w:name="_Toc405814065"/>
      <w:bookmarkStart w:id="402" w:name="_Toc422207955"/>
      <w:bookmarkStart w:id="403" w:name="_Toc438044866"/>
      <w:bookmarkStart w:id="404" w:name="_Toc447622649"/>
      <w:bookmarkStart w:id="405" w:name="_Toc80175299"/>
      <w:r>
        <w:t>9.14.4.1.</w:t>
      </w:r>
      <w:r w:rsidR="00A739B7">
        <w:t>5</w:t>
      </w:r>
      <w:r>
        <w:tab/>
        <w:t>Withdrawn</w:t>
      </w:r>
      <w:bookmarkEnd w:id="400"/>
      <w:bookmarkEnd w:id="401"/>
      <w:bookmarkEnd w:id="402"/>
      <w:bookmarkEnd w:id="403"/>
      <w:bookmarkEnd w:id="404"/>
      <w:bookmarkEnd w:id="405"/>
    </w:p>
    <w:p w14:paraId="50814B78" w14:textId="77777777" w:rsidR="002F5868" w:rsidRDefault="00A0123C" w:rsidP="00660ED3">
      <w:pPr>
        <w:pStyle w:val="BodyTextNumbered"/>
      </w:pPr>
      <w:r>
        <w:rPr>
          <w:iCs/>
        </w:rPr>
        <w:t>(1)</w:t>
      </w:r>
      <w:r>
        <w:rPr>
          <w:iCs/>
        </w:rPr>
        <w:tab/>
      </w:r>
      <w:r w:rsidR="00DD1AC6">
        <w:t xml:space="preserve">A Market Participant who submitted a Settlement and billing dispute may withdraw that dispute at any time.  If withdrawal occurs, the Dispute status is set to “Withdrawn” and any research and resolution activities on that dispute will cease. </w:t>
      </w:r>
    </w:p>
    <w:p w14:paraId="0B3920B9" w14:textId="77777777" w:rsidR="002F5868" w:rsidRDefault="00DD1AC6">
      <w:pPr>
        <w:pStyle w:val="H5"/>
      </w:pPr>
      <w:bookmarkStart w:id="406" w:name="_Toc309731090"/>
      <w:bookmarkStart w:id="407" w:name="_Toc405814066"/>
      <w:bookmarkStart w:id="408" w:name="_Toc422207956"/>
      <w:bookmarkStart w:id="409" w:name="_Toc438044867"/>
      <w:bookmarkStart w:id="410" w:name="_Toc447622650"/>
      <w:bookmarkStart w:id="411" w:name="_Toc80175300"/>
      <w:r>
        <w:t>9.14.4.1.</w:t>
      </w:r>
      <w:r w:rsidR="00A739B7">
        <w:t>6</w:t>
      </w:r>
      <w:r>
        <w:tab/>
        <w:t>ADR</w:t>
      </w:r>
      <w:bookmarkEnd w:id="406"/>
      <w:bookmarkEnd w:id="407"/>
      <w:bookmarkEnd w:id="408"/>
      <w:bookmarkEnd w:id="409"/>
      <w:bookmarkEnd w:id="410"/>
      <w:bookmarkEnd w:id="411"/>
    </w:p>
    <w:p w14:paraId="29A922CA" w14:textId="5CF3E5D5" w:rsidR="002F5868" w:rsidRDefault="00A0123C" w:rsidP="00660ED3">
      <w:pPr>
        <w:pStyle w:val="BodyTextNumbered"/>
      </w:pPr>
      <w:r>
        <w:t>(1)</w:t>
      </w:r>
      <w:r>
        <w:tab/>
        <w:t xml:space="preserve">Requests for ADR shall be considered Protected Information in accordance with paragraph </w:t>
      </w:r>
      <w:r w:rsidR="00A46174">
        <w:t>(1)</w:t>
      </w:r>
      <w:r>
        <w:t>(ff)</w:t>
      </w:r>
      <w:r w:rsidRPr="0058740E">
        <w:t xml:space="preserve"> </w:t>
      </w:r>
      <w:r>
        <w:t>of Section 1.3.1.1, Items Considered Protected Information, and Section 20, Alternative Dispute Resolution Procedure</w:t>
      </w:r>
      <w:r w:rsidR="0064455F">
        <w:t xml:space="preserve"> and Procedure for Return of Settlement Funds</w:t>
      </w:r>
      <w:r>
        <w:t xml:space="preserve">.  As soon as practicable after ERCOT receives a </w:t>
      </w:r>
      <w:r w:rsidRPr="00BB1869">
        <w:t>written request for ADR pursuant to Section 20.4, Initiation of ADR Proceedings,</w:t>
      </w:r>
      <w:r>
        <w:t xml:space="preserve"> ERCOT shall post a Settlement and billing dispute status of “ADR” to the aggregated Settlement and billing dispute resolution report on the MIS Secure Area</w:t>
      </w:r>
      <w:r w:rsidR="00DD1AC6">
        <w:t xml:space="preserve">.  The dispute will remain in the ADR status </w:t>
      </w:r>
      <w:proofErr w:type="gramStart"/>
      <w:r w:rsidR="00DD1AC6">
        <w:t>as long as</w:t>
      </w:r>
      <w:proofErr w:type="gramEnd"/>
      <w:r w:rsidR="00DD1AC6">
        <w:t xml:space="preserve"> the Market Participant has an active ADR.  At the end of the ADR process, ERCOT </w:t>
      </w:r>
      <w:r>
        <w:t>shall post a Settlement and billing dispute status of</w:t>
      </w:r>
      <w:r w:rsidR="00DD1AC6">
        <w:t xml:space="preserve"> “Closed”</w:t>
      </w:r>
      <w:r>
        <w:t xml:space="preserve"> to the aggregated Settlement and billing dispute resolution report on the MIS Secure Area</w:t>
      </w:r>
      <w:r w:rsidR="00DD1AC6">
        <w:t>.</w:t>
      </w:r>
    </w:p>
    <w:p w14:paraId="58A86118" w14:textId="77777777" w:rsidR="002F5868" w:rsidRDefault="00DD1AC6">
      <w:pPr>
        <w:pStyle w:val="H4"/>
      </w:pPr>
      <w:bookmarkStart w:id="412" w:name="_Toc309731091"/>
      <w:bookmarkStart w:id="413" w:name="_Toc405814067"/>
      <w:bookmarkStart w:id="414" w:name="_Toc422207957"/>
      <w:bookmarkStart w:id="415" w:name="_Toc438044868"/>
      <w:bookmarkStart w:id="416" w:name="_Toc447622651"/>
      <w:bookmarkStart w:id="417" w:name="_Toc80175301"/>
      <w:r>
        <w:t>9.14.4.2</w:t>
      </w:r>
      <w:r>
        <w:tab/>
        <w:t>Resolution of Dispute</w:t>
      </w:r>
      <w:bookmarkEnd w:id="412"/>
      <w:bookmarkEnd w:id="413"/>
      <w:bookmarkEnd w:id="414"/>
      <w:bookmarkEnd w:id="415"/>
      <w:bookmarkEnd w:id="416"/>
      <w:bookmarkEnd w:id="417"/>
    </w:p>
    <w:p w14:paraId="4EA1BB05" w14:textId="77777777" w:rsidR="002F5868" w:rsidRDefault="00A0123C">
      <w:pPr>
        <w:pStyle w:val="BodyTextNumbered"/>
      </w:pPr>
      <w:r>
        <w:rPr>
          <w:iCs/>
        </w:rPr>
        <w:t>(1)</w:t>
      </w:r>
      <w:r>
        <w:rPr>
          <w:iCs/>
        </w:rPr>
        <w:tab/>
      </w:r>
      <w:r w:rsidR="00DD1AC6">
        <w:t>Each resolved dispute will have a resolution as defined in the following Sections.</w:t>
      </w:r>
    </w:p>
    <w:p w14:paraId="2D909ED6" w14:textId="77777777" w:rsidR="002F5868" w:rsidRDefault="00DD1AC6">
      <w:pPr>
        <w:pStyle w:val="H5"/>
      </w:pPr>
      <w:bookmarkStart w:id="418" w:name="_Toc309731092"/>
      <w:bookmarkStart w:id="419" w:name="_Toc405814068"/>
      <w:bookmarkStart w:id="420" w:name="_Toc422207958"/>
      <w:bookmarkStart w:id="421" w:name="_Toc438044869"/>
      <w:bookmarkStart w:id="422" w:name="_Toc447622652"/>
      <w:bookmarkStart w:id="423" w:name="_Toc80175302"/>
      <w:r>
        <w:t>9.14.4.2.1</w:t>
      </w:r>
      <w:r>
        <w:tab/>
        <w:t>Denied</w:t>
      </w:r>
      <w:bookmarkEnd w:id="418"/>
      <w:bookmarkEnd w:id="419"/>
      <w:bookmarkEnd w:id="420"/>
      <w:bookmarkEnd w:id="421"/>
      <w:bookmarkEnd w:id="422"/>
      <w:bookmarkEnd w:id="423"/>
    </w:p>
    <w:p w14:paraId="202A406D" w14:textId="77777777" w:rsidR="002F5868" w:rsidRDefault="00DD1AC6">
      <w:pPr>
        <w:pStyle w:val="BodyTextNumbered"/>
      </w:pPr>
      <w:r>
        <w:t>(</w:t>
      </w:r>
      <w:r w:rsidR="00A739B7">
        <w:t>1</w:t>
      </w:r>
      <w:r>
        <w:t>)</w:t>
      </w:r>
      <w:r>
        <w:tab/>
        <w:t xml:space="preserve">If ERCOT concludes that the Settlement Statement or Invoice is correct, ERCOT shall deny the Settlement and billing dispute.  ERCOT shall notify the Settlement Statement </w:t>
      </w:r>
      <w:r w:rsidR="00A739B7">
        <w:t xml:space="preserve">Recipient </w:t>
      </w:r>
      <w:r>
        <w:t xml:space="preserve">or Invoice Recipient when it denies a Settlement and billing dispute and provide the </w:t>
      </w:r>
      <w:r w:rsidR="00A739B7">
        <w:t xml:space="preserve">Settlement </w:t>
      </w:r>
      <w:r>
        <w:t xml:space="preserve">Statement </w:t>
      </w:r>
      <w:r w:rsidR="00A739B7">
        <w:t xml:space="preserve">Recipient </w:t>
      </w:r>
      <w:r>
        <w:t xml:space="preserve">or Invoice Recipient the reasons and supporting data for the denial, while maintaining the confidentiality of Protected Information.  </w:t>
      </w:r>
    </w:p>
    <w:p w14:paraId="0FF6506B" w14:textId="0ACD46F8" w:rsidR="002F5868" w:rsidRDefault="00DD1AC6">
      <w:pPr>
        <w:pStyle w:val="BodyTextNumbered"/>
      </w:pPr>
      <w:r>
        <w:t>(</w:t>
      </w:r>
      <w:r w:rsidR="00A739B7">
        <w:t>2</w:t>
      </w:r>
      <w:r>
        <w:t>)</w:t>
      </w:r>
      <w:r>
        <w:tab/>
        <w:t xml:space="preserve">If the Settlement Statement </w:t>
      </w:r>
      <w:r w:rsidR="00A739B7">
        <w:t xml:space="preserve">Recipient </w:t>
      </w:r>
      <w:r>
        <w:t xml:space="preserve">or Invoice Recipient is not satisfied with the outcome of a denied Settlement and billing dispute, the Settlement Statement </w:t>
      </w:r>
      <w:r w:rsidR="00A739B7">
        <w:t xml:space="preserve">Recipient </w:t>
      </w:r>
      <w:r>
        <w:t>or Invoice Recipient may proceed to ADR as described in Section 20</w:t>
      </w:r>
      <w:r w:rsidR="00ED793D">
        <w:t>, Alternative Dispute Resolution Procedure</w:t>
      </w:r>
      <w:r w:rsidR="0064455F" w:rsidRPr="0064455F">
        <w:t xml:space="preserve"> </w:t>
      </w:r>
      <w:r w:rsidR="0064455F">
        <w:t>and Procedure for Return of Settlement Funds</w:t>
      </w:r>
      <w:r>
        <w:t xml:space="preserve">.  </w:t>
      </w:r>
    </w:p>
    <w:p w14:paraId="7777E2E6" w14:textId="77777777" w:rsidR="002F5868" w:rsidRDefault="00DD1AC6">
      <w:pPr>
        <w:pStyle w:val="H5"/>
      </w:pPr>
      <w:bookmarkStart w:id="424" w:name="_Toc309731093"/>
      <w:bookmarkStart w:id="425" w:name="_Toc405814069"/>
      <w:bookmarkStart w:id="426" w:name="_Toc422207959"/>
      <w:bookmarkStart w:id="427" w:name="_Toc438044870"/>
      <w:bookmarkStart w:id="428" w:name="_Toc447622653"/>
      <w:bookmarkStart w:id="429" w:name="_Toc80175303"/>
      <w:r>
        <w:lastRenderedPageBreak/>
        <w:t>9.14.4.2.2</w:t>
      </w:r>
      <w:r>
        <w:tab/>
        <w:t>Granted</w:t>
      </w:r>
      <w:bookmarkEnd w:id="424"/>
      <w:bookmarkEnd w:id="425"/>
      <w:bookmarkEnd w:id="426"/>
      <w:bookmarkEnd w:id="427"/>
      <w:bookmarkEnd w:id="428"/>
      <w:bookmarkEnd w:id="429"/>
    </w:p>
    <w:p w14:paraId="4D487D14" w14:textId="77777777" w:rsidR="002F5868" w:rsidRDefault="00A0123C" w:rsidP="00660ED3">
      <w:pPr>
        <w:pStyle w:val="BodyTextNumbered"/>
      </w:pPr>
      <w:r>
        <w:rPr>
          <w:iCs/>
        </w:rPr>
        <w:t>(1)</w:t>
      </w:r>
      <w:r>
        <w:rPr>
          <w:iCs/>
        </w:rPr>
        <w:tab/>
      </w:r>
      <w:r w:rsidR="00DD1AC6">
        <w:t xml:space="preserve">When ERCOT determines that the disputed Settlement Statement or Invoice are in error as alleged in the Settlement and billing dispute, ERCOT shall grant the Settlement and billing dispute and notify the Settlement Statement or Invoice Recipient of the resolution and provide it the reasons and supporting data for resolution, while maintaining the confidentiality of Protected Information.  ERCOT shall </w:t>
      </w:r>
      <w:r w:rsidR="00587BE3">
        <w:t>make available to</w:t>
      </w:r>
      <w:r w:rsidR="00DD1AC6">
        <w:t xml:space="preserve"> all other Settlement Statement or Invoice Recipients the financial impact</w:t>
      </w:r>
      <w:r w:rsidR="00587BE3">
        <w:t>,</w:t>
      </w:r>
      <w:r w:rsidR="00DD1AC6">
        <w:t xml:space="preserve"> </w:t>
      </w:r>
      <w:r w:rsidR="00587BE3">
        <w:t xml:space="preserve">as submitted by disputing Entity, on the Settlement and billing dispute resolution report per paragraph (3) of Section 9.14.4, </w:t>
      </w:r>
      <w:r w:rsidR="00587BE3" w:rsidRPr="000F33E7">
        <w:rPr>
          <w:bCs/>
        </w:rPr>
        <w:t>ERCOT Processing of Disputes</w:t>
      </w:r>
      <w:r w:rsidR="00DD1AC6">
        <w:t>.  Upon resolution of the issue, ERCOT shall process the dispute’s resolution on the next available Settlement Statement for the affected Operating Day.</w:t>
      </w:r>
    </w:p>
    <w:p w14:paraId="70F334EA" w14:textId="77777777" w:rsidR="002F5868" w:rsidRDefault="00DD1AC6">
      <w:pPr>
        <w:pStyle w:val="H5"/>
      </w:pPr>
      <w:bookmarkStart w:id="430" w:name="_Toc309731094"/>
      <w:bookmarkStart w:id="431" w:name="_Toc405814070"/>
      <w:bookmarkStart w:id="432" w:name="_Toc422207960"/>
      <w:bookmarkStart w:id="433" w:name="_Toc438044871"/>
      <w:bookmarkStart w:id="434" w:name="_Toc447622654"/>
      <w:bookmarkStart w:id="435" w:name="_Toc80175304"/>
      <w:r>
        <w:t>9.14.4.2.3</w:t>
      </w:r>
      <w:r>
        <w:tab/>
        <w:t>Granted with Exceptions</w:t>
      </w:r>
      <w:bookmarkEnd w:id="430"/>
      <w:bookmarkEnd w:id="431"/>
      <w:bookmarkEnd w:id="432"/>
      <w:bookmarkEnd w:id="433"/>
      <w:bookmarkEnd w:id="434"/>
      <w:bookmarkEnd w:id="435"/>
    </w:p>
    <w:p w14:paraId="3D41EE3E" w14:textId="77777777" w:rsidR="002F5868" w:rsidRDefault="00DD1AC6">
      <w:pPr>
        <w:pStyle w:val="BodyTextNumbered"/>
      </w:pPr>
      <w:r>
        <w:t>(1)</w:t>
      </w:r>
      <w:r>
        <w:tab/>
        <w:t xml:space="preserve">ERCOT may determine that a Settlement and billing dispute is “Granted with Exceptions” when ERCOT deems the basis for the Settlement and billing dispute partially correct.  ERCOT shall provide the exception information to the Settlement Statement or Invoice Recipient.  ERCOT shall notify the Settlement Statement or Invoice Recipient of the “Granted with Exceptions” resolution and shall provide the reasons and supporting data, while maintaining the confidentiality of Protected Information for the resolution.  ERCOT shall </w:t>
      </w:r>
      <w:r w:rsidR="00587BE3">
        <w:t>make available to</w:t>
      </w:r>
      <w:r>
        <w:t xml:space="preserve"> all other </w:t>
      </w:r>
      <w:r w:rsidR="00587BE3">
        <w:t xml:space="preserve">Settlement Statement or Invoice Recipients </w:t>
      </w:r>
      <w:r>
        <w:t>the financial impact</w:t>
      </w:r>
      <w:r w:rsidR="00587BE3">
        <w:t xml:space="preserve">, as submitted by the disputing Entity, on the Settlement and billing dispute resolution report per paragraph (3) of Section 9.14.4, </w:t>
      </w:r>
      <w:r w:rsidR="00587BE3" w:rsidRPr="000F33E7">
        <w:rPr>
          <w:bCs/>
        </w:rPr>
        <w:t>ERCOT Processing of Disputes</w:t>
      </w:r>
      <w:r>
        <w:t xml:space="preserve">.  The Settlement Statement or Invoice Recipient of the dispute granted with exceptions shall acknowledge receipt of the notice within ten Business Days after ERCOT publishes the resolution as “Granted with Exceptions”.  The acknowledgement must indicate acceptance or rejection of the documented exceptions to the granting of the dispute.  If the Settlement Statement or Invoice Recipient does not timely reject the dispute outcome, it shall be deemed accepted.  If the Market Participant accepts the exceptions, ERCOT shall post the necessary adjustments on the next available Settlement Statement for the affected Operating Day. </w:t>
      </w:r>
    </w:p>
    <w:p w14:paraId="255D9678" w14:textId="522792C5" w:rsidR="002F5868" w:rsidRDefault="00DD1AC6">
      <w:pPr>
        <w:pStyle w:val="BodyTextNumbered"/>
      </w:pPr>
      <w:r>
        <w:t>(2)</w:t>
      </w:r>
      <w:r>
        <w:tab/>
        <w:t>If a Settlement Invoice or Statement Recipient rejects the outcome of a dispute “Granted with Exceptions,” ERCOT must investigate the dispute further.  ERCOT must include the granted portion of the dispute on the next Settlement Statement for the affected Operating Day.  After further investigation, if ERCOT subsequently grants the Settlement and billing dispute, ERCOT must process the dispute on the next available Settlement Statement for the affected Operating Day.  If exceptions to the dispute still exist, the Settlement Statement or Invoice Recipient may either accept the dispute for resolution as “Granted with Exceptions” or begin ADR according to Section 20, Alternative Dispute Resolution Procedure</w:t>
      </w:r>
      <w:r w:rsidR="0064455F" w:rsidRPr="0064455F">
        <w:t xml:space="preserve"> </w:t>
      </w:r>
      <w:r w:rsidR="0064455F">
        <w:t>and Procedure for Return of Settlement Funds</w:t>
      </w:r>
      <w:r>
        <w:t>.</w:t>
      </w:r>
    </w:p>
    <w:p w14:paraId="12623A2F" w14:textId="77777777" w:rsidR="00C027E8" w:rsidRPr="00C83EFD" w:rsidRDefault="00C027E8" w:rsidP="00C027E8">
      <w:pPr>
        <w:keepNext/>
        <w:tabs>
          <w:tab w:val="left" w:pos="1080"/>
        </w:tabs>
        <w:spacing w:before="240" w:after="240"/>
        <w:ind w:left="1080" w:hanging="1080"/>
        <w:outlineLvl w:val="2"/>
        <w:rPr>
          <w:b/>
          <w:bCs/>
          <w:i/>
        </w:rPr>
      </w:pPr>
      <w:bookmarkStart w:id="436" w:name="_Toc405814071"/>
      <w:bookmarkStart w:id="437" w:name="_Toc422207961"/>
      <w:bookmarkStart w:id="438" w:name="_Toc438044872"/>
      <w:bookmarkStart w:id="439" w:name="_Toc447622655"/>
      <w:bookmarkStart w:id="440" w:name="_Toc80175305"/>
      <w:bookmarkStart w:id="441" w:name="_Toc309731095"/>
      <w:r w:rsidRPr="00C83EFD">
        <w:rPr>
          <w:b/>
          <w:bCs/>
          <w:i/>
        </w:rPr>
        <w:lastRenderedPageBreak/>
        <w:t>9.14.5</w:t>
      </w:r>
      <w:r w:rsidRPr="00C83EFD">
        <w:rPr>
          <w:b/>
          <w:bCs/>
          <w:i/>
        </w:rPr>
        <w:tab/>
        <w:t>Settlement of Emergency Response Service</w:t>
      </w:r>
      <w:bookmarkEnd w:id="436"/>
      <w:bookmarkEnd w:id="437"/>
      <w:bookmarkEnd w:id="438"/>
      <w:bookmarkEnd w:id="439"/>
      <w:bookmarkEnd w:id="440"/>
    </w:p>
    <w:p w14:paraId="5D5EE694" w14:textId="77777777" w:rsidR="00C027E8" w:rsidRDefault="00D26C2F" w:rsidP="00C027E8">
      <w:pPr>
        <w:spacing w:after="240"/>
        <w:ind w:left="720" w:hanging="720"/>
        <w:rPr>
          <w:iCs/>
        </w:rPr>
      </w:pPr>
      <w:r w:rsidRPr="00C83EFD">
        <w:rPr>
          <w:iCs/>
        </w:rPr>
        <w:t>(1)</w:t>
      </w:r>
      <w:r w:rsidRPr="00C83EFD">
        <w:rPr>
          <w:iCs/>
        </w:rPr>
        <w:tab/>
        <w:t xml:space="preserve">ERCOT shall post the settlement for each Emergency Response Service (ERS) </w:t>
      </w:r>
      <w:r>
        <w:rPr>
          <w:iCs/>
        </w:rPr>
        <w:t xml:space="preserve">type and </w:t>
      </w:r>
      <w:r w:rsidRPr="00C83EFD">
        <w:rPr>
          <w:iCs/>
        </w:rPr>
        <w:t>Time Period in an ERS Contract Period 20 days after the final Settlement of the last Operating Day of the ERS Standard Contract Term is posted, as described in paragraph (1) of Section 9.5.5, RTM Final Statement.  If the 20th day is not a Business Day, ERCOT will post the ERS Settlement on the next Business Day thereafter.  All disputes for the Settlement of the ERS Contract Period are due ten Business Days after the date that the ERS settlement was posted.  ERCOT shall resolve any approved disputes upon resettlement of the ERS Contract Period, as described in paragraph (2) below.</w:t>
      </w:r>
    </w:p>
    <w:p w14:paraId="1CC09CE0" w14:textId="1D9B8266" w:rsidR="008E54D9" w:rsidRDefault="00D26C2F" w:rsidP="00FE2CC5">
      <w:pPr>
        <w:pStyle w:val="BodyText"/>
        <w:ind w:left="720" w:hanging="720"/>
      </w:pPr>
      <w:r w:rsidRPr="00DF24EE">
        <w:t>(2)</w:t>
      </w:r>
      <w:r w:rsidRPr="00DF24EE">
        <w:tab/>
        <w:t xml:space="preserve">ERCOT shall post the resettlement for each ERS </w:t>
      </w:r>
      <w:r>
        <w:t xml:space="preserve">type and </w:t>
      </w:r>
      <w:r w:rsidRPr="00DF24EE">
        <w:t>Time Period in an ERS Contract Period on the True-Up Settlement for the Operating Day on which the charge was first settled as described in paragraph (1) above.  ERS disputes filed based on a change in Load after the True-Up Settlement will be</w:t>
      </w:r>
      <w:r w:rsidRPr="005908C4">
        <w:rPr>
          <w:b/>
          <w:i/>
        </w:rPr>
        <w:t xml:space="preserve"> </w:t>
      </w:r>
      <w:r w:rsidRPr="00DF24EE">
        <w:t xml:space="preserve">approved only if the </w:t>
      </w:r>
      <w:r w:rsidR="00EE443F">
        <w:t>Qualified Scheduling Entity’s (</w:t>
      </w:r>
      <w:r w:rsidRPr="00DF24EE">
        <w:t>QSE’s</w:t>
      </w:r>
      <w:r w:rsidR="00EE443F">
        <w:t>)</w:t>
      </w:r>
      <w:r w:rsidRPr="00DF24EE">
        <w:t xml:space="preserve"> Load changes by 10% or more.  ERCOT shall resolve any approved ERS disputes no later than 30 Business Days after the date that the ERS resettlement was posted.</w:t>
      </w:r>
      <w:bookmarkEnd w:id="441"/>
      <w:r w:rsidR="00585AFA" w:rsidRPr="00C027E8" w:rsidDel="00585AFA">
        <w:t xml:space="preserve"> </w:t>
      </w:r>
    </w:p>
    <w:p w14:paraId="244F0070" w14:textId="77777777" w:rsidR="008E54D9" w:rsidRPr="008910B8" w:rsidRDefault="00DD1AC6" w:rsidP="00FE2CC5">
      <w:pPr>
        <w:pStyle w:val="H3"/>
        <w:rPr>
          <w:b/>
          <w:i/>
        </w:rPr>
      </w:pPr>
      <w:bookmarkStart w:id="442" w:name="_Toc309731096"/>
      <w:bookmarkStart w:id="443" w:name="_Toc405814072"/>
      <w:bookmarkStart w:id="444" w:name="_Toc422207962"/>
      <w:bookmarkStart w:id="445" w:name="_Toc438044873"/>
      <w:bookmarkStart w:id="446" w:name="_Toc447622656"/>
      <w:bookmarkStart w:id="447" w:name="_Toc80175306"/>
      <w:r w:rsidRPr="008910B8">
        <w:rPr>
          <w:b/>
          <w:i/>
        </w:rPr>
        <w:t>9.14.6</w:t>
      </w:r>
      <w:r w:rsidRPr="008910B8">
        <w:rPr>
          <w:b/>
          <w:i/>
        </w:rPr>
        <w:tab/>
        <w:t>Disputes for Operations Decisions</w:t>
      </w:r>
      <w:bookmarkEnd w:id="442"/>
      <w:bookmarkEnd w:id="443"/>
      <w:bookmarkEnd w:id="444"/>
      <w:bookmarkEnd w:id="445"/>
      <w:bookmarkEnd w:id="446"/>
      <w:bookmarkEnd w:id="447"/>
    </w:p>
    <w:p w14:paraId="05D091F9" w14:textId="77777777" w:rsidR="002F5868" w:rsidRDefault="00A0123C" w:rsidP="00660ED3">
      <w:pPr>
        <w:pStyle w:val="BodyText"/>
        <w:ind w:left="720" w:hanging="720"/>
      </w:pPr>
      <w:r>
        <w:rPr>
          <w:iCs w:val="0"/>
        </w:rPr>
        <w:t>(1)</w:t>
      </w:r>
      <w:r>
        <w:rPr>
          <w:iCs w:val="0"/>
        </w:rPr>
        <w:tab/>
      </w:r>
      <w:r w:rsidR="00DD1AC6">
        <w:t>Settlement Statement or Invoice Recipients may not dispute a Settlement Statement or Invoice due to a decision made by ERCOT in its operation of the ERCOT System, unless the Market Participant alleged the decision violated these Protocols.  Inquiries or disputes concerning such decisions, Protocols, or Operating Guides must be handled through the Protocol change process set forth in Section 21</w:t>
      </w:r>
      <w:r w:rsidR="00E77A0E">
        <w:t xml:space="preserve">, </w:t>
      </w:r>
      <w:r w:rsidR="00B10197">
        <w:t>Revision Request Process</w:t>
      </w:r>
      <w:r w:rsidR="00DD1AC6">
        <w:t>.</w:t>
      </w:r>
    </w:p>
    <w:p w14:paraId="2D7CA34C" w14:textId="77777777" w:rsidR="00EA0D20" w:rsidRPr="008910B8" w:rsidRDefault="00EA0D20" w:rsidP="00EA0D20">
      <w:pPr>
        <w:pStyle w:val="H3"/>
        <w:rPr>
          <w:b/>
          <w:i/>
        </w:rPr>
      </w:pPr>
      <w:bookmarkStart w:id="448" w:name="_Toc309731097"/>
      <w:bookmarkStart w:id="449" w:name="_Toc405814073"/>
      <w:bookmarkStart w:id="450" w:name="_Toc422207963"/>
      <w:bookmarkStart w:id="451" w:name="_Toc438044874"/>
      <w:bookmarkStart w:id="452" w:name="_Toc447622657"/>
      <w:bookmarkStart w:id="453" w:name="_Toc80175307"/>
      <w:r w:rsidRPr="008910B8">
        <w:rPr>
          <w:b/>
          <w:i/>
        </w:rPr>
        <w:t>9.14.7</w:t>
      </w:r>
      <w:r w:rsidRPr="008910B8">
        <w:rPr>
          <w:b/>
          <w:i/>
        </w:rPr>
        <w:tab/>
        <w:t>Disputes for RUC Make</w:t>
      </w:r>
      <w:r w:rsidR="00E60681" w:rsidRPr="008910B8">
        <w:rPr>
          <w:b/>
          <w:i/>
        </w:rPr>
        <w:t>-</w:t>
      </w:r>
      <w:r w:rsidRPr="008910B8">
        <w:rPr>
          <w:b/>
          <w:i/>
        </w:rPr>
        <w:t>Whole Payment for Fuel Costs</w:t>
      </w:r>
      <w:bookmarkEnd w:id="448"/>
      <w:bookmarkEnd w:id="449"/>
      <w:bookmarkEnd w:id="450"/>
      <w:bookmarkEnd w:id="451"/>
      <w:bookmarkEnd w:id="452"/>
      <w:bookmarkEnd w:id="453"/>
    </w:p>
    <w:p w14:paraId="21916A09" w14:textId="61BC72CB" w:rsidR="0014132B" w:rsidRDefault="0071686C">
      <w:pPr>
        <w:pStyle w:val="BodyText"/>
        <w:ind w:left="720" w:hanging="720"/>
      </w:pPr>
      <w:r>
        <w:t>(1)</w:t>
      </w:r>
      <w:r>
        <w:tab/>
      </w:r>
      <w:r w:rsidR="00EA0D20">
        <w:t xml:space="preserve">If the actual price paid for delivered natural gas for a specific Resource during a </w:t>
      </w:r>
      <w:r w:rsidR="00E60681">
        <w:t>Reliability Unit Commitment (</w:t>
      </w:r>
      <w:r w:rsidR="00EA0D20">
        <w:t>RUC</w:t>
      </w:r>
      <w:r w:rsidR="00E60681">
        <w:t>)-</w:t>
      </w:r>
      <w:r w:rsidR="00EA0D20">
        <w:t xml:space="preserve">Committed Interval is greater than </w:t>
      </w:r>
      <w:r w:rsidR="00E60681">
        <w:t xml:space="preserve">Fuel Index Price </w:t>
      </w:r>
      <w:r w:rsidR="00635D3F">
        <w:rPr>
          <w:iCs w:val="0"/>
        </w:rPr>
        <w:t>(FIP) adjusted by the proxy fuel adder, X, defined in the Verifiable Cost Manual</w:t>
      </w:r>
      <w:r w:rsidR="00635D3F" w:rsidRPr="005C53C9">
        <w:rPr>
          <w:iCs w:val="0"/>
        </w:rPr>
        <w:t xml:space="preserve"> </w:t>
      </w:r>
      <w:r w:rsidR="00635D3F">
        <w:rPr>
          <w:iCs w:val="0"/>
        </w:rPr>
        <w:t xml:space="preserve">(i.e., </w:t>
      </w:r>
      <w:r w:rsidR="00635D3F" w:rsidRPr="005C53C9">
        <w:rPr>
          <w:iCs w:val="0"/>
        </w:rPr>
        <w:t xml:space="preserve">FIP * </w:t>
      </w:r>
      <w:r w:rsidR="00635D3F">
        <w:rPr>
          <w:iCs w:val="0"/>
        </w:rPr>
        <w:t>(</w:t>
      </w:r>
      <w:r w:rsidR="00635D3F" w:rsidRPr="005C53C9">
        <w:rPr>
          <w:iCs w:val="0"/>
        </w:rPr>
        <w:t>1</w:t>
      </w:r>
      <w:r w:rsidR="00635D3F">
        <w:rPr>
          <w:iCs w:val="0"/>
        </w:rPr>
        <w:t>+</w:t>
      </w:r>
      <w:r w:rsidR="00635D3F" w:rsidRPr="005C53C9">
        <w:rPr>
          <w:iCs w:val="0"/>
        </w:rPr>
        <w:t>X</w:t>
      </w:r>
      <w:r w:rsidR="00635D3F">
        <w:rPr>
          <w:iCs w:val="0"/>
        </w:rPr>
        <w:t>))</w:t>
      </w:r>
      <w:r w:rsidR="00EA0D20">
        <w:t xml:space="preserve">, then the QSE may file a </w:t>
      </w:r>
      <w:r w:rsidR="00E60681">
        <w:t>S</w:t>
      </w:r>
      <w:r w:rsidR="00EA0D20">
        <w:t xml:space="preserve">ettlement dispute for that Resource’s RUC Make-Whole Payment.  The maximum amount that may be recovered through this dispute process is the difference between the RUC Guarantee based on the actual price paid and </w:t>
      </w:r>
      <w:r w:rsidR="00635D3F">
        <w:t>the</w:t>
      </w:r>
      <w:r w:rsidR="00EA0D20">
        <w:t xml:space="preserve"> </w:t>
      </w:r>
      <w:r w:rsidR="00B214A7">
        <w:t xml:space="preserve">RUC Guarantee based on the </w:t>
      </w:r>
      <w:r w:rsidR="00EA0D20">
        <w:t xml:space="preserve">fuel </w:t>
      </w:r>
      <w:r w:rsidR="00B214A7">
        <w:t xml:space="preserve">index </w:t>
      </w:r>
      <w:r w:rsidR="00EA0D20">
        <w:t xml:space="preserve">price FIP * </w:t>
      </w:r>
      <w:r w:rsidR="00635D3F">
        <w:t>(</w:t>
      </w:r>
      <w:r w:rsidR="00EA0D20">
        <w:t>1</w:t>
      </w:r>
      <w:r w:rsidR="00635D3F">
        <w:t>+</w:t>
      </w:r>
      <w:r w:rsidR="00EA0D20">
        <w:t>X</w:t>
      </w:r>
      <w:r w:rsidR="00635D3F">
        <w:t>)</w:t>
      </w:r>
      <w:r w:rsidR="00EA0D20">
        <w:t>.</w:t>
      </w:r>
      <w:r w:rsidR="0012035F">
        <w:t xml:space="preserve">  </w:t>
      </w:r>
      <w:r w:rsidR="00B214A7" w:rsidRPr="00AD02D5">
        <w:t xml:space="preserve">When calculating the RUC Guarantee based on the actual price paid for Resources with approved </w:t>
      </w:r>
      <w:r w:rsidR="00B214A7">
        <w:t>v</w:t>
      </w:r>
      <w:r w:rsidR="00B214A7" w:rsidRPr="00AD02D5">
        <w:t xml:space="preserve">erifiable </w:t>
      </w:r>
      <w:r w:rsidR="00B214A7">
        <w:t>c</w:t>
      </w:r>
      <w:r w:rsidR="00B214A7" w:rsidRPr="00AD02D5">
        <w:t xml:space="preserve">osts, the RUC Guarantee may be adjusted to reflect the cost difference between the fuel burned and the fuel calculated based on </w:t>
      </w:r>
      <w:r w:rsidR="00B214A7">
        <w:t>v</w:t>
      </w:r>
      <w:r w:rsidR="00B214A7" w:rsidRPr="00AD02D5">
        <w:t xml:space="preserve">erifiable </w:t>
      </w:r>
      <w:r w:rsidR="00B214A7">
        <w:t>c</w:t>
      </w:r>
      <w:r w:rsidR="00B214A7" w:rsidRPr="00AD02D5">
        <w:t xml:space="preserve">ost rates. </w:t>
      </w:r>
      <w:r w:rsidR="00282FA6">
        <w:t xml:space="preserve"> </w:t>
      </w:r>
      <w:r w:rsidR="00B214A7" w:rsidRPr="00AD02D5">
        <w:t xml:space="preserve">This adjustment will allow for the RUC Guarantee to include the fuel cost of the actual fuel burned, as documented by an invoice or equivalent document, up to 120% of the fuel quantity calculated based on </w:t>
      </w:r>
      <w:r w:rsidR="00B214A7">
        <w:t>v</w:t>
      </w:r>
      <w:r w:rsidR="00B214A7" w:rsidRPr="00AD02D5">
        <w:t xml:space="preserve">erifiable </w:t>
      </w:r>
      <w:r w:rsidR="00B214A7">
        <w:t>c</w:t>
      </w:r>
      <w:r w:rsidR="00B214A7" w:rsidRPr="00AD02D5">
        <w:t xml:space="preserve">ost data. </w:t>
      </w:r>
      <w:r w:rsidR="00A827A7">
        <w:t xml:space="preserve"> </w:t>
      </w:r>
      <w:r w:rsidR="00B214A7" w:rsidRPr="00AD02D5">
        <w:t xml:space="preserve">If due to extraordinary circumstances the fuel burned exceeded 120% of the fuel quantity calculated based on </w:t>
      </w:r>
      <w:r w:rsidR="00B214A7">
        <w:t>v</w:t>
      </w:r>
      <w:r w:rsidR="00B214A7" w:rsidRPr="00AD02D5">
        <w:t xml:space="preserve">erifiable </w:t>
      </w:r>
      <w:r w:rsidR="00B214A7">
        <w:t>c</w:t>
      </w:r>
      <w:r w:rsidR="00B214A7" w:rsidRPr="00AD02D5">
        <w:t xml:space="preserve">ost data, the QSE may submit an attestation attesting to the accuracy of the fuel data along with an explanation for the higher fuel quantities. </w:t>
      </w:r>
      <w:r w:rsidR="00A827A7">
        <w:t xml:space="preserve"> </w:t>
      </w:r>
      <w:r w:rsidR="00B214A7" w:rsidRPr="00AD02D5">
        <w:t xml:space="preserve">ERCOT may include the cost of this additional fuel in the adjustment to the RUC Guarantee.  </w:t>
      </w:r>
      <w:r w:rsidR="0012035F">
        <w:t>The QSE must provide documentation (invoices</w:t>
      </w:r>
      <w:r w:rsidR="00B214A7" w:rsidRPr="00B214A7">
        <w:t xml:space="preserve"> </w:t>
      </w:r>
      <w:r w:rsidR="00B214A7">
        <w:t xml:space="preserve">or </w:t>
      </w:r>
      <w:r w:rsidR="00B214A7">
        <w:lastRenderedPageBreak/>
        <w:t>contracts, as applicable</w:t>
      </w:r>
      <w:r w:rsidR="0012035F">
        <w:t>) that identifies intra-day</w:t>
      </w:r>
      <w:r w:rsidR="00176EAC">
        <w:t>,</w:t>
      </w:r>
      <w:r w:rsidR="00176EAC" w:rsidRPr="008B66F2">
        <w:t xml:space="preserve"> same-day</w:t>
      </w:r>
      <w:r w:rsidR="00176EAC">
        <w:t>, or spot market</w:t>
      </w:r>
      <w:r w:rsidR="0012035F">
        <w:t xml:space="preserve"> costs of natural gas consumed during the RUC-Committed Interval.  Such documentation is necessary to justify recovery of natural gas costs, which is limited to the actual fuel amount (MMBtus) consumed during RUC-Committed Intervals.  All documentation submitted by the QSE for natural gas costs incurred intra-day</w:t>
      </w:r>
      <w:r w:rsidR="00176EAC">
        <w:t>,</w:t>
      </w:r>
      <w:r w:rsidR="00176EAC" w:rsidRPr="008B66F2">
        <w:t xml:space="preserve"> same-day</w:t>
      </w:r>
      <w:r w:rsidR="00176EAC">
        <w:t>, or via spot market</w:t>
      </w:r>
      <w:r w:rsidR="0012035F">
        <w:t xml:space="preserve"> must show a nexus from the seller or distributor of natural gas products to the QSE, Resource Entity or Generation Entity as the ultimate buyer.  The QSE must demonstrate that the seller or distributor has procured natural gas fuel intra-day</w:t>
      </w:r>
      <w:r w:rsidR="00176EAC">
        <w:t>,</w:t>
      </w:r>
      <w:r w:rsidR="00176EAC" w:rsidRPr="008B66F2">
        <w:t xml:space="preserve"> same-day</w:t>
      </w:r>
      <w:r w:rsidR="00176EAC">
        <w:t>, or via spot market</w:t>
      </w:r>
      <w:r w:rsidR="0012035F">
        <w:t xml:space="preserve">.  </w:t>
      </w:r>
      <w:r w:rsidR="00635D3F">
        <w:t xml:space="preserve">A </w:t>
      </w:r>
      <w:r w:rsidR="0012035F">
        <w:t xml:space="preserve">Power Purchase or Tolling Agreement (PPA) filed as documentation of proof of fuel costs will not be accepted unless </w:t>
      </w:r>
      <w:r w:rsidR="00635D3F">
        <w:rPr>
          <w:iCs w:val="0"/>
        </w:rPr>
        <w:t>the PPA was signed prior to July 16, 2008, and is not between Affiliates, subsidiaries, or partners</w:t>
      </w:r>
      <w:r w:rsidR="0012035F">
        <w:t>.</w:t>
      </w:r>
    </w:p>
    <w:p w14:paraId="1E1CCAED" w14:textId="610370D3" w:rsidR="00B214A7" w:rsidRDefault="00B214A7" w:rsidP="00B214A7">
      <w:pPr>
        <w:pStyle w:val="BodyText"/>
        <w:ind w:left="720" w:hanging="720"/>
      </w:pPr>
      <w:r>
        <w:t>(2)</w:t>
      </w:r>
      <w:r>
        <w:tab/>
        <w:t xml:space="preserve">If the QSE submitting a Settlement dispute </w:t>
      </w:r>
      <w:r w:rsidRPr="00882B9A">
        <w:t>under paragraph</w:t>
      </w:r>
      <w:r>
        <w:t xml:space="preserve"> (1) above, or the Resource Entity for the Resource, has an </w:t>
      </w:r>
      <w:r w:rsidRPr="004A51E0">
        <w:t>executed an</w:t>
      </w:r>
      <w:r>
        <w:t>d</w:t>
      </w:r>
      <w:r w:rsidRPr="004A51E0">
        <w:t xml:space="preserve"> enforceable </w:t>
      </w:r>
      <w:r>
        <w:t xml:space="preserve">transportation contract </w:t>
      </w:r>
      <w:r w:rsidRPr="009A204A">
        <w:t>(</w:t>
      </w:r>
      <w:r w:rsidRPr="00F91A72">
        <w:t>together with any associated statement of operating conditions</w:t>
      </w:r>
      <w:r w:rsidRPr="009A204A">
        <w:t>)</w:t>
      </w:r>
      <w:r>
        <w:t xml:space="preserve">, on </w:t>
      </w:r>
      <w:r w:rsidRPr="004A51E0">
        <w:t>an interstate or intrastate pipeline</w:t>
      </w:r>
      <w:r>
        <w:t xml:space="preserve">, for the Generation Resource that received the RUC instruction, the QSE </w:t>
      </w:r>
      <w:r w:rsidRPr="007654B4">
        <w:t xml:space="preserve">must show proof that </w:t>
      </w:r>
      <w:r>
        <w:t>the QSE or Resource Entity (or another entity acting on behalf of the Resource Entity with respect to fuel procurement)</w:t>
      </w:r>
      <w:r w:rsidRPr="007654B4">
        <w:t xml:space="preserve"> purchased and nominated fuel in sufficient quantities </w:t>
      </w:r>
      <w:r w:rsidRPr="0043148E">
        <w:t>to sta</w:t>
      </w:r>
      <w:r>
        <w:t xml:space="preserve">rt and operate the Resource at its Low Sustained Limit (LSL) during the RUC-Committed Intervals. </w:t>
      </w:r>
    </w:p>
    <w:p w14:paraId="51A1ABB5" w14:textId="77777777" w:rsidR="00B214A7" w:rsidRDefault="00B214A7" w:rsidP="00B214A7">
      <w:pPr>
        <w:pStyle w:val="BodyText"/>
        <w:ind w:left="720" w:hanging="720"/>
      </w:pPr>
      <w:r>
        <w:t>(3)</w:t>
      </w:r>
      <w:r>
        <w:tab/>
        <w:t>The QSE or Resource Entity must purchase and nominate fuel as described in paragraph (2) above unless one or more of the conditions below applies:</w:t>
      </w:r>
    </w:p>
    <w:p w14:paraId="42450EC7" w14:textId="77777777" w:rsidR="00B214A7" w:rsidRDefault="00B214A7" w:rsidP="00B214A7">
      <w:pPr>
        <w:pStyle w:val="BodyText"/>
        <w:ind w:left="1440" w:hanging="720"/>
      </w:pPr>
      <w:r>
        <w:t>(a)</w:t>
      </w:r>
      <w:r>
        <w:tab/>
        <w:t xml:space="preserve">The Resource received an initial RUC instruction for less </w:t>
      </w:r>
      <w:r w:rsidRPr="00860677">
        <w:t xml:space="preserve">than </w:t>
      </w:r>
      <w:r>
        <w:t xml:space="preserve">12 </w:t>
      </w:r>
      <w:r w:rsidRPr="00F5780D">
        <w:t>contiguous</w:t>
      </w:r>
      <w:r>
        <w:t xml:space="preserve"> hours within the same gas delivery day;</w:t>
      </w:r>
    </w:p>
    <w:p w14:paraId="6E54C1D4" w14:textId="5C0C4783" w:rsidR="00B214A7" w:rsidRDefault="00B214A7" w:rsidP="00B214A7">
      <w:pPr>
        <w:pStyle w:val="BodyText"/>
        <w:ind w:left="1440" w:hanging="720"/>
      </w:pPr>
      <w:r>
        <w:t>(b)</w:t>
      </w:r>
      <w:r>
        <w:tab/>
        <w:t>The QSE or Resource Entity did not have sufficient time to procure and nominate fuel after receiving the RUC instruction;</w:t>
      </w:r>
    </w:p>
    <w:p w14:paraId="449CE48A" w14:textId="77777777" w:rsidR="00B214A7" w:rsidRDefault="00B214A7" w:rsidP="00B214A7">
      <w:pPr>
        <w:pStyle w:val="BodyText"/>
        <w:ind w:left="1440" w:hanging="720"/>
      </w:pPr>
      <w:r>
        <w:t>(c)</w:t>
      </w:r>
      <w:r>
        <w:tab/>
        <w:t xml:space="preserve">The RUC instruction was instructed outside of Business Hours or otherwise at a time when the Resource was unable to procure fuel.  </w:t>
      </w:r>
    </w:p>
    <w:p w14:paraId="51F86C28" w14:textId="77777777" w:rsidR="00B214A7" w:rsidRDefault="00B214A7" w:rsidP="00B214A7">
      <w:pPr>
        <w:pStyle w:val="BodyText"/>
        <w:ind w:left="720" w:hanging="720"/>
      </w:pPr>
      <w:r>
        <w:t>(4)</w:t>
      </w:r>
      <w:r>
        <w:tab/>
      </w:r>
      <w:r w:rsidRPr="00344FFC">
        <w:t xml:space="preserve">If the </w:t>
      </w:r>
      <w:r>
        <w:t>QSE or Resource</w:t>
      </w:r>
      <w:r w:rsidRPr="00344FFC">
        <w:t xml:space="preserve"> </w:t>
      </w:r>
      <w:r>
        <w:t xml:space="preserve">Entity </w:t>
      </w:r>
      <w:r w:rsidRPr="00344FFC">
        <w:t xml:space="preserve">did not or was not able to nominate fuel </w:t>
      </w:r>
      <w:r>
        <w:t>for</w:t>
      </w:r>
      <w:r w:rsidRPr="00344FFC">
        <w:t xml:space="preserve"> the </w:t>
      </w:r>
      <w:r>
        <w:t>RUC-Committed Intervals</w:t>
      </w:r>
      <w:r w:rsidRPr="00344FFC">
        <w:t xml:space="preserve">, </w:t>
      </w:r>
      <w:r>
        <w:t xml:space="preserve">ERCOT may require </w:t>
      </w:r>
      <w:r w:rsidRPr="00344FFC">
        <w:t xml:space="preserve">proof that </w:t>
      </w:r>
      <w:r>
        <w:t>following a reasonable effort to secure fuel, the QSE or Resource</w:t>
      </w:r>
      <w:r w:rsidRPr="00344FFC">
        <w:t xml:space="preserve"> </w:t>
      </w:r>
      <w:r>
        <w:t>Entity was not able</w:t>
      </w:r>
      <w:r w:rsidRPr="00344FFC">
        <w:t xml:space="preserve"> </w:t>
      </w:r>
      <w:r>
        <w:t xml:space="preserve">to both purchase and </w:t>
      </w:r>
      <w:r w:rsidRPr="003E2601">
        <w:t xml:space="preserve">nominate fuel </w:t>
      </w:r>
      <w:r>
        <w:t>for reasons beyond the QSE’s or Resource Entity’s control, or that nominating such fuel would have resulted in higher overall fuel costs</w:t>
      </w:r>
      <w:r w:rsidRPr="00915757">
        <w:t>.</w:t>
      </w:r>
      <w:r w:rsidRPr="003E2601">
        <w:t xml:space="preserve"> </w:t>
      </w:r>
      <w:r>
        <w:t xml:space="preserve"> </w:t>
      </w:r>
      <w:r w:rsidRPr="003E2601">
        <w:t>ERCOT may require an attestation signed by an officer or executive with authority to bind the</w:t>
      </w:r>
      <w:r w:rsidRPr="00363947">
        <w:t xml:space="preserve"> QSE stating that the information contained in the dispute is accurate</w:t>
      </w:r>
      <w:r>
        <w:t xml:space="preserve"> and that the costs included are variable based on the dispatch of the Resource, to the best of knowledge and belief. </w:t>
      </w:r>
    </w:p>
    <w:p w14:paraId="425A1532" w14:textId="77777777" w:rsidR="00B214A7" w:rsidRDefault="00B214A7" w:rsidP="00B214A7">
      <w:pPr>
        <w:pStyle w:val="BodyText"/>
        <w:ind w:left="1440" w:hanging="720"/>
      </w:pPr>
      <w:r>
        <w:t>(a)</w:t>
      </w:r>
      <w:r>
        <w:tab/>
        <w:t>A QSE or Resource Entity is not required to procure and nominate fuel after the initial RUC instruction for incremental RUC instructed hours unless the extended RUC instruction individually meets the requirements under paragraphs (2) and (3) above.</w:t>
      </w:r>
    </w:p>
    <w:p w14:paraId="14EBF0C4" w14:textId="77777777" w:rsidR="00B214A7" w:rsidRPr="00020834" w:rsidRDefault="00B214A7" w:rsidP="00B214A7">
      <w:pPr>
        <w:spacing w:after="240"/>
        <w:ind w:left="720" w:hanging="720"/>
      </w:pPr>
      <w:r>
        <w:lastRenderedPageBreak/>
        <w:t>(5)</w:t>
      </w:r>
      <w:r>
        <w:tab/>
        <w:t>Notwithstanding the provision in paragraph (1) above, t</w:t>
      </w:r>
      <w:r w:rsidRPr="00845B39">
        <w:t>he cost of fuel may also include penalties for fuel delivery outside of RUC-Committed Intervals in accordance with the ratable delivery obligations and costs as specified in the enforceable transportation agreement.</w:t>
      </w:r>
      <w:r>
        <w:t xml:space="preserve">  In addition, if the QSE or Resource Entity (or another entity acting on behalf of the Resource with respect to fuel procurement) has purchased sufficient fuel </w:t>
      </w:r>
      <w:r w:rsidRPr="00845B39">
        <w:t>quantities to start and operate the Resource at its LSL during the RUC-Committed Intervals</w:t>
      </w:r>
      <w:r>
        <w:t xml:space="preserve"> and is eligible to receive a Startup Cost, as described in Section 5.6.2, RUC Startup Cost Eligibility, or Section 5.6.3, Forced Outage of a RUC-Committed Resource, but </w:t>
      </w:r>
      <w:r w:rsidRPr="00845B39">
        <w:t>trip</w:t>
      </w:r>
      <w:r>
        <w:t>s</w:t>
      </w:r>
      <w:r w:rsidRPr="00845B39">
        <w:t xml:space="preserve"> </w:t>
      </w:r>
      <w:r>
        <w:t>O</w:t>
      </w:r>
      <w:r w:rsidRPr="00845B39">
        <w:t>ff</w:t>
      </w:r>
      <w:r>
        <w:t>-L</w:t>
      </w:r>
      <w:r w:rsidRPr="00845B39">
        <w:t>ine</w:t>
      </w:r>
      <w:r>
        <w:t xml:space="preserve">, the QSE is eligible to recover associated fuel </w:t>
      </w:r>
      <w:r w:rsidRPr="00845B39">
        <w:t xml:space="preserve">penalties </w:t>
      </w:r>
      <w:r>
        <w:t xml:space="preserve">incurred </w:t>
      </w:r>
      <w:r w:rsidRPr="00845B39">
        <w:t>through the end of the gas</w:t>
      </w:r>
      <w:r>
        <w:t xml:space="preserve"> </w:t>
      </w:r>
      <w:r w:rsidRPr="00845B39">
        <w:t>day</w:t>
      </w:r>
      <w:r>
        <w:t xml:space="preserve">, including the net cost of fuel that was purchased and nominated for the gas delivery day to operate the Resource at </w:t>
      </w:r>
      <w:r w:rsidRPr="00C60524">
        <w:t>LSL</w:t>
      </w:r>
      <w:r>
        <w:t xml:space="preserve"> for the </w:t>
      </w:r>
      <w:r w:rsidRPr="00C60524">
        <w:t>RUC-Instructed</w:t>
      </w:r>
      <w:r>
        <w:t xml:space="preserve"> hours, but was not used.  A QSE or Resource Entity shall make a commercially reasonable effort to sell the fuel that was not used and shall provide the residual value for any fuel not used or sold.</w:t>
      </w:r>
    </w:p>
    <w:p w14:paraId="629DA36C" w14:textId="77C81368" w:rsidR="0014132B" w:rsidRDefault="0071686C">
      <w:pPr>
        <w:pStyle w:val="BodyText"/>
        <w:ind w:left="720" w:hanging="720"/>
      </w:pPr>
      <w:r>
        <w:t>(</w:t>
      </w:r>
      <w:r w:rsidR="00B214A7">
        <w:t>6</w:t>
      </w:r>
      <w:r>
        <w:t>)</w:t>
      </w:r>
      <w:r>
        <w:tab/>
        <w:t>If the actual price paid for the delivered fuel oil used to replace oil consumed during a RUC</w:t>
      </w:r>
      <w:r w:rsidR="00E60681">
        <w:t>-</w:t>
      </w:r>
      <w:r>
        <w:t xml:space="preserve">Committed Interval is greater than </w:t>
      </w:r>
      <w:r w:rsidR="00E60681">
        <w:t>Fuel Oil Price (</w:t>
      </w:r>
      <w:r>
        <w:t>FOP</w:t>
      </w:r>
      <w:r w:rsidR="00E60681">
        <w:t>)</w:t>
      </w:r>
      <w:r w:rsidR="00635D3F" w:rsidRPr="00635D3F">
        <w:rPr>
          <w:iCs w:val="0"/>
        </w:rPr>
        <w:t xml:space="preserve"> </w:t>
      </w:r>
      <w:r w:rsidR="00635D3F" w:rsidRPr="00DA038C">
        <w:rPr>
          <w:iCs w:val="0"/>
        </w:rPr>
        <w:t>adjusted by the proxy fuel adder, X, defined in the Verifiable Cost Manual (i.e., FOP * (1+X)), then the QSE may file a Settlement dispute for the Resource’s RUC Make-Whole Payment.  The maximum amount that may be recovered through this dispute process is the difference between the RUC Guarantee based on the actual price paid and the adjusted price, FOP * (1+X)</w:t>
      </w:r>
      <w:r>
        <w:t xml:space="preserve">.  </w:t>
      </w:r>
    </w:p>
    <w:p w14:paraId="5493635D" w14:textId="5F335646" w:rsidR="0014132B" w:rsidRDefault="0071686C">
      <w:pPr>
        <w:pStyle w:val="BodyText"/>
        <w:ind w:left="720" w:hanging="720"/>
      </w:pPr>
      <w:r>
        <w:t>(</w:t>
      </w:r>
      <w:r w:rsidR="00B214A7">
        <w:t>7</w:t>
      </w:r>
      <w:r>
        <w:t>)</w:t>
      </w:r>
      <w:r>
        <w:tab/>
        <w:t xml:space="preserve">If the </w:t>
      </w:r>
      <w:r w:rsidR="00B176DE">
        <w:t xml:space="preserve">QSE representing the </w:t>
      </w:r>
      <w:r>
        <w:t>G</w:t>
      </w:r>
      <w:r w:rsidR="00E60681">
        <w:t>eneration Resource made a Three-</w:t>
      </w:r>
      <w:r>
        <w:t xml:space="preserve">Part Supply Offer into the DAM based on FIP and </w:t>
      </w:r>
      <w:r w:rsidR="00E60681">
        <w:t>had to run on fuel oil in a RUC-</w:t>
      </w:r>
      <w:r>
        <w:t>Committed Hour</w:t>
      </w:r>
      <w:r w:rsidR="00635D3F" w:rsidRPr="00635D3F">
        <w:rPr>
          <w:iCs w:val="0"/>
        </w:rPr>
        <w:t xml:space="preserve"> </w:t>
      </w:r>
      <w:r w:rsidR="00635D3F">
        <w:rPr>
          <w:iCs w:val="0"/>
        </w:rPr>
        <w:t xml:space="preserve">with an active </w:t>
      </w:r>
      <w:r w:rsidR="00635D3F" w:rsidRPr="005C53C9">
        <w:rPr>
          <w:iCs w:val="0"/>
        </w:rPr>
        <w:t xml:space="preserve">Three-Part Supply Offer </w:t>
      </w:r>
      <w:r w:rsidR="00635D3F">
        <w:rPr>
          <w:iCs w:val="0"/>
        </w:rPr>
        <w:t>based on the adjusted FIP</w:t>
      </w:r>
      <w:r>
        <w:t>,</w:t>
      </w:r>
      <w:r w:rsidR="00E60681">
        <w:t xml:space="preserve"> the QSE may file a Settlement d</w:t>
      </w:r>
      <w:r>
        <w:t>ispute to recover the difference between the RUC Guarantee based actual price paid fo</w:t>
      </w:r>
      <w:r w:rsidR="00E60681">
        <w:t xml:space="preserve">r delivered fuel oil </w:t>
      </w:r>
      <w:r w:rsidR="00635D3F" w:rsidRPr="00DA038C">
        <w:rPr>
          <w:iCs w:val="0"/>
        </w:rPr>
        <w:t>an</w:t>
      </w:r>
      <w:r w:rsidR="00635D3F">
        <w:rPr>
          <w:iCs w:val="0"/>
        </w:rPr>
        <w:t>d the fuel price of FIP * (1+X)</w:t>
      </w:r>
      <w:r>
        <w:t xml:space="preserve">.  </w:t>
      </w:r>
    </w:p>
    <w:p w14:paraId="3557CDAA" w14:textId="4DC63FF5" w:rsidR="00635D3F" w:rsidRDefault="00635D3F" w:rsidP="00635D3F">
      <w:pPr>
        <w:spacing w:after="240"/>
        <w:ind w:left="720" w:hanging="720"/>
        <w:rPr>
          <w:iCs/>
        </w:rPr>
      </w:pPr>
      <w:r>
        <w:rPr>
          <w:iCs/>
        </w:rPr>
        <w:t>(</w:t>
      </w:r>
      <w:r w:rsidR="00B214A7">
        <w:rPr>
          <w:iCs/>
        </w:rPr>
        <w:t>8</w:t>
      </w:r>
      <w:r>
        <w:rPr>
          <w:iCs/>
        </w:rPr>
        <w:t>)</w:t>
      </w:r>
      <w:r>
        <w:rPr>
          <w:iCs/>
        </w:rPr>
        <w:tab/>
      </w:r>
      <w:r w:rsidRPr="00882B9A">
        <w:rPr>
          <w:iCs/>
        </w:rPr>
        <w:t>When filing a Settlement dispute under paragraph (</w:t>
      </w:r>
      <w:r w:rsidR="00B214A7">
        <w:rPr>
          <w:iCs/>
        </w:rPr>
        <w:t>6</w:t>
      </w:r>
      <w:r w:rsidRPr="00882B9A">
        <w:rPr>
          <w:iCs/>
        </w:rPr>
        <w:t>) or (</w:t>
      </w:r>
      <w:r w:rsidR="00B214A7">
        <w:rPr>
          <w:iCs/>
        </w:rPr>
        <w:t>7</w:t>
      </w:r>
      <w:r w:rsidRPr="00882B9A">
        <w:rPr>
          <w:iCs/>
        </w:rPr>
        <w:t xml:space="preserve">) above, the QSE must provide documentation (invoices) that identifies purchases of fuel oil by the QSE, Resource Entity, or Generation Entity to replace oil consumed for a RUC-Committed Interval.  In addition, the QSE must provide proof that the Resource </w:t>
      </w:r>
      <w:proofErr w:type="gramStart"/>
      <w:r w:rsidRPr="00882B9A">
        <w:rPr>
          <w:iCs/>
        </w:rPr>
        <w:t>actually consumed</w:t>
      </w:r>
      <w:proofErr w:type="gramEnd"/>
      <w:r w:rsidRPr="00882B9A">
        <w:rPr>
          <w:iCs/>
        </w:rPr>
        <w:t xml:space="preserve"> fuel oil during the RUC-Committed Interval.  Proof of actual consumption may be based on the Resource’s technical specifications or flow meters as appropriate.  Documentation of fuel oil purchases must show that these were made no later than seven Business Days after the end of the last consecutive RUC-Committed Interval.  Replacement fuel oil costs are limited to the actual gallons/barrels of fuel oil consumed during RUC-Committed Intervals.</w:t>
      </w:r>
    </w:p>
    <w:p w14:paraId="09115019" w14:textId="0D063A94" w:rsidR="00C6585B" w:rsidRDefault="00635D3F" w:rsidP="00C6585B">
      <w:pPr>
        <w:spacing w:after="240"/>
        <w:ind w:left="720" w:hanging="720"/>
        <w:rPr>
          <w:iCs/>
        </w:rPr>
      </w:pPr>
      <w:r>
        <w:rPr>
          <w:iCs/>
        </w:rPr>
        <w:t>(</w:t>
      </w:r>
      <w:r w:rsidR="00B214A7">
        <w:rPr>
          <w:iCs/>
        </w:rPr>
        <w:t>9</w:t>
      </w:r>
      <w:r>
        <w:rPr>
          <w:iCs/>
        </w:rPr>
        <w:t>)</w:t>
      </w:r>
      <w:r>
        <w:rPr>
          <w:iCs/>
        </w:rPr>
        <w:tab/>
        <w:t>ERCOT may, in its sole discretion, consider documentation types other than those specifically listed in paragraphs (1) and (</w:t>
      </w:r>
      <w:r w:rsidR="00B214A7">
        <w:rPr>
          <w:iCs/>
        </w:rPr>
        <w:t>8</w:t>
      </w:r>
      <w:r>
        <w:rPr>
          <w:iCs/>
        </w:rPr>
        <w:t>) above when offered by a QSE in support of its recovery of fuel costs for RUC deployments.</w:t>
      </w:r>
      <w:r w:rsidR="00176EAC" w:rsidRPr="00176EAC">
        <w:rPr>
          <w:iCs/>
        </w:rPr>
        <w:t xml:space="preserve"> </w:t>
      </w:r>
      <w:r w:rsidR="00176EAC">
        <w:rPr>
          <w:iCs/>
        </w:rPr>
        <w:t xml:space="preserve"> </w:t>
      </w:r>
      <w:r w:rsidR="00176EAC" w:rsidRPr="00C014BD">
        <w:rPr>
          <w:iCs/>
        </w:rPr>
        <w:t xml:space="preserve">For example, ERCOT may require the Resource </w:t>
      </w:r>
      <w:r w:rsidR="00176EAC">
        <w:rPr>
          <w:iCs/>
        </w:rPr>
        <w:t>i</w:t>
      </w:r>
      <w:r w:rsidR="00176EAC" w:rsidRPr="00C014BD">
        <w:rPr>
          <w:iCs/>
        </w:rPr>
        <w:t>nput-output equation or average heat rate curve that allows for verification of fuel consumption for operation at and above</w:t>
      </w:r>
      <w:r w:rsidR="00E27A9C" w:rsidRPr="00C014BD">
        <w:rPr>
          <w:iCs/>
        </w:rPr>
        <w:t xml:space="preserve"> LSL</w:t>
      </w:r>
      <w:r w:rsidR="00176EAC" w:rsidRPr="00C014BD">
        <w:rPr>
          <w:iCs/>
        </w:rPr>
        <w:t>.</w:t>
      </w:r>
    </w:p>
    <w:p w14:paraId="0479B54C" w14:textId="27B0E993" w:rsidR="00635D3F" w:rsidRDefault="00C6585B" w:rsidP="00C6585B">
      <w:pPr>
        <w:spacing w:after="240"/>
        <w:ind w:left="720" w:hanging="720"/>
        <w:rPr>
          <w:iCs/>
        </w:rPr>
      </w:pPr>
      <w:r>
        <w:rPr>
          <w:iCs/>
        </w:rPr>
        <w:t>(</w:t>
      </w:r>
      <w:r w:rsidR="00B214A7">
        <w:rPr>
          <w:iCs/>
        </w:rPr>
        <w:t>10</w:t>
      </w:r>
      <w:r>
        <w:rPr>
          <w:iCs/>
        </w:rPr>
        <w:t>)</w:t>
      </w:r>
      <w:r>
        <w:rPr>
          <w:iCs/>
        </w:rPr>
        <w:tab/>
        <w:t xml:space="preserve">When calculating the </w:t>
      </w:r>
      <w:r>
        <w:t xml:space="preserve">RUC Guarantee as described in </w:t>
      </w:r>
      <w:r w:rsidRPr="00882B9A">
        <w:rPr>
          <w:iCs/>
        </w:rPr>
        <w:t xml:space="preserve">paragraph </w:t>
      </w:r>
      <w:r>
        <w:rPr>
          <w:iCs/>
        </w:rPr>
        <w:t xml:space="preserve">(1), </w:t>
      </w:r>
      <w:r w:rsidRPr="00882B9A">
        <w:rPr>
          <w:iCs/>
        </w:rPr>
        <w:t>(</w:t>
      </w:r>
      <w:r w:rsidR="00B214A7">
        <w:rPr>
          <w:iCs/>
        </w:rPr>
        <w:t>6</w:t>
      </w:r>
      <w:r w:rsidRPr="00882B9A">
        <w:rPr>
          <w:iCs/>
        </w:rPr>
        <w:t>) or (</w:t>
      </w:r>
      <w:r w:rsidR="00B214A7">
        <w:rPr>
          <w:iCs/>
        </w:rPr>
        <w:t>7</w:t>
      </w:r>
      <w:r w:rsidRPr="00882B9A">
        <w:rPr>
          <w:iCs/>
        </w:rPr>
        <w:t>) above</w:t>
      </w:r>
      <w:r>
        <w:rPr>
          <w:iCs/>
        </w:rPr>
        <w:t xml:space="preserve">, the Startup Price per start (SUPR) and the Minimum-Energy Price (MEPR), as defined in </w:t>
      </w:r>
      <w:r>
        <w:rPr>
          <w:iCs/>
        </w:rPr>
        <w:lastRenderedPageBreak/>
        <w:t>paragraph (6) of Section 5.7.1.1, RUC Guarantee, will be set to the Startup Cap (SUCAP) and Minimum-Energy Cap (MECAP), respectively, utilizing the actual fuel price paid.</w:t>
      </w:r>
    </w:p>
    <w:p w14:paraId="5290FCBF" w14:textId="210E02C2" w:rsidR="00176EAC" w:rsidRPr="00C014BD" w:rsidRDefault="00176EAC" w:rsidP="00176EAC">
      <w:pPr>
        <w:spacing w:after="240"/>
        <w:ind w:left="720" w:hanging="720"/>
      </w:pPr>
      <w:bookmarkStart w:id="454" w:name="_Toc278262322"/>
      <w:bookmarkStart w:id="455" w:name="_Toc309731098"/>
      <w:bookmarkStart w:id="456" w:name="_Toc405814074"/>
      <w:bookmarkStart w:id="457" w:name="_Toc422207965"/>
      <w:bookmarkStart w:id="458" w:name="_Toc438044876"/>
      <w:bookmarkStart w:id="459" w:name="_Toc447622659"/>
      <w:bookmarkStart w:id="460" w:name="_Toc80175308"/>
      <w:r w:rsidRPr="00C014BD">
        <w:rPr>
          <w:iCs/>
        </w:rPr>
        <w:t>(</w:t>
      </w:r>
      <w:r w:rsidR="00B214A7">
        <w:rPr>
          <w:iCs/>
        </w:rPr>
        <w:t>11</w:t>
      </w:r>
      <w:r w:rsidRPr="00C014BD">
        <w:rPr>
          <w:iCs/>
        </w:rPr>
        <w:t>)</w:t>
      </w:r>
      <w:r w:rsidRPr="00C014BD">
        <w:rPr>
          <w:iCs/>
        </w:rPr>
        <w:tab/>
      </w:r>
      <w:r>
        <w:rPr>
          <w:iCs/>
        </w:rPr>
        <w:t xml:space="preserve">In </w:t>
      </w:r>
      <w:r w:rsidRPr="006D0E4C">
        <w:rPr>
          <w:iCs/>
        </w:rPr>
        <w:t xml:space="preserve">order to recover fuel costs above LSL for a </w:t>
      </w:r>
      <w:r w:rsidRPr="006D0E4C">
        <w:t>RUC-Committed Interval</w:t>
      </w:r>
      <w:r w:rsidRPr="006D0E4C">
        <w:rPr>
          <w:iCs/>
        </w:rPr>
        <w:t xml:space="preserve">, </w:t>
      </w:r>
      <w:r w:rsidRPr="006D0E4C">
        <w:t xml:space="preserve">the QSE </w:t>
      </w:r>
      <w:r w:rsidRPr="005C3AB3">
        <w:t xml:space="preserve">must also submit </w:t>
      </w:r>
      <w:r>
        <w:t>proof</w:t>
      </w:r>
      <w:r w:rsidRPr="005C79EE">
        <w:t xml:space="preserve"> of the </w:t>
      </w:r>
      <w:r>
        <w:t>volume-</w:t>
      </w:r>
      <w:r w:rsidRPr="00832D43">
        <w:t xml:space="preserve">weighted </w:t>
      </w:r>
      <w:r w:rsidRPr="0041500B">
        <w:t>average actual price paid for fuel c</w:t>
      </w:r>
      <w:r w:rsidRPr="000659A0">
        <w:t xml:space="preserve">onsumed by the Resource during a </w:t>
      </w:r>
      <w:r w:rsidRPr="005C3AB3">
        <w:t>RUC-Committed Interval for generation above LSL.  ERCOT will adjust the RUC Guarantee (RUCG) to include the additional fuel costs above LSL filed by the QSE.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76EAC" w:rsidRPr="004B32CF" w14:paraId="4E2E12FB" w14:textId="77777777" w:rsidTr="001C5A31">
        <w:trPr>
          <w:trHeight w:val="656"/>
        </w:trPr>
        <w:tc>
          <w:tcPr>
            <w:tcW w:w="9350" w:type="dxa"/>
            <w:shd w:val="pct12" w:color="auto" w:fill="auto"/>
          </w:tcPr>
          <w:p w14:paraId="1F3D0F1E" w14:textId="0211B157" w:rsidR="00176EAC" w:rsidRPr="006D0E4C" w:rsidRDefault="00176EAC" w:rsidP="001C5A31">
            <w:pPr>
              <w:spacing w:after="240"/>
              <w:rPr>
                <w:b/>
                <w:i/>
                <w:iCs/>
              </w:rPr>
            </w:pPr>
            <w:r w:rsidRPr="006D0E4C">
              <w:rPr>
                <w:b/>
                <w:i/>
                <w:iCs/>
              </w:rPr>
              <w:t>[NPRR1140: Replace paragraph (</w:t>
            </w:r>
            <w:r w:rsidR="00B214A7">
              <w:rPr>
                <w:b/>
                <w:i/>
                <w:iCs/>
              </w:rPr>
              <w:t>11</w:t>
            </w:r>
            <w:r w:rsidRPr="006D0E4C">
              <w:rPr>
                <w:b/>
                <w:i/>
                <w:iCs/>
              </w:rPr>
              <w:t>) above with the following upon system implementation:]</w:t>
            </w:r>
          </w:p>
          <w:p w14:paraId="0479C2AD" w14:textId="44AF00ED" w:rsidR="00176EAC" w:rsidRPr="00FA3373" w:rsidRDefault="00176EAC" w:rsidP="001C5A31">
            <w:pPr>
              <w:spacing w:after="240"/>
              <w:ind w:left="720" w:hanging="720"/>
            </w:pPr>
            <w:r w:rsidRPr="006D0E4C">
              <w:rPr>
                <w:iCs/>
              </w:rPr>
              <w:t>(</w:t>
            </w:r>
            <w:r w:rsidR="00B214A7">
              <w:rPr>
                <w:iCs/>
              </w:rPr>
              <w:t>11</w:t>
            </w:r>
            <w:r w:rsidRPr="006D0E4C">
              <w:rPr>
                <w:iCs/>
              </w:rPr>
              <w:t>)</w:t>
            </w:r>
            <w:r w:rsidRPr="006D0E4C">
              <w:rPr>
                <w:iCs/>
              </w:rPr>
              <w:tab/>
            </w:r>
            <w:r w:rsidRPr="005C3AB3">
              <w:rPr>
                <w:iCs/>
              </w:rPr>
              <w:t xml:space="preserve">In order to recover fuel costs above LSL for a </w:t>
            </w:r>
            <w:r w:rsidRPr="006D0E4C">
              <w:t>RUC-Committed Interval</w:t>
            </w:r>
            <w:r w:rsidRPr="006D0E4C">
              <w:rPr>
                <w:iCs/>
              </w:rPr>
              <w:t xml:space="preserve">, </w:t>
            </w:r>
            <w:r w:rsidRPr="006D0E4C">
              <w:t xml:space="preserve">the QSE </w:t>
            </w:r>
            <w:r w:rsidRPr="005C3AB3">
              <w:t xml:space="preserve">must also submit </w:t>
            </w:r>
            <w:r>
              <w:t>proof</w:t>
            </w:r>
            <w:r w:rsidRPr="005C79EE">
              <w:t xml:space="preserve"> of the </w:t>
            </w:r>
            <w:r>
              <w:t>volume-</w:t>
            </w:r>
            <w:r w:rsidRPr="00832D43">
              <w:t>weighted</w:t>
            </w:r>
            <w:r w:rsidRPr="0041500B">
              <w:t xml:space="preserve"> average actual price paid for f</w:t>
            </w:r>
            <w:r w:rsidRPr="000659A0">
              <w:t xml:space="preserve">uel consumed by the Resource during a </w:t>
            </w:r>
            <w:r w:rsidRPr="005C3AB3">
              <w:t>RUC-Committed Interval for generation above LSL.</w:t>
            </w:r>
            <w:r>
              <w:t xml:space="preserve">  </w:t>
            </w:r>
          </w:p>
        </w:tc>
      </w:tr>
    </w:tbl>
    <w:p w14:paraId="4C2CE379" w14:textId="77777777" w:rsidR="0012035F" w:rsidRPr="008910B8" w:rsidRDefault="0012035F" w:rsidP="007E3C4D">
      <w:pPr>
        <w:pStyle w:val="H3"/>
        <w:spacing w:before="480"/>
        <w:rPr>
          <w:b/>
          <w:i/>
        </w:rPr>
      </w:pPr>
      <w:r w:rsidRPr="008910B8">
        <w:rPr>
          <w:b/>
          <w:i/>
        </w:rPr>
        <w:t>9.14.8</w:t>
      </w:r>
      <w:r w:rsidRPr="008910B8">
        <w:rPr>
          <w:b/>
          <w:i/>
        </w:rPr>
        <w:tab/>
        <w:t xml:space="preserve">Disputes for Settlement Application of </w:t>
      </w:r>
      <w:bookmarkEnd w:id="454"/>
      <w:r w:rsidRPr="008910B8">
        <w:rPr>
          <w:b/>
          <w:i/>
        </w:rPr>
        <w:t>Integrated Telemetry for Split Generation Resources</w:t>
      </w:r>
      <w:bookmarkEnd w:id="455"/>
      <w:bookmarkEnd w:id="456"/>
      <w:bookmarkEnd w:id="457"/>
      <w:bookmarkEnd w:id="458"/>
      <w:bookmarkEnd w:id="459"/>
      <w:bookmarkEnd w:id="460"/>
    </w:p>
    <w:p w14:paraId="711F8201" w14:textId="77777777" w:rsidR="0012035F" w:rsidRDefault="00A0123C" w:rsidP="00660ED3">
      <w:pPr>
        <w:pStyle w:val="BodyTextNumbered"/>
        <w:rPr>
          <w:iCs/>
        </w:rPr>
      </w:pPr>
      <w:r>
        <w:rPr>
          <w:iCs/>
        </w:rPr>
        <w:t>(1)</w:t>
      </w:r>
      <w:r>
        <w:rPr>
          <w:iCs/>
        </w:rPr>
        <w:tab/>
      </w:r>
      <w:r w:rsidR="0012035F" w:rsidRPr="00D26DCF">
        <w:rPr>
          <w:iCs/>
        </w:rPr>
        <w:t xml:space="preserve">Settlement and billing disputes related to application of integrated Real-Time telemetry of MW or MVAr from a </w:t>
      </w:r>
      <w:r w:rsidR="0012035F" w:rsidRPr="00A0123C">
        <w:t>Generation</w:t>
      </w:r>
      <w:r w:rsidR="0012035F" w:rsidRPr="00D26DCF">
        <w:rPr>
          <w:iCs/>
        </w:rPr>
        <w:t xml:space="preserve"> Resource that has been split to function as two or more Split Generation Resources require a signed affidavit by all QSEs representing associated Split Generation Resources.  Data values submitted with the affidavit must be integrated to the applicable Settlement Interval format related to the Settlement and billing charge type in dispute.</w:t>
      </w:r>
    </w:p>
    <w:p w14:paraId="60CB5387" w14:textId="77777777" w:rsidR="00970361" w:rsidRPr="00A959CA" w:rsidRDefault="00970361" w:rsidP="00970361">
      <w:pPr>
        <w:pStyle w:val="H3"/>
        <w:rPr>
          <w:b/>
          <w:bCs/>
        </w:rPr>
      </w:pPr>
      <w:bookmarkStart w:id="461" w:name="_Toc80175309"/>
      <w:r w:rsidRPr="00A959CA">
        <w:rPr>
          <w:b/>
          <w:i/>
        </w:rPr>
        <w:t>9.14.9</w:t>
      </w:r>
      <w:r w:rsidRPr="00A959CA">
        <w:rPr>
          <w:b/>
          <w:i/>
        </w:rPr>
        <w:tab/>
        <w:t>Incremental Fuel Costs for Switchable Generation Make-Whole Payment Disputes</w:t>
      </w:r>
      <w:bookmarkEnd w:id="461"/>
      <w:r w:rsidRPr="00A959CA">
        <w:rPr>
          <w:b/>
          <w:bCs/>
        </w:rPr>
        <w:t xml:space="preserve"> </w:t>
      </w:r>
    </w:p>
    <w:p w14:paraId="735042EC" w14:textId="77777777" w:rsidR="00970361" w:rsidRPr="00A959CA" w:rsidRDefault="00970361" w:rsidP="00970361">
      <w:pPr>
        <w:spacing w:after="240"/>
        <w:ind w:left="720" w:hanging="720"/>
        <w:rPr>
          <w:szCs w:val="24"/>
        </w:rPr>
      </w:pPr>
      <w:r w:rsidRPr="00A959CA">
        <w:rPr>
          <w:szCs w:val="24"/>
        </w:rPr>
        <w:t>(1)</w:t>
      </w:r>
      <w:r w:rsidRPr="00A959CA">
        <w:rPr>
          <w:szCs w:val="24"/>
        </w:rPr>
        <w:tab/>
        <w:t xml:space="preserve">For the purposes of any Settlement and billing dispute submitted pursuant to paragraph (1)(c) of Section 6.6.12, Make-Whole Payment for Switchable Generation </w:t>
      </w:r>
      <w:r>
        <w:rPr>
          <w:szCs w:val="24"/>
        </w:rPr>
        <w:t xml:space="preserve">Resources </w:t>
      </w:r>
      <w:r w:rsidRPr="00A959CA">
        <w:rPr>
          <w:szCs w:val="24"/>
        </w:rPr>
        <w:t xml:space="preserve">Committed for Energy Emergency Alert (EEA), if the actual price paid for delivered natural gas for a specific Switchable Generation Resource (SWGR) for an instructed hour is greater than FIP plus the fuel adder, then the QSE may recover the fuel costs incurred for that SWGR in the Settlement and billing dispute.  The QSE must provide documentation (invoices) that identifies intra-day costs of natural gas consumed.  All documentation submitted by the QSE for natural gas costs incurred intra-day must show a nexus from the seller or distributor of natural gas products to the QSE, Resource Entity or Generation Entity as the ultimate buyer.  The QSE must demonstrate that the seller or distributor has procured natural gas fuel intra-day.  </w:t>
      </w:r>
    </w:p>
    <w:p w14:paraId="6924529D" w14:textId="77777777" w:rsidR="00970361" w:rsidRPr="00A959CA" w:rsidRDefault="00970361" w:rsidP="00970361">
      <w:pPr>
        <w:spacing w:after="240"/>
        <w:ind w:left="720" w:hanging="720"/>
        <w:rPr>
          <w:szCs w:val="24"/>
        </w:rPr>
      </w:pPr>
      <w:r w:rsidRPr="00A959CA">
        <w:rPr>
          <w:szCs w:val="24"/>
        </w:rPr>
        <w:t>(2)</w:t>
      </w:r>
      <w:r w:rsidRPr="00A959CA">
        <w:rPr>
          <w:szCs w:val="24"/>
        </w:rPr>
        <w:tab/>
        <w:t>For the purposes of any Settlement and billing dispute submitted pursuant to paragraph (1)(c) of Section 6.6.12</w:t>
      </w:r>
      <w:r w:rsidR="00297FF1">
        <w:rPr>
          <w:szCs w:val="24"/>
        </w:rPr>
        <w:t>,</w:t>
      </w:r>
      <w:r w:rsidRPr="00A959CA">
        <w:rPr>
          <w:szCs w:val="24"/>
        </w:rPr>
        <w:t xml:space="preserve"> if the actual price paid for the delivered fuel oil used to replace oil consumed for an instructed hour is greater than FOP plus the fuel adder, then the QSE may recover the fuel costs incurred for that SWGR in the dispute.  The QSE must provide </w:t>
      </w:r>
      <w:r w:rsidRPr="00A959CA">
        <w:rPr>
          <w:szCs w:val="24"/>
        </w:rPr>
        <w:lastRenderedPageBreak/>
        <w:t xml:space="preserve">documentation that identifies purchases of fuel oil by the QSE, Resource Entity, or Generation Entity to replace oil consumed.  In addition, the QSE must provide proof that the SWGR </w:t>
      </w:r>
      <w:proofErr w:type="gramStart"/>
      <w:r w:rsidRPr="00A959CA">
        <w:rPr>
          <w:szCs w:val="24"/>
        </w:rPr>
        <w:t>actually consumed</w:t>
      </w:r>
      <w:proofErr w:type="gramEnd"/>
      <w:r w:rsidRPr="00A959CA">
        <w:rPr>
          <w:szCs w:val="24"/>
        </w:rPr>
        <w:t xml:space="preserve"> fuel oil for the instructed hour.  Proof of actual consumption may be based on the Resource’s technical specifications or flow meters as appropriate.  Documentation of fuel oil purchases must show that these were made no later than seven Business Days after the end of the last consecutive instructed hour. </w:t>
      </w:r>
    </w:p>
    <w:p w14:paraId="31824D0B" w14:textId="77777777" w:rsidR="00970361" w:rsidRDefault="00970361" w:rsidP="00970361">
      <w:pPr>
        <w:pStyle w:val="BodyTextNumbered"/>
      </w:pPr>
      <w:r w:rsidRPr="00A959CA">
        <w:rPr>
          <w:szCs w:val="24"/>
        </w:rPr>
        <w:t>(3)</w:t>
      </w:r>
      <w:r w:rsidRPr="00A959CA">
        <w:rPr>
          <w:szCs w:val="24"/>
        </w:rPr>
        <w:tab/>
        <w:t xml:space="preserve">A QSE submitting documents for the recovery of RUC-related fuel costs other than those specifically discussed in paragraph (1) or (2) above </w:t>
      </w:r>
      <w:r w:rsidRPr="00A959CA">
        <w:rPr>
          <w:color w:val="000000"/>
          <w:szCs w:val="24"/>
        </w:rPr>
        <w:t xml:space="preserve">must request to have such documents approved by the ERCOT Board during an </w:t>
      </w:r>
      <w:r w:rsidRPr="00A959CA">
        <w:rPr>
          <w:szCs w:val="24"/>
        </w:rPr>
        <w:t>Executive</w:t>
      </w:r>
      <w:r w:rsidRPr="00A959CA">
        <w:rPr>
          <w:color w:val="000000"/>
          <w:szCs w:val="24"/>
        </w:rPr>
        <w:t xml:space="preserve"> Session at the next regularly scheduled meeting of the ERCOT Board.  If the ERCOT Board approves the inclusion of such documentation as proof of fuel purchases, the QSE must file a</w:t>
      </w:r>
      <w:r w:rsidR="00297FF1">
        <w:rPr>
          <w:color w:val="000000"/>
          <w:szCs w:val="24"/>
        </w:rPr>
        <w:t xml:space="preserve">n </w:t>
      </w:r>
      <w:r w:rsidRPr="00A959CA">
        <w:rPr>
          <w:color w:val="000000"/>
          <w:szCs w:val="24"/>
        </w:rPr>
        <w:t>NPRR</w:t>
      </w:r>
      <w:r w:rsidR="00297FF1">
        <w:rPr>
          <w:color w:val="000000"/>
          <w:szCs w:val="24"/>
        </w:rPr>
        <w:t xml:space="preserve"> </w:t>
      </w:r>
      <w:r w:rsidRPr="00A959CA">
        <w:rPr>
          <w:color w:val="000000"/>
          <w:szCs w:val="24"/>
        </w:rPr>
        <w:t>in accordance with Section 21, Revision Request Process, to add this category of documentation to the process for approval of Switchable Generation Make-Whole Payments.</w:t>
      </w:r>
    </w:p>
    <w:p w14:paraId="0FA3A167" w14:textId="77777777" w:rsidR="00A26DE0" w:rsidRPr="00A26DE0" w:rsidRDefault="00A26DE0" w:rsidP="00A26DE0">
      <w:pPr>
        <w:pStyle w:val="H3"/>
        <w:rPr>
          <w:b/>
          <w:i/>
        </w:rPr>
      </w:pPr>
      <w:bookmarkStart w:id="462" w:name="_Toc9590849"/>
      <w:bookmarkStart w:id="463" w:name="_Toc80175310"/>
      <w:bookmarkStart w:id="464" w:name="_Toc309731099"/>
      <w:bookmarkStart w:id="465" w:name="_Toc405814075"/>
      <w:bookmarkStart w:id="466" w:name="_Toc422207966"/>
      <w:bookmarkStart w:id="467" w:name="_Toc438044877"/>
      <w:bookmarkStart w:id="468" w:name="_Toc447622660"/>
      <w:r w:rsidRPr="00A26DE0">
        <w:rPr>
          <w:b/>
          <w:bCs/>
          <w:i/>
        </w:rPr>
        <w:t>9.14.10</w:t>
      </w:r>
      <w:r w:rsidRPr="00A26DE0">
        <w:rPr>
          <w:b/>
          <w:bCs/>
          <w:i/>
        </w:rPr>
        <w:tab/>
      </w:r>
      <w:bookmarkEnd w:id="462"/>
      <w:r w:rsidRPr="00A26DE0">
        <w:rPr>
          <w:b/>
          <w:bCs/>
          <w:i/>
        </w:rPr>
        <w:t>Settlement for Market Participants Impacted by Omitted Procedures or Manual Actions to Resolve the DAM</w:t>
      </w:r>
      <w:bookmarkEnd w:id="463"/>
      <w:r w:rsidRPr="00A26DE0">
        <w:rPr>
          <w:b/>
          <w:i/>
        </w:rPr>
        <w:t xml:space="preserve"> </w:t>
      </w:r>
    </w:p>
    <w:p w14:paraId="1373B16E" w14:textId="77777777" w:rsidR="00A26DE0" w:rsidRPr="00A26DE0" w:rsidRDefault="00A26DE0" w:rsidP="00A26DE0">
      <w:pPr>
        <w:spacing w:after="240"/>
        <w:ind w:left="720" w:hanging="720"/>
        <w:rPr>
          <w:iCs/>
          <w:szCs w:val="24"/>
        </w:rPr>
      </w:pPr>
      <w:r w:rsidRPr="00A26DE0">
        <w:rPr>
          <w:iCs/>
          <w:szCs w:val="24"/>
        </w:rPr>
        <w:t>(1)</w:t>
      </w:r>
      <w:r w:rsidRPr="00A26DE0">
        <w:rPr>
          <w:iCs/>
          <w:szCs w:val="24"/>
        </w:rPr>
        <w:tab/>
        <w:t>A Market Participant that has been directly impacted by an action or omission by ERCOT to resolve the DAM, as described in paragraph (4) of Section 4.1.2, Day-Ahead Process and Timing Deviations, may seek recovery by filing a Settlement and billing dispute as defined in Section 9.14.  Where ERCOT determines that the Market Participant seeking recovery has been directly impacted by such ERCOT action or omission, the following provisions apply:</w:t>
      </w:r>
    </w:p>
    <w:p w14:paraId="586A879A" w14:textId="77777777" w:rsidR="00A26DE0" w:rsidRPr="00A26DE0" w:rsidRDefault="00A26DE0" w:rsidP="00A26DE0">
      <w:pPr>
        <w:spacing w:after="240"/>
        <w:ind w:left="1440" w:hanging="720"/>
      </w:pPr>
      <w:r w:rsidRPr="00A26DE0">
        <w:t>(a)</w:t>
      </w:r>
      <w:r w:rsidRPr="00A26DE0">
        <w:tab/>
        <w:t xml:space="preserve">No resettlement of the DAM will occur </w:t>
      </w:r>
      <w:proofErr w:type="gramStart"/>
      <w:r w:rsidRPr="00A26DE0">
        <w:t>as a result of</w:t>
      </w:r>
      <w:proofErr w:type="gramEnd"/>
      <w:r w:rsidRPr="00A26DE0">
        <w:t xml:space="preserve"> a Market Participant’s recovery under this Section;</w:t>
      </w:r>
    </w:p>
    <w:p w14:paraId="09E0F318" w14:textId="69F2C80C" w:rsidR="00A26DE0" w:rsidRPr="00A26DE0" w:rsidRDefault="00A26DE0" w:rsidP="00A26DE0">
      <w:pPr>
        <w:spacing w:after="240"/>
        <w:ind w:left="1440" w:hanging="720"/>
      </w:pPr>
      <w:r w:rsidRPr="00A26DE0">
        <w:t>(b)</w:t>
      </w:r>
      <w:r w:rsidRPr="00A26DE0">
        <w:tab/>
        <w:t xml:space="preserve">Where a Market Participant’s submissions were not cleared in the DAM, ERCOT will establish a set of DAM Energy Bids, DAM Energy Offers, Ancillary Service Offers, and Point-to-Point </w:t>
      </w:r>
      <w:r w:rsidR="00EE443F">
        <w:t xml:space="preserve">(PTP) </w:t>
      </w:r>
      <w:r w:rsidRPr="00A26DE0">
        <w:t>bids that would have cleared given the settled prices of the DAM;</w:t>
      </w:r>
    </w:p>
    <w:p w14:paraId="15DA9286" w14:textId="77777777" w:rsidR="00A26DE0" w:rsidRPr="00A26DE0" w:rsidRDefault="00A26DE0" w:rsidP="00A26DE0">
      <w:pPr>
        <w:spacing w:after="240"/>
        <w:ind w:left="1440" w:hanging="720"/>
      </w:pPr>
      <w:r w:rsidRPr="00A26DE0">
        <w:t>(c)</w:t>
      </w:r>
      <w:r w:rsidRPr="00A26DE0">
        <w:tab/>
        <w:t>Startup Costs and minimum energy costs will not be considered for recovery;</w:t>
      </w:r>
    </w:p>
    <w:p w14:paraId="7D33D7FF" w14:textId="77777777" w:rsidR="00A26DE0" w:rsidRPr="00A26DE0" w:rsidRDefault="00A26DE0" w:rsidP="00A26DE0">
      <w:pPr>
        <w:spacing w:after="240"/>
        <w:ind w:left="1440" w:hanging="720"/>
      </w:pPr>
      <w:r w:rsidRPr="00A26DE0">
        <w:t>(d)</w:t>
      </w:r>
      <w:r w:rsidRPr="00A26DE0">
        <w:tab/>
        <w:t>For linked offers of energy and Ancillary Services, the available capacity will be allocated to the offers that would have created the greatest value for the Market Participant seeking recovery;</w:t>
      </w:r>
    </w:p>
    <w:p w14:paraId="48F2501E" w14:textId="77777777" w:rsidR="00A26DE0" w:rsidRPr="00A26DE0" w:rsidRDefault="00A26DE0" w:rsidP="00A26DE0">
      <w:pPr>
        <w:spacing w:after="240"/>
        <w:ind w:left="1440" w:hanging="720"/>
      </w:pPr>
      <w:r w:rsidRPr="00A26DE0">
        <w:t>(e)</w:t>
      </w:r>
      <w:r w:rsidRPr="00A26DE0">
        <w:tab/>
        <w:t>All impacted positions will be summed based on their positive or negative value with respect to Real-Time prices;</w:t>
      </w:r>
    </w:p>
    <w:p w14:paraId="12F859C1" w14:textId="77777777" w:rsidR="00A26DE0" w:rsidRPr="00A26DE0" w:rsidRDefault="00A26DE0" w:rsidP="00A26DE0">
      <w:pPr>
        <w:spacing w:after="240"/>
        <w:ind w:left="720" w:firstLine="720"/>
        <w:rPr>
          <w:iCs/>
          <w:szCs w:val="24"/>
        </w:rPr>
      </w:pPr>
      <w:r w:rsidRPr="00A26DE0">
        <w:rPr>
          <w:iCs/>
          <w:szCs w:val="24"/>
        </w:rPr>
        <w:t>Day-Ahead Energy Sales Impact</w:t>
      </w:r>
    </w:p>
    <w:p w14:paraId="5C980632" w14:textId="77777777" w:rsidR="00A26DE0" w:rsidRPr="00A26DE0" w:rsidRDefault="00A26DE0" w:rsidP="00A26DE0">
      <w:pPr>
        <w:spacing w:after="240"/>
        <w:ind w:left="720" w:firstLine="720"/>
        <w:rPr>
          <w:iCs/>
          <w:szCs w:val="24"/>
        </w:rPr>
      </w:pPr>
      <w:r w:rsidRPr="00A26DE0">
        <w:rPr>
          <w:iCs/>
          <w:szCs w:val="24"/>
        </w:rPr>
        <w:t>DAMSQSEAMT</w:t>
      </w:r>
      <w:r w:rsidRPr="00A26DE0">
        <w:rPr>
          <w:i/>
          <w:iCs/>
          <w:szCs w:val="24"/>
          <w:vertAlign w:val="subscript"/>
        </w:rPr>
        <w:t xml:space="preserve"> q</w:t>
      </w:r>
      <w:r w:rsidRPr="00A26DE0">
        <w:rPr>
          <w:iCs/>
          <w:szCs w:val="24"/>
        </w:rPr>
        <w:t xml:space="preserve"> = (-1) *  </w:t>
      </w:r>
      <w:r w:rsidRPr="00A26DE0">
        <w:rPr>
          <w:iCs/>
          <w:position w:val="-22"/>
          <w:szCs w:val="24"/>
        </w:rPr>
        <w:object w:dxaOrig="220" w:dyaOrig="460" w14:anchorId="72C64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6pt" o:ole="">
            <v:imagedata r:id="rId14" o:title=""/>
          </v:shape>
          <o:OLEObject Type="Embed" ProgID="Equation.3" ShapeID="_x0000_i1025" DrawAspect="Content" ObjectID="_1775282801" r:id="rId15"/>
        </w:object>
      </w:r>
      <w:r w:rsidRPr="00A26DE0">
        <w:rPr>
          <w:iCs/>
          <w:szCs w:val="24"/>
        </w:rPr>
        <w:t xml:space="preserve"> ((DASPP </w:t>
      </w:r>
      <w:r w:rsidRPr="00A26DE0">
        <w:rPr>
          <w:i/>
          <w:iCs/>
          <w:szCs w:val="24"/>
          <w:vertAlign w:val="subscript"/>
        </w:rPr>
        <w:t>p</w:t>
      </w:r>
      <w:r w:rsidRPr="00A26DE0">
        <w:rPr>
          <w:iCs/>
          <w:szCs w:val="24"/>
        </w:rPr>
        <w:t xml:space="preserve"> – RTSPP</w:t>
      </w:r>
      <w:r w:rsidRPr="00A26DE0">
        <w:rPr>
          <w:i/>
          <w:iCs/>
          <w:szCs w:val="24"/>
          <w:vertAlign w:val="subscript"/>
        </w:rPr>
        <w:t xml:space="preserve"> p</w:t>
      </w:r>
      <w:r w:rsidRPr="00A26DE0">
        <w:rPr>
          <w:iCs/>
          <w:szCs w:val="24"/>
        </w:rPr>
        <w:t>) * (1/4)* DAES</w:t>
      </w:r>
      <w:r w:rsidRPr="00A26DE0">
        <w:rPr>
          <w:i/>
          <w:iCs/>
          <w:szCs w:val="24"/>
          <w:vertAlign w:val="subscript"/>
        </w:rPr>
        <w:t xml:space="preserve"> q,</w:t>
      </w:r>
      <w:r w:rsidRPr="00A26DE0">
        <w:rPr>
          <w:iCs/>
          <w:szCs w:val="24"/>
          <w:vertAlign w:val="subscript"/>
        </w:rPr>
        <w:t xml:space="preserve"> </w:t>
      </w:r>
      <w:r w:rsidRPr="00A26DE0">
        <w:rPr>
          <w:i/>
          <w:iCs/>
          <w:szCs w:val="24"/>
          <w:vertAlign w:val="subscript"/>
        </w:rPr>
        <w:t>p</w:t>
      </w:r>
      <w:r w:rsidRPr="00A26DE0">
        <w:rPr>
          <w:iCs/>
          <w:szCs w:val="24"/>
        </w:rPr>
        <w:t>)</w:t>
      </w:r>
    </w:p>
    <w:p w14:paraId="4F329823" w14:textId="77777777" w:rsidR="00A26DE0" w:rsidRPr="00A26DE0" w:rsidRDefault="00A26DE0" w:rsidP="00A26DE0">
      <w:pPr>
        <w:spacing w:after="240"/>
        <w:ind w:left="720" w:firstLine="720"/>
        <w:rPr>
          <w:iCs/>
          <w:szCs w:val="24"/>
        </w:rPr>
      </w:pPr>
      <w:r w:rsidRPr="00A26DE0">
        <w:rPr>
          <w:iCs/>
          <w:szCs w:val="24"/>
        </w:rPr>
        <w:lastRenderedPageBreak/>
        <w:t>Day-Ahead Energy Purchase Impact</w:t>
      </w:r>
    </w:p>
    <w:p w14:paraId="630346BD" w14:textId="77777777" w:rsidR="00A26DE0" w:rsidRPr="00A26DE0" w:rsidRDefault="00A26DE0" w:rsidP="00A26DE0">
      <w:pPr>
        <w:spacing w:after="240"/>
        <w:ind w:left="720" w:firstLine="720"/>
        <w:rPr>
          <w:iCs/>
          <w:szCs w:val="24"/>
        </w:rPr>
      </w:pPr>
      <w:r w:rsidRPr="00A26DE0">
        <w:rPr>
          <w:iCs/>
          <w:szCs w:val="24"/>
        </w:rPr>
        <w:t>DAMPQSEAMT</w:t>
      </w:r>
      <w:r w:rsidRPr="00A26DE0">
        <w:rPr>
          <w:i/>
          <w:iCs/>
          <w:szCs w:val="24"/>
          <w:vertAlign w:val="subscript"/>
        </w:rPr>
        <w:t xml:space="preserve"> q</w:t>
      </w:r>
      <w:r w:rsidRPr="00A26DE0">
        <w:rPr>
          <w:iCs/>
          <w:szCs w:val="24"/>
        </w:rPr>
        <w:t xml:space="preserve"> = (-1) * </w:t>
      </w:r>
      <w:r w:rsidRPr="00A26DE0">
        <w:rPr>
          <w:iCs/>
          <w:position w:val="-22"/>
          <w:szCs w:val="24"/>
        </w:rPr>
        <w:object w:dxaOrig="220" w:dyaOrig="460" w14:anchorId="3AF940BD">
          <v:shape id="_x0000_i1026" type="#_x0000_t75" style="width:14.4pt;height:21.6pt" o:ole="">
            <v:imagedata r:id="rId14" o:title=""/>
          </v:shape>
          <o:OLEObject Type="Embed" ProgID="Equation.3" ShapeID="_x0000_i1026" DrawAspect="Content" ObjectID="_1775282802" r:id="rId16"/>
        </w:object>
      </w:r>
      <w:r w:rsidRPr="00A26DE0">
        <w:rPr>
          <w:iCs/>
          <w:szCs w:val="24"/>
        </w:rPr>
        <w:t xml:space="preserve"> ((RTSPP</w:t>
      </w:r>
      <w:r w:rsidRPr="00A26DE0">
        <w:rPr>
          <w:i/>
          <w:iCs/>
          <w:szCs w:val="24"/>
          <w:vertAlign w:val="subscript"/>
        </w:rPr>
        <w:t xml:space="preserve"> p</w:t>
      </w:r>
      <w:r w:rsidRPr="00A26DE0">
        <w:rPr>
          <w:iCs/>
          <w:szCs w:val="24"/>
        </w:rPr>
        <w:t xml:space="preserve"> – DASPP </w:t>
      </w:r>
      <w:r w:rsidRPr="00A26DE0">
        <w:rPr>
          <w:i/>
          <w:iCs/>
          <w:szCs w:val="24"/>
          <w:vertAlign w:val="subscript"/>
        </w:rPr>
        <w:t>p</w:t>
      </w:r>
      <w:r w:rsidRPr="00A26DE0">
        <w:rPr>
          <w:iCs/>
          <w:szCs w:val="24"/>
        </w:rPr>
        <w:t>) * (1/4)* DAEP</w:t>
      </w:r>
      <w:r w:rsidRPr="00A26DE0">
        <w:rPr>
          <w:i/>
          <w:iCs/>
          <w:szCs w:val="24"/>
          <w:vertAlign w:val="subscript"/>
        </w:rPr>
        <w:t xml:space="preserve"> q,</w:t>
      </w:r>
      <w:r w:rsidRPr="00A26DE0">
        <w:rPr>
          <w:iCs/>
          <w:szCs w:val="24"/>
          <w:vertAlign w:val="subscript"/>
        </w:rPr>
        <w:t xml:space="preserve"> </w:t>
      </w:r>
      <w:r w:rsidRPr="00A26DE0">
        <w:rPr>
          <w:i/>
          <w:iCs/>
          <w:szCs w:val="24"/>
          <w:vertAlign w:val="subscript"/>
        </w:rPr>
        <w:t>p</w:t>
      </w:r>
      <w:r w:rsidRPr="00A26DE0">
        <w:rPr>
          <w:iCs/>
          <w:szCs w:val="24"/>
        </w:rPr>
        <w:t>)</w:t>
      </w:r>
    </w:p>
    <w:p w14:paraId="0FBD9A34" w14:textId="77777777" w:rsidR="00A26DE0" w:rsidRPr="00A26DE0" w:rsidRDefault="00A26DE0" w:rsidP="00A26DE0">
      <w:pPr>
        <w:spacing w:after="240"/>
        <w:ind w:left="720" w:firstLine="720"/>
        <w:rPr>
          <w:iCs/>
          <w:szCs w:val="24"/>
        </w:rPr>
      </w:pPr>
      <w:r w:rsidRPr="00A26DE0">
        <w:rPr>
          <w:iCs/>
          <w:szCs w:val="24"/>
        </w:rPr>
        <w:t>Day-Ahead Ancillary Services Sales Impact</w:t>
      </w:r>
    </w:p>
    <w:p w14:paraId="56255FD4" w14:textId="15E45218" w:rsidR="00434F7C" w:rsidRPr="00A26DE0" w:rsidRDefault="00434F7C" w:rsidP="00434F7C">
      <w:pPr>
        <w:spacing w:after="240"/>
        <w:ind w:left="2160" w:hanging="720"/>
        <w:rPr>
          <w:iCs/>
          <w:szCs w:val="24"/>
        </w:rPr>
      </w:pPr>
      <w:r w:rsidRPr="00A26DE0">
        <w:rPr>
          <w:iCs/>
          <w:szCs w:val="24"/>
        </w:rPr>
        <w:t>DAMASQSEAMT</w:t>
      </w:r>
      <w:r w:rsidRPr="00A26DE0">
        <w:rPr>
          <w:i/>
          <w:iCs/>
          <w:szCs w:val="24"/>
          <w:vertAlign w:val="subscript"/>
        </w:rPr>
        <w:t xml:space="preserve"> q</w:t>
      </w:r>
      <w:r w:rsidRPr="00A26DE0">
        <w:rPr>
          <w:iCs/>
          <w:szCs w:val="24"/>
        </w:rPr>
        <w:t xml:space="preserve"> = (-1) * </w:t>
      </w:r>
      <w:r>
        <w:rPr>
          <w:iCs/>
          <w:noProof/>
          <w:position w:val="-18"/>
          <w:szCs w:val="24"/>
        </w:rPr>
        <w:drawing>
          <wp:inline distT="0" distB="0" distL="0" distR="0" wp14:anchorId="409CB054" wp14:editId="0FBE62E3">
            <wp:extent cx="18097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A26DE0">
        <w:rPr>
          <w:iCs/>
          <w:szCs w:val="24"/>
        </w:rPr>
        <w:t xml:space="preserve"> (((MCPCRU </w:t>
      </w:r>
      <w:r w:rsidRPr="00A26DE0">
        <w:rPr>
          <w:i/>
          <w:iCs/>
          <w:szCs w:val="24"/>
          <w:vertAlign w:val="subscript"/>
        </w:rPr>
        <w:t>DAM</w:t>
      </w:r>
      <w:r w:rsidRPr="00A26DE0">
        <w:rPr>
          <w:iCs/>
          <w:szCs w:val="24"/>
        </w:rPr>
        <w:t xml:space="preserve"> – RUOPR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 xml:space="preserve">) * PCRUR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w:t>
      </w:r>
      <w:r w:rsidRPr="00A26DE0" w:rsidDel="007B2A73">
        <w:rPr>
          <w:iCs/>
          <w:szCs w:val="24"/>
        </w:rPr>
        <w:t xml:space="preserve"> </w:t>
      </w:r>
    </w:p>
    <w:p w14:paraId="72DA35A2" w14:textId="77777777" w:rsidR="00434F7C" w:rsidRPr="00A26DE0" w:rsidRDefault="00434F7C" w:rsidP="00434F7C">
      <w:pPr>
        <w:spacing w:after="240"/>
        <w:ind w:left="2160"/>
        <w:rPr>
          <w:i/>
          <w:iCs/>
          <w:szCs w:val="24"/>
          <w:vertAlign w:val="subscript"/>
        </w:rPr>
      </w:pPr>
      <w:r w:rsidRPr="00A26DE0">
        <w:rPr>
          <w:iCs/>
          <w:szCs w:val="24"/>
        </w:rPr>
        <w:t xml:space="preserve">+ ((MCPCRD </w:t>
      </w:r>
      <w:r w:rsidRPr="00A26DE0">
        <w:rPr>
          <w:i/>
          <w:iCs/>
          <w:szCs w:val="24"/>
          <w:vertAlign w:val="subscript"/>
        </w:rPr>
        <w:t>DAM</w:t>
      </w:r>
      <w:r w:rsidRPr="00A26DE0">
        <w:rPr>
          <w:iCs/>
          <w:szCs w:val="24"/>
        </w:rPr>
        <w:t xml:space="preserve"> – RDOPR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 xml:space="preserve">) * PCRDR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w:t>
      </w:r>
    </w:p>
    <w:p w14:paraId="38487E17" w14:textId="77777777" w:rsidR="00434F7C" w:rsidRPr="00A26DE0" w:rsidRDefault="00434F7C" w:rsidP="00434F7C">
      <w:pPr>
        <w:spacing w:after="240"/>
        <w:ind w:left="2160"/>
        <w:rPr>
          <w:iCs/>
          <w:szCs w:val="24"/>
        </w:rPr>
      </w:pPr>
      <w:r w:rsidRPr="00A26DE0">
        <w:rPr>
          <w:iCs/>
          <w:szCs w:val="24"/>
        </w:rPr>
        <w:t xml:space="preserve">+ ((MCPCRR </w:t>
      </w:r>
      <w:r w:rsidRPr="00A26DE0">
        <w:rPr>
          <w:i/>
          <w:iCs/>
          <w:szCs w:val="24"/>
          <w:vertAlign w:val="subscript"/>
        </w:rPr>
        <w:t>DAM</w:t>
      </w:r>
      <w:r w:rsidRPr="00A26DE0">
        <w:rPr>
          <w:iCs/>
          <w:szCs w:val="24"/>
        </w:rPr>
        <w:t xml:space="preserve"> – RROPR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 xml:space="preserve">) * PCRRR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w:t>
      </w:r>
      <w:r w:rsidRPr="00A26DE0" w:rsidDel="007B2A73">
        <w:rPr>
          <w:iCs/>
          <w:szCs w:val="24"/>
        </w:rPr>
        <w:t xml:space="preserve"> </w:t>
      </w:r>
      <w:r w:rsidRPr="00A26DE0">
        <w:rPr>
          <w:iCs/>
          <w:szCs w:val="24"/>
        </w:rPr>
        <w:t xml:space="preserve"> </w:t>
      </w:r>
    </w:p>
    <w:p w14:paraId="501A041B" w14:textId="77777777" w:rsidR="00434F7C" w:rsidRPr="00A26DE0" w:rsidRDefault="00434F7C" w:rsidP="00434F7C">
      <w:pPr>
        <w:spacing w:after="240"/>
        <w:ind w:left="2160"/>
        <w:rPr>
          <w:iCs/>
          <w:szCs w:val="24"/>
        </w:rPr>
      </w:pPr>
      <w:r w:rsidRPr="00A26DE0">
        <w:rPr>
          <w:iCs/>
          <w:szCs w:val="24"/>
        </w:rPr>
        <w:t xml:space="preserve">+ ((MCPCECR </w:t>
      </w:r>
      <w:r w:rsidRPr="00A26DE0">
        <w:rPr>
          <w:i/>
          <w:iCs/>
          <w:szCs w:val="24"/>
          <w:vertAlign w:val="subscript"/>
        </w:rPr>
        <w:t>DAM</w:t>
      </w:r>
      <w:r w:rsidRPr="00A26DE0">
        <w:rPr>
          <w:iCs/>
          <w:szCs w:val="24"/>
        </w:rPr>
        <w:t xml:space="preserve"> – ECRSOPR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 xml:space="preserve">) * PCECRR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w:t>
      </w:r>
    </w:p>
    <w:p w14:paraId="38C87398" w14:textId="6D80D4A1" w:rsidR="00A26DE0" w:rsidRPr="00A26DE0" w:rsidRDefault="00434F7C" w:rsidP="00A26DE0">
      <w:pPr>
        <w:spacing w:after="240"/>
        <w:ind w:left="2160"/>
        <w:rPr>
          <w:iCs/>
          <w:szCs w:val="24"/>
        </w:rPr>
      </w:pPr>
      <w:r w:rsidRPr="00A26DE0">
        <w:rPr>
          <w:iCs/>
          <w:szCs w:val="24"/>
        </w:rPr>
        <w:t xml:space="preserve">+ ((MCPCNS </w:t>
      </w:r>
      <w:r w:rsidRPr="00A26DE0">
        <w:rPr>
          <w:i/>
          <w:iCs/>
          <w:szCs w:val="24"/>
          <w:vertAlign w:val="subscript"/>
        </w:rPr>
        <w:t>DAM</w:t>
      </w:r>
      <w:r w:rsidRPr="00A26DE0">
        <w:rPr>
          <w:iCs/>
          <w:szCs w:val="24"/>
        </w:rPr>
        <w:t xml:space="preserve"> – NSOPR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 xml:space="preserve">) * PCNSR </w:t>
      </w:r>
      <w:r w:rsidRPr="00A26DE0">
        <w:rPr>
          <w:i/>
          <w:iCs/>
          <w:szCs w:val="24"/>
          <w:vertAlign w:val="subscript"/>
        </w:rPr>
        <w:t>q,</w:t>
      </w:r>
      <w:r>
        <w:rPr>
          <w:i/>
          <w:iCs/>
          <w:szCs w:val="24"/>
          <w:vertAlign w:val="subscript"/>
        </w:rPr>
        <w:t xml:space="preserve"> </w:t>
      </w:r>
      <w:r w:rsidRPr="00A26DE0">
        <w:rPr>
          <w:i/>
          <w:iCs/>
          <w:szCs w:val="24"/>
          <w:vertAlign w:val="subscript"/>
        </w:rPr>
        <w:t>r,</w:t>
      </w:r>
      <w:r>
        <w:rPr>
          <w:i/>
          <w:iCs/>
          <w:szCs w:val="24"/>
          <w:vertAlign w:val="subscript"/>
        </w:rPr>
        <w:t xml:space="preserve"> </w:t>
      </w:r>
      <w:r w:rsidRPr="00A26DE0">
        <w:rPr>
          <w:i/>
          <w:iCs/>
          <w:szCs w:val="24"/>
          <w:vertAlign w:val="subscript"/>
        </w:rPr>
        <w:t>DAM</w:t>
      </w:r>
      <w:r w:rsidRPr="00A26DE0">
        <w:rPr>
          <w:iCs/>
          <w:szCs w:val="24"/>
        </w:rPr>
        <w:t>))</w:t>
      </w:r>
    </w:p>
    <w:p w14:paraId="2BA97787" w14:textId="77777777" w:rsidR="00A26DE0" w:rsidRPr="00A26DE0" w:rsidRDefault="00A26DE0" w:rsidP="00353B99">
      <w:pPr>
        <w:spacing w:after="240"/>
        <w:ind w:left="1440"/>
        <w:rPr>
          <w:iCs/>
          <w:szCs w:val="24"/>
        </w:rPr>
      </w:pPr>
      <w:r w:rsidRPr="00A26DE0">
        <w:rPr>
          <w:iCs/>
          <w:szCs w:val="24"/>
        </w:rPr>
        <w:t>Day-Ahead Point-to-Point Obligation Impact</w:t>
      </w:r>
    </w:p>
    <w:p w14:paraId="1F5B3F40" w14:textId="77777777" w:rsidR="00A26DE0" w:rsidRPr="00A26DE0" w:rsidRDefault="00A26DE0" w:rsidP="00A26DE0">
      <w:pPr>
        <w:spacing w:after="240"/>
        <w:ind w:left="1440"/>
        <w:rPr>
          <w:iCs/>
          <w:szCs w:val="24"/>
          <w:vertAlign w:val="subscript"/>
        </w:rPr>
      </w:pPr>
      <w:r w:rsidRPr="00A26DE0">
        <w:rPr>
          <w:iCs/>
          <w:szCs w:val="24"/>
        </w:rPr>
        <w:t>DAMRTPTPQSEAMT</w:t>
      </w:r>
      <w:r w:rsidRPr="00A26DE0">
        <w:rPr>
          <w:i/>
          <w:iCs/>
          <w:szCs w:val="24"/>
          <w:vertAlign w:val="subscript"/>
        </w:rPr>
        <w:t xml:space="preserve"> q</w:t>
      </w:r>
      <w:r w:rsidRPr="00A26DE0">
        <w:rPr>
          <w:iCs/>
          <w:szCs w:val="24"/>
        </w:rPr>
        <w:t xml:space="preserve"> = (-1) *  </w:t>
      </w:r>
      <w:r w:rsidRPr="00A26DE0">
        <w:rPr>
          <w:iCs/>
          <w:position w:val="-22"/>
          <w:szCs w:val="24"/>
        </w:rPr>
        <w:object w:dxaOrig="220" w:dyaOrig="460" w14:anchorId="6915E990">
          <v:shape id="_x0000_i1027" type="#_x0000_t75" style="width:14.4pt;height:21.6pt" o:ole="">
            <v:imagedata r:id="rId18" o:title=""/>
          </v:shape>
          <o:OLEObject Type="Embed" ProgID="Equation.3" ShapeID="_x0000_i1027" DrawAspect="Content" ObjectID="_1775282803" r:id="rId19"/>
        </w:object>
      </w:r>
      <w:r w:rsidRPr="00A26DE0">
        <w:rPr>
          <w:iCs/>
          <w:position w:val="-20"/>
          <w:szCs w:val="24"/>
        </w:rPr>
        <w:object w:dxaOrig="220" w:dyaOrig="440" w14:anchorId="08AE3001">
          <v:shape id="_x0000_i1028" type="#_x0000_t75" style="width:14.4pt;height:21.6pt" o:ole="">
            <v:imagedata r:id="rId20" o:title=""/>
          </v:shape>
          <o:OLEObject Type="Embed" ProgID="Equation.3" ShapeID="_x0000_i1028" DrawAspect="Content" ObjectID="_1775282804" r:id="rId21"/>
        </w:object>
      </w:r>
      <w:r w:rsidRPr="00A26DE0">
        <w:rPr>
          <w:iCs/>
          <w:szCs w:val="24"/>
        </w:rPr>
        <w:t xml:space="preserve"> ((</w:t>
      </w:r>
      <w:r w:rsidRPr="00A26DE0">
        <w:rPr>
          <w:iCs/>
          <w:szCs w:val="24"/>
          <w:lang w:val="sv-SE"/>
        </w:rPr>
        <w:t xml:space="preserve">RTOBLPR </w:t>
      </w:r>
      <w:r w:rsidRPr="00A26DE0">
        <w:rPr>
          <w:i/>
          <w:iCs/>
          <w:szCs w:val="24"/>
          <w:vertAlign w:val="subscript"/>
          <w:lang w:val="sv-SE"/>
        </w:rPr>
        <w:t>(j, k)</w:t>
      </w:r>
      <w:r w:rsidRPr="00A26DE0" w:rsidDel="003C61CB">
        <w:rPr>
          <w:iCs/>
          <w:szCs w:val="24"/>
        </w:rPr>
        <w:t xml:space="preserve"> </w:t>
      </w:r>
      <w:r w:rsidRPr="00A26DE0">
        <w:rPr>
          <w:iCs/>
          <w:szCs w:val="24"/>
        </w:rPr>
        <w:t xml:space="preserve">– DAOBLPR </w:t>
      </w:r>
      <w:r w:rsidRPr="00A26DE0">
        <w:rPr>
          <w:i/>
          <w:iCs/>
          <w:szCs w:val="24"/>
          <w:vertAlign w:val="subscript"/>
        </w:rPr>
        <w:t>(j, k)</w:t>
      </w:r>
      <w:r w:rsidRPr="00A26DE0">
        <w:rPr>
          <w:iCs/>
          <w:szCs w:val="24"/>
        </w:rPr>
        <w:t xml:space="preserve">) * RTOBL </w:t>
      </w:r>
      <w:r w:rsidRPr="00A26DE0">
        <w:rPr>
          <w:i/>
          <w:iCs/>
          <w:szCs w:val="24"/>
          <w:vertAlign w:val="subscript"/>
        </w:rPr>
        <w:t>q, (j, k)</w:t>
      </w:r>
      <w:r w:rsidRPr="00A26DE0">
        <w:rPr>
          <w:iCs/>
          <w:szCs w:val="24"/>
        </w:rPr>
        <w:t>)</w:t>
      </w:r>
    </w:p>
    <w:p w14:paraId="0A963F7D" w14:textId="77777777" w:rsidR="00A26DE0" w:rsidRPr="00A26DE0" w:rsidRDefault="00A26DE0" w:rsidP="00A26DE0">
      <w:pPr>
        <w:ind w:left="1440"/>
        <w:rPr>
          <w:iCs/>
          <w:szCs w:val="24"/>
          <w:lang w:val="sv-SE"/>
        </w:rPr>
      </w:pPr>
      <w:r w:rsidRPr="00A26DE0">
        <w:rPr>
          <w:iCs/>
          <w:szCs w:val="24"/>
          <w:lang w:val="sv-SE"/>
        </w:rPr>
        <w:t>Where:</w:t>
      </w:r>
    </w:p>
    <w:p w14:paraId="410E4B98" w14:textId="77777777" w:rsidR="00A26DE0" w:rsidRPr="00A26DE0" w:rsidRDefault="00A26DE0" w:rsidP="00A26DE0">
      <w:pPr>
        <w:ind w:left="2880" w:hanging="720"/>
        <w:rPr>
          <w:iCs/>
          <w:szCs w:val="24"/>
          <w:lang w:val="sv-SE"/>
        </w:rPr>
      </w:pPr>
      <w:r w:rsidRPr="00A26DE0">
        <w:rPr>
          <w:iCs/>
          <w:szCs w:val="24"/>
          <w:lang w:val="sv-SE"/>
        </w:rPr>
        <w:t xml:space="preserve">RTOBLPR </w:t>
      </w:r>
      <w:r w:rsidRPr="00A26DE0">
        <w:rPr>
          <w:i/>
          <w:iCs/>
          <w:szCs w:val="24"/>
          <w:vertAlign w:val="subscript"/>
          <w:lang w:val="sv-SE"/>
        </w:rPr>
        <w:t>(j, k)</w:t>
      </w:r>
      <w:r w:rsidRPr="00A26DE0">
        <w:rPr>
          <w:iCs/>
          <w:szCs w:val="24"/>
          <w:lang w:val="sv-SE"/>
        </w:rPr>
        <w:t xml:space="preserve">   = </w:t>
      </w:r>
      <w:r w:rsidRPr="00A26DE0">
        <w:rPr>
          <w:iCs/>
          <w:position w:val="-20"/>
          <w:szCs w:val="24"/>
        </w:rPr>
        <w:object w:dxaOrig="260" w:dyaOrig="580" w14:anchorId="1D743F0D">
          <v:shape id="_x0000_i1029" type="#_x0000_t75" style="width:14.4pt;height:27.6pt" o:ole="">
            <v:imagedata r:id="rId22" o:title=""/>
          </v:shape>
          <o:OLEObject Type="Embed" ProgID="Equation.3" ShapeID="_x0000_i1029" DrawAspect="Content" ObjectID="_1775282805" r:id="rId23"/>
        </w:object>
      </w:r>
      <w:r w:rsidRPr="00A26DE0">
        <w:rPr>
          <w:iCs/>
          <w:szCs w:val="24"/>
          <w:lang w:val="sv-SE"/>
        </w:rPr>
        <w:t xml:space="preserve">(RTSPP </w:t>
      </w:r>
      <w:r w:rsidRPr="00A26DE0">
        <w:rPr>
          <w:iCs/>
          <w:szCs w:val="24"/>
          <w:vertAlign w:val="subscript"/>
          <w:lang w:val="sv-SE"/>
        </w:rPr>
        <w:t>(</w:t>
      </w:r>
      <w:r w:rsidRPr="00A26DE0">
        <w:rPr>
          <w:i/>
          <w:iCs/>
          <w:szCs w:val="24"/>
          <w:vertAlign w:val="subscript"/>
          <w:lang w:val="sv-SE"/>
        </w:rPr>
        <w:t>k,i</w:t>
      </w:r>
      <w:r w:rsidRPr="00A26DE0">
        <w:rPr>
          <w:iCs/>
          <w:szCs w:val="24"/>
          <w:vertAlign w:val="subscript"/>
          <w:lang w:val="sv-SE"/>
        </w:rPr>
        <w:t>)</w:t>
      </w:r>
      <w:r w:rsidRPr="00A26DE0">
        <w:rPr>
          <w:iCs/>
          <w:szCs w:val="24"/>
          <w:lang w:val="sv-SE"/>
        </w:rPr>
        <w:t xml:space="preserve"> – RTSPP </w:t>
      </w:r>
      <w:r w:rsidRPr="00A26DE0">
        <w:rPr>
          <w:iCs/>
          <w:szCs w:val="24"/>
          <w:vertAlign w:val="subscript"/>
          <w:lang w:val="sv-SE"/>
        </w:rPr>
        <w:t>(</w:t>
      </w:r>
      <w:r w:rsidRPr="00A26DE0">
        <w:rPr>
          <w:i/>
          <w:iCs/>
          <w:szCs w:val="24"/>
          <w:vertAlign w:val="subscript"/>
          <w:lang w:val="sv-SE"/>
        </w:rPr>
        <w:t xml:space="preserve">j,i </w:t>
      </w:r>
      <w:r w:rsidRPr="00A26DE0">
        <w:rPr>
          <w:iCs/>
          <w:szCs w:val="24"/>
          <w:vertAlign w:val="subscript"/>
          <w:lang w:val="sv-SE"/>
        </w:rPr>
        <w:t>)</w:t>
      </w:r>
      <w:r w:rsidRPr="00A26DE0">
        <w:rPr>
          <w:iCs/>
          <w:szCs w:val="24"/>
        </w:rPr>
        <w:t>)</w:t>
      </w:r>
      <w:r w:rsidRPr="00A26DE0">
        <w:rPr>
          <w:iCs/>
          <w:szCs w:val="24"/>
          <w:lang w:val="sv-SE"/>
        </w:rPr>
        <w:t xml:space="preserve"> / 4</w:t>
      </w:r>
    </w:p>
    <w:p w14:paraId="5C76CE00" w14:textId="77777777" w:rsidR="00A26DE0" w:rsidRPr="00A26DE0" w:rsidRDefault="00A26DE0" w:rsidP="00A26DE0">
      <w:pPr>
        <w:tabs>
          <w:tab w:val="left" w:pos="2340"/>
          <w:tab w:val="left" w:pos="2700"/>
        </w:tabs>
        <w:spacing w:after="240"/>
        <w:ind w:left="4500" w:hanging="2340"/>
        <w:rPr>
          <w:bCs/>
          <w:szCs w:val="24"/>
          <w:lang w:val="x-none" w:eastAsia="x-none"/>
        </w:rPr>
      </w:pPr>
      <w:r w:rsidRPr="00A26DE0">
        <w:rPr>
          <w:bCs/>
          <w:szCs w:val="24"/>
          <w:lang w:val="x-none" w:eastAsia="x-none"/>
        </w:rPr>
        <w:t xml:space="preserve">DAOBLPR </w:t>
      </w:r>
      <w:r w:rsidRPr="00A26DE0">
        <w:rPr>
          <w:bCs/>
          <w:i/>
          <w:szCs w:val="24"/>
          <w:vertAlign w:val="subscript"/>
          <w:lang w:val="x-none" w:eastAsia="x-none"/>
        </w:rPr>
        <w:t>(j, k)</w:t>
      </w:r>
      <w:r w:rsidRPr="00A26DE0">
        <w:rPr>
          <w:bCs/>
          <w:szCs w:val="24"/>
          <w:lang w:val="x-none" w:eastAsia="x-none"/>
        </w:rPr>
        <w:t xml:space="preserve">  =</w:t>
      </w:r>
      <w:r w:rsidRPr="00A26DE0">
        <w:rPr>
          <w:bCs/>
          <w:szCs w:val="24"/>
          <w:lang w:eastAsia="x-none"/>
        </w:rPr>
        <w:t xml:space="preserve">  </w:t>
      </w:r>
      <w:r w:rsidRPr="00A26DE0">
        <w:rPr>
          <w:bCs/>
          <w:szCs w:val="24"/>
          <w:lang w:val="x-none" w:eastAsia="x-none"/>
        </w:rPr>
        <w:t xml:space="preserve">DASPP </w:t>
      </w:r>
      <w:r w:rsidRPr="00A26DE0">
        <w:rPr>
          <w:bCs/>
          <w:i/>
          <w:szCs w:val="24"/>
          <w:vertAlign w:val="subscript"/>
          <w:lang w:val="x-none" w:eastAsia="x-none"/>
        </w:rPr>
        <w:t>k</w:t>
      </w:r>
      <w:r w:rsidRPr="00A26DE0">
        <w:rPr>
          <w:bCs/>
          <w:szCs w:val="24"/>
          <w:lang w:val="x-none" w:eastAsia="x-none"/>
        </w:rPr>
        <w:t xml:space="preserve"> – DASPP </w:t>
      </w:r>
      <w:r w:rsidRPr="00A26DE0">
        <w:rPr>
          <w:bCs/>
          <w:i/>
          <w:szCs w:val="24"/>
          <w:vertAlign w:val="subscript"/>
          <w:lang w:val="x-none" w:eastAsia="x-none"/>
        </w:rPr>
        <w:t>j</w:t>
      </w:r>
    </w:p>
    <w:p w14:paraId="54C9B04A" w14:textId="77777777" w:rsidR="00A26DE0" w:rsidRPr="00A26DE0" w:rsidRDefault="00A26DE0" w:rsidP="00A26DE0">
      <w:pPr>
        <w:spacing w:after="240"/>
        <w:ind w:left="1440" w:hanging="720"/>
      </w:pPr>
      <w:r w:rsidRPr="00A26DE0">
        <w:t>(f)</w:t>
      </w:r>
      <w:r w:rsidRPr="00A26DE0">
        <w:tab/>
        <w:t>If any RUC short charges occur for any Operating Hour involved in a Market Participant’s recovery under this Section, ERCOT will evaluate the Market Participant’s revised position to determine if the Market Participant is entitled to a refund, or should be charged for RUC short charge;</w:t>
      </w:r>
    </w:p>
    <w:p w14:paraId="587CDC00" w14:textId="77777777" w:rsidR="00A26DE0" w:rsidRPr="00A26DE0" w:rsidRDefault="00A26DE0" w:rsidP="00A26DE0">
      <w:pPr>
        <w:spacing w:after="240"/>
        <w:ind w:left="1440" w:hanging="720"/>
      </w:pPr>
      <w:r w:rsidRPr="00A26DE0">
        <w:t>(g)</w:t>
      </w:r>
      <w:r w:rsidRPr="00A26DE0">
        <w:tab/>
        <w:t>Any resulting charge or payment to the Market Participant will be invoiced using a miscellaneous Invoice, but allocated with the method outlined in paragraphs (2) through (4) of Section 9.19.1, Default Uplift Invoices.</w:t>
      </w:r>
    </w:p>
    <w:p w14:paraId="4910D307" w14:textId="77777777" w:rsidR="00A26DE0" w:rsidRPr="00A26DE0" w:rsidRDefault="00A26DE0" w:rsidP="00A26DE0">
      <w:pPr>
        <w:rPr>
          <w:szCs w:val="24"/>
        </w:rPr>
      </w:pPr>
      <w:r w:rsidRPr="00A26DE0">
        <w:rPr>
          <w:szCs w:val="24"/>
        </w:rPr>
        <w:t>The above variables are defined as follows:</w:t>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811"/>
        <w:gridCol w:w="7199"/>
      </w:tblGrid>
      <w:tr w:rsidR="00A26DE0" w:rsidRPr="00A26DE0" w14:paraId="6393652B" w14:textId="77777777" w:rsidTr="00353B99">
        <w:trPr>
          <w:trHeight w:val="359"/>
        </w:trPr>
        <w:tc>
          <w:tcPr>
            <w:tcW w:w="1060" w:type="pct"/>
            <w:shd w:val="clear" w:color="auto" w:fill="auto"/>
            <w:hideMark/>
          </w:tcPr>
          <w:p w14:paraId="257C8405" w14:textId="77777777" w:rsidR="00A26DE0" w:rsidRPr="00A26DE0" w:rsidRDefault="00A26DE0" w:rsidP="00A26DE0">
            <w:pPr>
              <w:spacing w:after="240"/>
              <w:rPr>
                <w:b/>
                <w:iCs/>
                <w:sz w:val="20"/>
              </w:rPr>
            </w:pPr>
            <w:r w:rsidRPr="00A26DE0">
              <w:rPr>
                <w:b/>
                <w:iCs/>
                <w:sz w:val="20"/>
              </w:rPr>
              <w:t>Variable</w:t>
            </w:r>
          </w:p>
        </w:tc>
        <w:tc>
          <w:tcPr>
            <w:tcW w:w="399" w:type="pct"/>
            <w:shd w:val="clear" w:color="auto" w:fill="auto"/>
            <w:hideMark/>
          </w:tcPr>
          <w:p w14:paraId="34E16A71" w14:textId="77777777" w:rsidR="00A26DE0" w:rsidRPr="00A26DE0" w:rsidRDefault="00A26DE0" w:rsidP="00A26DE0">
            <w:pPr>
              <w:spacing w:after="240"/>
              <w:jc w:val="center"/>
              <w:rPr>
                <w:b/>
                <w:iCs/>
                <w:sz w:val="20"/>
              </w:rPr>
            </w:pPr>
            <w:r w:rsidRPr="00A26DE0">
              <w:rPr>
                <w:b/>
                <w:iCs/>
                <w:sz w:val="20"/>
              </w:rPr>
              <w:t>Unit</w:t>
            </w:r>
          </w:p>
        </w:tc>
        <w:tc>
          <w:tcPr>
            <w:tcW w:w="3541" w:type="pct"/>
            <w:shd w:val="clear" w:color="auto" w:fill="auto"/>
            <w:hideMark/>
          </w:tcPr>
          <w:p w14:paraId="46BD347C" w14:textId="77777777" w:rsidR="00A26DE0" w:rsidRPr="00A26DE0" w:rsidRDefault="00A26DE0" w:rsidP="00A26DE0">
            <w:pPr>
              <w:spacing w:after="240"/>
              <w:rPr>
                <w:b/>
                <w:iCs/>
                <w:sz w:val="20"/>
              </w:rPr>
            </w:pPr>
            <w:r w:rsidRPr="00A26DE0">
              <w:rPr>
                <w:b/>
                <w:iCs/>
                <w:sz w:val="20"/>
              </w:rPr>
              <w:t>Definition</w:t>
            </w:r>
          </w:p>
        </w:tc>
      </w:tr>
      <w:tr w:rsidR="00A26DE0" w:rsidRPr="00A26DE0" w14:paraId="1921950F" w14:textId="77777777" w:rsidTr="00353B99">
        <w:tc>
          <w:tcPr>
            <w:tcW w:w="1060" w:type="pct"/>
            <w:shd w:val="clear" w:color="auto" w:fill="auto"/>
            <w:hideMark/>
          </w:tcPr>
          <w:p w14:paraId="289D0095" w14:textId="77777777" w:rsidR="00A26DE0" w:rsidRPr="00A26DE0" w:rsidRDefault="00A26DE0" w:rsidP="00A26DE0">
            <w:pPr>
              <w:spacing w:after="60"/>
              <w:rPr>
                <w:iCs/>
                <w:sz w:val="20"/>
              </w:rPr>
            </w:pPr>
            <w:r w:rsidRPr="00A26DE0">
              <w:rPr>
                <w:iCs/>
                <w:sz w:val="20"/>
              </w:rPr>
              <w:t>DAMSQSEAMT</w:t>
            </w:r>
            <w:r w:rsidRPr="00A26DE0">
              <w:rPr>
                <w:i/>
                <w:iCs/>
                <w:sz w:val="20"/>
                <w:vertAlign w:val="subscript"/>
              </w:rPr>
              <w:t xml:space="preserve"> q</w:t>
            </w:r>
          </w:p>
        </w:tc>
        <w:tc>
          <w:tcPr>
            <w:tcW w:w="399" w:type="pct"/>
            <w:shd w:val="clear" w:color="auto" w:fill="auto"/>
            <w:hideMark/>
          </w:tcPr>
          <w:p w14:paraId="2A2C256E" w14:textId="77777777" w:rsidR="00A26DE0" w:rsidRPr="00A26DE0" w:rsidRDefault="00A26DE0" w:rsidP="00A26DE0">
            <w:pPr>
              <w:spacing w:after="60"/>
              <w:jc w:val="center"/>
              <w:rPr>
                <w:iCs/>
                <w:sz w:val="20"/>
              </w:rPr>
            </w:pPr>
            <w:r w:rsidRPr="00A26DE0">
              <w:rPr>
                <w:iCs/>
                <w:sz w:val="20"/>
              </w:rPr>
              <w:t>$</w:t>
            </w:r>
          </w:p>
        </w:tc>
        <w:tc>
          <w:tcPr>
            <w:tcW w:w="3541" w:type="pct"/>
            <w:shd w:val="clear" w:color="auto" w:fill="auto"/>
            <w:hideMark/>
          </w:tcPr>
          <w:p w14:paraId="7AA4A381" w14:textId="77777777" w:rsidR="00A26DE0" w:rsidRPr="00A26DE0" w:rsidRDefault="00A26DE0" w:rsidP="00A26DE0">
            <w:pPr>
              <w:spacing w:after="60"/>
              <w:rPr>
                <w:iCs/>
                <w:sz w:val="20"/>
              </w:rPr>
            </w:pPr>
            <w:r w:rsidRPr="00A26DE0">
              <w:rPr>
                <w:i/>
                <w:iCs/>
                <w:sz w:val="20"/>
              </w:rPr>
              <w:t>Day-Ahead Market Energy Sales Amount by QSE</w:t>
            </w:r>
            <w:r w:rsidRPr="00A26DE0">
              <w:rPr>
                <w:iCs/>
                <w:sz w:val="20"/>
              </w:rPr>
              <w:t xml:space="preserve">—The sum of the DAM Energy Sales positions compared to Real-Time results, for the QSE </w:t>
            </w:r>
            <w:r w:rsidRPr="00A26DE0">
              <w:rPr>
                <w:i/>
                <w:iCs/>
                <w:sz w:val="20"/>
              </w:rPr>
              <w:t>q</w:t>
            </w:r>
            <w:r w:rsidRPr="00A26DE0">
              <w:rPr>
                <w:iCs/>
                <w:sz w:val="20"/>
              </w:rPr>
              <w:t xml:space="preserve">, for the 15-minute Settlement Interval.  </w:t>
            </w:r>
          </w:p>
        </w:tc>
      </w:tr>
      <w:tr w:rsidR="00A26DE0" w:rsidRPr="00A26DE0" w14:paraId="6563C40F" w14:textId="77777777" w:rsidTr="00353B99">
        <w:tc>
          <w:tcPr>
            <w:tcW w:w="1060" w:type="pct"/>
            <w:shd w:val="clear" w:color="auto" w:fill="auto"/>
          </w:tcPr>
          <w:p w14:paraId="38602A67" w14:textId="77777777" w:rsidR="00A26DE0" w:rsidRPr="00A26DE0" w:rsidRDefault="00A26DE0" w:rsidP="00A26DE0">
            <w:pPr>
              <w:spacing w:after="60"/>
              <w:rPr>
                <w:iCs/>
                <w:sz w:val="20"/>
              </w:rPr>
            </w:pPr>
            <w:r w:rsidRPr="00A26DE0">
              <w:rPr>
                <w:iCs/>
                <w:sz w:val="20"/>
              </w:rPr>
              <w:t>DAMPQSEAMT</w:t>
            </w:r>
            <w:r w:rsidRPr="00A26DE0">
              <w:rPr>
                <w:i/>
                <w:iCs/>
                <w:sz w:val="20"/>
                <w:vertAlign w:val="subscript"/>
              </w:rPr>
              <w:t xml:space="preserve"> q</w:t>
            </w:r>
          </w:p>
        </w:tc>
        <w:tc>
          <w:tcPr>
            <w:tcW w:w="399" w:type="pct"/>
            <w:shd w:val="clear" w:color="auto" w:fill="auto"/>
          </w:tcPr>
          <w:p w14:paraId="5C4795F8" w14:textId="77777777" w:rsidR="00A26DE0" w:rsidRPr="00A26DE0" w:rsidRDefault="00A26DE0" w:rsidP="00A26DE0">
            <w:pPr>
              <w:spacing w:after="60"/>
              <w:jc w:val="center"/>
              <w:rPr>
                <w:iCs/>
                <w:sz w:val="20"/>
              </w:rPr>
            </w:pPr>
            <w:r w:rsidRPr="00A26DE0">
              <w:rPr>
                <w:iCs/>
                <w:sz w:val="20"/>
              </w:rPr>
              <w:t>$</w:t>
            </w:r>
          </w:p>
        </w:tc>
        <w:tc>
          <w:tcPr>
            <w:tcW w:w="3541" w:type="pct"/>
            <w:shd w:val="clear" w:color="auto" w:fill="auto"/>
          </w:tcPr>
          <w:p w14:paraId="41514228" w14:textId="77777777" w:rsidR="00A26DE0" w:rsidRPr="00A26DE0" w:rsidRDefault="00A26DE0" w:rsidP="00A26DE0">
            <w:pPr>
              <w:spacing w:after="60"/>
              <w:rPr>
                <w:iCs/>
                <w:sz w:val="20"/>
              </w:rPr>
            </w:pPr>
            <w:r w:rsidRPr="00A26DE0">
              <w:rPr>
                <w:i/>
                <w:iCs/>
                <w:sz w:val="20"/>
              </w:rPr>
              <w:t>Day-Ahead Market Energy Purchases Amount by QSE</w:t>
            </w:r>
            <w:r w:rsidRPr="00A26DE0">
              <w:rPr>
                <w:iCs/>
                <w:sz w:val="20"/>
              </w:rPr>
              <w:t xml:space="preserve">—The sum of the DAM Energy purchases compared to Real-Time results, for the QSE </w:t>
            </w:r>
            <w:r w:rsidRPr="00A26DE0">
              <w:rPr>
                <w:i/>
                <w:iCs/>
                <w:sz w:val="20"/>
              </w:rPr>
              <w:t>q</w:t>
            </w:r>
            <w:r w:rsidRPr="00A26DE0">
              <w:rPr>
                <w:iCs/>
                <w:sz w:val="20"/>
              </w:rPr>
              <w:t xml:space="preserve">, for the 15-minute Settlement Interval.  </w:t>
            </w:r>
          </w:p>
        </w:tc>
      </w:tr>
      <w:tr w:rsidR="00A26DE0" w:rsidRPr="00A26DE0" w14:paraId="01D697C8" w14:textId="77777777" w:rsidTr="00353B99">
        <w:tc>
          <w:tcPr>
            <w:tcW w:w="1060" w:type="pct"/>
            <w:shd w:val="clear" w:color="auto" w:fill="auto"/>
          </w:tcPr>
          <w:p w14:paraId="3F6550E3" w14:textId="77777777" w:rsidR="00A26DE0" w:rsidRPr="00A26DE0" w:rsidRDefault="00A26DE0" w:rsidP="00A26DE0">
            <w:pPr>
              <w:spacing w:after="60"/>
              <w:rPr>
                <w:iCs/>
                <w:sz w:val="20"/>
              </w:rPr>
            </w:pPr>
            <w:r w:rsidRPr="00A26DE0">
              <w:rPr>
                <w:iCs/>
                <w:sz w:val="20"/>
              </w:rPr>
              <w:lastRenderedPageBreak/>
              <w:t>DAMASQSEAMT</w:t>
            </w:r>
            <w:r w:rsidRPr="00A26DE0">
              <w:rPr>
                <w:i/>
                <w:iCs/>
                <w:sz w:val="20"/>
                <w:vertAlign w:val="subscript"/>
              </w:rPr>
              <w:t xml:space="preserve"> q</w:t>
            </w:r>
          </w:p>
        </w:tc>
        <w:tc>
          <w:tcPr>
            <w:tcW w:w="399" w:type="pct"/>
            <w:shd w:val="clear" w:color="auto" w:fill="auto"/>
          </w:tcPr>
          <w:p w14:paraId="2CDCDB59" w14:textId="77777777" w:rsidR="00A26DE0" w:rsidRPr="00A26DE0" w:rsidRDefault="00A26DE0" w:rsidP="00A26DE0">
            <w:pPr>
              <w:spacing w:after="60"/>
              <w:jc w:val="center"/>
              <w:rPr>
                <w:iCs/>
                <w:sz w:val="20"/>
              </w:rPr>
            </w:pPr>
            <w:r w:rsidRPr="00A26DE0">
              <w:rPr>
                <w:iCs/>
                <w:sz w:val="20"/>
              </w:rPr>
              <w:t>$</w:t>
            </w:r>
          </w:p>
        </w:tc>
        <w:tc>
          <w:tcPr>
            <w:tcW w:w="3541" w:type="pct"/>
            <w:shd w:val="clear" w:color="auto" w:fill="auto"/>
          </w:tcPr>
          <w:p w14:paraId="2FD7B8BB" w14:textId="77777777" w:rsidR="00A26DE0" w:rsidRPr="00A26DE0" w:rsidRDefault="00A26DE0" w:rsidP="00A26DE0">
            <w:pPr>
              <w:spacing w:after="60"/>
              <w:rPr>
                <w:iCs/>
                <w:sz w:val="20"/>
              </w:rPr>
            </w:pPr>
            <w:r w:rsidRPr="00A26DE0">
              <w:rPr>
                <w:i/>
                <w:iCs/>
                <w:sz w:val="20"/>
              </w:rPr>
              <w:t>Day-Ahead Market Ancillary Service Amount by QSE</w:t>
            </w:r>
            <w:r w:rsidRPr="00A26DE0">
              <w:rPr>
                <w:iCs/>
                <w:sz w:val="20"/>
              </w:rPr>
              <w:t xml:space="preserve">—The sum of the DAM Ancillary Service awarded amounts compared to Real-Time results, for the QSE </w:t>
            </w:r>
            <w:r w:rsidRPr="00A26DE0">
              <w:rPr>
                <w:i/>
                <w:iCs/>
                <w:sz w:val="20"/>
              </w:rPr>
              <w:t>q</w:t>
            </w:r>
            <w:r w:rsidRPr="00A26DE0">
              <w:rPr>
                <w:iCs/>
                <w:sz w:val="20"/>
              </w:rPr>
              <w:t xml:space="preserve">, for the hour.  </w:t>
            </w:r>
          </w:p>
        </w:tc>
      </w:tr>
      <w:tr w:rsidR="00A26DE0" w:rsidRPr="00A26DE0" w14:paraId="657C3F15" w14:textId="77777777" w:rsidTr="00353B99">
        <w:tc>
          <w:tcPr>
            <w:tcW w:w="1060" w:type="pct"/>
            <w:shd w:val="clear" w:color="auto" w:fill="auto"/>
          </w:tcPr>
          <w:p w14:paraId="20898FD3" w14:textId="77777777" w:rsidR="00A26DE0" w:rsidRPr="00A26DE0" w:rsidRDefault="00A26DE0" w:rsidP="00A26DE0">
            <w:pPr>
              <w:spacing w:after="60"/>
              <w:rPr>
                <w:iCs/>
                <w:sz w:val="20"/>
              </w:rPr>
            </w:pPr>
            <w:r w:rsidRPr="00A26DE0">
              <w:rPr>
                <w:iCs/>
                <w:sz w:val="20"/>
              </w:rPr>
              <w:t>DAMRTPTPQSEAMT</w:t>
            </w:r>
            <w:r w:rsidRPr="00A26DE0">
              <w:rPr>
                <w:i/>
                <w:iCs/>
                <w:sz w:val="20"/>
                <w:vertAlign w:val="subscript"/>
              </w:rPr>
              <w:t xml:space="preserve"> q</w:t>
            </w:r>
          </w:p>
        </w:tc>
        <w:tc>
          <w:tcPr>
            <w:tcW w:w="399" w:type="pct"/>
            <w:shd w:val="clear" w:color="auto" w:fill="auto"/>
          </w:tcPr>
          <w:p w14:paraId="585F6606" w14:textId="77777777" w:rsidR="00A26DE0" w:rsidRPr="00A26DE0" w:rsidRDefault="00A26DE0" w:rsidP="00A26DE0">
            <w:pPr>
              <w:spacing w:after="60"/>
              <w:jc w:val="center"/>
              <w:rPr>
                <w:iCs/>
                <w:sz w:val="20"/>
              </w:rPr>
            </w:pPr>
            <w:r w:rsidRPr="00A26DE0">
              <w:rPr>
                <w:iCs/>
                <w:sz w:val="20"/>
              </w:rPr>
              <w:t>$</w:t>
            </w:r>
          </w:p>
        </w:tc>
        <w:tc>
          <w:tcPr>
            <w:tcW w:w="3541" w:type="pct"/>
            <w:shd w:val="clear" w:color="auto" w:fill="auto"/>
          </w:tcPr>
          <w:p w14:paraId="5ED9D2E3" w14:textId="426E5F65" w:rsidR="00A26DE0" w:rsidRPr="00A26DE0" w:rsidRDefault="00A26DE0" w:rsidP="00EE443F">
            <w:pPr>
              <w:spacing w:after="60"/>
              <w:rPr>
                <w:iCs/>
                <w:sz w:val="20"/>
              </w:rPr>
            </w:pPr>
            <w:r w:rsidRPr="00A26DE0">
              <w:rPr>
                <w:i/>
                <w:iCs/>
                <w:sz w:val="20"/>
              </w:rPr>
              <w:t>Day-Ahead Market Real-Time Point-to-Point Obligation Amount by QSE</w:t>
            </w:r>
            <w:r w:rsidRPr="00A26DE0">
              <w:rPr>
                <w:iCs/>
                <w:sz w:val="20"/>
              </w:rPr>
              <w:t xml:space="preserve">—The sum of the PTP Obligation bids cleared in the DAM compared to Real-Time results, for the QSE </w:t>
            </w:r>
            <w:r w:rsidRPr="00A26DE0">
              <w:rPr>
                <w:i/>
                <w:iCs/>
                <w:sz w:val="20"/>
              </w:rPr>
              <w:t>q</w:t>
            </w:r>
            <w:r w:rsidRPr="00A26DE0">
              <w:rPr>
                <w:iCs/>
                <w:sz w:val="20"/>
              </w:rPr>
              <w:t xml:space="preserve">, for the hour.  </w:t>
            </w:r>
          </w:p>
        </w:tc>
      </w:tr>
      <w:tr w:rsidR="00A26DE0" w:rsidRPr="00A26DE0" w14:paraId="4EA8588D" w14:textId="77777777" w:rsidTr="00353B99">
        <w:tc>
          <w:tcPr>
            <w:tcW w:w="1060" w:type="pct"/>
            <w:shd w:val="clear" w:color="auto" w:fill="auto"/>
          </w:tcPr>
          <w:p w14:paraId="6A8CE2B1" w14:textId="77777777" w:rsidR="00A26DE0" w:rsidRPr="00A26DE0" w:rsidRDefault="00A26DE0" w:rsidP="00A26DE0">
            <w:pPr>
              <w:spacing w:after="60"/>
              <w:rPr>
                <w:iCs/>
                <w:sz w:val="20"/>
              </w:rPr>
            </w:pPr>
            <w:r w:rsidRPr="00A26DE0">
              <w:rPr>
                <w:iCs/>
                <w:sz w:val="20"/>
              </w:rPr>
              <w:t>DASPP</w:t>
            </w:r>
            <w:r w:rsidRPr="00A26DE0">
              <w:rPr>
                <w:iCs/>
                <w:sz w:val="20"/>
                <w:vertAlign w:val="subscript"/>
              </w:rPr>
              <w:t xml:space="preserve"> </w:t>
            </w:r>
            <w:r w:rsidRPr="00A26DE0">
              <w:rPr>
                <w:i/>
                <w:iCs/>
                <w:sz w:val="20"/>
                <w:vertAlign w:val="subscript"/>
              </w:rPr>
              <w:t>p</w:t>
            </w:r>
          </w:p>
        </w:tc>
        <w:tc>
          <w:tcPr>
            <w:tcW w:w="399" w:type="pct"/>
            <w:shd w:val="clear" w:color="auto" w:fill="auto"/>
          </w:tcPr>
          <w:p w14:paraId="39E186E1" w14:textId="77777777" w:rsidR="00A26DE0" w:rsidRPr="00A26DE0" w:rsidRDefault="00A26DE0" w:rsidP="00A26DE0">
            <w:pPr>
              <w:spacing w:after="60"/>
              <w:jc w:val="center"/>
              <w:rPr>
                <w:iCs/>
                <w:sz w:val="20"/>
              </w:rPr>
            </w:pPr>
            <w:r w:rsidRPr="00A26DE0">
              <w:rPr>
                <w:iCs/>
                <w:sz w:val="20"/>
              </w:rPr>
              <w:t>$/MWh</w:t>
            </w:r>
          </w:p>
        </w:tc>
        <w:tc>
          <w:tcPr>
            <w:tcW w:w="3541" w:type="pct"/>
            <w:shd w:val="clear" w:color="auto" w:fill="auto"/>
          </w:tcPr>
          <w:p w14:paraId="1C0032C4" w14:textId="77777777" w:rsidR="00A26DE0" w:rsidRPr="00A26DE0" w:rsidRDefault="00A26DE0" w:rsidP="00A26DE0">
            <w:pPr>
              <w:spacing w:after="60"/>
              <w:rPr>
                <w:iCs/>
                <w:sz w:val="20"/>
              </w:rPr>
            </w:pPr>
            <w:r w:rsidRPr="00A26DE0">
              <w:rPr>
                <w:i/>
                <w:iCs/>
                <w:sz w:val="20"/>
              </w:rPr>
              <w:t>Day-Ahead Settlement Point Price per Settlement Point</w:t>
            </w:r>
            <w:r w:rsidRPr="00A26DE0">
              <w:rPr>
                <w:iCs/>
                <w:sz w:val="20"/>
              </w:rPr>
              <w:t xml:space="preserve">—The DAM Settlement Point Price at Settlement Point </w:t>
            </w:r>
            <w:r w:rsidRPr="00A26DE0">
              <w:rPr>
                <w:i/>
                <w:iCs/>
                <w:sz w:val="20"/>
              </w:rPr>
              <w:t>p</w:t>
            </w:r>
            <w:r w:rsidRPr="00A26DE0">
              <w:rPr>
                <w:iCs/>
                <w:sz w:val="20"/>
              </w:rPr>
              <w:t>, for the hour.</w:t>
            </w:r>
          </w:p>
        </w:tc>
      </w:tr>
      <w:tr w:rsidR="00A26DE0" w:rsidRPr="00A26DE0" w14:paraId="6690D004" w14:textId="77777777" w:rsidTr="00353B99">
        <w:tc>
          <w:tcPr>
            <w:tcW w:w="1060" w:type="pct"/>
            <w:shd w:val="clear" w:color="auto" w:fill="auto"/>
          </w:tcPr>
          <w:p w14:paraId="2B5A00C6" w14:textId="77777777" w:rsidR="00A26DE0" w:rsidRPr="00A26DE0" w:rsidRDefault="00A26DE0" w:rsidP="00A26DE0">
            <w:pPr>
              <w:spacing w:after="60"/>
              <w:rPr>
                <w:iCs/>
                <w:sz w:val="20"/>
              </w:rPr>
            </w:pPr>
            <w:r w:rsidRPr="00A26DE0">
              <w:rPr>
                <w:iCs/>
                <w:sz w:val="20"/>
              </w:rPr>
              <w:t xml:space="preserve">RTOBL </w:t>
            </w:r>
            <w:r w:rsidRPr="00A26DE0">
              <w:rPr>
                <w:i/>
                <w:iCs/>
                <w:sz w:val="20"/>
                <w:vertAlign w:val="subscript"/>
              </w:rPr>
              <w:t>q, (j, k)</w:t>
            </w:r>
          </w:p>
        </w:tc>
        <w:tc>
          <w:tcPr>
            <w:tcW w:w="399" w:type="pct"/>
            <w:shd w:val="clear" w:color="auto" w:fill="auto"/>
          </w:tcPr>
          <w:p w14:paraId="36DC86D2" w14:textId="77777777" w:rsidR="00A26DE0" w:rsidRPr="00A26DE0" w:rsidRDefault="00A26DE0" w:rsidP="00A26DE0">
            <w:pPr>
              <w:spacing w:after="60"/>
              <w:jc w:val="center"/>
              <w:rPr>
                <w:iCs/>
                <w:sz w:val="20"/>
              </w:rPr>
            </w:pPr>
            <w:r w:rsidRPr="00A26DE0">
              <w:rPr>
                <w:iCs/>
                <w:sz w:val="20"/>
              </w:rPr>
              <w:t>MW</w:t>
            </w:r>
          </w:p>
        </w:tc>
        <w:tc>
          <w:tcPr>
            <w:tcW w:w="3541" w:type="pct"/>
            <w:shd w:val="clear" w:color="auto" w:fill="auto"/>
          </w:tcPr>
          <w:p w14:paraId="452CE66D" w14:textId="77777777" w:rsidR="00A26DE0" w:rsidRPr="00A26DE0" w:rsidRDefault="00A26DE0" w:rsidP="00A26DE0">
            <w:pPr>
              <w:spacing w:after="60"/>
              <w:rPr>
                <w:iCs/>
                <w:sz w:val="20"/>
              </w:rPr>
            </w:pPr>
            <w:r w:rsidRPr="00A26DE0">
              <w:rPr>
                <w:i/>
                <w:iCs/>
                <w:sz w:val="20"/>
              </w:rPr>
              <w:t>Real-Time Obligation per QSE per pair of source and sink—</w:t>
            </w:r>
            <w:r w:rsidRPr="00A26DE0">
              <w:rPr>
                <w:iCs/>
                <w:sz w:val="20"/>
              </w:rPr>
              <w:t xml:space="preserve">The total MW of QSE </w:t>
            </w:r>
            <w:r w:rsidRPr="00A26DE0">
              <w:rPr>
                <w:i/>
                <w:iCs/>
                <w:sz w:val="20"/>
              </w:rPr>
              <w:t>q</w:t>
            </w:r>
            <w:r w:rsidRPr="00A26DE0">
              <w:rPr>
                <w:iCs/>
                <w:sz w:val="20"/>
              </w:rPr>
              <w:t xml:space="preserve">’s PTP Obligation bids that would have cleared in the DAM and settled in Real-Time for the source </w:t>
            </w:r>
            <w:r w:rsidRPr="00A26DE0">
              <w:rPr>
                <w:i/>
                <w:iCs/>
                <w:sz w:val="20"/>
              </w:rPr>
              <w:t>j,</w:t>
            </w:r>
            <w:r w:rsidRPr="00A26DE0">
              <w:rPr>
                <w:iCs/>
                <w:sz w:val="20"/>
              </w:rPr>
              <w:t xml:space="preserve"> and the sink </w:t>
            </w:r>
            <w:r w:rsidRPr="00A26DE0">
              <w:rPr>
                <w:i/>
                <w:iCs/>
                <w:sz w:val="20"/>
              </w:rPr>
              <w:t>k</w:t>
            </w:r>
            <w:r w:rsidRPr="00A26DE0">
              <w:rPr>
                <w:iCs/>
                <w:sz w:val="20"/>
              </w:rPr>
              <w:t>, for the hour.</w:t>
            </w:r>
          </w:p>
        </w:tc>
      </w:tr>
      <w:tr w:rsidR="00A26DE0" w:rsidRPr="00A26DE0" w14:paraId="6A87AAA5" w14:textId="77777777" w:rsidTr="00353B99">
        <w:tc>
          <w:tcPr>
            <w:tcW w:w="1060" w:type="pct"/>
            <w:shd w:val="clear" w:color="auto" w:fill="auto"/>
          </w:tcPr>
          <w:p w14:paraId="5C892349" w14:textId="77777777" w:rsidR="00A26DE0" w:rsidRPr="00A26DE0" w:rsidRDefault="00A26DE0" w:rsidP="00A26DE0">
            <w:pPr>
              <w:spacing w:after="60"/>
              <w:rPr>
                <w:iCs/>
                <w:sz w:val="20"/>
              </w:rPr>
            </w:pPr>
            <w:r w:rsidRPr="00A26DE0">
              <w:rPr>
                <w:iCs/>
                <w:sz w:val="20"/>
              </w:rPr>
              <w:t>RTSPP</w:t>
            </w:r>
            <w:r w:rsidRPr="00A26DE0">
              <w:rPr>
                <w:iCs/>
                <w:sz w:val="20"/>
                <w:vertAlign w:val="subscript"/>
              </w:rPr>
              <w:t xml:space="preserve"> </w:t>
            </w:r>
            <w:r w:rsidRPr="00A26DE0">
              <w:rPr>
                <w:i/>
                <w:iCs/>
                <w:sz w:val="20"/>
                <w:vertAlign w:val="subscript"/>
              </w:rPr>
              <w:t>p</w:t>
            </w:r>
          </w:p>
        </w:tc>
        <w:tc>
          <w:tcPr>
            <w:tcW w:w="399" w:type="pct"/>
            <w:shd w:val="clear" w:color="auto" w:fill="auto"/>
          </w:tcPr>
          <w:p w14:paraId="141B8EB3" w14:textId="77777777" w:rsidR="00A26DE0" w:rsidRPr="00A26DE0" w:rsidRDefault="00A26DE0" w:rsidP="00A26DE0">
            <w:pPr>
              <w:spacing w:after="60"/>
              <w:jc w:val="center"/>
              <w:rPr>
                <w:iCs/>
                <w:sz w:val="20"/>
              </w:rPr>
            </w:pPr>
            <w:r w:rsidRPr="00A26DE0">
              <w:rPr>
                <w:iCs/>
                <w:sz w:val="20"/>
              </w:rPr>
              <w:t>$/MWh</w:t>
            </w:r>
          </w:p>
        </w:tc>
        <w:tc>
          <w:tcPr>
            <w:tcW w:w="3541" w:type="pct"/>
            <w:shd w:val="clear" w:color="auto" w:fill="auto"/>
          </w:tcPr>
          <w:p w14:paraId="003E2114" w14:textId="77777777" w:rsidR="00A26DE0" w:rsidRPr="00A26DE0" w:rsidRDefault="00A26DE0" w:rsidP="00A26DE0">
            <w:pPr>
              <w:spacing w:after="60"/>
              <w:rPr>
                <w:iCs/>
                <w:sz w:val="20"/>
              </w:rPr>
            </w:pPr>
            <w:r w:rsidRPr="00A26DE0">
              <w:rPr>
                <w:i/>
                <w:iCs/>
                <w:sz w:val="20"/>
              </w:rPr>
              <w:t>Real-Time Settlement Point Price—</w:t>
            </w:r>
            <w:r w:rsidRPr="00A26DE0">
              <w:rPr>
                <w:iCs/>
                <w:sz w:val="20"/>
              </w:rPr>
              <w:t>The Real-Time Settlement Point Price at the Settlement Point for the 15-minute Settlement Interval within the hour.</w:t>
            </w:r>
          </w:p>
        </w:tc>
      </w:tr>
      <w:tr w:rsidR="00A26DE0" w:rsidRPr="00A26DE0" w14:paraId="49A9509A" w14:textId="77777777" w:rsidTr="00353B99">
        <w:tc>
          <w:tcPr>
            <w:tcW w:w="1060" w:type="pct"/>
            <w:shd w:val="clear" w:color="auto" w:fill="auto"/>
          </w:tcPr>
          <w:p w14:paraId="71AA667D" w14:textId="77777777" w:rsidR="00A26DE0" w:rsidRPr="00A26DE0" w:rsidRDefault="00A26DE0" w:rsidP="00A26DE0">
            <w:pPr>
              <w:spacing w:after="60"/>
              <w:rPr>
                <w:iCs/>
                <w:sz w:val="20"/>
              </w:rPr>
            </w:pPr>
            <w:r w:rsidRPr="00A26DE0">
              <w:rPr>
                <w:iCs/>
                <w:sz w:val="20"/>
              </w:rPr>
              <w:t>DAES</w:t>
            </w:r>
            <w:r w:rsidRPr="00A26DE0">
              <w:rPr>
                <w:iCs/>
                <w:sz w:val="20"/>
                <w:vertAlign w:val="subscript"/>
              </w:rPr>
              <w:t xml:space="preserve"> </w:t>
            </w:r>
            <w:r w:rsidRPr="00A26DE0">
              <w:rPr>
                <w:i/>
                <w:iCs/>
                <w:sz w:val="20"/>
                <w:vertAlign w:val="subscript"/>
              </w:rPr>
              <w:t>q, p</w:t>
            </w:r>
          </w:p>
        </w:tc>
        <w:tc>
          <w:tcPr>
            <w:tcW w:w="399" w:type="pct"/>
            <w:shd w:val="clear" w:color="auto" w:fill="auto"/>
          </w:tcPr>
          <w:p w14:paraId="312ABCE0" w14:textId="77777777" w:rsidR="00A26DE0" w:rsidRPr="00A26DE0" w:rsidRDefault="00A26DE0" w:rsidP="00A26DE0">
            <w:pPr>
              <w:spacing w:after="60"/>
              <w:jc w:val="center"/>
              <w:rPr>
                <w:iCs/>
                <w:sz w:val="20"/>
              </w:rPr>
            </w:pPr>
            <w:r w:rsidRPr="00A26DE0">
              <w:rPr>
                <w:iCs/>
                <w:sz w:val="20"/>
              </w:rPr>
              <w:t>MW</w:t>
            </w:r>
          </w:p>
        </w:tc>
        <w:tc>
          <w:tcPr>
            <w:tcW w:w="3541" w:type="pct"/>
            <w:shd w:val="clear" w:color="auto" w:fill="auto"/>
          </w:tcPr>
          <w:p w14:paraId="4F9CB3C4" w14:textId="77777777" w:rsidR="00A26DE0" w:rsidRPr="00A26DE0" w:rsidRDefault="00A26DE0" w:rsidP="00A26DE0">
            <w:pPr>
              <w:spacing w:after="60"/>
              <w:rPr>
                <w:iCs/>
                <w:sz w:val="20"/>
              </w:rPr>
            </w:pPr>
            <w:r w:rsidRPr="00A26DE0">
              <w:rPr>
                <w:i/>
                <w:iCs/>
                <w:sz w:val="20"/>
              </w:rPr>
              <w:t>Day-Ahead Energy Sale per QSE per Settlement Point</w:t>
            </w:r>
            <w:r w:rsidRPr="00A26DE0">
              <w:rPr>
                <w:iCs/>
                <w:sz w:val="20"/>
              </w:rPr>
              <w:sym w:font="Symbol" w:char="F0BE"/>
            </w:r>
            <w:r w:rsidRPr="00A26DE0">
              <w:rPr>
                <w:iCs/>
                <w:sz w:val="20"/>
              </w:rPr>
              <w:t xml:space="preserve">The total amount of energy represented by QSE </w:t>
            </w:r>
            <w:r w:rsidRPr="00A26DE0">
              <w:rPr>
                <w:i/>
                <w:iCs/>
                <w:sz w:val="20"/>
              </w:rPr>
              <w:t>q</w:t>
            </w:r>
            <w:r w:rsidRPr="00A26DE0">
              <w:rPr>
                <w:iCs/>
                <w:sz w:val="20"/>
              </w:rPr>
              <w:t xml:space="preserve">’s Three-Part Supply Offers that would have cleared in the DAM and DAM Energy-Only Offer Curves that would have cleared in the DAM at Settlement Point </w:t>
            </w:r>
            <w:r w:rsidRPr="00A26DE0">
              <w:rPr>
                <w:i/>
                <w:iCs/>
                <w:sz w:val="20"/>
              </w:rPr>
              <w:t>p</w:t>
            </w:r>
            <w:r w:rsidRPr="00A26DE0">
              <w:rPr>
                <w:iCs/>
                <w:sz w:val="20"/>
              </w:rPr>
              <w:t>, for the hour.</w:t>
            </w:r>
          </w:p>
        </w:tc>
      </w:tr>
      <w:tr w:rsidR="00A26DE0" w:rsidRPr="00A26DE0" w14:paraId="2405B0F8" w14:textId="77777777" w:rsidTr="00353B99">
        <w:tc>
          <w:tcPr>
            <w:tcW w:w="1060" w:type="pct"/>
            <w:shd w:val="clear" w:color="auto" w:fill="auto"/>
          </w:tcPr>
          <w:p w14:paraId="7F85FB15" w14:textId="77777777" w:rsidR="00A26DE0" w:rsidRPr="00A26DE0" w:rsidRDefault="00A26DE0" w:rsidP="00A26DE0">
            <w:pPr>
              <w:spacing w:after="60"/>
              <w:rPr>
                <w:iCs/>
                <w:sz w:val="20"/>
              </w:rPr>
            </w:pPr>
            <w:r w:rsidRPr="00A26DE0">
              <w:rPr>
                <w:iCs/>
                <w:sz w:val="20"/>
              </w:rPr>
              <w:t>DAEP</w:t>
            </w:r>
            <w:r w:rsidRPr="00A26DE0">
              <w:rPr>
                <w:iCs/>
                <w:sz w:val="20"/>
                <w:vertAlign w:val="subscript"/>
              </w:rPr>
              <w:t xml:space="preserve"> </w:t>
            </w:r>
            <w:r w:rsidRPr="00A26DE0">
              <w:rPr>
                <w:i/>
                <w:iCs/>
                <w:sz w:val="20"/>
                <w:vertAlign w:val="subscript"/>
              </w:rPr>
              <w:t>q, p</w:t>
            </w:r>
          </w:p>
        </w:tc>
        <w:tc>
          <w:tcPr>
            <w:tcW w:w="399" w:type="pct"/>
            <w:shd w:val="clear" w:color="auto" w:fill="auto"/>
          </w:tcPr>
          <w:p w14:paraId="51FE5E59" w14:textId="77777777" w:rsidR="00A26DE0" w:rsidRPr="00A26DE0" w:rsidRDefault="00A26DE0" w:rsidP="00A26DE0">
            <w:pPr>
              <w:spacing w:after="60"/>
              <w:jc w:val="center"/>
              <w:rPr>
                <w:iCs/>
                <w:sz w:val="20"/>
              </w:rPr>
            </w:pPr>
            <w:r w:rsidRPr="00A26DE0">
              <w:rPr>
                <w:iCs/>
                <w:sz w:val="20"/>
              </w:rPr>
              <w:t>MW</w:t>
            </w:r>
          </w:p>
        </w:tc>
        <w:tc>
          <w:tcPr>
            <w:tcW w:w="3541" w:type="pct"/>
            <w:shd w:val="clear" w:color="auto" w:fill="auto"/>
          </w:tcPr>
          <w:p w14:paraId="267650C7" w14:textId="77777777" w:rsidR="00A26DE0" w:rsidRPr="00A26DE0" w:rsidRDefault="00A26DE0" w:rsidP="00A26DE0">
            <w:pPr>
              <w:spacing w:after="60"/>
              <w:rPr>
                <w:iCs/>
                <w:sz w:val="20"/>
              </w:rPr>
            </w:pPr>
            <w:r w:rsidRPr="00A26DE0">
              <w:rPr>
                <w:i/>
                <w:iCs/>
                <w:sz w:val="20"/>
              </w:rPr>
              <w:t>Day-Ahead Energy Purchase per QSE per Settlement Point</w:t>
            </w:r>
            <w:r w:rsidRPr="00A26DE0">
              <w:rPr>
                <w:iCs/>
                <w:sz w:val="20"/>
              </w:rPr>
              <w:sym w:font="Symbol" w:char="F0BE"/>
            </w:r>
            <w:r w:rsidRPr="00A26DE0">
              <w:rPr>
                <w:iCs/>
                <w:sz w:val="20"/>
              </w:rPr>
              <w:t xml:space="preserve">The total amount of energy represented by QSE </w:t>
            </w:r>
            <w:r w:rsidRPr="00A26DE0">
              <w:rPr>
                <w:i/>
                <w:iCs/>
                <w:sz w:val="20"/>
              </w:rPr>
              <w:t>q</w:t>
            </w:r>
            <w:r w:rsidRPr="00A26DE0">
              <w:rPr>
                <w:iCs/>
                <w:sz w:val="20"/>
              </w:rPr>
              <w:t xml:space="preserve">’s DAM Energy Bids that would have cleared at Settlement Point </w:t>
            </w:r>
            <w:r w:rsidRPr="00A26DE0">
              <w:rPr>
                <w:i/>
                <w:iCs/>
                <w:sz w:val="20"/>
              </w:rPr>
              <w:t>p</w:t>
            </w:r>
            <w:r w:rsidRPr="00A26DE0">
              <w:rPr>
                <w:iCs/>
                <w:sz w:val="20"/>
              </w:rPr>
              <w:t>, for the hour.</w:t>
            </w:r>
          </w:p>
        </w:tc>
      </w:tr>
      <w:tr w:rsidR="00A26DE0" w:rsidRPr="00A26DE0" w14:paraId="41573A7A" w14:textId="77777777" w:rsidTr="00353B99">
        <w:tc>
          <w:tcPr>
            <w:tcW w:w="1060" w:type="pct"/>
            <w:shd w:val="clear" w:color="auto" w:fill="auto"/>
          </w:tcPr>
          <w:p w14:paraId="0962E94C" w14:textId="45FB80A0" w:rsidR="00A26DE0" w:rsidRPr="00A26DE0" w:rsidRDefault="00A26DE0" w:rsidP="00A26DE0">
            <w:pPr>
              <w:spacing w:after="60"/>
              <w:rPr>
                <w:iCs/>
                <w:sz w:val="20"/>
              </w:rPr>
            </w:pPr>
            <w:r w:rsidRPr="00A26DE0">
              <w:rPr>
                <w:iCs/>
                <w:sz w:val="20"/>
              </w:rPr>
              <w:t xml:space="preserve">PCRUR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r w:rsidRPr="00A26DE0">
              <w:rPr>
                <w:i/>
                <w:iCs/>
                <w:sz w:val="20"/>
              </w:rPr>
              <w:t xml:space="preserve"> </w:t>
            </w:r>
          </w:p>
        </w:tc>
        <w:tc>
          <w:tcPr>
            <w:tcW w:w="399" w:type="pct"/>
            <w:shd w:val="clear" w:color="auto" w:fill="auto"/>
          </w:tcPr>
          <w:p w14:paraId="329CBBDD" w14:textId="77777777" w:rsidR="00A26DE0" w:rsidRPr="00A26DE0" w:rsidRDefault="00A26DE0" w:rsidP="00A26DE0">
            <w:pPr>
              <w:spacing w:after="60"/>
              <w:jc w:val="center"/>
              <w:rPr>
                <w:iCs/>
                <w:sz w:val="20"/>
              </w:rPr>
            </w:pPr>
            <w:r w:rsidRPr="00A26DE0">
              <w:rPr>
                <w:iCs/>
                <w:sz w:val="20"/>
              </w:rPr>
              <w:t>MW</w:t>
            </w:r>
          </w:p>
        </w:tc>
        <w:tc>
          <w:tcPr>
            <w:tcW w:w="3541" w:type="pct"/>
            <w:shd w:val="clear" w:color="auto" w:fill="auto"/>
          </w:tcPr>
          <w:p w14:paraId="41DFCA0D" w14:textId="77777777" w:rsidR="00A26DE0" w:rsidRPr="00A26DE0" w:rsidRDefault="00A26DE0" w:rsidP="00A26DE0">
            <w:pPr>
              <w:spacing w:after="60"/>
              <w:rPr>
                <w:iCs/>
                <w:sz w:val="20"/>
              </w:rPr>
            </w:pPr>
            <w:r w:rsidRPr="00A26DE0">
              <w:rPr>
                <w:i/>
                <w:iCs/>
                <w:sz w:val="20"/>
              </w:rPr>
              <w:t>Procured Capacity for Regulation Up from Resource per QSE per Resource in DAM</w:t>
            </w:r>
            <w:r w:rsidRPr="00A26DE0">
              <w:rPr>
                <w:iCs/>
                <w:sz w:val="20"/>
              </w:rPr>
              <w:t xml:space="preserve">—The Regulation Up Service (Reg-Up) capacity quantity that would have been awarded to QSE </w:t>
            </w:r>
            <w:r w:rsidRPr="00A26DE0">
              <w:rPr>
                <w:i/>
                <w:iCs/>
                <w:sz w:val="20"/>
              </w:rPr>
              <w:t>q</w:t>
            </w:r>
            <w:r w:rsidRPr="00A26DE0">
              <w:rPr>
                <w:iCs/>
                <w:sz w:val="20"/>
              </w:rPr>
              <w:t xml:space="preserve"> in the DAM for Resource </w:t>
            </w:r>
            <w:r w:rsidRPr="00A26DE0">
              <w:rPr>
                <w:i/>
                <w:iCs/>
                <w:sz w:val="20"/>
              </w:rPr>
              <w:t>r</w:t>
            </w:r>
            <w:r w:rsidRPr="00A26DE0">
              <w:rPr>
                <w:iCs/>
                <w:sz w:val="20"/>
              </w:rPr>
              <w:t xml:space="preserve">, for the hour.  Where for a Combined Cycle Train, the Resource </w:t>
            </w:r>
            <w:r w:rsidRPr="00A26DE0">
              <w:rPr>
                <w:i/>
                <w:iCs/>
                <w:sz w:val="20"/>
              </w:rPr>
              <w:t xml:space="preserve">r </w:t>
            </w:r>
            <w:r w:rsidRPr="00A26DE0">
              <w:rPr>
                <w:iCs/>
                <w:sz w:val="20"/>
              </w:rPr>
              <w:t>is a Combined Cycle Generation Resource within the Combined Cycle Train.</w:t>
            </w:r>
          </w:p>
        </w:tc>
      </w:tr>
      <w:tr w:rsidR="00A26DE0" w:rsidRPr="00A26DE0" w14:paraId="442305EE" w14:textId="77777777" w:rsidTr="00353B99">
        <w:tc>
          <w:tcPr>
            <w:tcW w:w="1060" w:type="pct"/>
            <w:shd w:val="clear" w:color="auto" w:fill="auto"/>
          </w:tcPr>
          <w:p w14:paraId="4A6B276C" w14:textId="11C47AE9" w:rsidR="00A26DE0" w:rsidRPr="00A26DE0" w:rsidRDefault="00A26DE0" w:rsidP="00A26DE0">
            <w:pPr>
              <w:spacing w:after="60"/>
              <w:rPr>
                <w:iCs/>
                <w:sz w:val="20"/>
              </w:rPr>
            </w:pPr>
            <w:r w:rsidRPr="00A26DE0">
              <w:rPr>
                <w:iCs/>
                <w:sz w:val="20"/>
              </w:rPr>
              <w:t>PCRDR</w:t>
            </w:r>
            <w:r w:rsidRPr="00A26DE0">
              <w:rPr>
                <w:i/>
                <w:iCs/>
                <w:sz w:val="20"/>
              </w:rPr>
              <w:t xml:space="preserve">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p>
        </w:tc>
        <w:tc>
          <w:tcPr>
            <w:tcW w:w="399" w:type="pct"/>
            <w:shd w:val="clear" w:color="auto" w:fill="auto"/>
          </w:tcPr>
          <w:p w14:paraId="0BD4308E" w14:textId="77777777" w:rsidR="00A26DE0" w:rsidRPr="00A26DE0" w:rsidRDefault="00A26DE0" w:rsidP="00A26DE0">
            <w:pPr>
              <w:spacing w:after="60"/>
              <w:jc w:val="center"/>
              <w:rPr>
                <w:iCs/>
                <w:sz w:val="20"/>
              </w:rPr>
            </w:pPr>
            <w:r w:rsidRPr="00A26DE0">
              <w:rPr>
                <w:iCs/>
                <w:sz w:val="20"/>
              </w:rPr>
              <w:t>MW</w:t>
            </w:r>
          </w:p>
        </w:tc>
        <w:tc>
          <w:tcPr>
            <w:tcW w:w="3541" w:type="pct"/>
            <w:shd w:val="clear" w:color="auto" w:fill="auto"/>
          </w:tcPr>
          <w:p w14:paraId="665774A7" w14:textId="77777777" w:rsidR="00A26DE0" w:rsidRPr="00A26DE0" w:rsidRDefault="00A26DE0" w:rsidP="00A26DE0">
            <w:pPr>
              <w:spacing w:after="60"/>
              <w:rPr>
                <w:iCs/>
                <w:sz w:val="20"/>
              </w:rPr>
            </w:pPr>
            <w:r w:rsidRPr="00A26DE0">
              <w:rPr>
                <w:i/>
                <w:iCs/>
                <w:sz w:val="20"/>
              </w:rPr>
              <w:t>Procured Capacity for Regulation Down from Resource per QSE per Resource in DAM</w:t>
            </w:r>
            <w:r w:rsidRPr="00A26DE0">
              <w:rPr>
                <w:iCs/>
                <w:sz w:val="20"/>
              </w:rPr>
              <w:t xml:space="preserve">—The Regulation Down Service (Reg-Down) capacity quantity that would have been awarded to QSE </w:t>
            </w:r>
            <w:r w:rsidRPr="00A26DE0">
              <w:rPr>
                <w:i/>
                <w:iCs/>
                <w:sz w:val="20"/>
              </w:rPr>
              <w:t>q</w:t>
            </w:r>
            <w:r w:rsidRPr="00A26DE0">
              <w:rPr>
                <w:iCs/>
                <w:sz w:val="20"/>
              </w:rPr>
              <w:t xml:space="preserve"> in the DAM for Resource </w:t>
            </w:r>
            <w:r w:rsidRPr="00A26DE0">
              <w:rPr>
                <w:i/>
                <w:iCs/>
                <w:sz w:val="20"/>
              </w:rPr>
              <w:t>r</w:t>
            </w:r>
            <w:r w:rsidRPr="00A26DE0">
              <w:rPr>
                <w:iCs/>
                <w:sz w:val="20"/>
              </w:rPr>
              <w:t xml:space="preserve">, for the hour.  Where for a Combined Cycle Train, the Resource </w:t>
            </w:r>
            <w:r w:rsidRPr="00A26DE0">
              <w:rPr>
                <w:i/>
                <w:iCs/>
                <w:sz w:val="20"/>
              </w:rPr>
              <w:t xml:space="preserve">r </w:t>
            </w:r>
            <w:r w:rsidRPr="00A26DE0">
              <w:rPr>
                <w:iCs/>
                <w:sz w:val="20"/>
              </w:rPr>
              <w:t>is a Combined Cycle Generation Resource within the Combined Cycle Train.</w:t>
            </w:r>
          </w:p>
        </w:tc>
      </w:tr>
      <w:tr w:rsidR="00A26DE0" w:rsidRPr="00A26DE0" w14:paraId="56EB46D7" w14:textId="77777777" w:rsidTr="00353B99">
        <w:tc>
          <w:tcPr>
            <w:tcW w:w="1060" w:type="pct"/>
            <w:shd w:val="clear" w:color="auto" w:fill="auto"/>
          </w:tcPr>
          <w:p w14:paraId="0EA75E72" w14:textId="151BFBF2" w:rsidR="00A26DE0" w:rsidRPr="00A26DE0" w:rsidRDefault="00A26DE0" w:rsidP="00A26DE0">
            <w:pPr>
              <w:spacing w:after="60"/>
              <w:rPr>
                <w:iCs/>
                <w:sz w:val="20"/>
              </w:rPr>
            </w:pPr>
            <w:r w:rsidRPr="00A26DE0">
              <w:rPr>
                <w:iCs/>
                <w:sz w:val="20"/>
              </w:rPr>
              <w:t xml:space="preserve">PCRRR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r w:rsidRPr="00A26DE0">
              <w:rPr>
                <w:i/>
                <w:iCs/>
                <w:sz w:val="20"/>
              </w:rPr>
              <w:t xml:space="preserve"> </w:t>
            </w:r>
          </w:p>
        </w:tc>
        <w:tc>
          <w:tcPr>
            <w:tcW w:w="399" w:type="pct"/>
            <w:shd w:val="clear" w:color="auto" w:fill="auto"/>
          </w:tcPr>
          <w:p w14:paraId="45DEECDE" w14:textId="77777777" w:rsidR="00A26DE0" w:rsidRPr="00A26DE0" w:rsidRDefault="00A26DE0" w:rsidP="00A26DE0">
            <w:pPr>
              <w:spacing w:after="60"/>
              <w:jc w:val="center"/>
              <w:rPr>
                <w:iCs/>
                <w:sz w:val="20"/>
              </w:rPr>
            </w:pPr>
            <w:r w:rsidRPr="00A26DE0">
              <w:rPr>
                <w:iCs/>
                <w:sz w:val="20"/>
              </w:rPr>
              <w:t>MW</w:t>
            </w:r>
          </w:p>
        </w:tc>
        <w:tc>
          <w:tcPr>
            <w:tcW w:w="3541" w:type="pct"/>
            <w:shd w:val="clear" w:color="auto" w:fill="auto"/>
          </w:tcPr>
          <w:p w14:paraId="1431D5FF" w14:textId="77777777" w:rsidR="00A26DE0" w:rsidRPr="00A26DE0" w:rsidRDefault="00A26DE0" w:rsidP="00A26DE0">
            <w:pPr>
              <w:spacing w:after="60"/>
              <w:rPr>
                <w:iCs/>
                <w:sz w:val="20"/>
              </w:rPr>
            </w:pPr>
            <w:r w:rsidRPr="00A26DE0">
              <w:rPr>
                <w:i/>
                <w:iCs/>
                <w:sz w:val="20"/>
              </w:rPr>
              <w:t>Procured Capacity for Responsive Reserve from Resource per QSE per Resource in DAM</w:t>
            </w:r>
            <w:r w:rsidRPr="00A26DE0">
              <w:rPr>
                <w:iCs/>
                <w:sz w:val="20"/>
              </w:rPr>
              <w:t xml:space="preserve">—The Responsive Reserve (RRS) capacity quantity that would have been awarded to QSE </w:t>
            </w:r>
            <w:r w:rsidRPr="00A26DE0">
              <w:rPr>
                <w:i/>
                <w:iCs/>
                <w:sz w:val="20"/>
              </w:rPr>
              <w:t>q</w:t>
            </w:r>
            <w:r w:rsidRPr="00A26DE0">
              <w:rPr>
                <w:iCs/>
                <w:sz w:val="20"/>
              </w:rPr>
              <w:t xml:space="preserve"> in the DAM for Resource </w:t>
            </w:r>
            <w:r w:rsidRPr="00A26DE0">
              <w:rPr>
                <w:i/>
                <w:iCs/>
                <w:sz w:val="20"/>
              </w:rPr>
              <w:t>r</w:t>
            </w:r>
            <w:r w:rsidRPr="00A26DE0">
              <w:rPr>
                <w:iCs/>
                <w:sz w:val="20"/>
              </w:rPr>
              <w:t xml:space="preserve">, for the hour.  Where for a Combined Cycle Train, the Resource </w:t>
            </w:r>
            <w:r w:rsidRPr="00A26DE0">
              <w:rPr>
                <w:i/>
                <w:iCs/>
                <w:sz w:val="20"/>
              </w:rPr>
              <w:t xml:space="preserve">r </w:t>
            </w:r>
            <w:r w:rsidRPr="00A26DE0">
              <w:rPr>
                <w:iCs/>
                <w:sz w:val="20"/>
              </w:rPr>
              <w:t>is a Combined Cycle Generation Resource within the Combined Cycle Train.</w:t>
            </w:r>
          </w:p>
        </w:tc>
      </w:tr>
      <w:tr w:rsidR="00A26DE0" w:rsidRPr="00A26DE0" w14:paraId="71F55857" w14:textId="77777777" w:rsidTr="00353B99">
        <w:tc>
          <w:tcPr>
            <w:tcW w:w="1060" w:type="pct"/>
            <w:shd w:val="clear" w:color="auto" w:fill="auto"/>
          </w:tcPr>
          <w:p w14:paraId="1B099095" w14:textId="4004C571" w:rsidR="00A26DE0" w:rsidRPr="00A26DE0" w:rsidRDefault="00A26DE0" w:rsidP="00A26DE0">
            <w:pPr>
              <w:spacing w:after="60"/>
              <w:rPr>
                <w:iCs/>
                <w:sz w:val="20"/>
              </w:rPr>
            </w:pPr>
            <w:r w:rsidRPr="00A26DE0">
              <w:rPr>
                <w:iCs/>
                <w:sz w:val="20"/>
              </w:rPr>
              <w:t xml:space="preserve">PCNSR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p>
        </w:tc>
        <w:tc>
          <w:tcPr>
            <w:tcW w:w="399" w:type="pct"/>
            <w:shd w:val="clear" w:color="auto" w:fill="auto"/>
          </w:tcPr>
          <w:p w14:paraId="58FC5BE0" w14:textId="77777777" w:rsidR="00A26DE0" w:rsidRPr="00A26DE0" w:rsidRDefault="00A26DE0" w:rsidP="00A26DE0">
            <w:pPr>
              <w:spacing w:after="60"/>
              <w:jc w:val="center"/>
              <w:rPr>
                <w:iCs/>
                <w:sz w:val="20"/>
              </w:rPr>
            </w:pPr>
            <w:r w:rsidRPr="00A26DE0">
              <w:rPr>
                <w:iCs/>
                <w:sz w:val="20"/>
              </w:rPr>
              <w:t>MW</w:t>
            </w:r>
          </w:p>
        </w:tc>
        <w:tc>
          <w:tcPr>
            <w:tcW w:w="3541" w:type="pct"/>
            <w:shd w:val="clear" w:color="auto" w:fill="auto"/>
          </w:tcPr>
          <w:p w14:paraId="645D7F9B" w14:textId="77777777" w:rsidR="00A26DE0" w:rsidRPr="00A26DE0" w:rsidRDefault="00A26DE0" w:rsidP="00A26DE0">
            <w:pPr>
              <w:spacing w:after="60"/>
              <w:rPr>
                <w:iCs/>
                <w:sz w:val="20"/>
              </w:rPr>
            </w:pPr>
            <w:r w:rsidRPr="00A26DE0">
              <w:rPr>
                <w:i/>
                <w:iCs/>
                <w:sz w:val="20"/>
              </w:rPr>
              <w:t>Procured Capacity for Non-Spinning Reserve from Resource per QSE per Resource in DAM</w:t>
            </w:r>
            <w:r w:rsidRPr="00A26DE0">
              <w:rPr>
                <w:iCs/>
                <w:sz w:val="20"/>
              </w:rPr>
              <w:t xml:space="preserve">—The Non-Spinning Reserve (Non-Spin) capacity quantity that would have been awarded to QSE </w:t>
            </w:r>
            <w:r w:rsidRPr="00A26DE0">
              <w:rPr>
                <w:i/>
                <w:iCs/>
                <w:sz w:val="20"/>
              </w:rPr>
              <w:t>q</w:t>
            </w:r>
            <w:r w:rsidRPr="00A26DE0">
              <w:rPr>
                <w:iCs/>
                <w:sz w:val="20"/>
              </w:rPr>
              <w:t xml:space="preserve"> in the DAM for Resource </w:t>
            </w:r>
            <w:r w:rsidRPr="00A26DE0">
              <w:rPr>
                <w:i/>
                <w:iCs/>
                <w:sz w:val="20"/>
              </w:rPr>
              <w:t>r</w:t>
            </w:r>
            <w:r w:rsidRPr="00A26DE0">
              <w:rPr>
                <w:iCs/>
                <w:sz w:val="20"/>
              </w:rPr>
              <w:t xml:space="preserve">, for the hour.  Where for a Combined Cycle Train, the Resource </w:t>
            </w:r>
            <w:r w:rsidRPr="00A26DE0">
              <w:rPr>
                <w:i/>
                <w:iCs/>
                <w:sz w:val="20"/>
              </w:rPr>
              <w:t xml:space="preserve">r </w:t>
            </w:r>
            <w:r w:rsidRPr="00A26DE0">
              <w:rPr>
                <w:iCs/>
                <w:sz w:val="20"/>
              </w:rPr>
              <w:t>is a Combined Cycle Generation Resource within the Combined Cycle Train.</w:t>
            </w:r>
          </w:p>
        </w:tc>
      </w:tr>
      <w:tr w:rsidR="00434F7C" w:rsidRPr="00A26DE0" w14:paraId="6141CF41" w14:textId="77777777" w:rsidTr="00353B99">
        <w:tc>
          <w:tcPr>
            <w:tcW w:w="1060" w:type="pct"/>
            <w:shd w:val="clear" w:color="auto" w:fill="auto"/>
          </w:tcPr>
          <w:p w14:paraId="34A798E0" w14:textId="1A3C507C" w:rsidR="00434F7C" w:rsidRPr="00A26DE0" w:rsidRDefault="00434F7C" w:rsidP="00434F7C">
            <w:pPr>
              <w:spacing w:after="60"/>
              <w:rPr>
                <w:iCs/>
                <w:sz w:val="20"/>
              </w:rPr>
            </w:pPr>
            <w:r w:rsidRPr="00A26DE0">
              <w:rPr>
                <w:iCs/>
                <w:sz w:val="20"/>
              </w:rPr>
              <w:t xml:space="preserve">PCECRR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p>
        </w:tc>
        <w:tc>
          <w:tcPr>
            <w:tcW w:w="399" w:type="pct"/>
            <w:shd w:val="clear" w:color="auto" w:fill="auto"/>
          </w:tcPr>
          <w:p w14:paraId="1CA098CD" w14:textId="16E8742D" w:rsidR="00434F7C" w:rsidRPr="00A26DE0" w:rsidRDefault="00434F7C" w:rsidP="00434F7C">
            <w:pPr>
              <w:spacing w:after="60"/>
              <w:jc w:val="center"/>
              <w:rPr>
                <w:iCs/>
                <w:sz w:val="20"/>
              </w:rPr>
            </w:pPr>
            <w:r w:rsidRPr="00A26DE0">
              <w:rPr>
                <w:iCs/>
                <w:sz w:val="20"/>
              </w:rPr>
              <w:t>MW</w:t>
            </w:r>
          </w:p>
        </w:tc>
        <w:tc>
          <w:tcPr>
            <w:tcW w:w="3541" w:type="pct"/>
            <w:shd w:val="clear" w:color="auto" w:fill="auto"/>
          </w:tcPr>
          <w:p w14:paraId="5812B8A1" w14:textId="6EBD8EA1" w:rsidR="00434F7C" w:rsidRPr="00A26DE0" w:rsidRDefault="00434F7C" w:rsidP="00434F7C">
            <w:pPr>
              <w:spacing w:after="60"/>
              <w:rPr>
                <w:i/>
                <w:iCs/>
                <w:sz w:val="20"/>
              </w:rPr>
            </w:pPr>
            <w:r w:rsidRPr="00A26DE0">
              <w:rPr>
                <w:i/>
                <w:iCs/>
                <w:sz w:val="20"/>
              </w:rPr>
              <w:t>Procured Capacity for ERCOT Contingency Reserve Service from Resource per QSE per Resource in DAM</w:t>
            </w:r>
            <w:r w:rsidRPr="00A26DE0">
              <w:rPr>
                <w:iCs/>
                <w:sz w:val="20"/>
              </w:rPr>
              <w:t xml:space="preserve">—The ERCOT Contingency Reserve Service (ECRS) capacity quantity that would have been awarded to QSE </w:t>
            </w:r>
            <w:r w:rsidRPr="00A26DE0">
              <w:rPr>
                <w:i/>
                <w:iCs/>
                <w:sz w:val="20"/>
              </w:rPr>
              <w:t>q</w:t>
            </w:r>
            <w:r w:rsidRPr="00A26DE0">
              <w:rPr>
                <w:iCs/>
                <w:sz w:val="20"/>
              </w:rPr>
              <w:t xml:space="preserve"> in the DAM for Resource </w:t>
            </w:r>
            <w:r w:rsidRPr="00A26DE0">
              <w:rPr>
                <w:i/>
                <w:iCs/>
                <w:sz w:val="20"/>
              </w:rPr>
              <w:t>r</w:t>
            </w:r>
            <w:r w:rsidRPr="00A26DE0">
              <w:rPr>
                <w:iCs/>
                <w:sz w:val="20"/>
              </w:rPr>
              <w:t xml:space="preserve">, for the hour.  Where for a Combined Cycle Train, the Resource </w:t>
            </w:r>
            <w:r w:rsidRPr="00A26DE0">
              <w:rPr>
                <w:i/>
                <w:iCs/>
                <w:sz w:val="20"/>
              </w:rPr>
              <w:t xml:space="preserve">r </w:t>
            </w:r>
            <w:r w:rsidRPr="00A26DE0">
              <w:rPr>
                <w:iCs/>
                <w:sz w:val="20"/>
              </w:rPr>
              <w:t>is a Combined Cycle Generation Resource within the Combined Cycle Train.</w:t>
            </w:r>
          </w:p>
        </w:tc>
      </w:tr>
      <w:tr w:rsidR="00A26DE0" w:rsidRPr="00A26DE0" w14:paraId="025988DF" w14:textId="77777777" w:rsidTr="00353B99">
        <w:tc>
          <w:tcPr>
            <w:tcW w:w="1060" w:type="pct"/>
            <w:shd w:val="clear" w:color="auto" w:fill="auto"/>
          </w:tcPr>
          <w:p w14:paraId="323D2EE6" w14:textId="6D9B2320" w:rsidR="00A26DE0" w:rsidRPr="00A26DE0" w:rsidRDefault="00A26DE0" w:rsidP="00A26DE0">
            <w:pPr>
              <w:spacing w:after="60"/>
              <w:rPr>
                <w:iCs/>
                <w:sz w:val="20"/>
              </w:rPr>
            </w:pPr>
            <w:r w:rsidRPr="00A26DE0">
              <w:rPr>
                <w:iCs/>
                <w:sz w:val="20"/>
              </w:rPr>
              <w:t xml:space="preserve">RUOPR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p>
          <w:p w14:paraId="703CF5C8" w14:textId="77777777" w:rsidR="00A26DE0" w:rsidRPr="00A26DE0" w:rsidRDefault="00A26DE0" w:rsidP="00A26DE0">
            <w:pPr>
              <w:spacing w:after="60"/>
              <w:rPr>
                <w:iCs/>
                <w:sz w:val="20"/>
              </w:rPr>
            </w:pPr>
          </w:p>
        </w:tc>
        <w:tc>
          <w:tcPr>
            <w:tcW w:w="399" w:type="pct"/>
            <w:shd w:val="clear" w:color="auto" w:fill="auto"/>
          </w:tcPr>
          <w:p w14:paraId="6DADFDC1" w14:textId="77777777" w:rsidR="00A26DE0" w:rsidRPr="00A26DE0" w:rsidRDefault="00A26DE0" w:rsidP="00A26DE0">
            <w:pPr>
              <w:spacing w:after="60"/>
              <w:jc w:val="center"/>
              <w:rPr>
                <w:iCs/>
                <w:sz w:val="20"/>
              </w:rPr>
            </w:pPr>
            <w:r w:rsidRPr="00A26DE0">
              <w:rPr>
                <w:iCs/>
                <w:sz w:val="20"/>
              </w:rPr>
              <w:t>$/MW per hour</w:t>
            </w:r>
          </w:p>
        </w:tc>
        <w:tc>
          <w:tcPr>
            <w:tcW w:w="3541" w:type="pct"/>
            <w:shd w:val="clear" w:color="auto" w:fill="auto"/>
          </w:tcPr>
          <w:p w14:paraId="46ECB7F2" w14:textId="77777777" w:rsidR="00A26DE0" w:rsidRPr="00A26DE0" w:rsidRDefault="00A26DE0" w:rsidP="00A26DE0">
            <w:pPr>
              <w:spacing w:after="60"/>
              <w:rPr>
                <w:iCs/>
                <w:sz w:val="20"/>
              </w:rPr>
            </w:pPr>
            <w:r w:rsidRPr="00A26DE0">
              <w:rPr>
                <w:i/>
                <w:iCs/>
                <w:sz w:val="20"/>
              </w:rPr>
              <w:t>Regulation Up Offer Price</w:t>
            </w:r>
            <w:r w:rsidRPr="00A26DE0">
              <w:rPr>
                <w:iCs/>
                <w:sz w:val="20"/>
              </w:rPr>
              <w:t xml:space="preserve">—The offer price for Resource </w:t>
            </w:r>
            <w:r w:rsidRPr="00A26DE0">
              <w:rPr>
                <w:i/>
                <w:iCs/>
                <w:sz w:val="20"/>
              </w:rPr>
              <w:t xml:space="preserve">r </w:t>
            </w:r>
            <w:r w:rsidRPr="00A26DE0">
              <w:rPr>
                <w:iCs/>
                <w:sz w:val="20"/>
              </w:rPr>
              <w:t xml:space="preserve">represented by QSE </w:t>
            </w:r>
            <w:r w:rsidRPr="00A26DE0">
              <w:rPr>
                <w:i/>
                <w:iCs/>
                <w:sz w:val="20"/>
              </w:rPr>
              <w:t xml:space="preserve">q, </w:t>
            </w:r>
            <w:r w:rsidRPr="00A26DE0">
              <w:rPr>
                <w:iCs/>
                <w:sz w:val="20"/>
              </w:rPr>
              <w:t xml:space="preserve">for the impacted Reg-Up Ancillary Service Offers.  Where for a Combined Cycle Train, the Resource </w:t>
            </w:r>
            <w:r w:rsidRPr="00A26DE0">
              <w:rPr>
                <w:i/>
                <w:iCs/>
                <w:sz w:val="20"/>
              </w:rPr>
              <w:t xml:space="preserve">r </w:t>
            </w:r>
            <w:r w:rsidRPr="00A26DE0">
              <w:rPr>
                <w:iCs/>
                <w:sz w:val="20"/>
              </w:rPr>
              <w:t>is a Combined Cycle Generation Resource within the Combined Cycle Train.</w:t>
            </w:r>
          </w:p>
        </w:tc>
      </w:tr>
      <w:tr w:rsidR="00A26DE0" w:rsidRPr="00A26DE0" w14:paraId="2ECFC956" w14:textId="77777777" w:rsidTr="00353B99">
        <w:trPr>
          <w:trHeight w:val="498"/>
        </w:trPr>
        <w:tc>
          <w:tcPr>
            <w:tcW w:w="1060" w:type="pct"/>
            <w:shd w:val="clear" w:color="auto" w:fill="auto"/>
          </w:tcPr>
          <w:p w14:paraId="3FE49134" w14:textId="4953D1CC" w:rsidR="00A26DE0" w:rsidRPr="00A26DE0" w:rsidRDefault="00A26DE0" w:rsidP="00A26DE0">
            <w:pPr>
              <w:spacing w:after="60"/>
              <w:rPr>
                <w:iCs/>
                <w:sz w:val="20"/>
              </w:rPr>
            </w:pPr>
            <w:r w:rsidRPr="00A26DE0">
              <w:rPr>
                <w:iCs/>
                <w:sz w:val="20"/>
              </w:rPr>
              <w:lastRenderedPageBreak/>
              <w:t>RDOPR</w:t>
            </w:r>
            <w:r w:rsidRPr="00A26DE0">
              <w:rPr>
                <w:iCs/>
                <w:sz w:val="20"/>
                <w:vertAlign w:val="subscript"/>
              </w:rPr>
              <w:t xml:space="preserve">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p>
        </w:tc>
        <w:tc>
          <w:tcPr>
            <w:tcW w:w="399" w:type="pct"/>
            <w:shd w:val="clear" w:color="auto" w:fill="auto"/>
          </w:tcPr>
          <w:p w14:paraId="3EA34897" w14:textId="77777777" w:rsidR="00A26DE0" w:rsidRPr="00A26DE0" w:rsidRDefault="00A26DE0" w:rsidP="00A26DE0">
            <w:pPr>
              <w:spacing w:after="60"/>
              <w:jc w:val="center"/>
              <w:rPr>
                <w:iCs/>
                <w:sz w:val="20"/>
              </w:rPr>
            </w:pPr>
            <w:r w:rsidRPr="00A26DE0">
              <w:rPr>
                <w:iCs/>
                <w:sz w:val="20"/>
              </w:rPr>
              <w:t>$/MW per hour</w:t>
            </w:r>
          </w:p>
        </w:tc>
        <w:tc>
          <w:tcPr>
            <w:tcW w:w="3541" w:type="pct"/>
            <w:shd w:val="clear" w:color="auto" w:fill="auto"/>
          </w:tcPr>
          <w:p w14:paraId="1924AB64" w14:textId="77777777" w:rsidR="00A26DE0" w:rsidRPr="00A26DE0" w:rsidRDefault="00A26DE0" w:rsidP="00A26DE0">
            <w:pPr>
              <w:spacing w:after="60"/>
              <w:rPr>
                <w:iCs/>
                <w:sz w:val="20"/>
              </w:rPr>
            </w:pPr>
            <w:r w:rsidRPr="00A26DE0">
              <w:rPr>
                <w:i/>
                <w:iCs/>
                <w:sz w:val="20"/>
              </w:rPr>
              <w:t>Regulation Down Offer Price</w:t>
            </w:r>
            <w:r w:rsidRPr="00A26DE0">
              <w:rPr>
                <w:iCs/>
                <w:sz w:val="20"/>
              </w:rPr>
              <w:t xml:space="preserve">—The offer price for Resource </w:t>
            </w:r>
            <w:r w:rsidRPr="00A26DE0">
              <w:rPr>
                <w:i/>
                <w:iCs/>
                <w:sz w:val="20"/>
              </w:rPr>
              <w:t xml:space="preserve">r </w:t>
            </w:r>
            <w:r w:rsidRPr="00A26DE0">
              <w:rPr>
                <w:iCs/>
                <w:sz w:val="20"/>
              </w:rPr>
              <w:t xml:space="preserve">represented by QSE </w:t>
            </w:r>
            <w:r w:rsidRPr="00A26DE0">
              <w:rPr>
                <w:i/>
                <w:iCs/>
                <w:sz w:val="20"/>
              </w:rPr>
              <w:t>q,</w:t>
            </w:r>
            <w:r w:rsidRPr="00A26DE0">
              <w:rPr>
                <w:iCs/>
                <w:sz w:val="20"/>
              </w:rPr>
              <w:t xml:space="preserve"> for the impacted Reg-Down Ancillary Service Offers.  Where for a Combined Cycle Train, the Resource </w:t>
            </w:r>
            <w:r w:rsidRPr="00A26DE0">
              <w:rPr>
                <w:i/>
                <w:iCs/>
                <w:sz w:val="20"/>
              </w:rPr>
              <w:t xml:space="preserve">r </w:t>
            </w:r>
            <w:r w:rsidRPr="00A26DE0">
              <w:rPr>
                <w:iCs/>
                <w:sz w:val="20"/>
              </w:rPr>
              <w:t>is a Combined Cycle Generation Resource within the Combined Cycle Train.</w:t>
            </w:r>
          </w:p>
        </w:tc>
      </w:tr>
      <w:tr w:rsidR="00A26DE0" w:rsidRPr="00A26DE0" w14:paraId="21139CF1" w14:textId="77777777" w:rsidTr="00353B99">
        <w:trPr>
          <w:trHeight w:val="525"/>
        </w:trPr>
        <w:tc>
          <w:tcPr>
            <w:tcW w:w="1060" w:type="pct"/>
            <w:shd w:val="clear" w:color="auto" w:fill="auto"/>
          </w:tcPr>
          <w:p w14:paraId="746BAFF2" w14:textId="4F2331E1" w:rsidR="00A26DE0" w:rsidRPr="00A26DE0" w:rsidRDefault="00A26DE0" w:rsidP="00A26DE0">
            <w:pPr>
              <w:spacing w:after="60"/>
              <w:rPr>
                <w:iCs/>
                <w:sz w:val="20"/>
              </w:rPr>
            </w:pPr>
            <w:r w:rsidRPr="00A26DE0">
              <w:rPr>
                <w:iCs/>
                <w:sz w:val="20"/>
              </w:rPr>
              <w:t>RROPR</w:t>
            </w:r>
            <w:r w:rsidRPr="00A26DE0">
              <w:rPr>
                <w:iCs/>
                <w:sz w:val="20"/>
                <w:vertAlign w:val="subscript"/>
              </w:rPr>
              <w:t xml:space="preserve">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p>
        </w:tc>
        <w:tc>
          <w:tcPr>
            <w:tcW w:w="399" w:type="pct"/>
            <w:shd w:val="clear" w:color="auto" w:fill="auto"/>
          </w:tcPr>
          <w:p w14:paraId="6249D099" w14:textId="77777777" w:rsidR="00A26DE0" w:rsidRPr="00A26DE0" w:rsidRDefault="00A26DE0" w:rsidP="00A26DE0">
            <w:pPr>
              <w:spacing w:after="60"/>
              <w:jc w:val="center"/>
              <w:rPr>
                <w:iCs/>
                <w:sz w:val="20"/>
              </w:rPr>
            </w:pPr>
            <w:r w:rsidRPr="00A26DE0">
              <w:rPr>
                <w:iCs/>
                <w:sz w:val="20"/>
              </w:rPr>
              <w:t>$/MW per hour</w:t>
            </w:r>
          </w:p>
        </w:tc>
        <w:tc>
          <w:tcPr>
            <w:tcW w:w="3541" w:type="pct"/>
            <w:shd w:val="clear" w:color="auto" w:fill="auto"/>
          </w:tcPr>
          <w:p w14:paraId="44D456D2" w14:textId="77777777" w:rsidR="00A26DE0" w:rsidRPr="00A26DE0" w:rsidRDefault="00A26DE0" w:rsidP="00A26DE0">
            <w:pPr>
              <w:spacing w:after="60"/>
              <w:rPr>
                <w:iCs/>
                <w:sz w:val="20"/>
              </w:rPr>
            </w:pPr>
            <w:r w:rsidRPr="00A26DE0">
              <w:rPr>
                <w:i/>
                <w:iCs/>
                <w:sz w:val="20"/>
              </w:rPr>
              <w:t>Responsive Reserve Offer Price</w:t>
            </w:r>
            <w:r w:rsidRPr="00A26DE0">
              <w:rPr>
                <w:iCs/>
                <w:sz w:val="20"/>
              </w:rPr>
              <w:t xml:space="preserve">—The offer price for Resource </w:t>
            </w:r>
            <w:r w:rsidRPr="00A26DE0">
              <w:rPr>
                <w:i/>
                <w:iCs/>
                <w:sz w:val="20"/>
              </w:rPr>
              <w:t xml:space="preserve">r </w:t>
            </w:r>
            <w:r w:rsidRPr="00A26DE0">
              <w:rPr>
                <w:iCs/>
                <w:sz w:val="20"/>
              </w:rPr>
              <w:t xml:space="preserve">represented by QSE </w:t>
            </w:r>
            <w:r w:rsidRPr="00A26DE0">
              <w:rPr>
                <w:i/>
                <w:iCs/>
                <w:sz w:val="20"/>
              </w:rPr>
              <w:t>q,</w:t>
            </w:r>
            <w:r w:rsidRPr="00A26DE0">
              <w:rPr>
                <w:iCs/>
                <w:sz w:val="20"/>
              </w:rPr>
              <w:t xml:space="preserve"> for the impacted RRS Ancillary Service Offers.  Where for a Combined Cycle Train, the Resource </w:t>
            </w:r>
            <w:r w:rsidRPr="00A26DE0">
              <w:rPr>
                <w:i/>
                <w:iCs/>
                <w:sz w:val="20"/>
              </w:rPr>
              <w:t xml:space="preserve">r </w:t>
            </w:r>
            <w:r w:rsidRPr="00A26DE0">
              <w:rPr>
                <w:iCs/>
                <w:sz w:val="20"/>
              </w:rPr>
              <w:t>is a Combined Cycle Generation Resource within the Combined Cycle Train.</w:t>
            </w:r>
          </w:p>
        </w:tc>
      </w:tr>
      <w:tr w:rsidR="00434F7C" w:rsidRPr="00A26DE0" w14:paraId="05337631" w14:textId="77777777" w:rsidTr="00353B99">
        <w:trPr>
          <w:trHeight w:val="525"/>
        </w:trPr>
        <w:tc>
          <w:tcPr>
            <w:tcW w:w="1060" w:type="pct"/>
            <w:shd w:val="clear" w:color="auto" w:fill="auto"/>
          </w:tcPr>
          <w:p w14:paraId="5679653D" w14:textId="4DD6469D" w:rsidR="00434F7C" w:rsidRPr="00A26DE0" w:rsidRDefault="00434F7C" w:rsidP="00434F7C">
            <w:pPr>
              <w:spacing w:after="60"/>
              <w:rPr>
                <w:iCs/>
                <w:sz w:val="20"/>
              </w:rPr>
            </w:pPr>
            <w:r w:rsidRPr="00A26DE0">
              <w:rPr>
                <w:iCs/>
                <w:sz w:val="20"/>
              </w:rPr>
              <w:t>ECRSOPR</w:t>
            </w:r>
            <w:r w:rsidRPr="00A26DE0">
              <w:rPr>
                <w:i/>
                <w:iCs/>
                <w:sz w:val="20"/>
                <w:vertAlign w:val="subscript"/>
              </w:rPr>
              <w:t xml:space="preserve"> q,</w:t>
            </w:r>
            <w:r>
              <w:rPr>
                <w:i/>
                <w:iCs/>
                <w:sz w:val="20"/>
                <w:vertAlign w:val="subscript"/>
              </w:rPr>
              <w:t xml:space="preserve"> </w:t>
            </w:r>
            <w:r w:rsidRPr="00A26DE0">
              <w:rPr>
                <w:i/>
                <w:iCs/>
                <w:sz w:val="20"/>
                <w:vertAlign w:val="subscript"/>
              </w:rPr>
              <w:t>r,</w:t>
            </w:r>
            <w:r w:rsidRPr="00A26DE0">
              <w:rPr>
                <w:iCs/>
                <w:sz w:val="20"/>
                <w:vertAlign w:val="subscript"/>
              </w:rPr>
              <w:t xml:space="preserve"> </w:t>
            </w:r>
            <w:r w:rsidRPr="00A26DE0">
              <w:rPr>
                <w:i/>
                <w:iCs/>
                <w:sz w:val="20"/>
                <w:vertAlign w:val="subscript"/>
              </w:rPr>
              <w:t>DAM</w:t>
            </w:r>
          </w:p>
        </w:tc>
        <w:tc>
          <w:tcPr>
            <w:tcW w:w="399" w:type="pct"/>
            <w:shd w:val="clear" w:color="auto" w:fill="auto"/>
          </w:tcPr>
          <w:p w14:paraId="0A2DB2E6" w14:textId="305FDC96" w:rsidR="00434F7C" w:rsidRPr="00A26DE0" w:rsidRDefault="00434F7C" w:rsidP="00434F7C">
            <w:pPr>
              <w:spacing w:after="60"/>
              <w:jc w:val="center"/>
              <w:rPr>
                <w:iCs/>
                <w:sz w:val="20"/>
              </w:rPr>
            </w:pPr>
            <w:r w:rsidRPr="00A26DE0">
              <w:rPr>
                <w:iCs/>
                <w:sz w:val="20"/>
              </w:rPr>
              <w:t>$/MW per hour</w:t>
            </w:r>
          </w:p>
        </w:tc>
        <w:tc>
          <w:tcPr>
            <w:tcW w:w="3541" w:type="pct"/>
            <w:shd w:val="clear" w:color="auto" w:fill="auto"/>
          </w:tcPr>
          <w:p w14:paraId="1634DDF3" w14:textId="689E4161" w:rsidR="00434F7C" w:rsidRPr="00A26DE0" w:rsidRDefault="00434F7C" w:rsidP="00434F7C">
            <w:pPr>
              <w:spacing w:after="60"/>
              <w:rPr>
                <w:i/>
                <w:iCs/>
                <w:sz w:val="20"/>
              </w:rPr>
            </w:pPr>
            <w:r w:rsidRPr="00A26DE0">
              <w:rPr>
                <w:i/>
                <w:iCs/>
                <w:sz w:val="20"/>
              </w:rPr>
              <w:t>ERCOT Contingency Reserve Service Offer Price</w:t>
            </w:r>
            <w:r w:rsidRPr="00A26DE0">
              <w:rPr>
                <w:iCs/>
                <w:sz w:val="20"/>
              </w:rPr>
              <w:t xml:space="preserve">—The offer price for Resource </w:t>
            </w:r>
            <w:r w:rsidRPr="00A26DE0">
              <w:rPr>
                <w:i/>
                <w:iCs/>
                <w:sz w:val="20"/>
              </w:rPr>
              <w:t xml:space="preserve">r </w:t>
            </w:r>
            <w:r w:rsidRPr="00A26DE0">
              <w:rPr>
                <w:iCs/>
                <w:sz w:val="20"/>
              </w:rPr>
              <w:t xml:space="preserve">represented by QSE </w:t>
            </w:r>
            <w:r w:rsidRPr="00A26DE0">
              <w:rPr>
                <w:i/>
                <w:iCs/>
                <w:sz w:val="20"/>
              </w:rPr>
              <w:t>q,</w:t>
            </w:r>
            <w:r w:rsidRPr="00A26DE0">
              <w:rPr>
                <w:iCs/>
                <w:sz w:val="20"/>
              </w:rPr>
              <w:t xml:space="preserve"> for the impacted ECRS Ancillary Service Offers.  Where for a Combined Cycle Train, the Resource </w:t>
            </w:r>
            <w:r w:rsidRPr="00A26DE0">
              <w:rPr>
                <w:i/>
                <w:iCs/>
                <w:sz w:val="20"/>
              </w:rPr>
              <w:t xml:space="preserve">r </w:t>
            </w:r>
            <w:r w:rsidRPr="00A26DE0">
              <w:rPr>
                <w:iCs/>
                <w:sz w:val="20"/>
              </w:rPr>
              <w:t>is a Combined Cycle Generation Resource within the Combined Cycle Train.</w:t>
            </w:r>
          </w:p>
        </w:tc>
      </w:tr>
      <w:tr w:rsidR="00A26DE0" w:rsidRPr="00A26DE0" w14:paraId="66F11C5F" w14:textId="77777777" w:rsidTr="00353B99">
        <w:trPr>
          <w:trHeight w:val="525"/>
        </w:trPr>
        <w:tc>
          <w:tcPr>
            <w:tcW w:w="1060" w:type="pct"/>
            <w:shd w:val="clear" w:color="auto" w:fill="auto"/>
          </w:tcPr>
          <w:p w14:paraId="1D7AC09C" w14:textId="6E347356" w:rsidR="00A26DE0" w:rsidRPr="00A26DE0" w:rsidRDefault="00A26DE0" w:rsidP="00A26DE0">
            <w:pPr>
              <w:spacing w:after="60"/>
              <w:rPr>
                <w:iCs/>
                <w:sz w:val="20"/>
              </w:rPr>
            </w:pPr>
            <w:r w:rsidRPr="00A26DE0">
              <w:rPr>
                <w:iCs/>
                <w:sz w:val="20"/>
              </w:rPr>
              <w:t>NSOPR</w:t>
            </w:r>
            <w:r w:rsidRPr="00A26DE0">
              <w:rPr>
                <w:iCs/>
                <w:sz w:val="20"/>
                <w:vertAlign w:val="subscript"/>
              </w:rPr>
              <w:t xml:space="preserve"> </w:t>
            </w:r>
            <w:r w:rsidRPr="00A26DE0">
              <w:rPr>
                <w:i/>
                <w:iCs/>
                <w:sz w:val="20"/>
                <w:vertAlign w:val="subscript"/>
              </w:rPr>
              <w:t>q,</w:t>
            </w:r>
            <w:r>
              <w:rPr>
                <w:i/>
                <w:iCs/>
                <w:sz w:val="20"/>
                <w:vertAlign w:val="subscript"/>
              </w:rPr>
              <w:t xml:space="preserve"> </w:t>
            </w:r>
            <w:r w:rsidRPr="00A26DE0">
              <w:rPr>
                <w:i/>
                <w:iCs/>
                <w:sz w:val="20"/>
                <w:vertAlign w:val="subscript"/>
              </w:rPr>
              <w:t>r,</w:t>
            </w:r>
            <w:r>
              <w:rPr>
                <w:i/>
                <w:iCs/>
                <w:sz w:val="20"/>
                <w:vertAlign w:val="subscript"/>
              </w:rPr>
              <w:t xml:space="preserve"> </w:t>
            </w:r>
            <w:r w:rsidRPr="00A26DE0">
              <w:rPr>
                <w:i/>
                <w:iCs/>
                <w:sz w:val="20"/>
                <w:vertAlign w:val="subscript"/>
              </w:rPr>
              <w:t>DAM</w:t>
            </w:r>
          </w:p>
        </w:tc>
        <w:tc>
          <w:tcPr>
            <w:tcW w:w="399" w:type="pct"/>
            <w:shd w:val="clear" w:color="auto" w:fill="auto"/>
          </w:tcPr>
          <w:p w14:paraId="093BE217" w14:textId="77777777" w:rsidR="00A26DE0" w:rsidRPr="00A26DE0" w:rsidRDefault="00A26DE0" w:rsidP="00A26DE0">
            <w:pPr>
              <w:spacing w:after="60"/>
              <w:jc w:val="center"/>
              <w:rPr>
                <w:iCs/>
                <w:sz w:val="20"/>
              </w:rPr>
            </w:pPr>
            <w:r w:rsidRPr="00A26DE0">
              <w:rPr>
                <w:iCs/>
                <w:sz w:val="20"/>
              </w:rPr>
              <w:t>$/MW per hour</w:t>
            </w:r>
          </w:p>
        </w:tc>
        <w:tc>
          <w:tcPr>
            <w:tcW w:w="3541" w:type="pct"/>
            <w:shd w:val="clear" w:color="auto" w:fill="auto"/>
          </w:tcPr>
          <w:p w14:paraId="595D2F6C" w14:textId="77777777" w:rsidR="00A26DE0" w:rsidRPr="00A26DE0" w:rsidRDefault="00A26DE0" w:rsidP="00A26DE0">
            <w:pPr>
              <w:spacing w:after="60"/>
              <w:rPr>
                <w:iCs/>
                <w:sz w:val="20"/>
              </w:rPr>
            </w:pPr>
            <w:r w:rsidRPr="00A26DE0">
              <w:rPr>
                <w:i/>
                <w:iCs/>
                <w:sz w:val="20"/>
              </w:rPr>
              <w:t>Non-Spinning Reserve Offer Price</w:t>
            </w:r>
            <w:r w:rsidRPr="00A26DE0">
              <w:rPr>
                <w:iCs/>
                <w:sz w:val="20"/>
              </w:rPr>
              <w:t xml:space="preserve">—The offer price for Resource </w:t>
            </w:r>
            <w:r w:rsidRPr="00A26DE0">
              <w:rPr>
                <w:i/>
                <w:iCs/>
                <w:sz w:val="20"/>
              </w:rPr>
              <w:t xml:space="preserve">r </w:t>
            </w:r>
            <w:r w:rsidRPr="00A26DE0">
              <w:rPr>
                <w:iCs/>
                <w:sz w:val="20"/>
              </w:rPr>
              <w:t xml:space="preserve">represented by QSE </w:t>
            </w:r>
            <w:r w:rsidRPr="00A26DE0">
              <w:rPr>
                <w:i/>
                <w:iCs/>
                <w:sz w:val="20"/>
              </w:rPr>
              <w:t>q,</w:t>
            </w:r>
            <w:r w:rsidRPr="00A26DE0">
              <w:rPr>
                <w:iCs/>
                <w:sz w:val="20"/>
              </w:rPr>
              <w:t xml:space="preserve"> for the impacted Non-Spin Ancillary Service Offers.  Where for a Combined Cycle Train, the Resource </w:t>
            </w:r>
            <w:r w:rsidRPr="00A26DE0">
              <w:rPr>
                <w:i/>
                <w:iCs/>
                <w:sz w:val="20"/>
              </w:rPr>
              <w:t xml:space="preserve">r </w:t>
            </w:r>
            <w:r w:rsidRPr="00A26DE0">
              <w:rPr>
                <w:iCs/>
                <w:sz w:val="20"/>
              </w:rPr>
              <w:t>is a Combined Cycle Generation Resource within the Combined Cycle Train.</w:t>
            </w:r>
          </w:p>
        </w:tc>
      </w:tr>
      <w:tr w:rsidR="00A26DE0" w:rsidRPr="00A26DE0" w14:paraId="1BDB3CB0" w14:textId="77777777" w:rsidTr="00353B99">
        <w:trPr>
          <w:trHeight w:val="525"/>
        </w:trPr>
        <w:tc>
          <w:tcPr>
            <w:tcW w:w="1060" w:type="pct"/>
            <w:shd w:val="clear" w:color="auto" w:fill="auto"/>
          </w:tcPr>
          <w:p w14:paraId="4ADA560E" w14:textId="77777777" w:rsidR="00A26DE0" w:rsidRPr="00A26DE0" w:rsidRDefault="00A26DE0" w:rsidP="00A26DE0">
            <w:pPr>
              <w:spacing w:after="60"/>
              <w:rPr>
                <w:iCs/>
                <w:sz w:val="20"/>
              </w:rPr>
            </w:pPr>
            <w:r w:rsidRPr="00A26DE0">
              <w:rPr>
                <w:iCs/>
                <w:sz w:val="20"/>
              </w:rPr>
              <w:t xml:space="preserve">MCPCRU </w:t>
            </w:r>
            <w:r w:rsidRPr="00A26DE0">
              <w:rPr>
                <w:i/>
                <w:iCs/>
                <w:sz w:val="20"/>
                <w:vertAlign w:val="subscript"/>
              </w:rPr>
              <w:t>DAM</w:t>
            </w:r>
          </w:p>
        </w:tc>
        <w:tc>
          <w:tcPr>
            <w:tcW w:w="399" w:type="pct"/>
            <w:shd w:val="clear" w:color="auto" w:fill="auto"/>
          </w:tcPr>
          <w:p w14:paraId="3524465B" w14:textId="77777777" w:rsidR="00A26DE0" w:rsidRPr="00A26DE0" w:rsidRDefault="00A26DE0" w:rsidP="00A26DE0">
            <w:pPr>
              <w:spacing w:after="60"/>
              <w:jc w:val="center"/>
              <w:rPr>
                <w:iCs/>
                <w:sz w:val="20"/>
              </w:rPr>
            </w:pPr>
            <w:r w:rsidRPr="00A26DE0">
              <w:rPr>
                <w:iCs/>
                <w:sz w:val="20"/>
              </w:rPr>
              <w:t>$/MW per hour</w:t>
            </w:r>
          </w:p>
        </w:tc>
        <w:tc>
          <w:tcPr>
            <w:tcW w:w="3541" w:type="pct"/>
            <w:shd w:val="clear" w:color="auto" w:fill="auto"/>
          </w:tcPr>
          <w:p w14:paraId="4BABE0C8" w14:textId="77777777" w:rsidR="00A26DE0" w:rsidRPr="00A26DE0" w:rsidRDefault="00A26DE0" w:rsidP="00A26DE0">
            <w:pPr>
              <w:spacing w:after="60"/>
              <w:rPr>
                <w:iCs/>
                <w:sz w:val="20"/>
              </w:rPr>
            </w:pPr>
            <w:r w:rsidRPr="00A26DE0">
              <w:rPr>
                <w:i/>
                <w:iCs/>
                <w:sz w:val="20"/>
              </w:rPr>
              <w:t>Market Clearing Price for Capacity for Regulation Up in DAM</w:t>
            </w:r>
            <w:r w:rsidRPr="00A26DE0">
              <w:rPr>
                <w:iCs/>
                <w:sz w:val="20"/>
              </w:rPr>
              <w:t>—The DAM Market Clearing Price for Capacity (MCPC) for Reg-Up, for the hour.</w:t>
            </w:r>
          </w:p>
        </w:tc>
      </w:tr>
      <w:tr w:rsidR="00A26DE0" w:rsidRPr="00A26DE0" w14:paraId="0C6C0B91" w14:textId="77777777" w:rsidTr="00353B99">
        <w:trPr>
          <w:trHeight w:val="525"/>
        </w:trPr>
        <w:tc>
          <w:tcPr>
            <w:tcW w:w="1060" w:type="pct"/>
            <w:shd w:val="clear" w:color="auto" w:fill="auto"/>
          </w:tcPr>
          <w:p w14:paraId="44B3F238" w14:textId="77777777" w:rsidR="00A26DE0" w:rsidRPr="00A26DE0" w:rsidRDefault="00A26DE0" w:rsidP="00A26DE0">
            <w:pPr>
              <w:spacing w:after="60"/>
              <w:rPr>
                <w:iCs/>
                <w:sz w:val="20"/>
              </w:rPr>
            </w:pPr>
            <w:r w:rsidRPr="00A26DE0">
              <w:rPr>
                <w:iCs/>
                <w:sz w:val="20"/>
              </w:rPr>
              <w:t xml:space="preserve">MCPCRD </w:t>
            </w:r>
            <w:r w:rsidRPr="00A26DE0">
              <w:rPr>
                <w:i/>
                <w:iCs/>
                <w:sz w:val="20"/>
                <w:vertAlign w:val="subscript"/>
              </w:rPr>
              <w:t>DAM</w:t>
            </w:r>
          </w:p>
        </w:tc>
        <w:tc>
          <w:tcPr>
            <w:tcW w:w="399" w:type="pct"/>
            <w:shd w:val="clear" w:color="auto" w:fill="auto"/>
          </w:tcPr>
          <w:p w14:paraId="466036B8" w14:textId="77777777" w:rsidR="00A26DE0" w:rsidRPr="00A26DE0" w:rsidRDefault="00A26DE0" w:rsidP="00A26DE0">
            <w:pPr>
              <w:spacing w:after="60"/>
              <w:jc w:val="center"/>
              <w:rPr>
                <w:iCs/>
                <w:sz w:val="20"/>
              </w:rPr>
            </w:pPr>
            <w:r w:rsidRPr="00A26DE0">
              <w:rPr>
                <w:iCs/>
                <w:sz w:val="20"/>
              </w:rPr>
              <w:t>$/MW per hour</w:t>
            </w:r>
          </w:p>
        </w:tc>
        <w:tc>
          <w:tcPr>
            <w:tcW w:w="3541" w:type="pct"/>
            <w:shd w:val="clear" w:color="auto" w:fill="auto"/>
          </w:tcPr>
          <w:p w14:paraId="74200BA7" w14:textId="77777777" w:rsidR="00A26DE0" w:rsidRPr="00A26DE0" w:rsidRDefault="00A26DE0" w:rsidP="00A26DE0">
            <w:pPr>
              <w:spacing w:after="60"/>
              <w:rPr>
                <w:iCs/>
                <w:sz w:val="20"/>
              </w:rPr>
            </w:pPr>
            <w:r w:rsidRPr="00A26DE0">
              <w:rPr>
                <w:i/>
                <w:iCs/>
                <w:sz w:val="20"/>
              </w:rPr>
              <w:t>Market Clearing Price for Capacity for Regulation Down in DAM</w:t>
            </w:r>
            <w:r w:rsidRPr="00A26DE0">
              <w:rPr>
                <w:iCs/>
                <w:sz w:val="20"/>
              </w:rPr>
              <w:t>—The DAM MCPC for Reg-Down, for the hour.</w:t>
            </w:r>
          </w:p>
        </w:tc>
      </w:tr>
      <w:tr w:rsidR="00A26DE0" w:rsidRPr="00A26DE0" w14:paraId="494E1301" w14:textId="77777777" w:rsidTr="00353B99">
        <w:trPr>
          <w:trHeight w:val="525"/>
        </w:trPr>
        <w:tc>
          <w:tcPr>
            <w:tcW w:w="1060" w:type="pct"/>
            <w:shd w:val="clear" w:color="auto" w:fill="auto"/>
          </w:tcPr>
          <w:p w14:paraId="280483EE" w14:textId="77777777" w:rsidR="00A26DE0" w:rsidRPr="00A26DE0" w:rsidRDefault="00A26DE0" w:rsidP="00A26DE0">
            <w:pPr>
              <w:spacing w:after="60"/>
              <w:rPr>
                <w:iCs/>
                <w:sz w:val="20"/>
              </w:rPr>
            </w:pPr>
            <w:r w:rsidRPr="00A26DE0">
              <w:rPr>
                <w:iCs/>
                <w:sz w:val="20"/>
              </w:rPr>
              <w:t xml:space="preserve">MCPCRR </w:t>
            </w:r>
            <w:r w:rsidRPr="00A26DE0">
              <w:rPr>
                <w:i/>
                <w:iCs/>
                <w:sz w:val="20"/>
                <w:vertAlign w:val="subscript"/>
              </w:rPr>
              <w:t>DAM</w:t>
            </w:r>
          </w:p>
        </w:tc>
        <w:tc>
          <w:tcPr>
            <w:tcW w:w="399" w:type="pct"/>
            <w:shd w:val="clear" w:color="auto" w:fill="auto"/>
          </w:tcPr>
          <w:p w14:paraId="50461B86" w14:textId="77777777" w:rsidR="00A26DE0" w:rsidRPr="00A26DE0" w:rsidRDefault="00A26DE0" w:rsidP="00A26DE0">
            <w:pPr>
              <w:spacing w:after="60"/>
              <w:jc w:val="center"/>
              <w:rPr>
                <w:iCs/>
                <w:sz w:val="20"/>
              </w:rPr>
            </w:pPr>
            <w:r w:rsidRPr="00A26DE0">
              <w:rPr>
                <w:iCs/>
                <w:sz w:val="20"/>
              </w:rPr>
              <w:t>$/MW per hour</w:t>
            </w:r>
          </w:p>
        </w:tc>
        <w:tc>
          <w:tcPr>
            <w:tcW w:w="3541" w:type="pct"/>
            <w:shd w:val="clear" w:color="auto" w:fill="auto"/>
          </w:tcPr>
          <w:p w14:paraId="2C9ACA42" w14:textId="77777777" w:rsidR="00A26DE0" w:rsidRPr="00A26DE0" w:rsidRDefault="00A26DE0" w:rsidP="00A26DE0">
            <w:pPr>
              <w:spacing w:after="60"/>
              <w:rPr>
                <w:iCs/>
                <w:sz w:val="20"/>
              </w:rPr>
            </w:pPr>
            <w:r w:rsidRPr="00A26DE0">
              <w:rPr>
                <w:i/>
                <w:iCs/>
                <w:sz w:val="20"/>
              </w:rPr>
              <w:t>Market Clearing Price for Capacity for Responsive Reserve in DAM</w:t>
            </w:r>
            <w:r w:rsidRPr="00A26DE0">
              <w:rPr>
                <w:iCs/>
                <w:sz w:val="20"/>
              </w:rPr>
              <w:t>—The DAM MCPC for RRS, for the hour.</w:t>
            </w:r>
          </w:p>
        </w:tc>
      </w:tr>
      <w:tr w:rsidR="00A26DE0" w:rsidRPr="00A26DE0" w14:paraId="7519833A" w14:textId="77777777" w:rsidTr="00353B99">
        <w:trPr>
          <w:trHeight w:val="525"/>
        </w:trPr>
        <w:tc>
          <w:tcPr>
            <w:tcW w:w="1060" w:type="pct"/>
            <w:shd w:val="clear" w:color="auto" w:fill="auto"/>
          </w:tcPr>
          <w:p w14:paraId="533BDCB6" w14:textId="77777777" w:rsidR="00A26DE0" w:rsidRPr="00A26DE0" w:rsidRDefault="00A26DE0" w:rsidP="00A26DE0">
            <w:pPr>
              <w:spacing w:after="60"/>
              <w:rPr>
                <w:iCs/>
                <w:sz w:val="20"/>
              </w:rPr>
            </w:pPr>
            <w:r w:rsidRPr="00A26DE0">
              <w:rPr>
                <w:iCs/>
                <w:sz w:val="20"/>
              </w:rPr>
              <w:t xml:space="preserve">MCPCNS </w:t>
            </w:r>
            <w:r w:rsidRPr="00A26DE0">
              <w:rPr>
                <w:i/>
                <w:iCs/>
                <w:sz w:val="20"/>
                <w:vertAlign w:val="subscript"/>
              </w:rPr>
              <w:t>DAM</w:t>
            </w:r>
          </w:p>
        </w:tc>
        <w:tc>
          <w:tcPr>
            <w:tcW w:w="399" w:type="pct"/>
            <w:shd w:val="clear" w:color="auto" w:fill="auto"/>
          </w:tcPr>
          <w:p w14:paraId="3A8F19AB" w14:textId="77777777" w:rsidR="00A26DE0" w:rsidRPr="00A26DE0" w:rsidRDefault="00A26DE0" w:rsidP="00A26DE0">
            <w:pPr>
              <w:spacing w:after="60"/>
              <w:jc w:val="center"/>
              <w:rPr>
                <w:iCs/>
                <w:sz w:val="20"/>
              </w:rPr>
            </w:pPr>
            <w:r w:rsidRPr="00A26DE0">
              <w:rPr>
                <w:iCs/>
                <w:sz w:val="20"/>
              </w:rPr>
              <w:t>$/MW per hour</w:t>
            </w:r>
          </w:p>
        </w:tc>
        <w:tc>
          <w:tcPr>
            <w:tcW w:w="3541" w:type="pct"/>
            <w:shd w:val="clear" w:color="auto" w:fill="auto"/>
          </w:tcPr>
          <w:p w14:paraId="1ED89003" w14:textId="77777777" w:rsidR="00A26DE0" w:rsidRPr="00A26DE0" w:rsidRDefault="00A26DE0" w:rsidP="00A26DE0">
            <w:pPr>
              <w:spacing w:after="60"/>
              <w:rPr>
                <w:iCs/>
                <w:sz w:val="20"/>
              </w:rPr>
            </w:pPr>
            <w:r w:rsidRPr="00A26DE0">
              <w:rPr>
                <w:i/>
                <w:iCs/>
                <w:sz w:val="20"/>
              </w:rPr>
              <w:t>Market Clearing Price for Capacity for Non-Spinning Reserve in DAM</w:t>
            </w:r>
            <w:r w:rsidRPr="00A26DE0">
              <w:rPr>
                <w:iCs/>
                <w:sz w:val="20"/>
              </w:rPr>
              <w:t>—The DAM MCPC for Non-Spin, for the hour.</w:t>
            </w:r>
          </w:p>
        </w:tc>
      </w:tr>
      <w:tr w:rsidR="00434F7C" w:rsidRPr="00A26DE0" w14:paraId="6433FB4A" w14:textId="77777777" w:rsidTr="00353B99">
        <w:trPr>
          <w:trHeight w:val="525"/>
        </w:trPr>
        <w:tc>
          <w:tcPr>
            <w:tcW w:w="1060" w:type="pct"/>
            <w:shd w:val="clear" w:color="auto" w:fill="auto"/>
          </w:tcPr>
          <w:p w14:paraId="5116AB4A" w14:textId="69CB64C5" w:rsidR="00434F7C" w:rsidRPr="00A26DE0" w:rsidRDefault="00434F7C" w:rsidP="00434F7C">
            <w:pPr>
              <w:spacing w:after="60"/>
              <w:rPr>
                <w:iCs/>
                <w:sz w:val="20"/>
              </w:rPr>
            </w:pPr>
            <w:r w:rsidRPr="00A26DE0">
              <w:rPr>
                <w:sz w:val="20"/>
              </w:rPr>
              <w:t xml:space="preserve">MCPCECR </w:t>
            </w:r>
            <w:r w:rsidRPr="00A26DE0">
              <w:rPr>
                <w:i/>
                <w:sz w:val="20"/>
                <w:vertAlign w:val="subscript"/>
              </w:rPr>
              <w:t>DAM</w:t>
            </w:r>
          </w:p>
        </w:tc>
        <w:tc>
          <w:tcPr>
            <w:tcW w:w="399" w:type="pct"/>
            <w:shd w:val="clear" w:color="auto" w:fill="auto"/>
          </w:tcPr>
          <w:p w14:paraId="6DB62646" w14:textId="3AE5BFB2" w:rsidR="00434F7C" w:rsidRPr="00A26DE0" w:rsidRDefault="00434F7C" w:rsidP="00434F7C">
            <w:pPr>
              <w:spacing w:after="60"/>
              <w:jc w:val="center"/>
              <w:rPr>
                <w:iCs/>
                <w:sz w:val="20"/>
              </w:rPr>
            </w:pPr>
            <w:r w:rsidRPr="00A26DE0">
              <w:rPr>
                <w:iCs/>
                <w:sz w:val="20"/>
              </w:rPr>
              <w:t>$/MW per hour</w:t>
            </w:r>
          </w:p>
        </w:tc>
        <w:tc>
          <w:tcPr>
            <w:tcW w:w="3541" w:type="pct"/>
            <w:shd w:val="clear" w:color="auto" w:fill="auto"/>
          </w:tcPr>
          <w:p w14:paraId="7FE736F3" w14:textId="1AF7D93F" w:rsidR="00434F7C" w:rsidRPr="00A26DE0" w:rsidRDefault="00434F7C" w:rsidP="00434F7C">
            <w:pPr>
              <w:spacing w:after="60"/>
              <w:rPr>
                <w:i/>
                <w:iCs/>
                <w:sz w:val="20"/>
              </w:rPr>
            </w:pPr>
            <w:r w:rsidRPr="00A26DE0">
              <w:rPr>
                <w:i/>
                <w:sz w:val="20"/>
              </w:rPr>
              <w:t>Market Clearing Price for Capacity for ERCOT Contingency Reserve Service in DAM</w:t>
            </w:r>
            <w:r w:rsidRPr="00A26DE0">
              <w:rPr>
                <w:sz w:val="20"/>
              </w:rPr>
              <w:t>—The DAM MCPC for ECRS, for the hour.</w:t>
            </w:r>
          </w:p>
        </w:tc>
      </w:tr>
    </w:tbl>
    <w:p w14:paraId="1D96CE67" w14:textId="77777777" w:rsidR="00A26DE0" w:rsidRPr="00A26DE0" w:rsidRDefault="00A26DE0" w:rsidP="00A26DE0">
      <w:pPr>
        <w:rPr>
          <w:vanish/>
          <w:szCs w:val="24"/>
        </w:rPr>
      </w:pPr>
    </w:p>
    <w:tbl>
      <w:tblPr>
        <w:tblW w:w="5439"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160"/>
        <w:gridCol w:w="810"/>
        <w:gridCol w:w="7201"/>
      </w:tblGrid>
      <w:tr w:rsidR="00A26DE0" w:rsidRPr="00A26DE0" w14:paraId="0E2C2159" w14:textId="77777777" w:rsidTr="00353B99">
        <w:trPr>
          <w:cantSplit/>
          <w:trHeight w:val="309"/>
        </w:trPr>
        <w:tc>
          <w:tcPr>
            <w:tcW w:w="1062" w:type="pct"/>
            <w:tcBorders>
              <w:top w:val="single" w:sz="6" w:space="0" w:color="auto"/>
              <w:left w:val="single" w:sz="4" w:space="0" w:color="auto"/>
              <w:bottom w:val="single" w:sz="6" w:space="0" w:color="auto"/>
              <w:right w:val="single" w:sz="6" w:space="0" w:color="auto"/>
            </w:tcBorders>
          </w:tcPr>
          <w:p w14:paraId="3D790B1A" w14:textId="77777777" w:rsidR="00A26DE0" w:rsidRPr="00A26DE0" w:rsidRDefault="00A26DE0" w:rsidP="00A26DE0">
            <w:pPr>
              <w:spacing w:after="60"/>
              <w:rPr>
                <w:sz w:val="20"/>
              </w:rPr>
            </w:pPr>
            <w:r w:rsidRPr="00A26DE0">
              <w:rPr>
                <w:sz w:val="20"/>
              </w:rPr>
              <w:t xml:space="preserve">DAOBLPR </w:t>
            </w:r>
            <w:r w:rsidRPr="00A26DE0">
              <w:rPr>
                <w:sz w:val="20"/>
                <w:vertAlign w:val="subscript"/>
              </w:rPr>
              <w:t>(</w:t>
            </w:r>
            <w:r w:rsidRPr="00A26DE0">
              <w:rPr>
                <w:i/>
                <w:sz w:val="20"/>
                <w:vertAlign w:val="subscript"/>
              </w:rPr>
              <w:t>j, k)</w:t>
            </w:r>
          </w:p>
        </w:tc>
        <w:tc>
          <w:tcPr>
            <w:tcW w:w="398" w:type="pct"/>
            <w:tcBorders>
              <w:top w:val="single" w:sz="6" w:space="0" w:color="auto"/>
              <w:left w:val="single" w:sz="6" w:space="0" w:color="auto"/>
              <w:bottom w:val="single" w:sz="6" w:space="0" w:color="auto"/>
              <w:right w:val="single" w:sz="6" w:space="0" w:color="auto"/>
            </w:tcBorders>
          </w:tcPr>
          <w:p w14:paraId="67ABBB6F" w14:textId="77777777" w:rsidR="00A26DE0" w:rsidRPr="00A26DE0" w:rsidRDefault="00A26DE0" w:rsidP="00A26DE0">
            <w:pPr>
              <w:spacing w:after="60"/>
              <w:jc w:val="center"/>
              <w:rPr>
                <w:sz w:val="20"/>
              </w:rPr>
            </w:pPr>
            <w:r w:rsidRPr="00A26DE0">
              <w:rPr>
                <w:bCs/>
                <w:iCs/>
                <w:sz w:val="20"/>
              </w:rPr>
              <w:t>$/MWh</w:t>
            </w:r>
          </w:p>
        </w:tc>
        <w:tc>
          <w:tcPr>
            <w:tcW w:w="3540" w:type="pct"/>
            <w:tcBorders>
              <w:top w:val="single" w:sz="6" w:space="0" w:color="auto"/>
              <w:left w:val="single" w:sz="6" w:space="0" w:color="auto"/>
              <w:bottom w:val="single" w:sz="6" w:space="0" w:color="auto"/>
              <w:right w:val="single" w:sz="4" w:space="0" w:color="auto"/>
            </w:tcBorders>
          </w:tcPr>
          <w:p w14:paraId="42428D1B" w14:textId="77777777" w:rsidR="00A26DE0" w:rsidRPr="00A26DE0" w:rsidRDefault="00A26DE0" w:rsidP="00A26DE0">
            <w:pPr>
              <w:spacing w:after="60"/>
              <w:rPr>
                <w:i/>
                <w:sz w:val="20"/>
              </w:rPr>
            </w:pPr>
            <w:r w:rsidRPr="00A26DE0">
              <w:rPr>
                <w:bCs/>
                <w:i/>
                <w:iCs/>
                <w:sz w:val="20"/>
              </w:rPr>
              <w:t xml:space="preserve">Day-Ahead Obligation Price per pair of </w:t>
            </w:r>
            <w:proofErr w:type="gramStart"/>
            <w:r w:rsidRPr="00A26DE0">
              <w:rPr>
                <w:bCs/>
                <w:i/>
                <w:iCs/>
                <w:sz w:val="20"/>
              </w:rPr>
              <w:t>source</w:t>
            </w:r>
            <w:proofErr w:type="gramEnd"/>
            <w:r w:rsidRPr="00A26DE0">
              <w:rPr>
                <w:bCs/>
                <w:i/>
                <w:iCs/>
                <w:sz w:val="20"/>
              </w:rPr>
              <w:t xml:space="preserve"> and sink</w:t>
            </w:r>
            <w:r w:rsidRPr="00A26DE0">
              <w:rPr>
                <w:bCs/>
                <w:iCs/>
                <w:sz w:val="20"/>
              </w:rPr>
              <w:sym w:font="Symbol" w:char="F0BE"/>
            </w:r>
            <w:r w:rsidRPr="00A26DE0">
              <w:rPr>
                <w:bCs/>
                <w:iCs/>
                <w:sz w:val="20"/>
              </w:rPr>
              <w:t xml:space="preserve">The DAM clearing price of a PTP Obligation bid with the source </w:t>
            </w:r>
            <w:r w:rsidRPr="00A26DE0">
              <w:rPr>
                <w:bCs/>
                <w:i/>
                <w:iCs/>
                <w:sz w:val="20"/>
              </w:rPr>
              <w:t>j,</w:t>
            </w:r>
            <w:r w:rsidRPr="00A26DE0">
              <w:rPr>
                <w:bCs/>
                <w:iCs/>
                <w:sz w:val="20"/>
              </w:rPr>
              <w:t xml:space="preserve"> and the sink </w:t>
            </w:r>
            <w:r w:rsidRPr="00A26DE0">
              <w:rPr>
                <w:bCs/>
                <w:i/>
                <w:iCs/>
                <w:sz w:val="20"/>
              </w:rPr>
              <w:t>k</w:t>
            </w:r>
            <w:r w:rsidRPr="00A26DE0">
              <w:rPr>
                <w:bCs/>
                <w:iCs/>
                <w:sz w:val="20"/>
              </w:rPr>
              <w:t xml:space="preserve">, for the </w:t>
            </w:r>
            <w:r w:rsidRPr="00A26DE0">
              <w:rPr>
                <w:iCs/>
                <w:sz w:val="20"/>
              </w:rPr>
              <w:t>hour</w:t>
            </w:r>
            <w:r w:rsidRPr="00A26DE0">
              <w:rPr>
                <w:bCs/>
                <w:iCs/>
                <w:sz w:val="20"/>
              </w:rPr>
              <w:t>.</w:t>
            </w:r>
          </w:p>
        </w:tc>
      </w:tr>
      <w:tr w:rsidR="00A26DE0" w:rsidRPr="00A26DE0" w14:paraId="190C6782" w14:textId="77777777" w:rsidTr="00353B99">
        <w:trPr>
          <w:cantSplit/>
          <w:trHeight w:val="309"/>
        </w:trPr>
        <w:tc>
          <w:tcPr>
            <w:tcW w:w="1062" w:type="pct"/>
            <w:tcBorders>
              <w:top w:val="single" w:sz="6" w:space="0" w:color="auto"/>
              <w:left w:val="single" w:sz="4" w:space="0" w:color="auto"/>
              <w:bottom w:val="single" w:sz="6" w:space="0" w:color="auto"/>
              <w:right w:val="single" w:sz="6" w:space="0" w:color="auto"/>
            </w:tcBorders>
          </w:tcPr>
          <w:p w14:paraId="4E081352" w14:textId="77777777" w:rsidR="00A26DE0" w:rsidRPr="00A26DE0" w:rsidRDefault="00A26DE0" w:rsidP="00A26DE0">
            <w:pPr>
              <w:spacing w:after="60"/>
              <w:rPr>
                <w:sz w:val="20"/>
              </w:rPr>
            </w:pPr>
            <w:r w:rsidRPr="00A26DE0">
              <w:rPr>
                <w:iCs/>
                <w:sz w:val="20"/>
                <w:lang w:val="sv-SE"/>
              </w:rPr>
              <w:t xml:space="preserve">RTOBLPR </w:t>
            </w:r>
            <w:r w:rsidRPr="00A26DE0">
              <w:rPr>
                <w:i/>
                <w:iCs/>
                <w:sz w:val="20"/>
                <w:vertAlign w:val="subscript"/>
                <w:lang w:val="sv-SE"/>
              </w:rPr>
              <w:t>(j, k)</w:t>
            </w:r>
            <w:r w:rsidRPr="00A26DE0">
              <w:rPr>
                <w:iCs/>
                <w:sz w:val="20"/>
                <w:lang w:val="sv-SE"/>
              </w:rPr>
              <w:t xml:space="preserve">   </w:t>
            </w:r>
          </w:p>
        </w:tc>
        <w:tc>
          <w:tcPr>
            <w:tcW w:w="398" w:type="pct"/>
            <w:tcBorders>
              <w:top w:val="single" w:sz="6" w:space="0" w:color="auto"/>
              <w:left w:val="single" w:sz="6" w:space="0" w:color="auto"/>
              <w:bottom w:val="single" w:sz="6" w:space="0" w:color="auto"/>
              <w:right w:val="single" w:sz="6" w:space="0" w:color="auto"/>
            </w:tcBorders>
          </w:tcPr>
          <w:p w14:paraId="26DA0F47" w14:textId="77777777" w:rsidR="00A26DE0" w:rsidRPr="00A26DE0" w:rsidRDefault="00A26DE0" w:rsidP="00A26DE0">
            <w:pPr>
              <w:spacing w:after="60"/>
              <w:jc w:val="center"/>
              <w:rPr>
                <w:bCs/>
                <w:iCs/>
                <w:sz w:val="20"/>
              </w:rPr>
            </w:pPr>
            <w:r w:rsidRPr="00A26DE0">
              <w:rPr>
                <w:bCs/>
                <w:iCs/>
                <w:sz w:val="20"/>
              </w:rPr>
              <w:t>$/MWh</w:t>
            </w:r>
          </w:p>
        </w:tc>
        <w:tc>
          <w:tcPr>
            <w:tcW w:w="3540" w:type="pct"/>
            <w:tcBorders>
              <w:top w:val="single" w:sz="6" w:space="0" w:color="auto"/>
              <w:left w:val="single" w:sz="6" w:space="0" w:color="auto"/>
              <w:bottom w:val="single" w:sz="6" w:space="0" w:color="auto"/>
              <w:right w:val="single" w:sz="4" w:space="0" w:color="auto"/>
            </w:tcBorders>
          </w:tcPr>
          <w:p w14:paraId="1688CC25" w14:textId="77777777" w:rsidR="00A26DE0" w:rsidRPr="00A26DE0" w:rsidRDefault="00A26DE0" w:rsidP="00A26DE0">
            <w:pPr>
              <w:spacing w:after="60"/>
              <w:rPr>
                <w:bCs/>
                <w:i/>
                <w:iCs/>
                <w:sz w:val="20"/>
              </w:rPr>
            </w:pPr>
            <w:r w:rsidRPr="00A26DE0">
              <w:rPr>
                <w:bCs/>
                <w:i/>
                <w:iCs/>
                <w:sz w:val="20"/>
              </w:rPr>
              <w:t xml:space="preserve">Real-Time Obligation Price per pair of </w:t>
            </w:r>
            <w:proofErr w:type="gramStart"/>
            <w:r w:rsidRPr="00A26DE0">
              <w:rPr>
                <w:bCs/>
                <w:i/>
                <w:iCs/>
                <w:sz w:val="20"/>
              </w:rPr>
              <w:t>source</w:t>
            </w:r>
            <w:proofErr w:type="gramEnd"/>
            <w:r w:rsidRPr="00A26DE0">
              <w:rPr>
                <w:bCs/>
                <w:i/>
                <w:iCs/>
                <w:sz w:val="20"/>
              </w:rPr>
              <w:t xml:space="preserve"> and sink</w:t>
            </w:r>
            <w:r w:rsidRPr="00A26DE0">
              <w:rPr>
                <w:bCs/>
                <w:iCs/>
                <w:sz w:val="20"/>
              </w:rPr>
              <w:sym w:font="Symbol" w:char="F0BE"/>
            </w:r>
            <w:r w:rsidRPr="00A26DE0">
              <w:rPr>
                <w:bCs/>
                <w:iCs/>
                <w:sz w:val="20"/>
              </w:rPr>
              <w:t xml:space="preserve">The Real-Time calculated price of a PTP Obligation bid with the source </w:t>
            </w:r>
            <w:r w:rsidRPr="00A26DE0">
              <w:rPr>
                <w:bCs/>
                <w:i/>
                <w:iCs/>
                <w:sz w:val="20"/>
              </w:rPr>
              <w:t>j,</w:t>
            </w:r>
            <w:r w:rsidRPr="00A26DE0">
              <w:rPr>
                <w:bCs/>
                <w:iCs/>
                <w:sz w:val="20"/>
              </w:rPr>
              <w:t xml:space="preserve"> and the sink </w:t>
            </w:r>
            <w:r w:rsidRPr="00A26DE0">
              <w:rPr>
                <w:bCs/>
                <w:i/>
                <w:iCs/>
                <w:sz w:val="20"/>
              </w:rPr>
              <w:t>k</w:t>
            </w:r>
            <w:r w:rsidRPr="00A26DE0">
              <w:rPr>
                <w:bCs/>
                <w:iCs/>
                <w:sz w:val="20"/>
              </w:rPr>
              <w:t xml:space="preserve">, for the </w:t>
            </w:r>
            <w:r w:rsidRPr="00A26DE0">
              <w:rPr>
                <w:iCs/>
                <w:sz w:val="20"/>
              </w:rPr>
              <w:t>15 minute period</w:t>
            </w:r>
            <w:r w:rsidRPr="00A26DE0">
              <w:rPr>
                <w:bCs/>
                <w:iCs/>
                <w:sz w:val="20"/>
              </w:rPr>
              <w:t>.</w:t>
            </w:r>
          </w:p>
        </w:tc>
      </w:tr>
      <w:tr w:rsidR="00A26DE0" w:rsidRPr="00A26DE0" w14:paraId="406C6B8B" w14:textId="77777777" w:rsidTr="00353B99">
        <w:trPr>
          <w:cantSplit/>
        </w:trPr>
        <w:tc>
          <w:tcPr>
            <w:tcW w:w="1062" w:type="pct"/>
            <w:tcBorders>
              <w:top w:val="single" w:sz="6" w:space="0" w:color="auto"/>
              <w:left w:val="single" w:sz="4" w:space="0" w:color="auto"/>
              <w:bottom w:val="single" w:sz="6" w:space="0" w:color="auto"/>
              <w:right w:val="single" w:sz="6" w:space="0" w:color="auto"/>
            </w:tcBorders>
          </w:tcPr>
          <w:p w14:paraId="0BEBA552" w14:textId="77777777" w:rsidR="00A26DE0" w:rsidRPr="00A26DE0" w:rsidRDefault="00A26DE0" w:rsidP="00A26DE0">
            <w:pPr>
              <w:spacing w:after="60"/>
              <w:rPr>
                <w:i/>
                <w:iCs/>
                <w:sz w:val="20"/>
              </w:rPr>
            </w:pPr>
            <w:r w:rsidRPr="00A26DE0">
              <w:rPr>
                <w:i/>
                <w:iCs/>
                <w:sz w:val="20"/>
              </w:rPr>
              <w:t>q</w:t>
            </w:r>
          </w:p>
        </w:tc>
        <w:tc>
          <w:tcPr>
            <w:tcW w:w="398" w:type="pct"/>
            <w:tcBorders>
              <w:top w:val="single" w:sz="6" w:space="0" w:color="auto"/>
              <w:left w:val="single" w:sz="6" w:space="0" w:color="auto"/>
              <w:bottom w:val="single" w:sz="6" w:space="0" w:color="auto"/>
              <w:right w:val="single" w:sz="6" w:space="0" w:color="auto"/>
            </w:tcBorders>
          </w:tcPr>
          <w:p w14:paraId="6A31EC04" w14:textId="77777777" w:rsidR="00A26DE0" w:rsidRPr="00A26DE0" w:rsidRDefault="00A26DE0" w:rsidP="00A26DE0">
            <w:pPr>
              <w:spacing w:after="60"/>
              <w:jc w:val="center"/>
              <w:rPr>
                <w:iCs/>
                <w:sz w:val="20"/>
              </w:rPr>
            </w:pPr>
            <w:r w:rsidRPr="00A26DE0">
              <w:rPr>
                <w:iCs/>
                <w:sz w:val="20"/>
              </w:rPr>
              <w:t>none</w:t>
            </w:r>
          </w:p>
        </w:tc>
        <w:tc>
          <w:tcPr>
            <w:tcW w:w="3540" w:type="pct"/>
            <w:tcBorders>
              <w:top w:val="single" w:sz="6" w:space="0" w:color="auto"/>
              <w:left w:val="single" w:sz="6" w:space="0" w:color="auto"/>
              <w:bottom w:val="single" w:sz="6" w:space="0" w:color="auto"/>
              <w:right w:val="single" w:sz="4" w:space="0" w:color="auto"/>
            </w:tcBorders>
          </w:tcPr>
          <w:p w14:paraId="18383C42" w14:textId="77777777" w:rsidR="00A26DE0" w:rsidRPr="00A26DE0" w:rsidRDefault="00A26DE0" w:rsidP="00A26DE0">
            <w:pPr>
              <w:spacing w:after="60"/>
              <w:rPr>
                <w:iCs/>
                <w:sz w:val="20"/>
              </w:rPr>
            </w:pPr>
            <w:r w:rsidRPr="00A26DE0">
              <w:rPr>
                <w:iCs/>
                <w:sz w:val="20"/>
              </w:rPr>
              <w:t>A QSE.</w:t>
            </w:r>
          </w:p>
        </w:tc>
      </w:tr>
      <w:tr w:rsidR="00A26DE0" w:rsidRPr="00A26DE0" w14:paraId="29300841" w14:textId="77777777" w:rsidTr="00353B99">
        <w:trPr>
          <w:cantSplit/>
        </w:trPr>
        <w:tc>
          <w:tcPr>
            <w:tcW w:w="1062" w:type="pct"/>
            <w:tcBorders>
              <w:top w:val="single" w:sz="6" w:space="0" w:color="auto"/>
              <w:left w:val="single" w:sz="4" w:space="0" w:color="auto"/>
              <w:bottom w:val="single" w:sz="6" w:space="0" w:color="auto"/>
              <w:right w:val="single" w:sz="6" w:space="0" w:color="auto"/>
            </w:tcBorders>
          </w:tcPr>
          <w:p w14:paraId="1A669CD9" w14:textId="77777777" w:rsidR="00A26DE0" w:rsidRPr="00A26DE0" w:rsidRDefault="00A26DE0" w:rsidP="00A26DE0">
            <w:pPr>
              <w:spacing w:after="60"/>
              <w:rPr>
                <w:i/>
                <w:iCs/>
                <w:sz w:val="20"/>
              </w:rPr>
            </w:pPr>
            <w:r w:rsidRPr="00A26DE0">
              <w:rPr>
                <w:i/>
                <w:iCs/>
                <w:sz w:val="20"/>
              </w:rPr>
              <w:t>r</w:t>
            </w:r>
          </w:p>
        </w:tc>
        <w:tc>
          <w:tcPr>
            <w:tcW w:w="398" w:type="pct"/>
            <w:tcBorders>
              <w:top w:val="single" w:sz="6" w:space="0" w:color="auto"/>
              <w:left w:val="single" w:sz="6" w:space="0" w:color="auto"/>
              <w:bottom w:val="single" w:sz="6" w:space="0" w:color="auto"/>
              <w:right w:val="single" w:sz="6" w:space="0" w:color="auto"/>
            </w:tcBorders>
          </w:tcPr>
          <w:p w14:paraId="6D9BF324" w14:textId="77777777" w:rsidR="00A26DE0" w:rsidRPr="00A26DE0" w:rsidRDefault="00A26DE0" w:rsidP="00A26DE0">
            <w:pPr>
              <w:spacing w:after="60"/>
              <w:jc w:val="center"/>
              <w:rPr>
                <w:iCs/>
                <w:sz w:val="20"/>
              </w:rPr>
            </w:pPr>
            <w:r w:rsidRPr="00A26DE0">
              <w:rPr>
                <w:iCs/>
                <w:sz w:val="20"/>
              </w:rPr>
              <w:t>none</w:t>
            </w:r>
          </w:p>
        </w:tc>
        <w:tc>
          <w:tcPr>
            <w:tcW w:w="3540" w:type="pct"/>
            <w:tcBorders>
              <w:top w:val="single" w:sz="6" w:space="0" w:color="auto"/>
              <w:left w:val="single" w:sz="6" w:space="0" w:color="auto"/>
              <w:bottom w:val="single" w:sz="6" w:space="0" w:color="auto"/>
              <w:right w:val="single" w:sz="4" w:space="0" w:color="auto"/>
            </w:tcBorders>
          </w:tcPr>
          <w:p w14:paraId="12CBA2C5" w14:textId="77777777" w:rsidR="00A26DE0" w:rsidRPr="00A26DE0" w:rsidRDefault="00A26DE0" w:rsidP="00A26DE0">
            <w:pPr>
              <w:spacing w:after="60"/>
              <w:rPr>
                <w:iCs/>
                <w:sz w:val="20"/>
              </w:rPr>
            </w:pPr>
            <w:r w:rsidRPr="00A26DE0">
              <w:rPr>
                <w:iCs/>
                <w:sz w:val="20"/>
              </w:rPr>
              <w:t>A Resource.</w:t>
            </w:r>
          </w:p>
        </w:tc>
      </w:tr>
      <w:tr w:rsidR="00A26DE0" w:rsidRPr="00A26DE0" w14:paraId="4CA4228B" w14:textId="77777777" w:rsidTr="00353B99">
        <w:trPr>
          <w:cantSplit/>
        </w:trPr>
        <w:tc>
          <w:tcPr>
            <w:tcW w:w="1062" w:type="pct"/>
            <w:tcBorders>
              <w:top w:val="single" w:sz="6" w:space="0" w:color="auto"/>
              <w:left w:val="single" w:sz="4" w:space="0" w:color="auto"/>
              <w:bottom w:val="single" w:sz="6" w:space="0" w:color="auto"/>
              <w:right w:val="single" w:sz="6" w:space="0" w:color="auto"/>
            </w:tcBorders>
          </w:tcPr>
          <w:p w14:paraId="32B9714B" w14:textId="77777777" w:rsidR="00A26DE0" w:rsidRPr="00A26DE0" w:rsidRDefault="00A26DE0" w:rsidP="00A26DE0">
            <w:pPr>
              <w:spacing w:after="60"/>
              <w:rPr>
                <w:i/>
                <w:iCs/>
                <w:sz w:val="20"/>
              </w:rPr>
            </w:pPr>
            <w:r w:rsidRPr="00A26DE0">
              <w:rPr>
                <w:i/>
                <w:iCs/>
                <w:sz w:val="20"/>
              </w:rPr>
              <w:t>i</w:t>
            </w:r>
          </w:p>
        </w:tc>
        <w:tc>
          <w:tcPr>
            <w:tcW w:w="398" w:type="pct"/>
            <w:tcBorders>
              <w:top w:val="single" w:sz="6" w:space="0" w:color="auto"/>
              <w:left w:val="single" w:sz="6" w:space="0" w:color="auto"/>
              <w:bottom w:val="single" w:sz="6" w:space="0" w:color="auto"/>
              <w:right w:val="single" w:sz="6" w:space="0" w:color="auto"/>
            </w:tcBorders>
          </w:tcPr>
          <w:p w14:paraId="0F3C0F42" w14:textId="77777777" w:rsidR="00A26DE0" w:rsidRPr="00A26DE0" w:rsidRDefault="00A26DE0" w:rsidP="00A26DE0">
            <w:pPr>
              <w:spacing w:after="60"/>
              <w:jc w:val="center"/>
              <w:rPr>
                <w:iCs/>
                <w:sz w:val="20"/>
              </w:rPr>
            </w:pPr>
            <w:r w:rsidRPr="00A26DE0">
              <w:rPr>
                <w:iCs/>
                <w:sz w:val="20"/>
              </w:rPr>
              <w:t>none</w:t>
            </w:r>
          </w:p>
        </w:tc>
        <w:tc>
          <w:tcPr>
            <w:tcW w:w="3540" w:type="pct"/>
            <w:tcBorders>
              <w:top w:val="single" w:sz="6" w:space="0" w:color="auto"/>
              <w:left w:val="single" w:sz="6" w:space="0" w:color="auto"/>
              <w:bottom w:val="single" w:sz="6" w:space="0" w:color="auto"/>
              <w:right w:val="single" w:sz="4" w:space="0" w:color="auto"/>
            </w:tcBorders>
          </w:tcPr>
          <w:p w14:paraId="0E22159F" w14:textId="77777777" w:rsidR="00A26DE0" w:rsidRPr="00A26DE0" w:rsidRDefault="00A26DE0" w:rsidP="00A26DE0">
            <w:pPr>
              <w:spacing w:after="60"/>
              <w:rPr>
                <w:iCs/>
                <w:sz w:val="20"/>
              </w:rPr>
            </w:pPr>
            <w:r w:rsidRPr="00A26DE0">
              <w:rPr>
                <w:iCs/>
                <w:sz w:val="20"/>
              </w:rPr>
              <w:t>A 15-minute Settlement Interval.</w:t>
            </w:r>
          </w:p>
        </w:tc>
      </w:tr>
      <w:tr w:rsidR="00A26DE0" w:rsidRPr="00A26DE0" w14:paraId="24E9C375" w14:textId="77777777" w:rsidTr="00353B99">
        <w:trPr>
          <w:cantSplit/>
        </w:trPr>
        <w:tc>
          <w:tcPr>
            <w:tcW w:w="1062" w:type="pct"/>
            <w:tcBorders>
              <w:top w:val="single" w:sz="6" w:space="0" w:color="auto"/>
              <w:left w:val="single" w:sz="4" w:space="0" w:color="auto"/>
              <w:bottom w:val="single" w:sz="6" w:space="0" w:color="auto"/>
              <w:right w:val="single" w:sz="6" w:space="0" w:color="auto"/>
            </w:tcBorders>
            <w:hideMark/>
          </w:tcPr>
          <w:p w14:paraId="4FCE07A9" w14:textId="77777777" w:rsidR="00A26DE0" w:rsidRPr="00A26DE0" w:rsidRDefault="00A26DE0" w:rsidP="00A26DE0">
            <w:pPr>
              <w:spacing w:after="60"/>
              <w:rPr>
                <w:i/>
                <w:iCs/>
                <w:sz w:val="20"/>
              </w:rPr>
            </w:pPr>
            <w:r w:rsidRPr="00A26DE0">
              <w:rPr>
                <w:i/>
                <w:iCs/>
                <w:sz w:val="20"/>
              </w:rPr>
              <w:t>k</w:t>
            </w:r>
          </w:p>
        </w:tc>
        <w:tc>
          <w:tcPr>
            <w:tcW w:w="398" w:type="pct"/>
            <w:tcBorders>
              <w:top w:val="single" w:sz="6" w:space="0" w:color="auto"/>
              <w:left w:val="single" w:sz="6" w:space="0" w:color="auto"/>
              <w:bottom w:val="single" w:sz="6" w:space="0" w:color="auto"/>
              <w:right w:val="single" w:sz="6" w:space="0" w:color="auto"/>
            </w:tcBorders>
            <w:hideMark/>
          </w:tcPr>
          <w:p w14:paraId="2E08BE14" w14:textId="77777777" w:rsidR="00A26DE0" w:rsidRPr="00A26DE0" w:rsidRDefault="00A26DE0" w:rsidP="00A26DE0">
            <w:pPr>
              <w:spacing w:after="60"/>
              <w:jc w:val="center"/>
              <w:rPr>
                <w:iCs/>
                <w:sz w:val="20"/>
              </w:rPr>
            </w:pPr>
            <w:r w:rsidRPr="00A26DE0">
              <w:rPr>
                <w:iCs/>
                <w:sz w:val="20"/>
              </w:rPr>
              <w:t>none</w:t>
            </w:r>
          </w:p>
        </w:tc>
        <w:tc>
          <w:tcPr>
            <w:tcW w:w="3540" w:type="pct"/>
            <w:tcBorders>
              <w:top w:val="single" w:sz="6" w:space="0" w:color="auto"/>
              <w:left w:val="single" w:sz="6" w:space="0" w:color="auto"/>
              <w:bottom w:val="single" w:sz="6" w:space="0" w:color="auto"/>
              <w:right w:val="single" w:sz="4" w:space="0" w:color="auto"/>
            </w:tcBorders>
          </w:tcPr>
          <w:p w14:paraId="2070DD62" w14:textId="77777777" w:rsidR="00A26DE0" w:rsidRPr="00A26DE0" w:rsidRDefault="00A26DE0" w:rsidP="00A26DE0">
            <w:pPr>
              <w:spacing w:after="60"/>
              <w:rPr>
                <w:iCs/>
                <w:sz w:val="20"/>
              </w:rPr>
            </w:pPr>
            <w:r w:rsidRPr="00A26DE0">
              <w:rPr>
                <w:iCs/>
                <w:sz w:val="20"/>
              </w:rPr>
              <w:t>A sink Settlement Point.</w:t>
            </w:r>
          </w:p>
        </w:tc>
      </w:tr>
      <w:tr w:rsidR="00A26DE0" w:rsidRPr="00A26DE0" w14:paraId="47DC5228" w14:textId="77777777" w:rsidTr="00353B99">
        <w:trPr>
          <w:cantSplit/>
        </w:trPr>
        <w:tc>
          <w:tcPr>
            <w:tcW w:w="1062" w:type="pct"/>
            <w:tcBorders>
              <w:top w:val="single" w:sz="6" w:space="0" w:color="auto"/>
              <w:left w:val="single" w:sz="4" w:space="0" w:color="auto"/>
              <w:bottom w:val="single" w:sz="6" w:space="0" w:color="auto"/>
              <w:right w:val="single" w:sz="6" w:space="0" w:color="auto"/>
            </w:tcBorders>
            <w:hideMark/>
          </w:tcPr>
          <w:p w14:paraId="36FC2497" w14:textId="77777777" w:rsidR="00A26DE0" w:rsidRPr="00A26DE0" w:rsidRDefault="00A26DE0" w:rsidP="00A26DE0">
            <w:pPr>
              <w:spacing w:after="60"/>
              <w:rPr>
                <w:i/>
                <w:iCs/>
                <w:sz w:val="20"/>
              </w:rPr>
            </w:pPr>
            <w:r w:rsidRPr="00A26DE0">
              <w:rPr>
                <w:i/>
                <w:iCs/>
                <w:sz w:val="20"/>
              </w:rPr>
              <w:t>p</w:t>
            </w:r>
          </w:p>
        </w:tc>
        <w:tc>
          <w:tcPr>
            <w:tcW w:w="398" w:type="pct"/>
            <w:tcBorders>
              <w:top w:val="single" w:sz="6" w:space="0" w:color="auto"/>
              <w:left w:val="single" w:sz="6" w:space="0" w:color="auto"/>
              <w:bottom w:val="single" w:sz="6" w:space="0" w:color="auto"/>
              <w:right w:val="single" w:sz="6" w:space="0" w:color="auto"/>
            </w:tcBorders>
            <w:hideMark/>
          </w:tcPr>
          <w:p w14:paraId="02147A78" w14:textId="77777777" w:rsidR="00A26DE0" w:rsidRPr="00A26DE0" w:rsidRDefault="00A26DE0" w:rsidP="00A26DE0">
            <w:pPr>
              <w:spacing w:after="60"/>
              <w:jc w:val="center"/>
              <w:rPr>
                <w:iCs/>
                <w:sz w:val="20"/>
              </w:rPr>
            </w:pPr>
            <w:r w:rsidRPr="00A26DE0">
              <w:rPr>
                <w:iCs/>
                <w:sz w:val="20"/>
              </w:rPr>
              <w:t>none</w:t>
            </w:r>
          </w:p>
        </w:tc>
        <w:tc>
          <w:tcPr>
            <w:tcW w:w="3540" w:type="pct"/>
            <w:tcBorders>
              <w:top w:val="single" w:sz="6" w:space="0" w:color="auto"/>
              <w:left w:val="single" w:sz="6" w:space="0" w:color="auto"/>
              <w:bottom w:val="single" w:sz="6" w:space="0" w:color="auto"/>
              <w:right w:val="single" w:sz="4" w:space="0" w:color="auto"/>
            </w:tcBorders>
            <w:hideMark/>
          </w:tcPr>
          <w:p w14:paraId="66AAF740" w14:textId="77777777" w:rsidR="00A26DE0" w:rsidRPr="00A26DE0" w:rsidRDefault="00A26DE0" w:rsidP="00A26DE0">
            <w:pPr>
              <w:spacing w:after="60"/>
              <w:rPr>
                <w:iCs/>
                <w:sz w:val="20"/>
              </w:rPr>
            </w:pPr>
            <w:r w:rsidRPr="00A26DE0">
              <w:rPr>
                <w:iCs/>
                <w:sz w:val="20"/>
              </w:rPr>
              <w:t>A Settlement Point.</w:t>
            </w:r>
          </w:p>
        </w:tc>
      </w:tr>
      <w:tr w:rsidR="00A26DE0" w:rsidRPr="00A26DE0" w14:paraId="32E11C40" w14:textId="77777777" w:rsidTr="00353B99">
        <w:trPr>
          <w:cantSplit/>
        </w:trPr>
        <w:tc>
          <w:tcPr>
            <w:tcW w:w="1062" w:type="pct"/>
            <w:tcBorders>
              <w:top w:val="single" w:sz="6" w:space="0" w:color="auto"/>
              <w:left w:val="single" w:sz="4" w:space="0" w:color="auto"/>
              <w:bottom w:val="single" w:sz="6" w:space="0" w:color="auto"/>
              <w:right w:val="single" w:sz="6" w:space="0" w:color="auto"/>
            </w:tcBorders>
          </w:tcPr>
          <w:p w14:paraId="6A489555" w14:textId="77777777" w:rsidR="00A26DE0" w:rsidRPr="00A26DE0" w:rsidRDefault="00A26DE0" w:rsidP="00A26DE0">
            <w:pPr>
              <w:spacing w:after="60"/>
              <w:rPr>
                <w:i/>
                <w:iCs/>
                <w:sz w:val="20"/>
              </w:rPr>
            </w:pPr>
            <w:r w:rsidRPr="00A26DE0">
              <w:rPr>
                <w:i/>
                <w:iCs/>
                <w:sz w:val="20"/>
              </w:rPr>
              <w:t>j</w:t>
            </w:r>
          </w:p>
        </w:tc>
        <w:tc>
          <w:tcPr>
            <w:tcW w:w="398" w:type="pct"/>
            <w:tcBorders>
              <w:top w:val="single" w:sz="6" w:space="0" w:color="auto"/>
              <w:left w:val="single" w:sz="6" w:space="0" w:color="auto"/>
              <w:bottom w:val="single" w:sz="6" w:space="0" w:color="auto"/>
              <w:right w:val="single" w:sz="6" w:space="0" w:color="auto"/>
            </w:tcBorders>
          </w:tcPr>
          <w:p w14:paraId="7D95BEAF" w14:textId="77777777" w:rsidR="00A26DE0" w:rsidRPr="00A26DE0" w:rsidRDefault="00A26DE0" w:rsidP="00A26DE0">
            <w:pPr>
              <w:spacing w:after="60"/>
              <w:jc w:val="center"/>
              <w:rPr>
                <w:iCs/>
                <w:sz w:val="20"/>
              </w:rPr>
            </w:pPr>
            <w:r w:rsidRPr="00A26DE0">
              <w:rPr>
                <w:iCs/>
                <w:sz w:val="20"/>
              </w:rPr>
              <w:t>none</w:t>
            </w:r>
          </w:p>
        </w:tc>
        <w:tc>
          <w:tcPr>
            <w:tcW w:w="3540" w:type="pct"/>
            <w:tcBorders>
              <w:top w:val="single" w:sz="6" w:space="0" w:color="auto"/>
              <w:left w:val="single" w:sz="6" w:space="0" w:color="auto"/>
              <w:bottom w:val="single" w:sz="6" w:space="0" w:color="auto"/>
              <w:right w:val="single" w:sz="4" w:space="0" w:color="auto"/>
            </w:tcBorders>
          </w:tcPr>
          <w:p w14:paraId="74C1337C" w14:textId="77777777" w:rsidR="00A26DE0" w:rsidRPr="00A26DE0" w:rsidRDefault="00A26DE0" w:rsidP="00A26DE0">
            <w:pPr>
              <w:spacing w:after="60"/>
              <w:rPr>
                <w:iCs/>
                <w:sz w:val="20"/>
              </w:rPr>
            </w:pPr>
            <w:r w:rsidRPr="00A26DE0">
              <w:rPr>
                <w:iCs/>
                <w:sz w:val="20"/>
              </w:rPr>
              <w:t>A source Settlement Point.</w:t>
            </w:r>
          </w:p>
        </w:tc>
      </w:tr>
    </w:tbl>
    <w:p w14:paraId="6ED26A12" w14:textId="77777777" w:rsidR="002F5868" w:rsidRDefault="00DD1AC6" w:rsidP="006A5EF0">
      <w:pPr>
        <w:pStyle w:val="H2"/>
        <w:spacing w:before="480"/>
      </w:pPr>
      <w:bookmarkStart w:id="469" w:name="_Toc80175311"/>
      <w:r>
        <w:t>9.15</w:t>
      </w:r>
      <w:r>
        <w:tab/>
        <w:t>Settlement Charges</w:t>
      </w:r>
      <w:bookmarkEnd w:id="464"/>
      <w:bookmarkEnd w:id="465"/>
      <w:bookmarkEnd w:id="466"/>
      <w:bookmarkEnd w:id="467"/>
      <w:bookmarkEnd w:id="468"/>
      <w:bookmarkEnd w:id="469"/>
    </w:p>
    <w:p w14:paraId="193C34E5" w14:textId="77777777" w:rsidR="002F5868" w:rsidRDefault="00A0123C" w:rsidP="00660ED3">
      <w:pPr>
        <w:pStyle w:val="BodyTextNumbered"/>
      </w:pPr>
      <w:r>
        <w:rPr>
          <w:iCs/>
        </w:rPr>
        <w:t>(1)</w:t>
      </w:r>
      <w:r>
        <w:rPr>
          <w:iCs/>
        </w:rPr>
        <w:tab/>
      </w:r>
      <w:r w:rsidR="00DD1AC6">
        <w:t xml:space="preserve">The calculations to be used for Settlement charges are contained in Section 4, Day-Ahead Operations, Section 5, Transmission Security Analysis and Reliability Unit Commitment, </w:t>
      </w:r>
      <w:r w:rsidR="00DD1AC6">
        <w:lastRenderedPageBreak/>
        <w:t xml:space="preserve">Section 6, Adjustment Period and Real-Time Operations, Section 7, Congestion Revenue Rights, and Section 9, Settlement and Billing.  </w:t>
      </w:r>
    </w:p>
    <w:p w14:paraId="35C5EE83" w14:textId="77777777" w:rsidR="002F5868" w:rsidRPr="008910B8" w:rsidRDefault="00DD1AC6">
      <w:pPr>
        <w:pStyle w:val="H3"/>
        <w:tabs>
          <w:tab w:val="center" w:pos="4680"/>
        </w:tabs>
        <w:rPr>
          <w:b/>
          <w:i/>
        </w:rPr>
      </w:pPr>
      <w:bookmarkStart w:id="470" w:name="_Toc309731100"/>
      <w:bookmarkStart w:id="471" w:name="_Toc405814076"/>
      <w:bookmarkStart w:id="472" w:name="_Toc422207967"/>
      <w:bookmarkStart w:id="473" w:name="_Toc438044878"/>
      <w:bookmarkStart w:id="474" w:name="_Toc447622661"/>
      <w:bookmarkStart w:id="475" w:name="_Toc80175312"/>
      <w:r w:rsidRPr="008910B8">
        <w:rPr>
          <w:b/>
          <w:i/>
        </w:rPr>
        <w:t>9.15.1</w:t>
      </w:r>
      <w:r w:rsidRPr="008910B8">
        <w:rPr>
          <w:b/>
          <w:i/>
        </w:rPr>
        <w:tab/>
        <w:t>Charge Type Matrix</w:t>
      </w:r>
      <w:bookmarkEnd w:id="470"/>
      <w:bookmarkEnd w:id="471"/>
      <w:bookmarkEnd w:id="472"/>
      <w:bookmarkEnd w:id="473"/>
      <w:bookmarkEnd w:id="474"/>
      <w:bookmarkEnd w:id="475"/>
      <w:r w:rsidRPr="008910B8">
        <w:rPr>
          <w:b/>
          <w:i/>
        </w:rPr>
        <w:tab/>
      </w:r>
    </w:p>
    <w:p w14:paraId="055BEFB6" w14:textId="1D18171C" w:rsidR="002F5868" w:rsidRDefault="00A0123C" w:rsidP="00660ED3">
      <w:pPr>
        <w:pStyle w:val="BodyTextNumbered"/>
      </w:pPr>
      <w:r>
        <w:rPr>
          <w:iCs/>
        </w:rPr>
        <w:t>(1)</w:t>
      </w:r>
      <w:r>
        <w:rPr>
          <w:iCs/>
        </w:rPr>
        <w:tab/>
      </w:r>
      <w:r w:rsidR="00DD1AC6">
        <w:t xml:space="preserve">ERCOT shall post a Charge Type Matrix on the </w:t>
      </w:r>
      <w:r w:rsidR="000A050F">
        <w:rPr>
          <w:iCs/>
        </w:rPr>
        <w:t>ERCOT website</w:t>
      </w:r>
      <w:r w:rsidR="00DD1AC6">
        <w:t xml:space="preserve"> that summarizes each Charge Type by variable name used in the Protocols, description, and Protocol section number reference.  ERCOT post changes to this Charge Type </w:t>
      </w:r>
      <w:r w:rsidR="00A46174">
        <w:t>M</w:t>
      </w:r>
      <w:r w:rsidR="00DD1AC6">
        <w:t xml:space="preserve">atrix at least ten days before implementation of change.  </w:t>
      </w:r>
    </w:p>
    <w:p w14:paraId="3307BD9C" w14:textId="77777777" w:rsidR="002F5868" w:rsidRDefault="00DD1AC6">
      <w:pPr>
        <w:pStyle w:val="H2"/>
        <w:tabs>
          <w:tab w:val="center" w:pos="4680"/>
        </w:tabs>
      </w:pPr>
      <w:bookmarkStart w:id="476" w:name="_Toc309731101"/>
      <w:bookmarkStart w:id="477" w:name="_Toc405814077"/>
      <w:bookmarkStart w:id="478" w:name="_Toc422207968"/>
      <w:bookmarkStart w:id="479" w:name="_Toc438044879"/>
      <w:bookmarkStart w:id="480" w:name="_Toc447622662"/>
      <w:bookmarkStart w:id="481" w:name="_Toc80175313"/>
      <w:r>
        <w:t>9.16</w:t>
      </w:r>
      <w:r>
        <w:tab/>
      </w:r>
      <w:r w:rsidR="00681A15" w:rsidRPr="00681A15">
        <w:t>ERCOT System Administration</w:t>
      </w:r>
      <w:r>
        <w:t xml:space="preserve"> </w:t>
      </w:r>
      <w:r w:rsidR="00681A15">
        <w:rPr>
          <w:lang w:val="en-US"/>
        </w:rPr>
        <w:t xml:space="preserve">and User </w:t>
      </w:r>
      <w:r>
        <w:t>Fees</w:t>
      </w:r>
      <w:bookmarkEnd w:id="476"/>
      <w:bookmarkEnd w:id="477"/>
      <w:bookmarkEnd w:id="478"/>
      <w:bookmarkEnd w:id="479"/>
      <w:bookmarkEnd w:id="480"/>
      <w:bookmarkEnd w:id="481"/>
      <w:r>
        <w:tab/>
      </w:r>
    </w:p>
    <w:p w14:paraId="4B01CEC1" w14:textId="77777777" w:rsidR="002F5868" w:rsidRPr="008910B8" w:rsidRDefault="00DD1AC6">
      <w:pPr>
        <w:pStyle w:val="H3"/>
        <w:rPr>
          <w:b/>
          <w:i/>
        </w:rPr>
      </w:pPr>
      <w:bookmarkStart w:id="482" w:name="_Toc309731102"/>
      <w:bookmarkStart w:id="483" w:name="_Toc405814078"/>
      <w:bookmarkStart w:id="484" w:name="_Toc422207969"/>
      <w:bookmarkStart w:id="485" w:name="_Toc438044880"/>
      <w:bookmarkStart w:id="486" w:name="_Toc447622663"/>
      <w:bookmarkStart w:id="487" w:name="_Toc80175314"/>
      <w:r w:rsidRPr="008910B8">
        <w:rPr>
          <w:b/>
          <w:i/>
        </w:rPr>
        <w:t>9.16.1</w:t>
      </w:r>
      <w:r w:rsidRPr="008910B8">
        <w:rPr>
          <w:b/>
          <w:i/>
        </w:rPr>
        <w:tab/>
        <w:t xml:space="preserve">ERCOT System Administration </w:t>
      </w:r>
      <w:bookmarkEnd w:id="482"/>
      <w:r w:rsidR="00681A15">
        <w:rPr>
          <w:b/>
          <w:i/>
        </w:rPr>
        <w:t>Fee</w:t>
      </w:r>
      <w:bookmarkEnd w:id="483"/>
      <w:bookmarkEnd w:id="484"/>
      <w:bookmarkEnd w:id="485"/>
      <w:bookmarkEnd w:id="486"/>
      <w:bookmarkEnd w:id="487"/>
    </w:p>
    <w:p w14:paraId="1F65AE16" w14:textId="77777777" w:rsidR="00681A15" w:rsidRDefault="00681A15" w:rsidP="00681A15">
      <w:pPr>
        <w:pStyle w:val="BodyTextNumbered"/>
      </w:pPr>
      <w:r>
        <w:t>(1)</w:t>
      </w:r>
      <w:r>
        <w:tab/>
        <w:t>The Public Uti</w:t>
      </w:r>
      <w:r w:rsidR="00505105">
        <w:t>l</w:t>
      </w:r>
      <w:r>
        <w:t>ity Commission of Texas (PUCT) has authorized ERCOT to charge the ERCOT System Administration fee to fund ERCOT’s budget.  ERCOT converts the fee into a charge to each Qualified Scheduling Entity (QSE) using the formula set forth in paragraph (3) below.</w:t>
      </w:r>
    </w:p>
    <w:p w14:paraId="1AD45205" w14:textId="3E315AB3" w:rsidR="00681A15" w:rsidRDefault="00681A15" w:rsidP="00681A15">
      <w:pPr>
        <w:pStyle w:val="BodyTextNumbered"/>
      </w:pPr>
      <w:r>
        <w:t>(2)</w:t>
      </w:r>
      <w:r>
        <w:tab/>
        <w:t xml:space="preserve">ERCOT shall post the ERCOT System Administration fee on the </w:t>
      </w:r>
      <w:r w:rsidR="004B2A63">
        <w:rPr>
          <w:iCs/>
        </w:rPr>
        <w:t>ERCOT website</w:t>
      </w:r>
      <w:r>
        <w:t>.  Within two Business Days following PUCT approval of</w:t>
      </w:r>
      <w:r w:rsidRPr="003E1211">
        <w:t xml:space="preserve"> </w:t>
      </w:r>
      <w:r>
        <w:t xml:space="preserve">a change in the ERCOT System Administration fee, ERCOT shall post the changed fee and effective date on the </w:t>
      </w:r>
      <w:r w:rsidR="004B2A63">
        <w:rPr>
          <w:iCs/>
        </w:rPr>
        <w:t>ERCOT website</w:t>
      </w:r>
      <w:r>
        <w:t>.</w:t>
      </w:r>
    </w:p>
    <w:p w14:paraId="5E5B3CFE" w14:textId="77777777" w:rsidR="002F5868" w:rsidRDefault="00681A15" w:rsidP="00681A15">
      <w:pPr>
        <w:pStyle w:val="List"/>
        <w:ind w:left="720"/>
      </w:pPr>
      <w:r>
        <w:t>(3)</w:t>
      </w:r>
      <w:r>
        <w:tab/>
      </w:r>
      <w:r w:rsidR="00DD1AC6">
        <w:t xml:space="preserve">Each QSE shall pay </w:t>
      </w:r>
      <w:r>
        <w:t>the</w:t>
      </w:r>
      <w:r w:rsidR="00DD1AC6">
        <w:t xml:space="preserve"> ERCOT System Administration </w:t>
      </w:r>
      <w:r>
        <w:t>fee</w:t>
      </w:r>
      <w:r w:rsidR="00DD1AC6">
        <w:t xml:space="preserve">.  The ERCOT System Administration </w:t>
      </w:r>
      <w:r>
        <w:t>fee</w:t>
      </w:r>
      <w:r w:rsidR="00DD1AC6">
        <w:t xml:space="preserve"> is for each 15-minute Settlement Interval for each QSE.</w:t>
      </w:r>
    </w:p>
    <w:p w14:paraId="6D3FB86F" w14:textId="77777777" w:rsidR="002F5868" w:rsidRPr="006A6713" w:rsidRDefault="00DD1AC6" w:rsidP="00D465F5">
      <w:pPr>
        <w:pStyle w:val="FormulaBold"/>
        <w:rPr>
          <w:lang w:val="en-US"/>
        </w:rPr>
      </w:pPr>
      <w:r w:rsidRPr="00214538">
        <w:t>ESACAMT</w:t>
      </w:r>
      <w:r w:rsidRPr="00214538">
        <w:rPr>
          <w:i/>
          <w:vertAlign w:val="subscript"/>
        </w:rPr>
        <w:t xml:space="preserve"> q</w:t>
      </w:r>
      <w:r w:rsidRPr="00214538">
        <w:tab/>
        <w:t>=</w:t>
      </w:r>
      <w:r w:rsidRPr="00214538">
        <w:tab/>
      </w:r>
      <w:r w:rsidRPr="00214538">
        <w:tab/>
        <w:t xml:space="preserve">LAFF * </w:t>
      </w:r>
      <w:r w:rsidR="006A6713" w:rsidRPr="006A6713">
        <w:rPr>
          <w:szCs w:val="24"/>
        </w:rPr>
        <w:t>max(0,</w:t>
      </w:r>
      <w:r w:rsidR="002F5868" w:rsidRPr="000035E6">
        <w:rPr>
          <w:position w:val="-22"/>
        </w:rPr>
        <w:object w:dxaOrig="220" w:dyaOrig="460" w14:anchorId="152A5E27">
          <v:shape id="_x0000_i1030" type="#_x0000_t75" style="width:14.4pt;height:21.6pt" o:ole="">
            <v:imagedata r:id="rId24" o:title=""/>
          </v:shape>
          <o:OLEObject Type="Embed" ProgID="Equation.3" ShapeID="_x0000_i1030" DrawAspect="Content" ObjectID="_1775282806" r:id="rId25"/>
        </w:object>
      </w:r>
      <w:r w:rsidRPr="00CD010C">
        <w:t>RTAML</w:t>
      </w:r>
      <w:r w:rsidRPr="00CD010C">
        <w:rPr>
          <w:i/>
          <w:vertAlign w:val="subscript"/>
        </w:rPr>
        <w:t xml:space="preserve"> q, p</w:t>
      </w:r>
      <w:r w:rsidR="006A6713">
        <w:rPr>
          <w:szCs w:val="24"/>
          <w:lang w:val="en-US"/>
        </w:rPr>
        <w:t>)</w:t>
      </w:r>
    </w:p>
    <w:p w14:paraId="40936433" w14:textId="77777777" w:rsidR="002F5868" w:rsidRDefault="00DD1AC6" w:rsidP="000035E6">
      <w:pPr>
        <w:pStyle w:val="BodyText"/>
        <w:spacing w:after="0"/>
      </w:pPr>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8"/>
        <w:gridCol w:w="851"/>
        <w:gridCol w:w="6861"/>
      </w:tblGrid>
      <w:tr w:rsidR="002F5868" w14:paraId="37794428" w14:textId="77777777">
        <w:trPr>
          <w:tblHeader/>
        </w:trPr>
        <w:tc>
          <w:tcPr>
            <w:tcW w:w="876" w:type="pct"/>
          </w:tcPr>
          <w:p w14:paraId="7177C553" w14:textId="77777777" w:rsidR="002F5868" w:rsidRDefault="00DD1AC6">
            <w:pPr>
              <w:pStyle w:val="TableHead"/>
            </w:pPr>
            <w:r>
              <w:t>Variable</w:t>
            </w:r>
          </w:p>
        </w:tc>
        <w:tc>
          <w:tcPr>
            <w:tcW w:w="455" w:type="pct"/>
          </w:tcPr>
          <w:p w14:paraId="1ADA0853" w14:textId="77777777" w:rsidR="002F5868" w:rsidRDefault="00DD1AC6">
            <w:pPr>
              <w:pStyle w:val="TableHead"/>
            </w:pPr>
            <w:r>
              <w:t>Unit</w:t>
            </w:r>
          </w:p>
        </w:tc>
        <w:tc>
          <w:tcPr>
            <w:tcW w:w="3669" w:type="pct"/>
          </w:tcPr>
          <w:p w14:paraId="397E25B4" w14:textId="77777777" w:rsidR="002F5868" w:rsidRDefault="00DD1AC6">
            <w:pPr>
              <w:pStyle w:val="TableHead"/>
            </w:pPr>
            <w:r>
              <w:t>Definition</w:t>
            </w:r>
          </w:p>
        </w:tc>
      </w:tr>
      <w:tr w:rsidR="002F5868" w14:paraId="5B07E87F" w14:textId="77777777">
        <w:tc>
          <w:tcPr>
            <w:tcW w:w="876" w:type="pct"/>
          </w:tcPr>
          <w:p w14:paraId="42387D3C" w14:textId="77777777" w:rsidR="002F5868" w:rsidRDefault="00DD1AC6">
            <w:pPr>
              <w:pStyle w:val="TableBody"/>
            </w:pPr>
            <w:r>
              <w:t xml:space="preserve">ESACAMT </w:t>
            </w:r>
            <w:r>
              <w:rPr>
                <w:i/>
                <w:vertAlign w:val="subscript"/>
              </w:rPr>
              <w:t>q</w:t>
            </w:r>
          </w:p>
        </w:tc>
        <w:tc>
          <w:tcPr>
            <w:tcW w:w="455" w:type="pct"/>
          </w:tcPr>
          <w:p w14:paraId="0C294450" w14:textId="77777777" w:rsidR="002F5868" w:rsidRPr="000035E6" w:rsidRDefault="00DD1AC6">
            <w:pPr>
              <w:pStyle w:val="TableBody"/>
            </w:pPr>
            <w:r w:rsidRPr="000035E6">
              <w:t>$</w:t>
            </w:r>
          </w:p>
        </w:tc>
        <w:tc>
          <w:tcPr>
            <w:tcW w:w="3669" w:type="pct"/>
          </w:tcPr>
          <w:p w14:paraId="262E588D" w14:textId="77777777" w:rsidR="002F5868" w:rsidRDefault="00DD1AC6" w:rsidP="00505105">
            <w:pPr>
              <w:pStyle w:val="TableBody"/>
            </w:pPr>
            <w:r w:rsidRPr="000035E6">
              <w:rPr>
                <w:i/>
              </w:rPr>
              <w:t xml:space="preserve">ERCOT System Administration </w:t>
            </w:r>
            <w:r w:rsidR="00505105" w:rsidRPr="000035E6">
              <w:rPr>
                <w:i/>
              </w:rPr>
              <w:t>Fee</w:t>
            </w:r>
            <w:r>
              <w:t xml:space="preserve">—The ERCOT System Administration </w:t>
            </w:r>
            <w:r w:rsidR="00505105">
              <w:t xml:space="preserve">fee </w:t>
            </w:r>
            <w:r>
              <w:t>for each QSE per 15-minute Settlement Interval.</w:t>
            </w:r>
          </w:p>
        </w:tc>
      </w:tr>
      <w:tr w:rsidR="002F5868" w14:paraId="68068FBB" w14:textId="77777777">
        <w:tc>
          <w:tcPr>
            <w:tcW w:w="876" w:type="pct"/>
          </w:tcPr>
          <w:p w14:paraId="596F30B8" w14:textId="77777777" w:rsidR="002F5868" w:rsidRDefault="00DD1AC6">
            <w:pPr>
              <w:pStyle w:val="TableBody"/>
            </w:pPr>
            <w:r>
              <w:t xml:space="preserve">RTAML </w:t>
            </w:r>
            <w:r>
              <w:rPr>
                <w:i/>
                <w:vertAlign w:val="subscript"/>
              </w:rPr>
              <w:t>q, p</w:t>
            </w:r>
          </w:p>
        </w:tc>
        <w:tc>
          <w:tcPr>
            <w:tcW w:w="455" w:type="pct"/>
          </w:tcPr>
          <w:p w14:paraId="19ACE1DB" w14:textId="77777777" w:rsidR="002F5868" w:rsidRPr="000035E6" w:rsidRDefault="00DD1AC6">
            <w:pPr>
              <w:pStyle w:val="TableBody"/>
            </w:pPr>
            <w:r w:rsidRPr="000035E6">
              <w:t>MWh</w:t>
            </w:r>
          </w:p>
        </w:tc>
        <w:tc>
          <w:tcPr>
            <w:tcW w:w="3669" w:type="pct"/>
          </w:tcPr>
          <w:p w14:paraId="18614E53" w14:textId="77777777" w:rsidR="002F5868" w:rsidRDefault="00DD1AC6" w:rsidP="003E66E6">
            <w:pPr>
              <w:pStyle w:val="TableBody"/>
            </w:pPr>
            <w:r>
              <w:rPr>
                <w:i/>
              </w:rPr>
              <w:t>Real-Time Adjusted Metered Load</w:t>
            </w:r>
            <w:r>
              <w:t>— The sum of the Adjusted Metered Load</w:t>
            </w:r>
            <w:r w:rsidR="003E66E6">
              <w:t xml:space="preserve"> (AML)</w:t>
            </w:r>
            <w:r>
              <w:t xml:space="preserve"> at the Electrical Buses included in Settlement Point </w:t>
            </w:r>
            <w:r>
              <w:rPr>
                <w:i/>
              </w:rPr>
              <w:t>p</w:t>
            </w:r>
            <w:r>
              <w:t xml:space="preserve">, represented by QSE </w:t>
            </w:r>
            <w:r>
              <w:rPr>
                <w:i/>
              </w:rPr>
              <w:t>q</w:t>
            </w:r>
            <w:r>
              <w:t>, for the 15-minute Settlement Interval.</w:t>
            </w:r>
          </w:p>
        </w:tc>
      </w:tr>
      <w:tr w:rsidR="002F5868" w14:paraId="68858FFE" w14:textId="77777777">
        <w:tc>
          <w:tcPr>
            <w:tcW w:w="876" w:type="pct"/>
          </w:tcPr>
          <w:p w14:paraId="5EC4E102" w14:textId="77777777" w:rsidR="002F5868" w:rsidRDefault="00DD1AC6">
            <w:pPr>
              <w:pStyle w:val="TableBody"/>
            </w:pPr>
            <w:r>
              <w:t>LAFF</w:t>
            </w:r>
          </w:p>
        </w:tc>
        <w:tc>
          <w:tcPr>
            <w:tcW w:w="455" w:type="pct"/>
          </w:tcPr>
          <w:p w14:paraId="41F8EF08" w14:textId="77777777" w:rsidR="002F5868" w:rsidRPr="000035E6" w:rsidRDefault="00DD1AC6">
            <w:pPr>
              <w:pStyle w:val="TableBody"/>
            </w:pPr>
            <w:r w:rsidRPr="000035E6">
              <w:t>$/MWh</w:t>
            </w:r>
          </w:p>
        </w:tc>
        <w:tc>
          <w:tcPr>
            <w:tcW w:w="3669" w:type="pct"/>
          </w:tcPr>
          <w:p w14:paraId="05F6CF91" w14:textId="77777777" w:rsidR="002F5868" w:rsidRDefault="00DD1AC6" w:rsidP="00505105">
            <w:pPr>
              <w:pStyle w:val="TableBody"/>
            </w:pPr>
            <w:r w:rsidRPr="000035E6">
              <w:rPr>
                <w:i/>
              </w:rPr>
              <w:t>Load Administration Fee Factor</w:t>
            </w:r>
            <w:r>
              <w:t xml:space="preserve">—The ERCOT System </w:t>
            </w:r>
            <w:r w:rsidR="00505105">
              <w:t>A</w:t>
            </w:r>
            <w:r>
              <w:t>dministration fee.</w:t>
            </w:r>
          </w:p>
        </w:tc>
      </w:tr>
      <w:tr w:rsidR="002F5868" w14:paraId="2BC2E90A" w14:textId="77777777" w:rsidTr="00EC276F">
        <w:trPr>
          <w:trHeight w:hRule="exact" w:val="330"/>
        </w:trPr>
        <w:tc>
          <w:tcPr>
            <w:tcW w:w="876" w:type="pct"/>
            <w:tcBorders>
              <w:top w:val="single" w:sz="6" w:space="0" w:color="auto"/>
              <w:left w:val="single" w:sz="4" w:space="0" w:color="auto"/>
              <w:bottom w:val="single" w:sz="6" w:space="0" w:color="auto"/>
              <w:right w:val="single" w:sz="6" w:space="0" w:color="auto"/>
            </w:tcBorders>
          </w:tcPr>
          <w:p w14:paraId="66F1E474" w14:textId="77777777" w:rsidR="002F5868" w:rsidRDefault="00DD1AC6" w:rsidP="00EC276F">
            <w:pPr>
              <w:pStyle w:val="H7"/>
              <w:spacing w:before="0" w:after="60"/>
              <w:ind w:left="0" w:firstLine="0"/>
              <w:rPr>
                <w:b w:val="0"/>
                <w:sz w:val="20"/>
                <w:szCs w:val="20"/>
              </w:rPr>
            </w:pPr>
            <w:r>
              <w:rPr>
                <w:b w:val="0"/>
                <w:sz w:val="20"/>
                <w:szCs w:val="20"/>
              </w:rPr>
              <w:lastRenderedPageBreak/>
              <w:t>q</w:t>
            </w:r>
          </w:p>
        </w:tc>
        <w:tc>
          <w:tcPr>
            <w:tcW w:w="455" w:type="pct"/>
            <w:tcBorders>
              <w:top w:val="single" w:sz="6" w:space="0" w:color="auto"/>
              <w:left w:val="single" w:sz="6" w:space="0" w:color="auto"/>
              <w:bottom w:val="single" w:sz="6" w:space="0" w:color="auto"/>
              <w:right w:val="single" w:sz="6" w:space="0" w:color="auto"/>
            </w:tcBorders>
          </w:tcPr>
          <w:p w14:paraId="68D62688" w14:textId="77777777" w:rsidR="002F5868" w:rsidRPr="000035E6" w:rsidRDefault="00DD1AC6" w:rsidP="00EC276F">
            <w:pPr>
              <w:pStyle w:val="H7"/>
              <w:spacing w:before="0" w:after="60"/>
              <w:ind w:left="0" w:firstLine="0"/>
              <w:rPr>
                <w:b w:val="0"/>
                <w:i w:val="0"/>
                <w:sz w:val="20"/>
                <w:szCs w:val="20"/>
              </w:rPr>
            </w:pPr>
            <w:r w:rsidRPr="000035E6">
              <w:rPr>
                <w:b w:val="0"/>
                <w:i w:val="0"/>
                <w:sz w:val="20"/>
                <w:szCs w:val="20"/>
              </w:rPr>
              <w:t>none</w:t>
            </w:r>
          </w:p>
        </w:tc>
        <w:tc>
          <w:tcPr>
            <w:tcW w:w="3669" w:type="pct"/>
            <w:tcBorders>
              <w:top w:val="single" w:sz="6" w:space="0" w:color="auto"/>
              <w:left w:val="single" w:sz="6" w:space="0" w:color="auto"/>
              <w:bottom w:val="single" w:sz="6" w:space="0" w:color="auto"/>
              <w:right w:val="single" w:sz="4" w:space="0" w:color="auto"/>
            </w:tcBorders>
          </w:tcPr>
          <w:p w14:paraId="7A911AED" w14:textId="77777777" w:rsidR="002F5868" w:rsidRPr="000035E6" w:rsidRDefault="00DD1AC6" w:rsidP="00EC276F">
            <w:pPr>
              <w:pStyle w:val="H7"/>
              <w:spacing w:before="0" w:after="60"/>
              <w:ind w:left="0" w:firstLine="0"/>
              <w:rPr>
                <w:b w:val="0"/>
                <w:i w:val="0"/>
                <w:sz w:val="20"/>
                <w:szCs w:val="20"/>
              </w:rPr>
            </w:pPr>
            <w:r w:rsidRPr="000035E6">
              <w:rPr>
                <w:b w:val="0"/>
                <w:i w:val="0"/>
                <w:sz w:val="20"/>
                <w:szCs w:val="20"/>
              </w:rPr>
              <w:t>A QSE</w:t>
            </w:r>
            <w:r w:rsidR="00EC276F">
              <w:rPr>
                <w:b w:val="0"/>
                <w:i w:val="0"/>
                <w:sz w:val="20"/>
                <w:szCs w:val="20"/>
              </w:rPr>
              <w:t>.</w:t>
            </w:r>
          </w:p>
        </w:tc>
      </w:tr>
      <w:tr w:rsidR="002F5868" w14:paraId="6521D665" w14:textId="77777777" w:rsidTr="00EC276F">
        <w:trPr>
          <w:trHeight w:hRule="exact" w:val="357"/>
        </w:trPr>
        <w:tc>
          <w:tcPr>
            <w:tcW w:w="876" w:type="pct"/>
            <w:tcBorders>
              <w:top w:val="single" w:sz="6" w:space="0" w:color="auto"/>
              <w:left w:val="single" w:sz="4" w:space="0" w:color="auto"/>
              <w:bottom w:val="single" w:sz="4" w:space="0" w:color="auto"/>
              <w:right w:val="single" w:sz="6" w:space="0" w:color="auto"/>
            </w:tcBorders>
          </w:tcPr>
          <w:p w14:paraId="6F72F0AF" w14:textId="77777777" w:rsidR="002F5868" w:rsidRDefault="00DD1AC6" w:rsidP="00EC276F">
            <w:pPr>
              <w:pStyle w:val="H7"/>
              <w:spacing w:before="0" w:after="60"/>
              <w:ind w:left="0" w:firstLine="0"/>
              <w:rPr>
                <w:b w:val="0"/>
                <w:sz w:val="20"/>
                <w:szCs w:val="20"/>
              </w:rPr>
            </w:pPr>
            <w:r>
              <w:rPr>
                <w:b w:val="0"/>
                <w:sz w:val="20"/>
                <w:szCs w:val="20"/>
              </w:rPr>
              <w:t>p</w:t>
            </w:r>
          </w:p>
        </w:tc>
        <w:tc>
          <w:tcPr>
            <w:tcW w:w="455" w:type="pct"/>
            <w:tcBorders>
              <w:top w:val="single" w:sz="6" w:space="0" w:color="auto"/>
              <w:left w:val="single" w:sz="6" w:space="0" w:color="auto"/>
              <w:bottom w:val="single" w:sz="4" w:space="0" w:color="auto"/>
              <w:right w:val="single" w:sz="6" w:space="0" w:color="auto"/>
            </w:tcBorders>
          </w:tcPr>
          <w:p w14:paraId="2788516D" w14:textId="77777777" w:rsidR="002F5868" w:rsidRPr="000035E6" w:rsidRDefault="00DD1AC6" w:rsidP="00EC276F">
            <w:pPr>
              <w:pStyle w:val="H7"/>
              <w:spacing w:before="0" w:after="60"/>
              <w:ind w:left="0" w:firstLine="0"/>
              <w:rPr>
                <w:b w:val="0"/>
                <w:i w:val="0"/>
                <w:sz w:val="20"/>
                <w:szCs w:val="20"/>
              </w:rPr>
            </w:pPr>
            <w:r w:rsidRPr="000035E6">
              <w:rPr>
                <w:b w:val="0"/>
                <w:i w:val="0"/>
                <w:sz w:val="20"/>
                <w:szCs w:val="20"/>
              </w:rPr>
              <w:t>none</w:t>
            </w:r>
          </w:p>
        </w:tc>
        <w:tc>
          <w:tcPr>
            <w:tcW w:w="3669" w:type="pct"/>
            <w:tcBorders>
              <w:top w:val="single" w:sz="6" w:space="0" w:color="auto"/>
              <w:left w:val="single" w:sz="6" w:space="0" w:color="auto"/>
              <w:bottom w:val="single" w:sz="4" w:space="0" w:color="auto"/>
              <w:right w:val="single" w:sz="4" w:space="0" w:color="auto"/>
            </w:tcBorders>
          </w:tcPr>
          <w:p w14:paraId="33A89326" w14:textId="77777777" w:rsidR="002F5868" w:rsidRPr="000035E6" w:rsidRDefault="00DD1AC6" w:rsidP="00EC276F">
            <w:pPr>
              <w:pStyle w:val="H7"/>
              <w:spacing w:before="0" w:after="60"/>
              <w:ind w:left="0" w:firstLine="0"/>
              <w:rPr>
                <w:b w:val="0"/>
                <w:i w:val="0"/>
                <w:sz w:val="20"/>
                <w:szCs w:val="20"/>
              </w:rPr>
            </w:pPr>
            <w:r w:rsidRPr="000035E6">
              <w:rPr>
                <w:b w:val="0"/>
                <w:i w:val="0"/>
                <w:sz w:val="20"/>
                <w:szCs w:val="20"/>
              </w:rPr>
              <w:t>A Settlement Point</w:t>
            </w:r>
            <w:r w:rsidR="00EC276F">
              <w:rPr>
                <w:b w:val="0"/>
                <w:i w:val="0"/>
                <w:sz w:val="20"/>
                <w:szCs w:val="20"/>
              </w:rPr>
              <w:t>.</w:t>
            </w:r>
            <w:r w:rsidR="006A6713" w:rsidRPr="00881336">
              <w:rPr>
                <w:b w:val="0"/>
                <w:i w:val="0"/>
                <w:sz w:val="20"/>
                <w:szCs w:val="20"/>
              </w:rPr>
              <w:t xml:space="preserve"> </w:t>
            </w:r>
            <w:r w:rsidR="006A6713">
              <w:rPr>
                <w:b w:val="0"/>
                <w:i w:val="0"/>
                <w:sz w:val="20"/>
                <w:szCs w:val="20"/>
              </w:rPr>
              <w:t xml:space="preserve"> </w:t>
            </w:r>
            <w:r w:rsidR="006A6713" w:rsidRPr="00881336">
              <w:rPr>
                <w:b w:val="0"/>
                <w:i w:val="0"/>
                <w:iCs/>
                <w:sz w:val="20"/>
                <w:szCs w:val="20"/>
              </w:rPr>
              <w:t>The summation is over all of the Settlement Points</w:t>
            </w:r>
            <w:r w:rsidR="006A6713">
              <w:rPr>
                <w:b w:val="0"/>
                <w:i w:val="0"/>
                <w:iCs/>
                <w:sz w:val="20"/>
                <w:szCs w:val="20"/>
              </w:rPr>
              <w:t>.</w:t>
            </w:r>
          </w:p>
        </w:tc>
      </w:tr>
    </w:tbl>
    <w:p w14:paraId="5E2AC65E" w14:textId="77777777" w:rsidR="002F5868" w:rsidRPr="008910B8" w:rsidRDefault="00DD1AC6" w:rsidP="005F5141">
      <w:pPr>
        <w:pStyle w:val="H3"/>
        <w:spacing w:before="480"/>
        <w:rPr>
          <w:b/>
          <w:i/>
        </w:rPr>
      </w:pPr>
      <w:bookmarkStart w:id="488" w:name="_Toc309731103"/>
      <w:bookmarkStart w:id="489" w:name="_Toc405814079"/>
      <w:bookmarkStart w:id="490" w:name="_Toc422207970"/>
      <w:bookmarkStart w:id="491" w:name="_Toc438044881"/>
      <w:bookmarkStart w:id="492" w:name="_Toc447622664"/>
      <w:bookmarkStart w:id="493" w:name="_Toc80175315"/>
      <w:r w:rsidRPr="008910B8">
        <w:rPr>
          <w:b/>
          <w:i/>
        </w:rPr>
        <w:t>9.16.2</w:t>
      </w:r>
      <w:r w:rsidRPr="008910B8">
        <w:rPr>
          <w:b/>
          <w:i/>
        </w:rPr>
        <w:tab/>
      </w:r>
      <w:r w:rsidR="00505105">
        <w:rPr>
          <w:b/>
          <w:i/>
        </w:rPr>
        <w:t>User</w:t>
      </w:r>
      <w:r w:rsidRPr="008910B8">
        <w:rPr>
          <w:b/>
          <w:i/>
        </w:rPr>
        <w:t xml:space="preserve"> Fee</w:t>
      </w:r>
      <w:bookmarkEnd w:id="488"/>
      <w:r w:rsidR="00505105">
        <w:rPr>
          <w:b/>
          <w:i/>
        </w:rPr>
        <w:t>s</w:t>
      </w:r>
      <w:bookmarkEnd w:id="489"/>
      <w:bookmarkEnd w:id="490"/>
      <w:bookmarkEnd w:id="491"/>
      <w:bookmarkEnd w:id="492"/>
      <w:bookmarkEnd w:id="493"/>
    </w:p>
    <w:p w14:paraId="2A08F0A5" w14:textId="268F5AEE" w:rsidR="00505105" w:rsidRPr="007F353A" w:rsidRDefault="00505105" w:rsidP="00505105">
      <w:pPr>
        <w:pStyle w:val="BodyTextNumbered"/>
      </w:pPr>
      <w:r w:rsidRPr="00F66C86">
        <w:t>(1)</w:t>
      </w:r>
      <w:r w:rsidRPr="00F66C86">
        <w:tab/>
        <w:t>The ERCOT Board approves user fees for products and services provided by ERCOT to a Market Participant or other Entity.  Such user fees are approved in accordance with the ERCOT Board Policies and Procedures.</w:t>
      </w:r>
      <w:r w:rsidRPr="00257E1E">
        <w:t xml:space="preserve">  User fees may include, but are not limited to, application fees, </w:t>
      </w:r>
      <w:r w:rsidRPr="00E213C7">
        <w:t xml:space="preserve">private </w:t>
      </w:r>
      <w:r w:rsidRPr="00083859">
        <w:t xml:space="preserve">Wide Area Network (WAN) costs, </w:t>
      </w:r>
      <w:r w:rsidR="008B567A">
        <w:t xml:space="preserve">and </w:t>
      </w:r>
      <w:r w:rsidRPr="00083859">
        <w:t>interconnection study fees</w:t>
      </w:r>
      <w:r w:rsidRPr="007F353A">
        <w:t xml:space="preserve">.  </w:t>
      </w:r>
    </w:p>
    <w:p w14:paraId="3404C462" w14:textId="44519357" w:rsidR="00505105" w:rsidRPr="00F66C86" w:rsidRDefault="00505105" w:rsidP="00505105">
      <w:pPr>
        <w:pStyle w:val="BodyTextNumbered"/>
      </w:pPr>
      <w:r w:rsidRPr="007F353A">
        <w:t>(2)</w:t>
      </w:r>
      <w:r w:rsidRPr="007F353A">
        <w:tab/>
        <w:t xml:space="preserve">ERCOT shall post user fees approved by the ERCOT Board in the ERCOT Fee Schedule on the </w:t>
      </w:r>
      <w:r w:rsidR="004B2A63">
        <w:rPr>
          <w:iCs/>
        </w:rPr>
        <w:t>ERCOT website</w:t>
      </w:r>
      <w:r w:rsidRPr="007F353A">
        <w:t xml:space="preserve">. </w:t>
      </w:r>
      <w:r>
        <w:t xml:space="preserve"> ERCOT shall post the ERCOT Fee Schedule and effective date on the </w:t>
      </w:r>
      <w:r w:rsidR="004B2A63">
        <w:rPr>
          <w:iCs/>
        </w:rPr>
        <w:t>ERCOT website</w:t>
      </w:r>
      <w:r>
        <w:t xml:space="preserve"> </w:t>
      </w:r>
      <w:r w:rsidRPr="00EA65F0">
        <w:t xml:space="preserve">within two Business Days of change. </w:t>
      </w:r>
    </w:p>
    <w:p w14:paraId="35EEA04B" w14:textId="77777777" w:rsidR="00505105" w:rsidRDefault="00505105" w:rsidP="00505105">
      <w:pPr>
        <w:pStyle w:val="BodyText"/>
        <w:ind w:left="720" w:hanging="720"/>
      </w:pPr>
      <w:r w:rsidRPr="00F66C86">
        <w:t>(3)</w:t>
      </w:r>
      <w:r w:rsidRPr="00F66C86">
        <w:tab/>
        <w:t xml:space="preserve">A Market </w:t>
      </w:r>
      <w:r w:rsidRPr="00515E45">
        <w:t>Participant</w:t>
      </w:r>
      <w:r w:rsidRPr="00F66C86">
        <w:t xml:space="preserve"> or other Entity shall pay applicable user fees approved by the ERCOT Board.</w:t>
      </w:r>
    </w:p>
    <w:p w14:paraId="1E883C08" w14:textId="77777777" w:rsidR="002F5868" w:rsidRDefault="00DD1AC6" w:rsidP="00047280">
      <w:pPr>
        <w:pStyle w:val="H2"/>
        <w:ind w:left="907" w:hanging="907"/>
      </w:pPr>
      <w:bookmarkStart w:id="494" w:name="_Toc309731106"/>
      <w:bookmarkStart w:id="495" w:name="_Toc405814080"/>
      <w:bookmarkStart w:id="496" w:name="_Toc422207971"/>
      <w:bookmarkStart w:id="497" w:name="_Toc438044882"/>
      <w:bookmarkStart w:id="498" w:name="_Toc447622665"/>
      <w:bookmarkStart w:id="499" w:name="_Toc80175316"/>
      <w:r>
        <w:t>9.17</w:t>
      </w:r>
      <w:r>
        <w:tab/>
        <w:t>Transmission Billing Determinant Calculation</w:t>
      </w:r>
      <w:bookmarkEnd w:id="494"/>
      <w:bookmarkEnd w:id="495"/>
      <w:bookmarkEnd w:id="496"/>
      <w:bookmarkEnd w:id="497"/>
      <w:bookmarkEnd w:id="498"/>
      <w:bookmarkEnd w:id="499"/>
    </w:p>
    <w:p w14:paraId="6B73D020" w14:textId="77777777" w:rsidR="002F5868" w:rsidRDefault="00A0123C" w:rsidP="00660ED3">
      <w:pPr>
        <w:pStyle w:val="BodyTextNumbered"/>
      </w:pPr>
      <w:r>
        <w:rPr>
          <w:iCs/>
        </w:rPr>
        <w:t>(1)</w:t>
      </w:r>
      <w:r>
        <w:rPr>
          <w:iCs/>
        </w:rPr>
        <w:tab/>
      </w:r>
      <w:r w:rsidR="00DD1AC6">
        <w:t xml:space="preserve">ERCOT shall provide Market Participants with the key parameters and formula components required by a </w:t>
      </w:r>
      <w:r w:rsidR="00160F14">
        <w:t>Transmission Service Provider (</w:t>
      </w:r>
      <w:r w:rsidR="00DD1AC6">
        <w:t>TSP</w:t>
      </w:r>
      <w:r w:rsidR="00160F14">
        <w:t>)</w:t>
      </w:r>
      <w:r w:rsidR="00DD1AC6">
        <w:t xml:space="preserve"> or </w:t>
      </w:r>
      <w:r w:rsidR="00160F14">
        <w:t>Distribution Service Provider (</w:t>
      </w:r>
      <w:r w:rsidR="00DD1AC6">
        <w:t>DSP</w:t>
      </w:r>
      <w:r w:rsidR="00160F14">
        <w:t>)</w:t>
      </w:r>
      <w:r w:rsidR="00DD1AC6">
        <w:t xml:space="preserve"> in determining the billing charges for the use of its Transmission Facilities or Distribution Facilities (“Transmission Billing Determinants”).  ERCOT is not responsible for billing, collection, or disbursal of payments associated with transmission access service.</w:t>
      </w:r>
    </w:p>
    <w:p w14:paraId="550457EE" w14:textId="77777777" w:rsidR="002F5868" w:rsidRPr="008910B8" w:rsidRDefault="00DD1AC6">
      <w:pPr>
        <w:pStyle w:val="H3"/>
        <w:rPr>
          <w:b/>
          <w:i/>
        </w:rPr>
      </w:pPr>
      <w:bookmarkStart w:id="500" w:name="_Toc309731107"/>
      <w:bookmarkStart w:id="501" w:name="_Toc405814081"/>
      <w:bookmarkStart w:id="502" w:name="_Toc422207972"/>
      <w:bookmarkStart w:id="503" w:name="_Toc438044883"/>
      <w:bookmarkStart w:id="504" w:name="_Toc447622666"/>
      <w:bookmarkStart w:id="505" w:name="_Toc80175317"/>
      <w:r w:rsidRPr="008910B8">
        <w:rPr>
          <w:b/>
          <w:i/>
        </w:rPr>
        <w:t>9.17.1</w:t>
      </w:r>
      <w:r w:rsidRPr="008910B8">
        <w:rPr>
          <w:b/>
          <w:i/>
        </w:rPr>
        <w:tab/>
        <w:t>Billing Determinant Data Elements</w:t>
      </w:r>
      <w:bookmarkEnd w:id="500"/>
      <w:bookmarkEnd w:id="501"/>
      <w:bookmarkEnd w:id="502"/>
      <w:bookmarkEnd w:id="503"/>
      <w:bookmarkEnd w:id="504"/>
      <w:bookmarkEnd w:id="505"/>
    </w:p>
    <w:p w14:paraId="22AE2C7D" w14:textId="088E4EA5" w:rsidR="00724433" w:rsidRDefault="00724433" w:rsidP="00724433">
      <w:pPr>
        <w:pStyle w:val="BodyTextNumbered"/>
      </w:pPr>
      <w:r>
        <w:t>(1)</w:t>
      </w:r>
      <w:r>
        <w:tab/>
        <w:t xml:space="preserve">ERCOT shall calculate and provide to Market Participants on the </w:t>
      </w:r>
      <w:r w:rsidR="004B2A63">
        <w:rPr>
          <w:iCs/>
        </w:rPr>
        <w:t>ERCOT website</w:t>
      </w:r>
      <w:r>
        <w:t xml:space="preserve"> the following data elements annually to be used by TSPs and DSPs as billing determinants for transmission access service.  This data must be provided by December </w:t>
      </w:r>
      <w:r w:rsidR="007B033B">
        <w:t>1</w:t>
      </w:r>
      <w:r>
        <w:t xml:space="preserve"> of each year.  This calculation must be made under the requirements of </w:t>
      </w:r>
      <w:r w:rsidR="009541DB">
        <w:t>P.U.C. S</w:t>
      </w:r>
      <w:r w:rsidR="009541DB" w:rsidRPr="006B60E2">
        <w:rPr>
          <w:smallCaps/>
        </w:rPr>
        <w:t>ubst</w:t>
      </w:r>
      <w:r w:rsidR="009541DB">
        <w:t xml:space="preserve">. R. </w:t>
      </w:r>
      <w:r w:rsidR="009541DB" w:rsidRPr="006F7536">
        <w:t>25.192, Transmission Service Rates</w:t>
      </w:r>
      <w:r w:rsidR="009541DB">
        <w:t>.</w:t>
      </w:r>
      <w:r>
        <w:t xml:space="preserve">  </w:t>
      </w:r>
      <w:r w:rsidR="007B033B">
        <w:t>ERCOT shall use the most recent aggregate data produced by the ERCOT Settlement system</w:t>
      </w:r>
      <w:r>
        <w:t xml:space="preserve"> to perform these calculations.</w:t>
      </w:r>
    </w:p>
    <w:p w14:paraId="0EED87E3" w14:textId="77777777" w:rsidR="00724433" w:rsidRDefault="00724433" w:rsidP="00724433">
      <w:pPr>
        <w:pStyle w:val="List"/>
      </w:pPr>
      <w:r>
        <w:t>(a)</w:t>
      </w:r>
      <w:r>
        <w:tab/>
        <w:t>The 4-Coincident Peak (4-CP) for each DSP</w:t>
      </w:r>
      <w:r w:rsidR="00C15C18">
        <w:t xml:space="preserve"> and External Load Serving Entity (ELSE)</w:t>
      </w:r>
      <w:r>
        <w:t>, as applicable;</w:t>
      </w:r>
    </w:p>
    <w:p w14:paraId="4982C616" w14:textId="77777777" w:rsidR="00724433" w:rsidRDefault="00724433" w:rsidP="00724433">
      <w:pPr>
        <w:pStyle w:val="List"/>
      </w:pPr>
      <w:r>
        <w:t>(b)</w:t>
      </w:r>
      <w:r>
        <w:tab/>
        <w:t>The ERCOT average 4-CP;</w:t>
      </w:r>
    </w:p>
    <w:p w14:paraId="38F623CB" w14:textId="77777777" w:rsidR="00ED0038" w:rsidRDefault="00724433" w:rsidP="00724433">
      <w:pPr>
        <w:pStyle w:val="List"/>
        <w:spacing w:after="0"/>
      </w:pPr>
      <w:r>
        <w:t>(c)</w:t>
      </w:r>
      <w:r>
        <w:tab/>
        <w:t>The average 4-CP for each DSP</w:t>
      </w:r>
      <w:r w:rsidR="00C15C18">
        <w:t xml:space="preserve"> and ELSE</w:t>
      </w:r>
      <w:r>
        <w:t>, as applicable, coincident to the ERCOT average 4-CP</w:t>
      </w:r>
      <w:r w:rsidR="00D22854">
        <w:t>.</w:t>
      </w:r>
    </w:p>
    <w:p w14:paraId="55C7E881" w14:textId="77777777" w:rsidR="002F5868" w:rsidRDefault="00DD1AC6" w:rsidP="00ED0038">
      <w:pPr>
        <w:pStyle w:val="BodyTextNumbered"/>
        <w:spacing w:before="240"/>
      </w:pPr>
      <w:r>
        <w:lastRenderedPageBreak/>
        <w:t>(2)</w:t>
      </w:r>
      <w:r>
        <w:tab/>
      </w:r>
      <w:r w:rsidR="00ED35B9">
        <w:t>ERCOT a</w:t>
      </w:r>
      <w:r>
        <w:t xml:space="preserve">verage 4-CP is defined as the average </w:t>
      </w:r>
      <w:r w:rsidR="00ED35B9" w:rsidRPr="0012618F">
        <w:t>of the</w:t>
      </w:r>
      <w:r>
        <w:t xml:space="preserve"> coincidental MW peak</w:t>
      </w:r>
      <w:r w:rsidR="00ED35B9">
        <w:t>s</w:t>
      </w:r>
      <w:r>
        <w:t xml:space="preserve"> occurring during the months of June, July, August, and September.</w:t>
      </w:r>
    </w:p>
    <w:p w14:paraId="712F7AD2" w14:textId="77777777" w:rsidR="002F5868" w:rsidRDefault="00881601">
      <w:pPr>
        <w:pStyle w:val="BodyTextNumbered"/>
      </w:pPr>
      <w:r w:rsidRPr="00974D32">
        <w:t>(3)</w:t>
      </w:r>
      <w:r w:rsidRPr="00974D32">
        <w:tab/>
      </w:r>
      <w:r w:rsidR="002A4B10" w:rsidRPr="004A52A9">
        <w:t xml:space="preserve">Coincidental MW peak is defined as the highest monthly Settlement Interval 15-minute MW peak for the entire ERCOT Transmission Grid as calculated per the following formula:  The sum of all net energy produced by Generation Resources + </w:t>
      </w:r>
      <w:r w:rsidR="002A4B10">
        <w:t xml:space="preserve">Settlement Only Generators (SOGs) + </w:t>
      </w:r>
      <w:r w:rsidR="002A4B10" w:rsidRPr="004A52A9">
        <w:t xml:space="preserve">Block Load Transfers (BLTs) from ERCOT to another Control Area that have been registered for Settlement purposes + actual Direct Current Tie (DC Tie) imports - </w:t>
      </w:r>
      <w:r w:rsidR="002A4B10" w:rsidRPr="004A52A9">
        <w:rPr>
          <w:color w:val="000000"/>
        </w:rPr>
        <w:t xml:space="preserve">BLTs to ERCOT from another Control Area that are not reflected in a Non-Opt-In Entity’s (NOIE’s) Load - </w:t>
      </w:r>
      <w:r w:rsidR="002A4B10" w:rsidRPr="004A52A9">
        <w:t>actual</w:t>
      </w:r>
      <w:r w:rsidR="002A4B10" w:rsidRPr="004A52A9">
        <w:rPr>
          <w:lang w:val="fr-FR"/>
        </w:rPr>
        <w:t xml:space="preserve"> </w:t>
      </w:r>
      <w:r w:rsidR="002A4B10" w:rsidRPr="004A52A9">
        <w:rPr>
          <w:color w:val="000000"/>
        </w:rPr>
        <w:t>DC Tie exports - Wholesale Storage Load (WSL)</w:t>
      </w:r>
      <w:r w:rsidR="002A4B10" w:rsidRPr="004A52A9">
        <w:t>.</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986EAF" w:rsidRPr="00E566EB" w14:paraId="7B864C1C" w14:textId="77777777" w:rsidTr="00986EAF">
        <w:tc>
          <w:tcPr>
            <w:tcW w:w="9766" w:type="dxa"/>
            <w:shd w:val="pct12" w:color="auto" w:fill="auto"/>
          </w:tcPr>
          <w:p w14:paraId="49481684" w14:textId="34BC008B" w:rsidR="00986EAF" w:rsidRPr="00E566EB" w:rsidRDefault="00986EAF" w:rsidP="00CD023D">
            <w:pPr>
              <w:spacing w:before="120" w:after="240"/>
              <w:rPr>
                <w:b/>
                <w:i/>
                <w:iCs/>
              </w:rPr>
            </w:pPr>
            <w:bookmarkStart w:id="506" w:name="_Toc309731108"/>
            <w:bookmarkStart w:id="507" w:name="_Toc405814082"/>
            <w:bookmarkStart w:id="508" w:name="_Toc422207973"/>
            <w:bookmarkStart w:id="509" w:name="_Toc438044884"/>
            <w:bookmarkStart w:id="510" w:name="_Toc447622667"/>
            <w:r>
              <w:rPr>
                <w:b/>
                <w:i/>
                <w:iCs/>
              </w:rPr>
              <w:t>[NPRR995</w:t>
            </w:r>
            <w:r w:rsidRPr="00E566EB">
              <w:rPr>
                <w:b/>
                <w:i/>
                <w:iCs/>
              </w:rPr>
              <w:t xml:space="preserve">: </w:t>
            </w:r>
            <w:r>
              <w:rPr>
                <w:b/>
                <w:i/>
                <w:iCs/>
              </w:rPr>
              <w:t xml:space="preserve"> Replace paragraph (3) above with the following upon </w:t>
            </w:r>
            <w:r w:rsidRPr="00E566EB">
              <w:rPr>
                <w:b/>
                <w:i/>
                <w:iCs/>
              </w:rPr>
              <w:t>system implementation:]</w:t>
            </w:r>
          </w:p>
          <w:p w14:paraId="6D94AB8E" w14:textId="4977BE50" w:rsidR="00986EAF" w:rsidRPr="00BC66E2" w:rsidRDefault="00986EAF" w:rsidP="00986EAF">
            <w:pPr>
              <w:spacing w:after="240"/>
              <w:ind w:left="720" w:hanging="720"/>
            </w:pPr>
            <w:r w:rsidRPr="00B37522">
              <w:t>(3)</w:t>
            </w:r>
            <w:r w:rsidRPr="00B37522">
              <w:tab/>
              <w:t xml:space="preserve">Coincidental MW peak is defined as the highest monthly Settlement Interval 15-minute MW peak for the entire ERCOT Transmission Grid as calculated per the following formula:  The sum of all net energy produced by Generation Resources + Settlement Only Generators (SOGs) + </w:t>
            </w:r>
            <w:r w:rsidRPr="00B1214B">
              <w:t>Settlement Only Energy Storage System</w:t>
            </w:r>
            <w:r w:rsidRPr="00F356DB">
              <w:t>s</w:t>
            </w:r>
            <w:r w:rsidRPr="0056442F">
              <w:t xml:space="preserve"> (SOESS</w:t>
            </w:r>
            <w:r w:rsidRPr="00E50CD3">
              <w:t xml:space="preserve">s) + </w:t>
            </w:r>
            <w:r w:rsidRPr="00B37522">
              <w:t xml:space="preserve">Block Load Transfers (BLTs) from ERCOT to another Control Area that have been registered for Settlement purposes + actual Direct Current Tie (DC Tie) imports - </w:t>
            </w:r>
            <w:r w:rsidRPr="00B37522">
              <w:rPr>
                <w:color w:val="000000"/>
              </w:rPr>
              <w:t xml:space="preserve">BLTs to ERCOT from another Control Area that are not reflected in a Non-Opt-In Entity’s (NOIE’s) Load - </w:t>
            </w:r>
            <w:r w:rsidRPr="00B37522">
              <w:t>actual</w:t>
            </w:r>
            <w:r w:rsidRPr="00B37522">
              <w:rPr>
                <w:lang w:val="fr-FR"/>
              </w:rPr>
              <w:t xml:space="preserve"> </w:t>
            </w:r>
            <w:r w:rsidRPr="00B37522">
              <w:rPr>
                <w:color w:val="000000"/>
              </w:rPr>
              <w:t>DC Tie exports - Wholesale Storage Load (WSL)</w:t>
            </w:r>
            <w:r w:rsidRPr="00B37522">
              <w:t>.</w:t>
            </w:r>
          </w:p>
        </w:tc>
      </w:tr>
    </w:tbl>
    <w:p w14:paraId="4587C1F3" w14:textId="550C0258" w:rsidR="00ED35B9" w:rsidRPr="0012618F" w:rsidRDefault="00ED35B9" w:rsidP="007D681D">
      <w:pPr>
        <w:spacing w:before="240" w:after="240"/>
        <w:ind w:left="720" w:hanging="720"/>
      </w:pPr>
      <w:r w:rsidRPr="0012618F">
        <w:t>(4)</w:t>
      </w:r>
      <w:r w:rsidRPr="0012618F">
        <w:tab/>
        <w:t>Any difference between the coincidental MW peak (converted to MWh) and the ERCOT Settlement volumes</w:t>
      </w:r>
      <w:r>
        <w:t>,</w:t>
      </w:r>
      <w:r w:rsidRPr="0012618F">
        <w:t xml:space="preserve"> excluding DC Tie exports, </w:t>
      </w:r>
      <w:r w:rsidRPr="0012618F">
        <w:rPr>
          <w:color w:val="000000"/>
        </w:rPr>
        <w:t>BLTs to ERCOT from another Control Area that are not reflected in a NOIE’s Load, and WSL</w:t>
      </w:r>
      <w:r>
        <w:t>, shall be allocated</w:t>
      </w:r>
      <w:r w:rsidRPr="0012618F">
        <w:t xml:space="preserve"> </w:t>
      </w:r>
      <w:r>
        <w:t xml:space="preserve">amongst all </w:t>
      </w:r>
      <w:r w:rsidRPr="0012618F">
        <w:t xml:space="preserve">DSPs and ELSEs </w:t>
      </w:r>
      <w:r>
        <w:t xml:space="preserve">that are included in the ERCOT 4-CP Report </w:t>
      </w:r>
      <w:r w:rsidRPr="0012618F">
        <w:t>on a pro rata basis as per the formula below:</w:t>
      </w:r>
    </w:p>
    <w:p w14:paraId="04286444" w14:textId="77777777" w:rsidR="00ED35B9" w:rsidRPr="003459E3" w:rsidRDefault="00ED35B9" w:rsidP="00ED35B9">
      <w:pPr>
        <w:spacing w:after="240"/>
        <w:ind w:left="720"/>
        <w:rPr>
          <w:b/>
        </w:rPr>
      </w:pPr>
      <w:r w:rsidRPr="003459E3">
        <w:rPr>
          <w:b/>
        </w:rPr>
        <w:t xml:space="preserve">LTDSP_4CP </w:t>
      </w:r>
      <w:r w:rsidRPr="003459E3">
        <w:rPr>
          <w:b/>
          <w:i/>
          <w:vertAlign w:val="subscript"/>
        </w:rPr>
        <w:t>tdsp</w:t>
      </w:r>
      <w:r w:rsidRPr="003459E3">
        <w:rPr>
          <w:b/>
          <w:vertAlign w:val="subscript"/>
        </w:rPr>
        <w:t xml:space="preserve"> = </w:t>
      </w:r>
      <w:r w:rsidRPr="003459E3">
        <w:rPr>
          <w:b/>
        </w:rPr>
        <w:t xml:space="preserve">(PLTDSP4CPLRS </w:t>
      </w:r>
      <w:r w:rsidRPr="003459E3">
        <w:rPr>
          <w:b/>
          <w:vertAlign w:val="subscript"/>
        </w:rPr>
        <w:t>t</w:t>
      </w:r>
      <w:r w:rsidRPr="003459E3">
        <w:rPr>
          <w:b/>
          <w:i/>
          <w:vertAlign w:val="subscript"/>
        </w:rPr>
        <w:t>dsp</w:t>
      </w:r>
      <w:r w:rsidRPr="003459E3">
        <w:rPr>
          <w:b/>
        </w:rPr>
        <w:t xml:space="preserve"> * NLADJ) + PLTDSP4CP </w:t>
      </w:r>
      <w:r w:rsidRPr="003459E3">
        <w:rPr>
          <w:b/>
          <w:i/>
          <w:vertAlign w:val="subscript"/>
        </w:rPr>
        <w:t>tdsp</w:t>
      </w:r>
    </w:p>
    <w:p w14:paraId="1C9B4824" w14:textId="77777777" w:rsidR="00ED35B9" w:rsidRPr="0012618F" w:rsidRDefault="00ED35B9" w:rsidP="00ED35B9">
      <w:pPr>
        <w:ind w:left="720" w:hanging="720"/>
      </w:pPr>
      <w:r w:rsidRPr="0012618F">
        <w:t>The above variables are defined as follows: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808"/>
        <w:gridCol w:w="6482"/>
      </w:tblGrid>
      <w:tr w:rsidR="00ED35B9" w:rsidRPr="0012618F" w14:paraId="5F3ADFEC" w14:textId="77777777" w:rsidTr="00FF55EB">
        <w:trPr>
          <w:cantSplit/>
          <w:tblHeader/>
        </w:trPr>
        <w:tc>
          <w:tcPr>
            <w:tcW w:w="1104" w:type="pct"/>
          </w:tcPr>
          <w:p w14:paraId="0C2B52D7" w14:textId="77777777" w:rsidR="00ED35B9" w:rsidRPr="0012618F" w:rsidRDefault="00ED35B9" w:rsidP="00FF55EB">
            <w:pPr>
              <w:spacing w:after="120"/>
              <w:rPr>
                <w:b/>
                <w:iCs/>
                <w:sz w:val="20"/>
              </w:rPr>
            </w:pPr>
            <w:r w:rsidRPr="0012618F">
              <w:rPr>
                <w:b/>
                <w:iCs/>
                <w:sz w:val="20"/>
              </w:rPr>
              <w:t>Variable</w:t>
            </w:r>
          </w:p>
        </w:tc>
        <w:tc>
          <w:tcPr>
            <w:tcW w:w="432" w:type="pct"/>
          </w:tcPr>
          <w:p w14:paraId="7515B9B3" w14:textId="77777777" w:rsidR="00ED35B9" w:rsidRPr="0012618F" w:rsidRDefault="00ED35B9" w:rsidP="00FF55EB">
            <w:pPr>
              <w:spacing w:after="120"/>
              <w:rPr>
                <w:b/>
                <w:iCs/>
                <w:sz w:val="20"/>
              </w:rPr>
            </w:pPr>
            <w:r w:rsidRPr="0012618F">
              <w:rPr>
                <w:b/>
                <w:iCs/>
                <w:sz w:val="20"/>
              </w:rPr>
              <w:t>Unit</w:t>
            </w:r>
          </w:p>
        </w:tc>
        <w:tc>
          <w:tcPr>
            <w:tcW w:w="3464" w:type="pct"/>
          </w:tcPr>
          <w:p w14:paraId="5D81FFB0" w14:textId="77777777" w:rsidR="00ED35B9" w:rsidRPr="0012618F" w:rsidRDefault="00ED35B9" w:rsidP="00FF55EB">
            <w:pPr>
              <w:spacing w:after="120"/>
              <w:rPr>
                <w:b/>
                <w:iCs/>
                <w:sz w:val="20"/>
              </w:rPr>
            </w:pPr>
            <w:r w:rsidRPr="0012618F">
              <w:rPr>
                <w:b/>
                <w:iCs/>
                <w:sz w:val="20"/>
              </w:rPr>
              <w:t>Definition</w:t>
            </w:r>
          </w:p>
        </w:tc>
      </w:tr>
      <w:tr w:rsidR="00ED35B9" w:rsidRPr="0012618F" w14:paraId="48FCD388" w14:textId="77777777" w:rsidTr="00FF55EB">
        <w:trPr>
          <w:cantSplit/>
        </w:trPr>
        <w:tc>
          <w:tcPr>
            <w:tcW w:w="1104" w:type="pct"/>
          </w:tcPr>
          <w:p w14:paraId="70AD4A88" w14:textId="77777777" w:rsidR="00ED35B9" w:rsidRPr="0012618F" w:rsidRDefault="00ED35B9" w:rsidP="00FF55EB">
            <w:pPr>
              <w:spacing w:after="60"/>
              <w:rPr>
                <w:iCs/>
                <w:sz w:val="20"/>
              </w:rPr>
            </w:pPr>
            <w:r w:rsidRPr="0012618F">
              <w:rPr>
                <w:iCs/>
                <w:sz w:val="20"/>
              </w:rPr>
              <w:t>LTDSP_4CP</w:t>
            </w:r>
            <w:r>
              <w:rPr>
                <w:iCs/>
                <w:sz w:val="20"/>
              </w:rPr>
              <w:t xml:space="preserve"> </w:t>
            </w:r>
            <w:r w:rsidRPr="0012618F">
              <w:rPr>
                <w:i/>
                <w:iCs/>
                <w:sz w:val="20"/>
                <w:vertAlign w:val="subscript"/>
              </w:rPr>
              <w:t>tdsp</w:t>
            </w:r>
          </w:p>
        </w:tc>
        <w:tc>
          <w:tcPr>
            <w:tcW w:w="432" w:type="pct"/>
          </w:tcPr>
          <w:p w14:paraId="43112F87" w14:textId="77777777" w:rsidR="00ED35B9" w:rsidRPr="0012618F" w:rsidRDefault="00ED35B9" w:rsidP="00FF55EB">
            <w:pPr>
              <w:spacing w:after="60"/>
              <w:rPr>
                <w:iCs/>
                <w:sz w:val="20"/>
              </w:rPr>
            </w:pPr>
            <w:r w:rsidRPr="0012618F">
              <w:rPr>
                <w:iCs/>
                <w:sz w:val="20"/>
              </w:rPr>
              <w:t>MWh</w:t>
            </w:r>
          </w:p>
        </w:tc>
        <w:tc>
          <w:tcPr>
            <w:tcW w:w="3464" w:type="pct"/>
          </w:tcPr>
          <w:p w14:paraId="05592C15" w14:textId="77777777" w:rsidR="00ED35B9" w:rsidRPr="0012618F" w:rsidRDefault="00ED35B9" w:rsidP="00FF55EB">
            <w:pPr>
              <w:spacing w:after="60"/>
              <w:rPr>
                <w:i/>
                <w:iCs/>
                <w:sz w:val="20"/>
              </w:rPr>
            </w:pPr>
            <w:r w:rsidRPr="0012618F">
              <w:rPr>
                <w:i/>
                <w:iCs/>
                <w:sz w:val="20"/>
              </w:rPr>
              <w:t>Load by TDSP for 4-CP</w:t>
            </w:r>
            <w:r w:rsidRPr="0012618F">
              <w:rPr>
                <w:iCs/>
                <w:sz w:val="20"/>
              </w:rPr>
              <w:t xml:space="preserve"> - The load for each DSP and ELSE coincident to the coincidental MW peak adjusted for NLADJ</w:t>
            </w:r>
          </w:p>
        </w:tc>
      </w:tr>
      <w:tr w:rsidR="00ED35B9" w:rsidRPr="0012618F" w14:paraId="1E2A7BFF" w14:textId="77777777" w:rsidTr="00FF55EB">
        <w:trPr>
          <w:cantSplit/>
        </w:trPr>
        <w:tc>
          <w:tcPr>
            <w:tcW w:w="1104" w:type="pct"/>
          </w:tcPr>
          <w:p w14:paraId="264BE133" w14:textId="77777777" w:rsidR="00ED35B9" w:rsidRPr="0012618F" w:rsidRDefault="00ED35B9" w:rsidP="00FF55EB">
            <w:pPr>
              <w:spacing w:after="60"/>
              <w:rPr>
                <w:iCs/>
                <w:sz w:val="20"/>
              </w:rPr>
            </w:pPr>
            <w:r w:rsidRPr="0012618F">
              <w:rPr>
                <w:iCs/>
                <w:sz w:val="20"/>
              </w:rPr>
              <w:t>PLTDSP4CPLRS</w:t>
            </w:r>
            <w:r>
              <w:rPr>
                <w:iCs/>
                <w:sz w:val="20"/>
              </w:rPr>
              <w:t xml:space="preserve"> </w:t>
            </w:r>
            <w:r w:rsidRPr="0012618F">
              <w:rPr>
                <w:i/>
                <w:iCs/>
                <w:sz w:val="20"/>
                <w:vertAlign w:val="subscript"/>
              </w:rPr>
              <w:t>tdsp</w:t>
            </w:r>
          </w:p>
        </w:tc>
        <w:tc>
          <w:tcPr>
            <w:tcW w:w="432" w:type="pct"/>
          </w:tcPr>
          <w:p w14:paraId="480B1E5E" w14:textId="77777777" w:rsidR="00ED35B9" w:rsidRPr="0012618F" w:rsidRDefault="00ED35B9" w:rsidP="00FF55EB">
            <w:pPr>
              <w:spacing w:after="60"/>
              <w:rPr>
                <w:iCs/>
                <w:sz w:val="20"/>
              </w:rPr>
            </w:pPr>
            <w:r w:rsidRPr="0012618F">
              <w:rPr>
                <w:iCs/>
                <w:sz w:val="20"/>
              </w:rPr>
              <w:t>%</w:t>
            </w:r>
          </w:p>
        </w:tc>
        <w:tc>
          <w:tcPr>
            <w:tcW w:w="3464" w:type="pct"/>
          </w:tcPr>
          <w:p w14:paraId="6D98E8DE" w14:textId="77777777" w:rsidR="00ED35B9" w:rsidRPr="0012618F" w:rsidRDefault="00ED35B9" w:rsidP="00FF55EB">
            <w:pPr>
              <w:spacing w:after="60"/>
              <w:rPr>
                <w:i/>
                <w:iCs/>
                <w:sz w:val="20"/>
              </w:rPr>
            </w:pPr>
            <w:r w:rsidRPr="0012618F">
              <w:rPr>
                <w:i/>
                <w:sz w:val="20"/>
              </w:rPr>
              <w:t xml:space="preserve">Preliminary </w:t>
            </w:r>
            <w:r w:rsidRPr="0012618F">
              <w:rPr>
                <w:i/>
                <w:iCs/>
                <w:sz w:val="20"/>
              </w:rPr>
              <w:t>Load by TDSP for 4-CP Load Ratio Share</w:t>
            </w:r>
            <w:r w:rsidRPr="0012618F">
              <w:rPr>
                <w:iCs/>
                <w:sz w:val="20"/>
              </w:rPr>
              <w:t xml:space="preserve"> -</w:t>
            </w:r>
            <w:r w:rsidRPr="0012618F">
              <w:rPr>
                <w:i/>
                <w:iCs/>
                <w:sz w:val="20"/>
              </w:rPr>
              <w:t xml:space="preserve"> </w:t>
            </w:r>
            <w:r w:rsidRPr="0012618F">
              <w:rPr>
                <w:iCs/>
                <w:sz w:val="20"/>
              </w:rPr>
              <w:t>The Load Ratio Share (LRS) for each DSP and ELSE coincident to the coincidental MW peak prior to adjusting for NLADJ</w:t>
            </w:r>
          </w:p>
        </w:tc>
      </w:tr>
      <w:tr w:rsidR="00ED35B9" w:rsidRPr="0012618F" w14:paraId="0B38590F" w14:textId="77777777" w:rsidTr="00FF55EB">
        <w:trPr>
          <w:cantSplit/>
        </w:trPr>
        <w:tc>
          <w:tcPr>
            <w:tcW w:w="1104" w:type="pct"/>
          </w:tcPr>
          <w:p w14:paraId="5EE3961D" w14:textId="77777777" w:rsidR="00ED35B9" w:rsidRPr="0012618F" w:rsidRDefault="00ED35B9" w:rsidP="00FF55EB">
            <w:pPr>
              <w:spacing w:after="60"/>
              <w:rPr>
                <w:iCs/>
                <w:sz w:val="20"/>
              </w:rPr>
            </w:pPr>
            <w:r w:rsidRPr="0012618F">
              <w:rPr>
                <w:sz w:val="20"/>
              </w:rPr>
              <w:t>NLADJ</w:t>
            </w:r>
          </w:p>
        </w:tc>
        <w:tc>
          <w:tcPr>
            <w:tcW w:w="432" w:type="pct"/>
          </w:tcPr>
          <w:p w14:paraId="5C02C461" w14:textId="77777777" w:rsidR="00ED35B9" w:rsidRPr="0012618F" w:rsidRDefault="00ED35B9" w:rsidP="003459E3">
            <w:pPr>
              <w:spacing w:after="60"/>
              <w:rPr>
                <w:iCs/>
                <w:sz w:val="20"/>
              </w:rPr>
            </w:pPr>
            <w:r w:rsidRPr="0012618F">
              <w:rPr>
                <w:iCs/>
                <w:sz w:val="20"/>
              </w:rPr>
              <w:t>MW</w:t>
            </w:r>
            <w:r w:rsidR="003459E3">
              <w:rPr>
                <w:iCs/>
                <w:sz w:val="20"/>
              </w:rPr>
              <w:t>h</w:t>
            </w:r>
          </w:p>
        </w:tc>
        <w:tc>
          <w:tcPr>
            <w:tcW w:w="3464" w:type="pct"/>
          </w:tcPr>
          <w:p w14:paraId="7134A204" w14:textId="77777777" w:rsidR="00ED35B9" w:rsidRPr="0012618F" w:rsidRDefault="00ED35B9" w:rsidP="003459E3">
            <w:pPr>
              <w:tabs>
                <w:tab w:val="left" w:pos="1080"/>
                <w:tab w:val="left" w:pos="5940"/>
                <w:tab w:val="left" w:pos="6300"/>
                <w:tab w:val="left" w:pos="6840"/>
              </w:tabs>
              <w:rPr>
                <w:lang w:val="pt-BR"/>
              </w:rPr>
            </w:pPr>
            <w:r w:rsidRPr="0012618F">
              <w:rPr>
                <w:i/>
                <w:iCs/>
                <w:sz w:val="20"/>
              </w:rPr>
              <w:t>Native Load Adjustment</w:t>
            </w:r>
            <w:r w:rsidRPr="0012618F">
              <w:rPr>
                <w:iCs/>
                <w:sz w:val="20"/>
              </w:rPr>
              <w:t xml:space="preserve"> - The </w:t>
            </w:r>
            <w:r w:rsidRPr="0012618F">
              <w:rPr>
                <w:sz w:val="20"/>
              </w:rPr>
              <w:t>difference between the coincidental MW peak (converted to MWh) and the ERCOT settlement volumes</w:t>
            </w:r>
            <w:r>
              <w:rPr>
                <w:sz w:val="20"/>
              </w:rPr>
              <w:t>,</w:t>
            </w:r>
            <w:r w:rsidRPr="0012618F">
              <w:rPr>
                <w:sz w:val="20"/>
              </w:rPr>
              <w:t xml:space="preserve"> excluding DC Tie exports, </w:t>
            </w:r>
            <w:r w:rsidRPr="0012618F">
              <w:rPr>
                <w:color w:val="000000"/>
                <w:sz w:val="20"/>
              </w:rPr>
              <w:t>BLTs to ERCOT from another Control Area that are not reflected in a NOIE’s Load, and WSL</w:t>
            </w:r>
          </w:p>
        </w:tc>
      </w:tr>
      <w:tr w:rsidR="00ED35B9" w:rsidRPr="0012618F" w14:paraId="57E8AAEF" w14:textId="77777777" w:rsidTr="00FF55EB">
        <w:trPr>
          <w:cantSplit/>
        </w:trPr>
        <w:tc>
          <w:tcPr>
            <w:tcW w:w="1104" w:type="pct"/>
          </w:tcPr>
          <w:p w14:paraId="0BBD539E" w14:textId="77777777" w:rsidR="00ED35B9" w:rsidRPr="0012618F" w:rsidRDefault="00ED35B9" w:rsidP="00FF55EB">
            <w:pPr>
              <w:spacing w:after="60"/>
              <w:rPr>
                <w:sz w:val="20"/>
              </w:rPr>
            </w:pPr>
            <w:r w:rsidRPr="0012618F">
              <w:rPr>
                <w:sz w:val="20"/>
              </w:rPr>
              <w:t>PLTDSP4CP</w:t>
            </w:r>
            <w:r>
              <w:rPr>
                <w:sz w:val="20"/>
              </w:rPr>
              <w:t xml:space="preserve"> </w:t>
            </w:r>
            <w:r w:rsidRPr="0012618F">
              <w:rPr>
                <w:i/>
                <w:sz w:val="20"/>
                <w:vertAlign w:val="subscript"/>
              </w:rPr>
              <w:t>tdsp</w:t>
            </w:r>
          </w:p>
        </w:tc>
        <w:tc>
          <w:tcPr>
            <w:tcW w:w="432" w:type="pct"/>
          </w:tcPr>
          <w:p w14:paraId="793D8C97" w14:textId="77777777" w:rsidR="00ED35B9" w:rsidRPr="0012618F" w:rsidRDefault="00ED35B9" w:rsidP="003459E3">
            <w:pPr>
              <w:spacing w:after="60"/>
              <w:rPr>
                <w:iCs/>
                <w:sz w:val="20"/>
              </w:rPr>
            </w:pPr>
            <w:r w:rsidRPr="0012618F">
              <w:rPr>
                <w:iCs/>
                <w:sz w:val="20"/>
              </w:rPr>
              <w:t>MW</w:t>
            </w:r>
            <w:r w:rsidR="003459E3">
              <w:rPr>
                <w:iCs/>
                <w:sz w:val="20"/>
              </w:rPr>
              <w:t>h</w:t>
            </w:r>
          </w:p>
        </w:tc>
        <w:tc>
          <w:tcPr>
            <w:tcW w:w="3464" w:type="pct"/>
          </w:tcPr>
          <w:p w14:paraId="494785E6" w14:textId="77777777" w:rsidR="00ED35B9" w:rsidRPr="0012618F" w:rsidRDefault="00ED35B9" w:rsidP="00FF55EB">
            <w:pPr>
              <w:spacing w:after="60"/>
              <w:rPr>
                <w:sz w:val="20"/>
              </w:rPr>
            </w:pPr>
            <w:r w:rsidRPr="0012618F">
              <w:rPr>
                <w:i/>
                <w:sz w:val="20"/>
              </w:rPr>
              <w:t xml:space="preserve">Preliminary </w:t>
            </w:r>
            <w:r w:rsidRPr="0012618F">
              <w:rPr>
                <w:i/>
                <w:iCs/>
                <w:sz w:val="20"/>
              </w:rPr>
              <w:t>Load by TDSP for 4CP</w:t>
            </w:r>
            <w:r w:rsidRPr="0012618F">
              <w:rPr>
                <w:iCs/>
                <w:sz w:val="20"/>
              </w:rPr>
              <w:t xml:space="preserve"> -</w:t>
            </w:r>
            <w:r w:rsidRPr="0012618F">
              <w:rPr>
                <w:i/>
                <w:iCs/>
                <w:sz w:val="20"/>
              </w:rPr>
              <w:t xml:space="preserve"> </w:t>
            </w:r>
            <w:r w:rsidRPr="0012618F">
              <w:rPr>
                <w:iCs/>
                <w:sz w:val="20"/>
              </w:rPr>
              <w:t>The Load for each DSP and ELSE coincident to the coincidental MW peak prior to adjusting for NLADJ</w:t>
            </w:r>
          </w:p>
        </w:tc>
      </w:tr>
      <w:tr w:rsidR="00ED35B9" w:rsidRPr="0012618F" w14:paraId="69576E38" w14:textId="77777777" w:rsidTr="00FF55EB">
        <w:trPr>
          <w:cantSplit/>
        </w:trPr>
        <w:tc>
          <w:tcPr>
            <w:tcW w:w="1104" w:type="pct"/>
          </w:tcPr>
          <w:p w14:paraId="13F27FA0" w14:textId="77777777" w:rsidR="00ED35B9" w:rsidRPr="0012618F" w:rsidRDefault="00ED35B9" w:rsidP="00FF55EB">
            <w:pPr>
              <w:spacing w:after="60"/>
              <w:rPr>
                <w:sz w:val="20"/>
              </w:rPr>
            </w:pPr>
            <w:r w:rsidRPr="0012618F">
              <w:rPr>
                <w:i/>
                <w:sz w:val="20"/>
              </w:rPr>
              <w:t>tdsp</w:t>
            </w:r>
          </w:p>
        </w:tc>
        <w:tc>
          <w:tcPr>
            <w:tcW w:w="432" w:type="pct"/>
          </w:tcPr>
          <w:p w14:paraId="5916C6B6" w14:textId="77777777" w:rsidR="00ED35B9" w:rsidRPr="0012618F" w:rsidRDefault="00ED35B9" w:rsidP="00FF55EB">
            <w:pPr>
              <w:spacing w:after="60"/>
              <w:rPr>
                <w:sz w:val="20"/>
              </w:rPr>
            </w:pPr>
            <w:r w:rsidRPr="0012618F">
              <w:rPr>
                <w:sz w:val="20"/>
              </w:rPr>
              <w:t>None</w:t>
            </w:r>
          </w:p>
        </w:tc>
        <w:tc>
          <w:tcPr>
            <w:tcW w:w="3464" w:type="pct"/>
          </w:tcPr>
          <w:p w14:paraId="59D206B0" w14:textId="77777777" w:rsidR="00ED35B9" w:rsidRPr="0012618F" w:rsidRDefault="00ED35B9" w:rsidP="00FF55EB">
            <w:pPr>
              <w:spacing w:after="60"/>
              <w:rPr>
                <w:i/>
                <w:sz w:val="20"/>
              </w:rPr>
            </w:pPr>
            <w:r w:rsidRPr="0012618F">
              <w:rPr>
                <w:sz w:val="20"/>
              </w:rPr>
              <w:t>A DSP or ELSE</w:t>
            </w:r>
          </w:p>
        </w:tc>
      </w:tr>
    </w:tbl>
    <w:p w14:paraId="5A2C43D7" w14:textId="77777777" w:rsidR="002F5868" w:rsidRPr="008910B8" w:rsidRDefault="00DD1AC6" w:rsidP="00C10591">
      <w:pPr>
        <w:pStyle w:val="H3"/>
        <w:spacing w:before="480"/>
        <w:rPr>
          <w:b/>
          <w:i/>
        </w:rPr>
      </w:pPr>
      <w:bookmarkStart w:id="511" w:name="_Toc80175318"/>
      <w:r w:rsidRPr="008910B8">
        <w:rPr>
          <w:b/>
          <w:i/>
        </w:rPr>
        <w:lastRenderedPageBreak/>
        <w:t>9.17.2</w:t>
      </w:r>
      <w:r w:rsidRPr="008910B8">
        <w:rPr>
          <w:b/>
          <w:i/>
        </w:rPr>
        <w:tab/>
        <w:t>Direct Current Tie Schedule Information</w:t>
      </w:r>
      <w:bookmarkEnd w:id="506"/>
      <w:bookmarkEnd w:id="507"/>
      <w:bookmarkEnd w:id="508"/>
      <w:bookmarkEnd w:id="509"/>
      <w:bookmarkEnd w:id="510"/>
      <w:bookmarkEnd w:id="511"/>
    </w:p>
    <w:p w14:paraId="6F3385B7" w14:textId="77777777" w:rsidR="002F5868" w:rsidRDefault="00DD1AC6">
      <w:pPr>
        <w:pStyle w:val="BodyTextNumbered"/>
      </w:pPr>
      <w:r>
        <w:t>(1)</w:t>
      </w:r>
      <w:r>
        <w:tab/>
      </w:r>
      <w:r w:rsidR="00E51290">
        <w:t>Within ten Business Days of receipt of a request by a TSP or DSP for data pertaining to transactions over the DC Ties for the immediately preceding month</w:t>
      </w:r>
      <w:r>
        <w:t xml:space="preserve">, ERCOT shall provide the following </w:t>
      </w:r>
      <w:r w:rsidR="00E75557">
        <w:t>Electronic T</w:t>
      </w:r>
      <w:r>
        <w:t>ag</w:t>
      </w:r>
      <w:r w:rsidR="00E75557">
        <w:t xml:space="preserve"> (e-Tag)</w:t>
      </w:r>
      <w:r>
        <w:t xml:space="preserve"> data:</w:t>
      </w:r>
    </w:p>
    <w:p w14:paraId="269DABED" w14:textId="77777777" w:rsidR="002F5868" w:rsidRDefault="00DD1AC6">
      <w:pPr>
        <w:pStyle w:val="List"/>
      </w:pPr>
      <w:r>
        <w:t>(a)</w:t>
      </w:r>
      <w:r>
        <w:tab/>
        <w:t>Tagging identifier (Tag Code);</w:t>
      </w:r>
    </w:p>
    <w:p w14:paraId="09D9730D" w14:textId="77777777" w:rsidR="002F5868" w:rsidRDefault="00DD1AC6">
      <w:pPr>
        <w:pStyle w:val="List"/>
      </w:pPr>
      <w:r>
        <w:t>(b)</w:t>
      </w:r>
      <w:r>
        <w:tab/>
        <w:t xml:space="preserve">Date of transaction; </w:t>
      </w:r>
    </w:p>
    <w:p w14:paraId="761F65ED" w14:textId="77777777" w:rsidR="002F5868" w:rsidRDefault="00DD1AC6">
      <w:pPr>
        <w:pStyle w:val="List"/>
      </w:pPr>
      <w:r>
        <w:t>(</w:t>
      </w:r>
      <w:r w:rsidR="00E51290">
        <w:t>c</w:t>
      </w:r>
      <w:r>
        <w:t>)</w:t>
      </w:r>
      <w:r>
        <w:tab/>
        <w:t>Megawatt-hours (MWh) actually transferred;</w:t>
      </w:r>
    </w:p>
    <w:p w14:paraId="2D963BBF" w14:textId="77777777" w:rsidR="002F5868" w:rsidRDefault="00DD1AC6">
      <w:pPr>
        <w:pStyle w:val="List"/>
      </w:pPr>
      <w:r>
        <w:t>(</w:t>
      </w:r>
      <w:r w:rsidR="00E51290">
        <w:t>d</w:t>
      </w:r>
      <w:r>
        <w:t>)</w:t>
      </w:r>
      <w:r>
        <w:tab/>
        <w:t>Sending Generation Control Area (GCA);</w:t>
      </w:r>
    </w:p>
    <w:p w14:paraId="777ED198" w14:textId="77777777" w:rsidR="002F5868" w:rsidRDefault="00DD1AC6">
      <w:pPr>
        <w:pStyle w:val="List"/>
      </w:pPr>
      <w:r>
        <w:t>(</w:t>
      </w:r>
      <w:r w:rsidR="00E51290">
        <w:t>e</w:t>
      </w:r>
      <w:r>
        <w:t>)</w:t>
      </w:r>
      <w:r>
        <w:tab/>
        <w:t>Receiving Load Control Area (LCA);</w:t>
      </w:r>
    </w:p>
    <w:p w14:paraId="573BB1CC" w14:textId="77777777" w:rsidR="002F5868" w:rsidRDefault="00DD1AC6">
      <w:pPr>
        <w:pStyle w:val="List"/>
      </w:pPr>
      <w:r>
        <w:t>(</w:t>
      </w:r>
      <w:r w:rsidR="00E51290">
        <w:t>f</w:t>
      </w:r>
      <w:r>
        <w:t>)</w:t>
      </w:r>
      <w:r>
        <w:tab/>
        <w:t>Purchasing / Scheduling Entity (PSE);</w:t>
      </w:r>
    </w:p>
    <w:p w14:paraId="2820C96F" w14:textId="77777777" w:rsidR="002F5868" w:rsidRDefault="00DD1AC6">
      <w:pPr>
        <w:pStyle w:val="List"/>
      </w:pPr>
      <w:r>
        <w:t>(</w:t>
      </w:r>
      <w:r w:rsidR="00E51290">
        <w:t>g</w:t>
      </w:r>
      <w:r>
        <w:t>)</w:t>
      </w:r>
      <w:r>
        <w:tab/>
        <w:t>Entity scheduling the export of power over a DC Tie; and</w:t>
      </w:r>
    </w:p>
    <w:p w14:paraId="0CDC7780" w14:textId="77777777" w:rsidR="002F5868" w:rsidRDefault="00DD1AC6">
      <w:pPr>
        <w:pStyle w:val="List"/>
      </w:pPr>
      <w:r>
        <w:t>(</w:t>
      </w:r>
      <w:r w:rsidR="00E51290">
        <w:t>h</w:t>
      </w:r>
      <w:r>
        <w:t>)</w:t>
      </w:r>
      <w:r>
        <w:tab/>
        <w:t>Status of Transaction (Implement, Withdrawn, Cancelled, Conditional, etc.).</w:t>
      </w:r>
    </w:p>
    <w:p w14:paraId="00E12A9E" w14:textId="77777777" w:rsidR="002F5868" w:rsidRDefault="00DD1AC6">
      <w:pPr>
        <w:pStyle w:val="BodyTextNumbered"/>
      </w:pPr>
      <w:r>
        <w:t>(2)</w:t>
      </w:r>
      <w:r>
        <w:tab/>
        <w:t xml:space="preserve">ERCOT shall maintain and provide the requesting </w:t>
      </w:r>
      <w:smartTag w:uri="urn:schemas-microsoft-com:office:smarttags" w:element="stockticker">
        <w:r>
          <w:t>TSP</w:t>
        </w:r>
      </w:smartTag>
      <w:r>
        <w:t xml:space="preserve"> or DSP data pertaining to transactions over the DC Ties for the period from June 2001 to the present.  For each transaction, the same data as specified in paragraph (1) above, must be provided.</w:t>
      </w:r>
    </w:p>
    <w:p w14:paraId="592C9CF4" w14:textId="77777777" w:rsidR="002F5868" w:rsidRDefault="00DD1AC6">
      <w:pPr>
        <w:pStyle w:val="H2"/>
      </w:pPr>
      <w:bookmarkStart w:id="512" w:name="_Toc309731109"/>
      <w:bookmarkStart w:id="513" w:name="_Toc405814083"/>
      <w:bookmarkStart w:id="514" w:name="_Toc422207974"/>
      <w:bookmarkStart w:id="515" w:name="_Toc438044885"/>
      <w:bookmarkStart w:id="516" w:name="_Toc447622668"/>
      <w:bookmarkStart w:id="517" w:name="_Toc80175319"/>
      <w:r>
        <w:t>9.18</w:t>
      </w:r>
      <w:r>
        <w:tab/>
        <w:t>Profile Development Cost Recovery Fee for Non-ERCOT Sponsored Load Profile Segment</w:t>
      </w:r>
      <w:bookmarkEnd w:id="512"/>
      <w:bookmarkEnd w:id="513"/>
      <w:bookmarkEnd w:id="514"/>
      <w:bookmarkEnd w:id="515"/>
      <w:bookmarkEnd w:id="516"/>
      <w:bookmarkEnd w:id="517"/>
    </w:p>
    <w:p w14:paraId="1F8E2744" w14:textId="77777777" w:rsidR="002F5868" w:rsidRDefault="00DD1AC6">
      <w:pPr>
        <w:pStyle w:val="BodyTextNumbered"/>
      </w:pPr>
      <w:r>
        <w:t>(1)</w:t>
      </w:r>
      <w:r>
        <w:tab/>
        <w:t>Paragraph (e)(3) of P.U.C. S</w:t>
      </w:r>
      <w:r w:rsidR="0060131A" w:rsidRPr="0060131A">
        <w:rPr>
          <w:smallCaps/>
        </w:rPr>
        <w:t>ubst</w:t>
      </w:r>
      <w:r>
        <w:t>. R. 25.131</w:t>
      </w:r>
      <w:r w:rsidR="00E559DF">
        <w:t xml:space="preserve">, </w:t>
      </w:r>
      <w:r>
        <w:t>Load Profiling and Load Research</w:t>
      </w:r>
      <w:r w:rsidR="00E559DF">
        <w:t>,</w:t>
      </w:r>
      <w:r>
        <w:t xml:space="preserve"> requires that ERCOT establish and implement a process to collect a fee from any Retail Electric Provider (</w:t>
      </w:r>
      <w:smartTag w:uri="urn:schemas-microsoft-com:office:smarttags" w:element="stockticker">
        <w:r>
          <w:t>REP</w:t>
        </w:r>
      </w:smartTag>
      <w:r>
        <w:t xml:space="preserve">) who seeks to assign customers to a non-ERCOT sponsored profile segment.  The process must include a method for other REPs who use the profile segment to compensate the original requestor of the new profile segment and for ERCOT to notify </w:t>
      </w:r>
      <w:r w:rsidR="00E559DF">
        <w:t>Distribution Service Providers (</w:t>
      </w:r>
      <w:r>
        <w:t>DSPs</w:t>
      </w:r>
      <w:r w:rsidR="00E559DF">
        <w:t>)</w:t>
      </w:r>
      <w:r>
        <w:t xml:space="preserve"> which REPs are authorized to use the new profile segment.  This profile development cost recovery fee is overseen by ERCOT.</w:t>
      </w:r>
    </w:p>
    <w:p w14:paraId="2B852CDA" w14:textId="77777777" w:rsidR="002F5868" w:rsidRDefault="00DD1AC6">
      <w:pPr>
        <w:pStyle w:val="BodyTextNumbered"/>
      </w:pPr>
      <w:r>
        <w:t>(2)</w:t>
      </w:r>
      <w:r>
        <w:tab/>
        <w:t>Within 30 days after a profile segment receives final approval from ERCOT, the requestor shall submit to ERCOT documentation of the costs it incurred in developing the profile segment change request.  All such documentation must be available for review by any Market Participant.  Any costs submitted more than 30 days after approval of the profile segment will not be recoverable.  Recoverable costs must be directly attributable to the creation of the profile segment change request, incurred no earlier than 24 months preceding the original submission date of the profile segment change request, and must be further limited to:</w:t>
      </w:r>
    </w:p>
    <w:p w14:paraId="2F16762C" w14:textId="77777777" w:rsidR="002F5868" w:rsidRDefault="00DD1AC6">
      <w:pPr>
        <w:pStyle w:val="List"/>
      </w:pPr>
      <w:r>
        <w:lastRenderedPageBreak/>
        <w:t>(a)</w:t>
      </w:r>
      <w:r>
        <w:tab/>
        <w:t>Costs for Load research as paid to DSPs or ERCOT, documented by a copy of all DSP or ERCOT Invoices or other evidence of payment, including but not limited to:</w:t>
      </w:r>
    </w:p>
    <w:p w14:paraId="0BC03AB2" w14:textId="77777777" w:rsidR="002F5868" w:rsidRDefault="00DD1AC6">
      <w:pPr>
        <w:pStyle w:val="List2"/>
      </w:pPr>
      <w:r>
        <w:t>(i)</w:t>
      </w:r>
      <w:r>
        <w:tab/>
        <w:t xml:space="preserve">Buying and installing </w:t>
      </w:r>
      <w:r w:rsidR="008E5C98">
        <w:t>Interval Data Recorders (</w:t>
      </w:r>
      <w:smartTag w:uri="urn:schemas-microsoft-com:office:smarttags" w:element="stockticker">
        <w:r>
          <w:t>IDR</w:t>
        </w:r>
        <w:r w:rsidR="008E5C98">
          <w:t>s)</w:t>
        </w:r>
      </w:smartTag>
      <w:r>
        <w:t>;</w:t>
      </w:r>
    </w:p>
    <w:p w14:paraId="689887CB" w14:textId="77777777" w:rsidR="002F5868" w:rsidRDefault="00DD1AC6">
      <w:pPr>
        <w:pStyle w:val="List2"/>
      </w:pPr>
      <w:r>
        <w:t>(ii)</w:t>
      </w:r>
      <w:r>
        <w:tab/>
        <w:t>Installing communication equipment such as phone lines or cell phones; and</w:t>
      </w:r>
    </w:p>
    <w:p w14:paraId="3E9E5B60" w14:textId="77777777" w:rsidR="002F5868" w:rsidRDefault="00DD1AC6">
      <w:pPr>
        <w:pStyle w:val="List2"/>
      </w:pPr>
      <w:r>
        <w:t>(iii)</w:t>
      </w:r>
      <w:r>
        <w:tab/>
        <w:t>Reading the meters and translating the data.</w:t>
      </w:r>
    </w:p>
    <w:p w14:paraId="5C24498A" w14:textId="77777777" w:rsidR="002F5868" w:rsidRDefault="00DD1AC6">
      <w:pPr>
        <w:pStyle w:val="List"/>
      </w:pPr>
      <w:r>
        <w:t>(b)</w:t>
      </w:r>
      <w:r>
        <w:tab/>
        <w:t>Reasonable costs paid to third parties, including a copy of all third-party invoices or other documentary evidence of payment, including:</w:t>
      </w:r>
    </w:p>
    <w:p w14:paraId="772620E6" w14:textId="77777777" w:rsidR="002F5868" w:rsidRDefault="00DD1AC6">
      <w:pPr>
        <w:pStyle w:val="List2"/>
      </w:pPr>
      <w:r>
        <w:t>(i)</w:t>
      </w:r>
      <w:r>
        <w:tab/>
        <w:t>Defining the request, such as identifying population, profile, data, etc.;</w:t>
      </w:r>
    </w:p>
    <w:p w14:paraId="0CC91BBB" w14:textId="77777777" w:rsidR="002F5868" w:rsidRDefault="00DD1AC6">
      <w:pPr>
        <w:pStyle w:val="List2"/>
      </w:pPr>
      <w:r>
        <w:t>(ii)</w:t>
      </w:r>
      <w:r>
        <w:tab/>
        <w:t>Preparing the request, such as collecting and analyzing data and presenting the case; and</w:t>
      </w:r>
    </w:p>
    <w:p w14:paraId="1A39984C" w14:textId="77777777" w:rsidR="002F5868" w:rsidRDefault="00DD1AC6">
      <w:pPr>
        <w:pStyle w:val="List2"/>
      </w:pPr>
      <w:r>
        <w:t>(iii)</w:t>
      </w:r>
      <w:r>
        <w:tab/>
        <w:t>Undertaking the review process such as meeting with ERCOT, Profiling Working Group (</w:t>
      </w:r>
      <w:smartTag w:uri="urn:schemas-microsoft-com:office:smarttags" w:element="stockticker">
        <w:r>
          <w:t>PWG</w:t>
        </w:r>
      </w:smartTag>
      <w:r>
        <w:t xml:space="preserve">), Retail Market Subcommittee (RMS), </w:t>
      </w:r>
      <w:r w:rsidR="009C65F4">
        <w:t>Technical Advisory Committee (</w:t>
      </w:r>
      <w:smartTag w:uri="urn:schemas-microsoft-com:office:smarttags" w:element="stockticker">
        <w:r>
          <w:t>TAC</w:t>
        </w:r>
        <w:r w:rsidR="009C65F4">
          <w:t>)</w:t>
        </w:r>
      </w:smartTag>
      <w:r>
        <w:t>, and the ERCOT Board.</w:t>
      </w:r>
    </w:p>
    <w:p w14:paraId="2E945A67" w14:textId="77777777" w:rsidR="002F5868" w:rsidRDefault="00DD1AC6">
      <w:pPr>
        <w:pStyle w:val="List"/>
      </w:pPr>
      <w:r>
        <w:t>(c)</w:t>
      </w:r>
      <w:r>
        <w:tab/>
        <w:t>Requestor’s reasonable internal documented costs itemizing all persons, hours, and other expenses associated with developing the request per paragraphs (1) and (2) above.</w:t>
      </w:r>
    </w:p>
    <w:p w14:paraId="0C5CDD24" w14:textId="7D06ED38" w:rsidR="002F5868" w:rsidRDefault="00DD1AC6">
      <w:pPr>
        <w:pStyle w:val="BodyTextNumbered"/>
      </w:pPr>
      <w:r>
        <w:t>(3)</w:t>
      </w:r>
      <w:r>
        <w:tab/>
        <w:t xml:space="preserve">Within 60 days after ERCOT approves a profile segment, ERCOT shall evaluate the costs submitted and shall disallow any costs not meeting these criteria.  The remaining costs must comprise the total reimbursable cost.  Within the same 60-day period, ERCOT shall post a report on the </w:t>
      </w:r>
      <w:r w:rsidR="004B2A63">
        <w:rPr>
          <w:iCs/>
        </w:rPr>
        <w:t>ERCOT website</w:t>
      </w:r>
      <w:r>
        <w:t xml:space="preserve"> summarizing the allowed expenses by paragraphs (1) and (2) above.  If a Market Participant, including the requestor, disagrees with the ERCOT determination with respect to the total reimbursable cost, the Market Participant may submit a dispute as outlined in Section 20</w:t>
      </w:r>
      <w:r w:rsidR="008E5C98">
        <w:t>, Alternative Dispute Resolution Procedure</w:t>
      </w:r>
      <w:r w:rsidR="0064455F">
        <w:t xml:space="preserve"> and Procedure for Return of Settlement Funds</w:t>
      </w:r>
      <w:r>
        <w:t xml:space="preserve">.  No disputes may be submitted after 45 days from posting of the total reimbursable cost to the </w:t>
      </w:r>
      <w:r w:rsidR="004B2A63">
        <w:rPr>
          <w:iCs/>
        </w:rPr>
        <w:t>ERCOT website</w:t>
      </w:r>
      <w:r>
        <w:t xml:space="preserve">. </w:t>
      </w:r>
    </w:p>
    <w:p w14:paraId="619C58A3" w14:textId="77777777" w:rsidR="002F5868" w:rsidRDefault="00DD1AC6">
      <w:pPr>
        <w:pStyle w:val="BodyTextNumbered"/>
      </w:pPr>
      <w:r>
        <w:t>(4)</w:t>
      </w:r>
      <w:r>
        <w:tab/>
        <w:t>The fee is calculated as follows:</w:t>
      </w:r>
    </w:p>
    <w:p w14:paraId="460145A6" w14:textId="77777777" w:rsidR="002F5868" w:rsidRDefault="00DD1AC6">
      <w:pPr>
        <w:pStyle w:val="Formula"/>
      </w:pPr>
      <w:r>
        <w:t xml:space="preserve">If a </w:t>
      </w:r>
      <w:smartTag w:uri="urn:schemas-microsoft-com:office:smarttags" w:element="stockticker">
        <w:r>
          <w:t>REP</w:t>
        </w:r>
      </w:smartTag>
      <w:r>
        <w:t xml:space="preserve"> is the requestor, then:  FEE = $C / n</w:t>
      </w:r>
    </w:p>
    <w:p w14:paraId="39D9C261" w14:textId="77777777" w:rsidR="002F5868" w:rsidRDefault="00DD1AC6">
      <w:pPr>
        <w:pStyle w:val="Formula"/>
      </w:pPr>
      <w:r>
        <w:t xml:space="preserve">If the requestor is not a </w:t>
      </w:r>
      <w:smartTag w:uri="urn:schemas-microsoft-com:office:smarttags" w:element="stockticker">
        <w:r>
          <w:t>REP</w:t>
        </w:r>
      </w:smartTag>
      <w:r>
        <w:t>, then:</w:t>
      </w:r>
    </w:p>
    <w:p w14:paraId="7202CB3E" w14:textId="77777777" w:rsidR="002F5868" w:rsidRDefault="00DD1AC6">
      <w:pPr>
        <w:pStyle w:val="Formula"/>
      </w:pPr>
      <w:r>
        <w:t>FEE = $C / (n + 1)</w:t>
      </w:r>
    </w:p>
    <w:p w14:paraId="703BF8B7" w14:textId="77777777" w:rsidR="002F5868" w:rsidRDefault="00DD1AC6" w:rsidP="000035E6">
      <w:pPr>
        <w:pStyle w:val="BodyText"/>
        <w:spacing w:after="0"/>
      </w:pPr>
      <w: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0"/>
        <w:gridCol w:w="4680"/>
      </w:tblGrid>
      <w:tr w:rsidR="002F5868" w14:paraId="3E987E13" w14:textId="77777777">
        <w:tc>
          <w:tcPr>
            <w:tcW w:w="4788" w:type="dxa"/>
          </w:tcPr>
          <w:p w14:paraId="47C17399" w14:textId="77777777" w:rsidR="002F5868" w:rsidRDefault="00DD1AC6">
            <w:pPr>
              <w:pStyle w:val="TableHead"/>
            </w:pPr>
            <w:r>
              <w:t>Variable</w:t>
            </w:r>
          </w:p>
        </w:tc>
        <w:tc>
          <w:tcPr>
            <w:tcW w:w="4788" w:type="dxa"/>
          </w:tcPr>
          <w:p w14:paraId="637C9CCE" w14:textId="77777777" w:rsidR="002F5868" w:rsidRDefault="00DD1AC6">
            <w:pPr>
              <w:pStyle w:val="TableHead"/>
            </w:pPr>
            <w:r>
              <w:t>Definition</w:t>
            </w:r>
          </w:p>
        </w:tc>
      </w:tr>
      <w:tr w:rsidR="002F5868" w14:paraId="12738FB8" w14:textId="77777777">
        <w:tc>
          <w:tcPr>
            <w:tcW w:w="4788" w:type="dxa"/>
          </w:tcPr>
          <w:p w14:paraId="7B2986AD" w14:textId="77777777" w:rsidR="002F5868" w:rsidRDefault="008E5C98">
            <w:pPr>
              <w:pStyle w:val="TableBody"/>
            </w:pPr>
            <w:r>
              <w:t>n</w:t>
            </w:r>
          </w:p>
        </w:tc>
        <w:tc>
          <w:tcPr>
            <w:tcW w:w="4788" w:type="dxa"/>
          </w:tcPr>
          <w:p w14:paraId="03208AA5" w14:textId="77777777" w:rsidR="002F5868" w:rsidRDefault="00DD1AC6">
            <w:pPr>
              <w:pStyle w:val="TableBody"/>
            </w:pPr>
            <w:r>
              <w:t>The number of REPs subscribing to the profile segment</w:t>
            </w:r>
          </w:p>
        </w:tc>
      </w:tr>
      <w:tr w:rsidR="002F5868" w14:paraId="444F59CC" w14:textId="77777777">
        <w:tc>
          <w:tcPr>
            <w:tcW w:w="4788" w:type="dxa"/>
          </w:tcPr>
          <w:p w14:paraId="765D4D06" w14:textId="77777777" w:rsidR="002F5868" w:rsidRDefault="00DD1AC6">
            <w:pPr>
              <w:pStyle w:val="TableBody"/>
            </w:pPr>
            <w:r>
              <w:lastRenderedPageBreak/>
              <w:t>$C</w:t>
            </w:r>
          </w:p>
        </w:tc>
        <w:tc>
          <w:tcPr>
            <w:tcW w:w="4788" w:type="dxa"/>
          </w:tcPr>
          <w:p w14:paraId="7460E573" w14:textId="77777777" w:rsidR="002F5868" w:rsidRDefault="00DD1AC6">
            <w:pPr>
              <w:pStyle w:val="TableBody"/>
            </w:pPr>
            <w:r>
              <w:t>The total reimbursable cost</w:t>
            </w:r>
          </w:p>
        </w:tc>
      </w:tr>
    </w:tbl>
    <w:p w14:paraId="3334CC0A" w14:textId="77777777" w:rsidR="002F5868" w:rsidRDefault="00DD1AC6" w:rsidP="000035E6">
      <w:pPr>
        <w:pStyle w:val="BodyTextNumbered"/>
        <w:spacing w:before="240"/>
      </w:pPr>
      <w:r>
        <w:t>(5)</w:t>
      </w:r>
      <w:r>
        <w:tab/>
        <w:t xml:space="preserve">The fee must be paid by each successive subscribing </w:t>
      </w:r>
      <w:smartTag w:uri="urn:schemas-microsoft-com:office:smarttags" w:element="stockticker">
        <w:r>
          <w:t>REP</w:t>
        </w:r>
      </w:smartTag>
      <w:r>
        <w:t xml:space="preserve"> to the requestor and any previous subscribing REPs per instructions and validation by ERCOT.  As additional REPs subscribe to the profile segment, the fee is recalculated and reallocated equally among all subscribing REPs and the requestor, if the requestor is not a </w:t>
      </w:r>
      <w:smartTag w:uri="urn:schemas-microsoft-com:office:smarttags" w:element="stockticker">
        <w:r>
          <w:t>REP</w:t>
        </w:r>
      </w:smartTag>
      <w:r>
        <w:t>.</w:t>
      </w:r>
    </w:p>
    <w:p w14:paraId="0B8468D0" w14:textId="77777777" w:rsidR="002F5868" w:rsidRDefault="00DD1AC6">
      <w:pPr>
        <w:pStyle w:val="BodyTextNumbered"/>
      </w:pPr>
      <w:r>
        <w:t>(6)</w:t>
      </w:r>
      <w:r>
        <w:tab/>
        <w:t xml:space="preserve">Beginning four years after the date on which the profile segment becomes available for </w:t>
      </w:r>
      <w:r w:rsidR="008E5C98">
        <w:t>S</w:t>
      </w:r>
      <w:r>
        <w:t xml:space="preserve">ettlement, any </w:t>
      </w:r>
      <w:smartTag w:uri="urn:schemas-microsoft-com:office:smarttags" w:element="stockticker">
        <w:r>
          <w:t>REP</w:t>
        </w:r>
      </w:smartTag>
      <w:r>
        <w:t xml:space="preserve"> may request assignment of </w:t>
      </w:r>
      <w:r w:rsidR="00234DC8">
        <w:t>Electric Service</w:t>
      </w:r>
      <w:r w:rsidR="009C65F4">
        <w:t xml:space="preserve"> Identifiers (</w:t>
      </w:r>
      <w:smartTag w:uri="urn:schemas-microsoft-com:office:smarttags" w:element="stockticker">
        <w:r>
          <w:t>ESI</w:t>
        </w:r>
      </w:smartTag>
      <w:r>
        <w:t xml:space="preserve"> IDs</w:t>
      </w:r>
      <w:r w:rsidR="009C65F4">
        <w:t>)</w:t>
      </w:r>
      <w:r>
        <w:t xml:space="preserve"> to the profile segment without being assessed the profile development cost recovery fee.</w:t>
      </w:r>
    </w:p>
    <w:p w14:paraId="71B5AA7B" w14:textId="77777777" w:rsidR="00082CB5" w:rsidRPr="00A06E01" w:rsidRDefault="00082CB5" w:rsidP="00082CB5">
      <w:pPr>
        <w:pStyle w:val="H2"/>
        <w:rPr>
          <w:lang w:val="en-US" w:eastAsia="en-US"/>
        </w:rPr>
      </w:pPr>
      <w:bookmarkStart w:id="518" w:name="_Toc405814084"/>
      <w:bookmarkStart w:id="519" w:name="_Toc422207975"/>
      <w:bookmarkStart w:id="520" w:name="_Toc438044886"/>
      <w:bookmarkStart w:id="521" w:name="_Toc447622669"/>
      <w:bookmarkStart w:id="522" w:name="_Toc80175320"/>
      <w:r w:rsidRPr="00A06E01">
        <w:rPr>
          <w:lang w:val="en-US" w:eastAsia="en-US"/>
        </w:rPr>
        <w:t>9.19</w:t>
      </w:r>
      <w:r w:rsidRPr="00A06E01">
        <w:rPr>
          <w:lang w:val="en-US" w:eastAsia="en-US"/>
        </w:rPr>
        <w:tab/>
        <w:t>Partial Payments by Invoice Recipients</w:t>
      </w:r>
      <w:bookmarkEnd w:id="518"/>
      <w:bookmarkEnd w:id="519"/>
      <w:bookmarkEnd w:id="520"/>
      <w:bookmarkEnd w:id="521"/>
      <w:bookmarkEnd w:id="522"/>
    </w:p>
    <w:p w14:paraId="615A365B" w14:textId="77777777" w:rsidR="00082CB5" w:rsidRDefault="00AF146B" w:rsidP="00C342E1">
      <w:pPr>
        <w:pStyle w:val="BodyTextNumbered"/>
      </w:pPr>
      <w:r>
        <w:t>(1)</w:t>
      </w:r>
      <w:r>
        <w:tab/>
      </w:r>
      <w:r w:rsidR="00082CB5">
        <w:t>If at least one Invoice Recipient owing funds does not pay its Settlement Invoice in full (short-pay), ERCOT shall follow the procedure set forth below:</w:t>
      </w:r>
    </w:p>
    <w:p w14:paraId="5CE41CB2" w14:textId="77777777" w:rsidR="00082CB5" w:rsidRDefault="00082CB5" w:rsidP="00082CB5">
      <w:pPr>
        <w:pStyle w:val="List"/>
      </w:pPr>
      <w:r>
        <w:t>(a)</w:t>
      </w:r>
      <w:r>
        <w:tab/>
        <w:t xml:space="preserve">ERCOT shall make every reasonable attempt to collect payment from each short-paying Invoice Recipient prior to four hours preceding the close of the Bank Business Day Central Prevailing Time (CPT) on the day that payments by ERCOT are due to be paid to applicable Invoice Recipient(s). </w:t>
      </w:r>
    </w:p>
    <w:p w14:paraId="362DB820" w14:textId="64B8AFC5" w:rsidR="00082CB5" w:rsidRDefault="00082CB5" w:rsidP="00082CB5">
      <w:pPr>
        <w:pStyle w:val="BodyText"/>
        <w:ind w:left="1440" w:hanging="720"/>
      </w:pPr>
      <w:r>
        <w:t>(b)</w:t>
      </w:r>
      <w:r>
        <w:tab/>
      </w:r>
      <w:r w:rsidR="00E82827">
        <w:t xml:space="preserve">ERCOT shall draw on any available Financial Security pledged to ERCOT by each short-paying Invoice Recipient that did not pay the amount due under paragraph (a) above.  If the amount of any such draw is greater than the amount of </w:t>
      </w:r>
      <w:r w:rsidR="00E82827" w:rsidRPr="00BF0D35">
        <w:t>the short-paying Invoice Recipient’s</w:t>
      </w:r>
      <w:r w:rsidR="00E82827">
        <w:t xml:space="preserve"> cash collateral held in excess of that required to cover its Total Potential Exposure (TPE) (“Excess Collateral”), then a draw on available security for a short-paying Invoice Recipient shall be considered a Late Payment for purposes of Section 16.11.6, Payment Breach and Late Payments by Market Participants.  ERCOT may, in its sole discretion, hold up to 5% of Financial Security of each short-paying Invoice Recipient and use those funds to pay subsequent Settlement Invoices as they become due.  Any funds still held will be applied to unpaid Invoices in conjunction with the default uplift process outlined in</w:t>
      </w:r>
      <w:r w:rsidR="00E82827" w:rsidRPr="00CC0548">
        <w:t xml:space="preserve"> </w:t>
      </w:r>
      <w:r w:rsidR="00E82827" w:rsidRPr="001D737A">
        <w:t>Section 9.19.1</w:t>
      </w:r>
      <w:r w:rsidR="00E82827">
        <w:t>, Default Uplift Invoices.</w:t>
      </w:r>
    </w:p>
    <w:p w14:paraId="583409B0" w14:textId="481094EE" w:rsidR="00082CB5" w:rsidRDefault="00082CB5" w:rsidP="00F55173">
      <w:pPr>
        <w:pStyle w:val="BodyText"/>
        <w:ind w:left="1440" w:hanging="720"/>
      </w:pPr>
      <w:r>
        <w:t>(c)</w:t>
      </w:r>
      <w:r>
        <w:tab/>
        <w:t xml:space="preserve">ERCOT shall offset or recoup any amounts owed, or to be owed, by ERCOT to a short-paying Invoice Recipient against amounts not paid by that Invoice Recipient, and ERCOT shall apply the amount offset or recouped to cover short pays by that Invoice Recipient.  ERCOT may, in its sole discretion, hold credit Invoices and use those funds to pay subsequent Settlement Invoices as they become due.  Any funds still held will be offset or recouped against unpaid Invoices in conjunction with the default uplift process outlined in Section </w:t>
      </w:r>
      <w:r w:rsidRPr="001D737A">
        <w:t>9.19.1</w:t>
      </w:r>
      <w:r>
        <w:t>.</w:t>
      </w:r>
    </w:p>
    <w:p w14:paraId="5F648C69" w14:textId="77777777" w:rsidR="00082CB5" w:rsidRPr="00A06E01" w:rsidRDefault="00082CB5" w:rsidP="00082CB5">
      <w:pPr>
        <w:pStyle w:val="Instructions"/>
        <w:ind w:left="1440" w:hanging="720"/>
        <w:rPr>
          <w:b w:val="0"/>
          <w:i w:val="0"/>
          <w:lang w:val="en-US" w:eastAsia="en-US"/>
        </w:rPr>
      </w:pPr>
      <w:r w:rsidRPr="00A06E01">
        <w:rPr>
          <w:b w:val="0"/>
          <w:i w:val="0"/>
          <w:lang w:val="en-US" w:eastAsia="en-US"/>
        </w:rPr>
        <w:t>(d)</w:t>
      </w:r>
      <w:r w:rsidRPr="00A06E01">
        <w:rPr>
          <w:b w:val="0"/>
          <w:i w:val="0"/>
          <w:lang w:val="en-US" w:eastAsia="en-US"/>
        </w:rPr>
        <w:tab/>
        <w:t xml:space="preserve">If, after taking the actions set forth in paragraphs (a), (b) and (c) above, ERCOT still does not have sufficient funds to pay all amounts that it owes to Settlement Invoice Recipients in full, ERCOT shall deduct any applicable administrative fees as specified in Section 9.16, </w:t>
      </w:r>
      <w:r w:rsidR="00505105">
        <w:rPr>
          <w:b w:val="0"/>
          <w:i w:val="0"/>
          <w:lang w:val="en-US" w:eastAsia="en-US"/>
        </w:rPr>
        <w:t xml:space="preserve">ERCOT System Administration and User </w:t>
      </w:r>
      <w:r w:rsidRPr="00A06E01">
        <w:rPr>
          <w:b w:val="0"/>
          <w:i w:val="0"/>
          <w:lang w:val="en-US" w:eastAsia="en-US"/>
        </w:rPr>
        <w:t xml:space="preserve">Fees, payments for Reliability Must-Run (RMR) Services, and the </w:t>
      </w:r>
      <w:r w:rsidR="00246FD3">
        <w:rPr>
          <w:b w:val="0"/>
          <w:i w:val="0"/>
          <w:lang w:val="en-US" w:eastAsia="en-US"/>
        </w:rPr>
        <w:t xml:space="preserve">Congestion Revenue </w:t>
      </w:r>
      <w:r w:rsidR="00246FD3">
        <w:rPr>
          <w:b w:val="0"/>
          <w:i w:val="0"/>
          <w:lang w:val="en-US" w:eastAsia="en-US"/>
        </w:rPr>
        <w:lastRenderedPageBreak/>
        <w:t>Right (</w:t>
      </w:r>
      <w:r w:rsidRPr="00A06E01">
        <w:rPr>
          <w:b w:val="0"/>
          <w:i w:val="0"/>
          <w:lang w:val="en-US" w:eastAsia="en-US"/>
        </w:rPr>
        <w:t>CRR</w:t>
      </w:r>
      <w:r w:rsidR="00246FD3">
        <w:rPr>
          <w:b w:val="0"/>
          <w:i w:val="0"/>
          <w:lang w:val="en-US" w:eastAsia="en-US"/>
        </w:rPr>
        <w:t>)</w:t>
      </w:r>
      <w:r w:rsidRPr="00A06E01">
        <w:rPr>
          <w:b w:val="0"/>
          <w:i w:val="0"/>
          <w:lang w:val="en-US" w:eastAsia="en-US"/>
        </w:rPr>
        <w:t xml:space="preserve"> Balancing Account</w:t>
      </w:r>
      <w:r w:rsidR="00AF146B">
        <w:rPr>
          <w:b w:val="0"/>
          <w:i w:val="0"/>
          <w:lang w:val="en-US" w:eastAsia="en-US"/>
        </w:rPr>
        <w:t xml:space="preserve"> (CRRBA)</w:t>
      </w:r>
      <w:r w:rsidRPr="00A06E01">
        <w:rPr>
          <w:b w:val="0"/>
          <w:i w:val="0"/>
          <w:lang w:val="en-US" w:eastAsia="en-US"/>
        </w:rPr>
        <w:t xml:space="preserve"> from the amount received or collected and then reduce payments to all Settlement Invoice Recipients owed monies from ERCOT.  The reductions must be based on a pro rata basis of monies owed to each Settlement Invoice Recipient, to the extent necessary to clear ERCOT’s accounts on the payment due date to achieve revenue neutrality for ERCOT.  ERCOT shall provide to all Market Participants payment details on all short pays and subsequent reimbursements of short pays.  Details must include the identity of each short-paying Invoice Recipient and the dollar amount attributable to that Invoice Recipient, broken down by Invoice numbers.  In addition, ERCOT shall provide the aggregate total of all amounts due to all Invoice Recipients before applying the amount not paid on the Settlement Invoice.</w:t>
      </w:r>
    </w:p>
    <w:p w14:paraId="2F6B926E" w14:textId="77777777" w:rsidR="00082CB5" w:rsidRDefault="00082CB5" w:rsidP="008C0CC8">
      <w:pPr>
        <w:pStyle w:val="List"/>
      </w:pPr>
      <w:r>
        <w:t>(e)</w:t>
      </w:r>
      <w:r>
        <w:tab/>
        <w:t xml:space="preserve">If sufficient funds continue to be unavailable for ERCOT to pay all amounts in full to short-paid Entities for that Settlement Invoice and the short-paying Entity is not complying with a payment plan designed to enable ERCOT to pay all amounts in full to short-paid Entities, ERCOT shall uplift short-paid amounts through the Default Uplift process described below in Section </w:t>
      </w:r>
      <w:r w:rsidRPr="00A761CE">
        <w:t>9.19.1</w:t>
      </w:r>
      <w:r>
        <w:t xml:space="preserve"> and Section </w:t>
      </w:r>
      <w:r w:rsidRPr="00A761CE">
        <w:t>9.19.2</w:t>
      </w:r>
      <w:r>
        <w:t>, Payment Process for Default Uplift Invoices.</w:t>
      </w:r>
    </w:p>
    <w:p w14:paraId="4CDD4A38" w14:textId="77777777" w:rsidR="00082CB5" w:rsidRDefault="00082CB5" w:rsidP="00082CB5">
      <w:pPr>
        <w:pStyle w:val="List"/>
      </w:pPr>
      <w:r w:rsidRPr="00A761CE">
        <w:t>(</w:t>
      </w:r>
      <w:r>
        <w:t>f)</w:t>
      </w:r>
      <w:r>
        <w:tab/>
        <w:t>When ERCOT enters into a payment plan with a short-pay Invoice Recipient, ERCOT shall post to the Market Information System (MIS) Secure Area:</w:t>
      </w:r>
    </w:p>
    <w:p w14:paraId="60753264" w14:textId="77777777" w:rsidR="00082CB5" w:rsidRDefault="00082CB5" w:rsidP="00082CB5">
      <w:pPr>
        <w:pStyle w:val="List"/>
        <w:ind w:left="2160"/>
      </w:pPr>
      <w:r>
        <w:t>(i)</w:t>
      </w:r>
      <w:r>
        <w:tab/>
        <w:t>The short-pay plan;</w:t>
      </w:r>
    </w:p>
    <w:p w14:paraId="0B1AFD53" w14:textId="77777777" w:rsidR="00082CB5" w:rsidRDefault="00082CB5" w:rsidP="00082CB5">
      <w:pPr>
        <w:pStyle w:val="List"/>
        <w:ind w:left="2160"/>
      </w:pPr>
      <w:r>
        <w:t>(ii)</w:t>
      </w:r>
      <w:r>
        <w:tab/>
        <w:t>The schedule of quantifiable expected payments, updated if and when modifications are made to the payment schedule; and</w:t>
      </w:r>
    </w:p>
    <w:p w14:paraId="25750836" w14:textId="77777777" w:rsidR="00082CB5" w:rsidRDefault="00082CB5" w:rsidP="00082CB5">
      <w:pPr>
        <w:pStyle w:val="BodyText"/>
        <w:ind w:left="2160" w:hanging="720"/>
      </w:pPr>
      <w:r>
        <w:t>(iii)</w:t>
      </w:r>
      <w:r>
        <w:tab/>
        <w:t>Invoice dates to which the payments will be applied.</w:t>
      </w:r>
    </w:p>
    <w:p w14:paraId="15C8B5CB" w14:textId="77777777" w:rsidR="00082CB5" w:rsidRPr="00350834" w:rsidRDefault="00082CB5" w:rsidP="00082CB5">
      <w:pPr>
        <w:pStyle w:val="List"/>
      </w:pPr>
      <w:r>
        <w:t>(g)</w:t>
      </w:r>
      <w:r>
        <w:tab/>
        <w:t xml:space="preserve">To the extent ERCOT is able to collect past due funds owed by a short-paying Invoice Recipient before the default uplift process defined </w:t>
      </w:r>
      <w:r w:rsidRPr="0065195B">
        <w:t xml:space="preserve">in </w:t>
      </w:r>
      <w:r>
        <w:t xml:space="preserve">Section </w:t>
      </w:r>
      <w:r w:rsidRPr="00A761CE">
        <w:t>9.19.1</w:t>
      </w:r>
      <w:r w:rsidRPr="0065195B">
        <w:t>,</w:t>
      </w:r>
      <w:r>
        <w:t xml:space="preserve"> ERCOT shall allocate the collected funds to the earliest short-paid Invoice for that short-paying Invoice Recipient.  ERCOT shall use its best efforts to distribute collected funds quarterly by the 15</w:t>
      </w:r>
      <w:r w:rsidRPr="003B7565">
        <w:rPr>
          <w:vertAlign w:val="superscript"/>
        </w:rPr>
        <w:t>th</w:t>
      </w:r>
      <w:r>
        <w:t xml:space="preserve"> Business Day following the end of a calendar quarter for a short paying Entity when the cumulative amount of undistributed funds held exceed $50,000 on a pro rata basis of monies owed.  Subsequently collected funds that have not previously been distributed will be applied against </w:t>
      </w:r>
      <w:r w:rsidRPr="00350834">
        <w:t xml:space="preserve">unpaid Invoices in conjunction with the uplift process outlined in Section 9.19.1. </w:t>
      </w:r>
    </w:p>
    <w:p w14:paraId="4FF2ECBC" w14:textId="77777777" w:rsidR="0014132B" w:rsidRPr="00350834" w:rsidRDefault="00082CB5" w:rsidP="00082CB5">
      <w:pPr>
        <w:pStyle w:val="BodyText"/>
        <w:ind w:left="1440" w:hanging="720"/>
      </w:pPr>
      <w:r w:rsidRPr="008436F5">
        <w:t>(h)</w:t>
      </w:r>
      <w:r w:rsidRPr="008436F5">
        <w:tab/>
        <w:t>To the extent ERCOT is able to collect past due funds owed by a short-paying Invoice Recipient, after the default uplift process defined in Section 9.19.1, ERCOT shall allocate the collected funds using the same allocation method as in the default uplift process.  ERCOT shall use its best efforts to distribute subsequently collected funds quarterly by the 15</w:t>
      </w:r>
      <w:r w:rsidRPr="008436F5">
        <w:rPr>
          <w:vertAlign w:val="superscript"/>
        </w:rPr>
        <w:t>th</w:t>
      </w:r>
      <w:r w:rsidRPr="008436F5">
        <w:t xml:space="preserve"> Business Day following the end of a calendar quarter for a short paying Entity when the cumulative amount of undistributed funds held exceed $50,000.</w:t>
      </w:r>
    </w:p>
    <w:p w14:paraId="3570C6C8" w14:textId="77777777" w:rsidR="00A43CDA" w:rsidRPr="008910B8" w:rsidRDefault="00A43CDA" w:rsidP="00A43CDA">
      <w:pPr>
        <w:pStyle w:val="H3"/>
        <w:rPr>
          <w:b/>
          <w:i/>
        </w:rPr>
      </w:pPr>
      <w:bookmarkStart w:id="523" w:name="_Toc309731112"/>
      <w:bookmarkStart w:id="524" w:name="_Toc405814085"/>
      <w:bookmarkStart w:id="525" w:name="_Toc422207976"/>
      <w:bookmarkStart w:id="526" w:name="_Toc438044887"/>
      <w:bookmarkStart w:id="527" w:name="_Toc447622670"/>
      <w:bookmarkStart w:id="528" w:name="_Toc80175321"/>
      <w:bookmarkStart w:id="529" w:name="_Toc243718293"/>
      <w:r w:rsidRPr="008910B8">
        <w:rPr>
          <w:b/>
          <w:i/>
        </w:rPr>
        <w:lastRenderedPageBreak/>
        <w:t>9.19.1</w:t>
      </w:r>
      <w:r w:rsidRPr="008910B8">
        <w:rPr>
          <w:b/>
          <w:i/>
        </w:rPr>
        <w:tab/>
        <w:t>Default Uplift Invoices</w:t>
      </w:r>
      <w:bookmarkEnd w:id="523"/>
      <w:bookmarkEnd w:id="524"/>
      <w:bookmarkEnd w:id="525"/>
      <w:bookmarkEnd w:id="526"/>
      <w:bookmarkEnd w:id="527"/>
      <w:bookmarkEnd w:id="528"/>
    </w:p>
    <w:p w14:paraId="4286C25E" w14:textId="77777777" w:rsidR="0014132B" w:rsidRDefault="00350834">
      <w:pPr>
        <w:pStyle w:val="List"/>
        <w:ind w:left="720"/>
      </w:pPr>
      <w:r w:rsidRPr="008436F5">
        <w:t>(1)</w:t>
      </w:r>
      <w:r w:rsidRPr="008436F5">
        <w:tab/>
        <w:t>ERCOT shall collect the total short-pay amount for all Settlement Invoices for a month, less the total payments expected from a payment plan, from Qualified Scheduling Entities (QSEs) and CRR Account Holders.  ERCOT must pay the funds it collects from payments on Default Uplift Invoices to the Entities previously short-paid.  ERCOT shall notify those Entities of the details of the payment.</w:t>
      </w:r>
    </w:p>
    <w:p w14:paraId="46DB7693" w14:textId="2FEBF8DB" w:rsidR="00881601" w:rsidRDefault="00881601" w:rsidP="00974D32">
      <w:pPr>
        <w:pStyle w:val="BodyText"/>
        <w:ind w:left="720" w:hanging="720"/>
      </w:pPr>
      <w:r w:rsidRPr="00CE5650">
        <w:t>(2)</w:t>
      </w:r>
      <w:r w:rsidRPr="00CE5650">
        <w:tab/>
      </w:r>
      <w:r>
        <w:t xml:space="preserve">Each Counter-Party’s share of the uplift is calculated using </w:t>
      </w:r>
      <w:r w:rsidR="006358F5">
        <w:t>the best available</w:t>
      </w:r>
      <w:r>
        <w:t xml:space="preserve"> Settlement data for each Operating Day in the month prior to the month in which the default occurred</w:t>
      </w:r>
      <w:r w:rsidR="006B44B4">
        <w:t xml:space="preserve"> (the “reference month”)</w:t>
      </w:r>
      <w:r>
        <w:t>, and is calculated as follows:</w:t>
      </w:r>
    </w:p>
    <w:p w14:paraId="6C60CADA" w14:textId="77777777" w:rsidR="00881601" w:rsidRPr="00205879" w:rsidRDefault="00881601" w:rsidP="00881601">
      <w:pPr>
        <w:pStyle w:val="BodyText"/>
        <w:ind w:left="2880" w:hanging="1440"/>
        <w:rPr>
          <w:b/>
          <w:lang w:val="pt-BR"/>
        </w:rPr>
      </w:pPr>
      <w:r>
        <w:rPr>
          <w:b/>
          <w:lang w:val="pt-BR"/>
        </w:rPr>
        <w:t>DURSCP</w:t>
      </w:r>
      <w:r w:rsidRPr="00531955">
        <w:rPr>
          <w:rFonts w:ascii="Times New Roman Bold" w:hAnsi="Times New Roman Bold"/>
          <w:b/>
          <w:i/>
          <w:vertAlign w:val="subscript"/>
          <w:lang w:val="pt-BR"/>
        </w:rPr>
        <w:t>cp</w:t>
      </w:r>
      <w:r>
        <w:rPr>
          <w:rFonts w:ascii="Times New Roman Bold" w:hAnsi="Times New Roman Bold"/>
          <w:b/>
          <w:vertAlign w:val="subscript"/>
          <w:lang w:val="pt-BR"/>
        </w:rPr>
        <w:t xml:space="preserve"> = </w:t>
      </w:r>
      <w:r w:rsidRPr="007F1065">
        <w:rPr>
          <w:b/>
          <w:lang w:val="pt-BR"/>
        </w:rPr>
        <w:t>TSPA</w:t>
      </w:r>
      <w:r>
        <w:rPr>
          <w:b/>
          <w:lang w:val="pt-BR"/>
        </w:rPr>
        <w:t xml:space="preserve"> * MMARS</w:t>
      </w:r>
      <w:r w:rsidRPr="00531955">
        <w:rPr>
          <w:rFonts w:ascii="Times New Roman Bold" w:hAnsi="Times New Roman Bold"/>
          <w:b/>
          <w:i/>
          <w:vertAlign w:val="subscript"/>
          <w:lang w:val="pt-BR"/>
        </w:rPr>
        <w:t>cp</w:t>
      </w:r>
    </w:p>
    <w:p w14:paraId="58530B26" w14:textId="77777777" w:rsidR="00881601" w:rsidRPr="007F1065" w:rsidRDefault="00881601" w:rsidP="00881601">
      <w:pPr>
        <w:pStyle w:val="BodyText"/>
        <w:ind w:left="2160" w:hanging="1440"/>
        <w:rPr>
          <w:lang w:val="pt-BR"/>
        </w:rPr>
      </w:pPr>
      <w:r w:rsidRPr="007F1065">
        <w:rPr>
          <w:lang w:val="pt-BR"/>
        </w:rPr>
        <w:t>Where:</w:t>
      </w:r>
    </w:p>
    <w:p w14:paraId="04DF97AF" w14:textId="77777777" w:rsidR="00881601" w:rsidRPr="007F1065" w:rsidRDefault="00881601" w:rsidP="00881601">
      <w:pPr>
        <w:pStyle w:val="BodyText"/>
        <w:ind w:left="2880" w:hanging="1440"/>
        <w:rPr>
          <w:lang w:val="pt-BR"/>
        </w:rPr>
      </w:pPr>
      <w:r w:rsidRPr="007F1065">
        <w:rPr>
          <w:lang w:val="pt-BR"/>
        </w:rPr>
        <w:t>MMARS</w:t>
      </w:r>
      <w:r>
        <w:rPr>
          <w:lang w:val="pt-BR"/>
        </w:rPr>
        <w:t xml:space="preserve"> </w:t>
      </w:r>
      <w:r w:rsidRPr="00531955">
        <w:rPr>
          <w:rFonts w:ascii="Times New Roman Bold" w:hAnsi="Times New Roman Bold"/>
          <w:i/>
          <w:vertAlign w:val="subscript"/>
          <w:lang w:val="pt-BR"/>
        </w:rPr>
        <w:t>cp</w:t>
      </w:r>
      <w:r w:rsidRPr="007F1065">
        <w:rPr>
          <w:lang w:val="pt-BR"/>
        </w:rPr>
        <w:t xml:space="preserve"> = MMA</w:t>
      </w:r>
      <w:r>
        <w:rPr>
          <w:lang w:val="pt-BR"/>
        </w:rPr>
        <w:t xml:space="preserve"> </w:t>
      </w:r>
      <w:r w:rsidRPr="00531955">
        <w:rPr>
          <w:rFonts w:ascii="Times New Roman Bold" w:hAnsi="Times New Roman Bold"/>
          <w:i/>
          <w:vertAlign w:val="subscript"/>
          <w:lang w:val="pt-BR"/>
        </w:rPr>
        <w:t>cp</w:t>
      </w:r>
      <w:r w:rsidRPr="007F1065">
        <w:rPr>
          <w:lang w:val="pt-BR"/>
        </w:rPr>
        <w:t xml:space="preserve"> / MMATOT</w:t>
      </w:r>
    </w:p>
    <w:p w14:paraId="10CAD71D" w14:textId="3A12FBD7" w:rsidR="00881601" w:rsidRPr="007F1065" w:rsidRDefault="00881601" w:rsidP="00881601">
      <w:pPr>
        <w:pStyle w:val="BodyText"/>
        <w:ind w:left="720" w:firstLine="720"/>
        <w:rPr>
          <w:rFonts w:eastAsia="Calibri"/>
          <w:vertAlign w:val="subscript"/>
        </w:rPr>
      </w:pPr>
      <w:r w:rsidRPr="007F1065">
        <w:rPr>
          <w:lang w:val="pt-BR"/>
        </w:rPr>
        <w:t>MMA</w:t>
      </w:r>
      <w:r>
        <w:rPr>
          <w:lang w:val="pt-BR"/>
        </w:rPr>
        <w:t xml:space="preserve"> </w:t>
      </w:r>
      <w:r w:rsidRPr="007F1065">
        <w:rPr>
          <w:rFonts w:eastAsia="Calibri"/>
          <w:i/>
          <w:vertAlign w:val="subscript"/>
        </w:rPr>
        <w:t>cp</w:t>
      </w:r>
      <w:r w:rsidRPr="007F1065">
        <w:rPr>
          <w:lang w:val="pt-BR"/>
        </w:rPr>
        <w:t xml:space="preserve"> = Max</w:t>
      </w:r>
      <w:r w:rsidRPr="007F1065">
        <w:rPr>
          <w:rFonts w:eastAsia="Calibri"/>
        </w:rPr>
        <w:t xml:space="preserve"> { </w:t>
      </w:r>
      <w:r w:rsidRPr="007F1065">
        <w:t>∑</w:t>
      </w:r>
      <w:r w:rsidRPr="007F1065">
        <w:rPr>
          <w:rFonts w:eastAsia="Calibri"/>
          <w:i/>
          <w:vertAlign w:val="subscript"/>
        </w:rPr>
        <w:t>mp</w:t>
      </w:r>
      <w:r>
        <w:rPr>
          <w:rFonts w:eastAsia="Calibri"/>
          <w:i/>
          <w:vertAlign w:val="subscript"/>
        </w:rPr>
        <w:t xml:space="preserve"> </w:t>
      </w:r>
      <w:r w:rsidRPr="007F1065">
        <w:rPr>
          <w:rFonts w:eastAsia="Calibri"/>
        </w:rPr>
        <w:t>(URTMG </w:t>
      </w:r>
      <w:r w:rsidRPr="007F1065">
        <w:rPr>
          <w:rFonts w:eastAsia="Calibri"/>
          <w:i/>
          <w:vertAlign w:val="subscript"/>
        </w:rPr>
        <w:t>mp</w:t>
      </w:r>
      <w:r w:rsidRPr="007F1065">
        <w:rPr>
          <w:rFonts w:eastAsia="Calibri"/>
          <w:vertAlign w:val="subscript"/>
        </w:rPr>
        <w:t xml:space="preserve"> </w:t>
      </w:r>
      <w:r w:rsidRPr="007F1065">
        <w:rPr>
          <w:rFonts w:eastAsia="Calibri"/>
        </w:rPr>
        <w:t>+ URTDCIMP </w:t>
      </w:r>
      <w:r w:rsidRPr="007F1065">
        <w:rPr>
          <w:rFonts w:eastAsia="Calibri"/>
          <w:i/>
          <w:vertAlign w:val="subscript"/>
        </w:rPr>
        <w:t>mp</w:t>
      </w:r>
      <w:r w:rsidR="00D04163">
        <w:rPr>
          <w:rFonts w:eastAsia="Calibri"/>
          <w:i/>
          <w:vertAlign w:val="subscript"/>
        </w:rPr>
        <w:t xml:space="preserve"> </w:t>
      </w:r>
      <w:r w:rsidR="00D04163" w:rsidRPr="00DA2165">
        <w:rPr>
          <w:rFonts w:eastAsia="Calibri"/>
        </w:rPr>
        <w:t>+ USOGTOT</w:t>
      </w:r>
      <w:r w:rsidR="00D04163" w:rsidRPr="00DA2165">
        <w:rPr>
          <w:rFonts w:eastAsia="Calibri"/>
          <w:i/>
          <w:vertAlign w:val="subscript"/>
        </w:rPr>
        <w:t xml:space="preserve"> mp</w:t>
      </w:r>
      <w:r w:rsidRPr="007F1065">
        <w:t>)</w:t>
      </w:r>
      <w:r w:rsidRPr="007F1065">
        <w:rPr>
          <w:rFonts w:eastAsia="Calibri"/>
          <w:vertAlign w:val="subscript"/>
        </w:rPr>
        <w:t xml:space="preserve">, </w:t>
      </w:r>
    </w:p>
    <w:p w14:paraId="50AB3266" w14:textId="77777777" w:rsidR="00881601" w:rsidRPr="007F1065" w:rsidRDefault="00881601" w:rsidP="00881601">
      <w:pPr>
        <w:pStyle w:val="BodyText"/>
        <w:ind w:left="2880"/>
        <w:rPr>
          <w:rFonts w:eastAsia="Calibri"/>
          <w:vertAlign w:val="subscript"/>
        </w:rPr>
      </w:pPr>
      <w:r w:rsidRPr="007F1065">
        <w:t>∑</w:t>
      </w:r>
      <w:r w:rsidRPr="007F1065">
        <w:rPr>
          <w:rFonts w:eastAsia="Calibri"/>
          <w:i/>
          <w:vertAlign w:val="subscript"/>
        </w:rPr>
        <w:t>mp</w:t>
      </w:r>
      <w:r w:rsidRPr="007F1065">
        <w:rPr>
          <w:rFonts w:eastAsia="Calibri"/>
        </w:rPr>
        <w:t> </w:t>
      </w:r>
      <w:r w:rsidR="00326226">
        <w:rPr>
          <w:rFonts w:eastAsia="Calibri"/>
        </w:rPr>
        <w:t>(</w:t>
      </w:r>
      <w:r w:rsidRPr="007F1065">
        <w:rPr>
          <w:rFonts w:eastAsia="Calibri"/>
        </w:rPr>
        <w:t>URTAML </w:t>
      </w:r>
      <w:r w:rsidRPr="007F1065">
        <w:rPr>
          <w:rFonts w:eastAsia="Calibri"/>
          <w:i/>
          <w:vertAlign w:val="subscript"/>
        </w:rPr>
        <w:t>mp</w:t>
      </w:r>
      <w:r w:rsidR="00326226">
        <w:rPr>
          <w:rFonts w:eastAsia="Calibri"/>
        </w:rPr>
        <w:t xml:space="preserve"> + UWSLTOT </w:t>
      </w:r>
      <w:r w:rsidR="00326226">
        <w:rPr>
          <w:rFonts w:eastAsia="Calibri"/>
          <w:i/>
          <w:vertAlign w:val="subscript"/>
        </w:rPr>
        <w:t>mp</w:t>
      </w:r>
      <w:r w:rsidR="00326226">
        <w:rPr>
          <w:rFonts w:eastAsia="Calibri"/>
        </w:rPr>
        <w:t>)</w:t>
      </w:r>
      <w:r w:rsidRPr="007F1065">
        <w:rPr>
          <w:rFonts w:eastAsia="Calibri"/>
          <w:vertAlign w:val="subscript"/>
        </w:rPr>
        <w:t xml:space="preserve">, </w:t>
      </w:r>
    </w:p>
    <w:p w14:paraId="52B95C1A" w14:textId="77777777" w:rsidR="00881601" w:rsidRPr="007F1065" w:rsidRDefault="00881601" w:rsidP="00881601">
      <w:pPr>
        <w:pStyle w:val="BodyText"/>
        <w:ind w:left="2160" w:firstLine="720"/>
        <w:rPr>
          <w:rFonts w:eastAsia="Calibri"/>
          <w:vertAlign w:val="subscript"/>
        </w:rPr>
      </w:pPr>
      <w:r w:rsidRPr="007F1065">
        <w:t>∑</w:t>
      </w:r>
      <w:r w:rsidRPr="007F1065">
        <w:rPr>
          <w:rFonts w:eastAsia="Calibri"/>
          <w:i/>
          <w:vertAlign w:val="subscript"/>
        </w:rPr>
        <w:t>mp</w:t>
      </w:r>
      <w:r w:rsidRPr="007F1065">
        <w:rPr>
          <w:rFonts w:eastAsia="Calibri"/>
          <w:vertAlign w:val="subscript"/>
        </w:rPr>
        <w:t> </w:t>
      </w:r>
      <w:r w:rsidRPr="007F1065">
        <w:rPr>
          <w:rFonts w:eastAsia="Calibri"/>
        </w:rPr>
        <w:t>URTQQES </w:t>
      </w:r>
      <w:r w:rsidRPr="007F1065">
        <w:rPr>
          <w:rFonts w:eastAsia="Calibri"/>
          <w:i/>
          <w:vertAlign w:val="subscript"/>
        </w:rPr>
        <w:t>mp</w:t>
      </w:r>
      <w:r w:rsidRPr="007F1065">
        <w:rPr>
          <w:rFonts w:eastAsia="Calibri"/>
          <w:vertAlign w:val="subscript"/>
        </w:rPr>
        <w:t xml:space="preserve">, </w:t>
      </w:r>
    </w:p>
    <w:p w14:paraId="2C0F449D" w14:textId="77777777" w:rsidR="00881601" w:rsidRPr="007F1065" w:rsidRDefault="00881601" w:rsidP="00881601">
      <w:pPr>
        <w:pStyle w:val="BodyText"/>
        <w:ind w:left="2160" w:firstLine="720"/>
        <w:rPr>
          <w:rFonts w:eastAsia="Calibri"/>
          <w:vertAlign w:val="subscript"/>
        </w:rPr>
      </w:pPr>
      <w:r w:rsidRPr="007F1065">
        <w:t>∑</w:t>
      </w:r>
      <w:r w:rsidRPr="007F1065">
        <w:rPr>
          <w:rFonts w:eastAsia="Calibri"/>
          <w:i/>
          <w:vertAlign w:val="subscript"/>
        </w:rPr>
        <w:t>mp</w:t>
      </w:r>
      <w:r w:rsidRPr="007F1065">
        <w:rPr>
          <w:rFonts w:eastAsia="Calibri"/>
        </w:rPr>
        <w:t> URTQQEP </w:t>
      </w:r>
      <w:r w:rsidRPr="007F1065">
        <w:rPr>
          <w:rFonts w:eastAsia="Calibri"/>
          <w:i/>
          <w:vertAlign w:val="subscript"/>
        </w:rPr>
        <w:t>mp</w:t>
      </w:r>
      <w:r w:rsidRPr="007F1065">
        <w:rPr>
          <w:rFonts w:eastAsia="Calibri"/>
          <w:vertAlign w:val="subscript"/>
        </w:rPr>
        <w:t xml:space="preserve">, </w:t>
      </w:r>
    </w:p>
    <w:p w14:paraId="60C7F57A" w14:textId="77777777" w:rsidR="00881601" w:rsidRPr="007F1065" w:rsidRDefault="00881601" w:rsidP="00881601">
      <w:pPr>
        <w:pStyle w:val="BodyText"/>
        <w:ind w:left="2160" w:firstLine="720"/>
        <w:rPr>
          <w:rFonts w:eastAsia="Calibri"/>
          <w:vertAlign w:val="subscript"/>
        </w:rPr>
      </w:pPr>
      <w:r w:rsidRPr="007F1065">
        <w:t>∑</w:t>
      </w:r>
      <w:r w:rsidRPr="007F1065">
        <w:rPr>
          <w:rFonts w:eastAsia="Calibri"/>
          <w:i/>
          <w:vertAlign w:val="subscript"/>
        </w:rPr>
        <w:t>mp</w:t>
      </w:r>
      <w:r w:rsidRPr="007F1065">
        <w:rPr>
          <w:rFonts w:eastAsia="Calibri"/>
        </w:rPr>
        <w:t> UDAES </w:t>
      </w:r>
      <w:r w:rsidRPr="007F1065">
        <w:rPr>
          <w:rFonts w:eastAsia="Calibri"/>
          <w:i/>
          <w:vertAlign w:val="subscript"/>
        </w:rPr>
        <w:t>mp</w:t>
      </w:r>
      <w:r w:rsidRPr="007F1065">
        <w:rPr>
          <w:rFonts w:eastAsia="Calibri"/>
          <w:vertAlign w:val="subscript"/>
        </w:rPr>
        <w:t xml:space="preserve">, </w:t>
      </w:r>
    </w:p>
    <w:p w14:paraId="72213D3B" w14:textId="77777777" w:rsidR="00881601" w:rsidRPr="007F1065" w:rsidRDefault="00881601" w:rsidP="00881601">
      <w:pPr>
        <w:pStyle w:val="BodyText"/>
        <w:ind w:left="2160" w:firstLine="720"/>
        <w:rPr>
          <w:rFonts w:eastAsia="Calibri"/>
          <w:vertAlign w:val="subscript"/>
        </w:rPr>
      </w:pPr>
      <w:r w:rsidRPr="007F1065">
        <w:t>∑</w:t>
      </w:r>
      <w:r w:rsidRPr="007F1065">
        <w:rPr>
          <w:rFonts w:eastAsia="Calibri"/>
          <w:i/>
          <w:vertAlign w:val="subscript"/>
        </w:rPr>
        <w:t>mp</w:t>
      </w:r>
      <w:r w:rsidRPr="007F1065">
        <w:rPr>
          <w:rFonts w:eastAsia="Calibri"/>
        </w:rPr>
        <w:t> UDAEP </w:t>
      </w:r>
      <w:r w:rsidRPr="007F1065">
        <w:rPr>
          <w:rFonts w:eastAsia="Calibri"/>
          <w:i/>
          <w:vertAlign w:val="subscript"/>
        </w:rPr>
        <w:t>mp</w:t>
      </w:r>
      <w:r w:rsidRPr="007F1065">
        <w:rPr>
          <w:rFonts w:eastAsia="Calibri"/>
          <w:vertAlign w:val="subscript"/>
        </w:rPr>
        <w:t>,</w:t>
      </w:r>
    </w:p>
    <w:p w14:paraId="00370091" w14:textId="77777777" w:rsidR="00881601" w:rsidRPr="007F1065" w:rsidRDefault="00881601" w:rsidP="00881601">
      <w:pPr>
        <w:pStyle w:val="BodyText"/>
        <w:ind w:left="2160" w:firstLine="720"/>
        <w:rPr>
          <w:rFonts w:eastAsia="Calibri"/>
          <w:vertAlign w:val="subscript"/>
        </w:rPr>
      </w:pPr>
      <w:r w:rsidRPr="007F1065">
        <w:t>∑</w:t>
      </w:r>
      <w:r w:rsidRPr="007F1065">
        <w:rPr>
          <w:rFonts w:eastAsia="Calibri"/>
          <w:i/>
          <w:vertAlign w:val="subscript"/>
        </w:rPr>
        <w:t>mp</w:t>
      </w:r>
      <w:r w:rsidRPr="007F1065">
        <w:rPr>
          <w:rFonts w:eastAsia="Calibri"/>
        </w:rPr>
        <w:t> </w:t>
      </w:r>
      <w:r>
        <w:rPr>
          <w:rFonts w:eastAsia="Calibri"/>
        </w:rPr>
        <w:t>(</w:t>
      </w:r>
      <w:r w:rsidRPr="007F1065">
        <w:rPr>
          <w:rFonts w:eastAsia="Calibri"/>
        </w:rPr>
        <w:t>URTOBL </w:t>
      </w:r>
      <w:r w:rsidRPr="007F1065">
        <w:rPr>
          <w:rFonts w:eastAsia="Calibri"/>
          <w:i/>
          <w:vertAlign w:val="subscript"/>
        </w:rPr>
        <w:t>mp</w:t>
      </w:r>
      <w:r>
        <w:rPr>
          <w:rFonts w:eastAsia="Calibri"/>
          <w:i/>
          <w:vertAlign w:val="subscript"/>
        </w:rPr>
        <w:t xml:space="preserve"> </w:t>
      </w:r>
      <w:r w:rsidRPr="00F030CF">
        <w:rPr>
          <w:rFonts w:eastAsia="Calibri"/>
          <w:i/>
        </w:rPr>
        <w:t>+</w:t>
      </w:r>
      <w:r w:rsidRPr="00B7719D">
        <w:rPr>
          <w:rFonts w:eastAsia="Calibri"/>
          <w:i/>
        </w:rPr>
        <w:t xml:space="preserve"> </w:t>
      </w:r>
      <w:r w:rsidRPr="00B7719D">
        <w:rPr>
          <w:rFonts w:eastAsia="Calibri"/>
        </w:rPr>
        <w:t xml:space="preserve">URTOBLLO </w:t>
      </w:r>
      <w:r w:rsidRPr="00B7719D">
        <w:rPr>
          <w:rFonts w:eastAsia="Calibri"/>
          <w:i/>
          <w:vertAlign w:val="subscript"/>
        </w:rPr>
        <w:t>mp</w:t>
      </w:r>
      <w:r w:rsidRPr="00F030CF">
        <w:rPr>
          <w:rFonts w:eastAsia="Calibri"/>
        </w:rPr>
        <w:t>)</w:t>
      </w:r>
      <w:r w:rsidRPr="007F1065">
        <w:rPr>
          <w:rFonts w:eastAsia="Calibri"/>
          <w:vertAlign w:val="subscript"/>
        </w:rPr>
        <w:t xml:space="preserve">, </w:t>
      </w:r>
    </w:p>
    <w:p w14:paraId="591D5F2A" w14:textId="77777777" w:rsidR="00881601" w:rsidRPr="007F1065" w:rsidRDefault="00881601" w:rsidP="00881601">
      <w:pPr>
        <w:pStyle w:val="BodyText"/>
        <w:ind w:left="2160" w:firstLine="720"/>
      </w:pPr>
      <w:r w:rsidRPr="007F1065">
        <w:t>∑</w:t>
      </w:r>
      <w:r w:rsidRPr="007F1065">
        <w:rPr>
          <w:rFonts w:eastAsia="Calibri"/>
          <w:i/>
          <w:vertAlign w:val="subscript"/>
        </w:rPr>
        <w:t>mp</w:t>
      </w:r>
      <w:r w:rsidRPr="007F1065">
        <w:rPr>
          <w:rFonts w:eastAsia="Calibri"/>
        </w:rPr>
        <w:t> </w:t>
      </w:r>
      <w:r w:rsidRPr="007F1065">
        <w:t>(</w:t>
      </w:r>
      <w:r w:rsidRPr="007F1065">
        <w:rPr>
          <w:rFonts w:eastAsia="Calibri"/>
        </w:rPr>
        <w:t>UDAOPT </w:t>
      </w:r>
      <w:r w:rsidRPr="007F1065">
        <w:rPr>
          <w:rFonts w:eastAsia="Calibri"/>
          <w:i/>
          <w:vertAlign w:val="subscript"/>
        </w:rPr>
        <w:t>mp</w:t>
      </w:r>
      <w:r w:rsidRPr="007F1065">
        <w:rPr>
          <w:rFonts w:eastAsia="Calibri"/>
          <w:vertAlign w:val="subscript"/>
        </w:rPr>
        <w:t xml:space="preserve"> </w:t>
      </w:r>
      <w:r w:rsidRPr="007F1065">
        <w:rPr>
          <w:rFonts w:eastAsia="Calibri"/>
        </w:rPr>
        <w:t>+ UDAOBL </w:t>
      </w:r>
      <w:r w:rsidRPr="007F1065">
        <w:rPr>
          <w:rFonts w:eastAsia="Calibri"/>
          <w:i/>
          <w:vertAlign w:val="subscript"/>
        </w:rPr>
        <w:t>mp</w:t>
      </w:r>
      <w:r w:rsidRPr="007F1065">
        <w:rPr>
          <w:rFonts w:eastAsia="Calibri"/>
          <w:vertAlign w:val="subscript"/>
        </w:rPr>
        <w:t xml:space="preserve"> </w:t>
      </w:r>
      <w:r w:rsidRPr="007F1065">
        <w:rPr>
          <w:rFonts w:eastAsia="Calibri"/>
        </w:rPr>
        <w:t>+</w:t>
      </w:r>
      <w:r w:rsidRPr="007F1065">
        <w:rPr>
          <w:rFonts w:eastAsia="Calibri"/>
          <w:vertAlign w:val="subscript"/>
        </w:rPr>
        <w:t xml:space="preserve"> </w:t>
      </w:r>
      <w:r w:rsidRPr="007F1065">
        <w:rPr>
          <w:rFonts w:eastAsia="Calibri"/>
        </w:rPr>
        <w:t>UOPTS </w:t>
      </w:r>
      <w:r w:rsidRPr="007F1065">
        <w:rPr>
          <w:rFonts w:eastAsia="Calibri"/>
          <w:i/>
          <w:vertAlign w:val="subscript"/>
        </w:rPr>
        <w:t>mp</w:t>
      </w:r>
      <w:r w:rsidRPr="007F1065">
        <w:rPr>
          <w:rFonts w:eastAsia="Calibri"/>
          <w:vertAlign w:val="subscript"/>
        </w:rPr>
        <w:t xml:space="preserve"> </w:t>
      </w:r>
      <w:r w:rsidRPr="007F1065">
        <w:rPr>
          <w:rFonts w:eastAsia="Calibri"/>
        </w:rPr>
        <w:t>+</w:t>
      </w:r>
      <w:r w:rsidRPr="007F1065">
        <w:rPr>
          <w:rFonts w:eastAsia="Calibri"/>
          <w:vertAlign w:val="subscript"/>
        </w:rPr>
        <w:t xml:space="preserve"> </w:t>
      </w:r>
      <w:r w:rsidRPr="007F1065">
        <w:rPr>
          <w:rFonts w:eastAsia="Calibri"/>
        </w:rPr>
        <w:t>UOBLS </w:t>
      </w:r>
      <w:r w:rsidRPr="007F1065">
        <w:rPr>
          <w:rFonts w:eastAsia="Calibri"/>
          <w:i/>
          <w:vertAlign w:val="subscript"/>
        </w:rPr>
        <w:t>mp</w:t>
      </w:r>
      <w:r w:rsidRPr="007F1065">
        <w:t xml:space="preserve">), </w:t>
      </w:r>
    </w:p>
    <w:p w14:paraId="6C9DFC91" w14:textId="171AD13B" w:rsidR="00CD356A" w:rsidRDefault="00881601" w:rsidP="00CD356A">
      <w:pPr>
        <w:pStyle w:val="BodyText"/>
        <w:ind w:left="2160" w:firstLine="720"/>
      </w:pPr>
      <w:r w:rsidRPr="007F1065">
        <w:t>∑</w:t>
      </w:r>
      <w:r w:rsidRPr="007F1065">
        <w:rPr>
          <w:rFonts w:eastAsia="Calibri"/>
          <w:i/>
          <w:vertAlign w:val="subscript"/>
        </w:rPr>
        <w:t>mp</w:t>
      </w:r>
      <w:r w:rsidRPr="007F1065">
        <w:rPr>
          <w:rFonts w:eastAsia="Calibri"/>
        </w:rPr>
        <w:t> </w:t>
      </w:r>
      <w:r w:rsidRPr="007F1065">
        <w:t>(</w:t>
      </w:r>
      <w:r w:rsidRPr="007F1065">
        <w:rPr>
          <w:rFonts w:eastAsia="Calibri"/>
        </w:rPr>
        <w:t>UOPTP </w:t>
      </w:r>
      <w:r w:rsidRPr="007F1065">
        <w:rPr>
          <w:rFonts w:eastAsia="Calibri"/>
          <w:i/>
          <w:vertAlign w:val="subscript"/>
        </w:rPr>
        <w:t>mp</w:t>
      </w:r>
      <w:r w:rsidRPr="007F1065">
        <w:rPr>
          <w:rFonts w:eastAsia="Calibri"/>
          <w:vertAlign w:val="subscript"/>
        </w:rPr>
        <w:t xml:space="preserve"> </w:t>
      </w:r>
      <w:r w:rsidRPr="007F1065">
        <w:rPr>
          <w:rFonts w:eastAsia="Calibri"/>
        </w:rPr>
        <w:t>+ UOBLP </w:t>
      </w:r>
      <w:r w:rsidRPr="007F1065">
        <w:rPr>
          <w:rFonts w:eastAsia="Calibri"/>
          <w:i/>
          <w:vertAlign w:val="subscript"/>
        </w:rPr>
        <w:t>mp</w:t>
      </w:r>
      <w:r w:rsidRPr="007F1065">
        <w:t>)}</w:t>
      </w:r>
    </w:p>
    <w:tbl>
      <w:tblP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C4046B" w:rsidRPr="00E566EB" w14:paraId="2F5E7A77" w14:textId="77777777" w:rsidTr="00F3293A">
        <w:tc>
          <w:tcPr>
            <w:tcW w:w="9766" w:type="dxa"/>
            <w:shd w:val="pct12" w:color="auto" w:fill="auto"/>
          </w:tcPr>
          <w:p w14:paraId="535928BF" w14:textId="7F6224CB" w:rsidR="00C4046B" w:rsidRPr="00E566EB" w:rsidRDefault="00C4046B" w:rsidP="00F3293A">
            <w:pPr>
              <w:spacing w:before="120" w:after="240"/>
              <w:rPr>
                <w:b/>
                <w:i/>
                <w:iCs/>
              </w:rPr>
            </w:pPr>
            <w:r>
              <w:rPr>
                <w:b/>
                <w:i/>
                <w:iCs/>
              </w:rPr>
              <w:t>[</w:t>
            </w:r>
            <w:r w:rsidR="00986EAF">
              <w:rPr>
                <w:b/>
                <w:i/>
                <w:iCs/>
              </w:rPr>
              <w:t>NPRR995</w:t>
            </w:r>
            <w:r w:rsidR="003E0FF7">
              <w:rPr>
                <w:b/>
                <w:i/>
                <w:iCs/>
              </w:rPr>
              <w:t>,</w:t>
            </w:r>
            <w:r w:rsidR="00986EAF">
              <w:rPr>
                <w:b/>
                <w:i/>
                <w:iCs/>
              </w:rPr>
              <w:t xml:space="preserve"> </w:t>
            </w:r>
            <w:r w:rsidR="00D211B0">
              <w:rPr>
                <w:b/>
                <w:i/>
                <w:iCs/>
              </w:rPr>
              <w:t>NPRR1012</w:t>
            </w:r>
            <w:r w:rsidR="003E0FF7">
              <w:rPr>
                <w:b/>
                <w:i/>
                <w:iCs/>
              </w:rPr>
              <w:t>, and NPRR1201</w:t>
            </w:r>
            <w:r w:rsidRPr="00E566EB">
              <w:rPr>
                <w:b/>
                <w:i/>
                <w:iCs/>
              </w:rPr>
              <w:t xml:space="preserve">: </w:t>
            </w:r>
            <w:r>
              <w:rPr>
                <w:b/>
                <w:i/>
                <w:iCs/>
              </w:rPr>
              <w:t xml:space="preserve"> Replace </w:t>
            </w:r>
            <w:r w:rsidR="00D211B0">
              <w:rPr>
                <w:b/>
                <w:i/>
                <w:iCs/>
              </w:rPr>
              <w:t xml:space="preserve">applicable portions of </w:t>
            </w:r>
            <w:r>
              <w:rPr>
                <w:b/>
                <w:i/>
                <w:iCs/>
              </w:rPr>
              <w:t>the formula “</w:t>
            </w:r>
            <w:r w:rsidRPr="00C4046B">
              <w:rPr>
                <w:b/>
                <w:i/>
                <w:iCs/>
                <w:lang w:val="pt-BR"/>
              </w:rPr>
              <w:t xml:space="preserve">MMA </w:t>
            </w:r>
            <w:r w:rsidRPr="00C4046B">
              <w:rPr>
                <w:b/>
                <w:i/>
                <w:iCs/>
                <w:vertAlign w:val="subscript"/>
              </w:rPr>
              <w:t>cp</w:t>
            </w:r>
            <w:r>
              <w:rPr>
                <w:b/>
                <w:i/>
                <w:iCs/>
              </w:rPr>
              <w:t xml:space="preserve">” above with the following </w:t>
            </w:r>
            <w:r w:rsidR="00986EAF">
              <w:rPr>
                <w:b/>
                <w:i/>
                <w:iCs/>
              </w:rPr>
              <w:t>upon system implementation for NPRR995</w:t>
            </w:r>
            <w:r w:rsidR="003E0FF7">
              <w:rPr>
                <w:b/>
                <w:i/>
                <w:iCs/>
              </w:rPr>
              <w:t xml:space="preserve"> or NPRR1201</w:t>
            </w:r>
            <w:r w:rsidR="00986EAF">
              <w:rPr>
                <w:b/>
                <w:i/>
                <w:iCs/>
              </w:rPr>
              <w:t xml:space="preserve">; </w:t>
            </w:r>
            <w:r w:rsidR="00D211B0">
              <w:rPr>
                <w:b/>
                <w:i/>
                <w:iCs/>
              </w:rPr>
              <w:t>or upon system implementation of the Real-Time Co-Optimization (RTC) project for NPRR1012</w:t>
            </w:r>
            <w:r w:rsidRPr="00E566EB">
              <w:rPr>
                <w:b/>
                <w:i/>
                <w:iCs/>
              </w:rPr>
              <w:t>:]</w:t>
            </w:r>
          </w:p>
          <w:p w14:paraId="1E7D18FB" w14:textId="10787D49" w:rsidR="00C4046B" w:rsidRPr="00CD2C01" w:rsidRDefault="00C4046B" w:rsidP="00C4046B">
            <w:pPr>
              <w:spacing w:after="240"/>
              <w:ind w:left="720" w:firstLine="720"/>
              <w:rPr>
                <w:rFonts w:eastAsia="Calibri"/>
                <w:iCs/>
                <w:vertAlign w:val="subscript"/>
              </w:rPr>
            </w:pPr>
            <w:r w:rsidRPr="00CD2C01">
              <w:rPr>
                <w:iCs/>
                <w:lang w:val="pt-BR"/>
              </w:rPr>
              <w:t xml:space="preserve">MMA </w:t>
            </w:r>
            <w:r w:rsidRPr="00CD2C01">
              <w:rPr>
                <w:rFonts w:eastAsia="Calibri"/>
                <w:i/>
                <w:iCs/>
                <w:vertAlign w:val="subscript"/>
              </w:rPr>
              <w:t>cp</w:t>
            </w:r>
            <w:r w:rsidRPr="00CD2C01">
              <w:rPr>
                <w:iCs/>
                <w:lang w:val="pt-BR"/>
              </w:rPr>
              <w:t xml:space="preserve"> = Max</w:t>
            </w:r>
            <w:r w:rsidRPr="00CD2C01">
              <w:rPr>
                <w:rFonts w:eastAsia="Calibri"/>
                <w:iCs/>
              </w:rPr>
              <w:t xml:space="preserve"> { </w:t>
            </w:r>
            <w:r w:rsidRPr="00CD2C01">
              <w:rPr>
                <w:iCs/>
              </w:rPr>
              <w:t>∑</w:t>
            </w:r>
            <w:r w:rsidRPr="00CD2C01">
              <w:rPr>
                <w:rFonts w:eastAsia="Calibri"/>
                <w:i/>
                <w:iCs/>
                <w:vertAlign w:val="subscript"/>
              </w:rPr>
              <w:t xml:space="preserve">mp </w:t>
            </w:r>
            <w:r w:rsidRPr="00CD2C01">
              <w:rPr>
                <w:rFonts w:eastAsia="Calibri"/>
                <w:iCs/>
              </w:rPr>
              <w:t>(URTMG </w:t>
            </w:r>
            <w:r w:rsidRPr="00CD2C01">
              <w:rPr>
                <w:rFonts w:eastAsia="Calibri"/>
                <w:i/>
                <w:iCs/>
                <w:vertAlign w:val="subscript"/>
              </w:rPr>
              <w:t>mp</w:t>
            </w:r>
            <w:r w:rsidRPr="00CD2C01">
              <w:rPr>
                <w:rFonts w:eastAsia="Calibri"/>
                <w:iCs/>
                <w:vertAlign w:val="subscript"/>
              </w:rPr>
              <w:t xml:space="preserve"> </w:t>
            </w:r>
            <w:r w:rsidRPr="00CD2C01">
              <w:rPr>
                <w:rFonts w:eastAsia="Calibri"/>
                <w:iCs/>
              </w:rPr>
              <w:t>+ URTDCIMP </w:t>
            </w:r>
            <w:r w:rsidRPr="00CD2C01">
              <w:rPr>
                <w:rFonts w:eastAsia="Calibri"/>
                <w:i/>
                <w:iCs/>
                <w:vertAlign w:val="subscript"/>
              </w:rPr>
              <w:t>mp</w:t>
            </w:r>
            <w:r w:rsidR="007D5143" w:rsidRPr="00DA2165">
              <w:rPr>
                <w:rFonts w:eastAsia="Calibri"/>
              </w:rPr>
              <w:t xml:space="preserve"> + USOGTOT</w:t>
            </w:r>
            <w:r w:rsidR="007D5143" w:rsidRPr="00DA2165">
              <w:rPr>
                <w:rFonts w:eastAsia="Calibri"/>
                <w:i/>
                <w:iCs/>
                <w:vertAlign w:val="subscript"/>
              </w:rPr>
              <w:t xml:space="preserve"> mp</w:t>
            </w:r>
            <w:r w:rsidRPr="00CD2C01">
              <w:rPr>
                <w:iCs/>
              </w:rPr>
              <w:t>)</w:t>
            </w:r>
            <w:r w:rsidRPr="00CD2C01">
              <w:rPr>
                <w:rFonts w:eastAsia="Calibri"/>
                <w:iCs/>
                <w:vertAlign w:val="subscript"/>
              </w:rPr>
              <w:t xml:space="preserve">, </w:t>
            </w:r>
          </w:p>
          <w:p w14:paraId="403416BF" w14:textId="517D9CD8" w:rsidR="00C4046B" w:rsidRPr="00CD2C01" w:rsidRDefault="00C4046B" w:rsidP="00C4046B">
            <w:pPr>
              <w:spacing w:after="240"/>
              <w:ind w:left="2880"/>
              <w:rPr>
                <w:rFonts w:eastAsia="Calibri"/>
                <w:iCs/>
                <w:vertAlign w:val="subscript"/>
              </w:rPr>
            </w:pPr>
            <w:r w:rsidRPr="00CD2C01">
              <w:rPr>
                <w:iCs/>
              </w:rPr>
              <w:t>∑</w:t>
            </w:r>
            <w:r w:rsidRPr="00CD2C01">
              <w:rPr>
                <w:rFonts w:eastAsia="Calibri"/>
                <w:i/>
                <w:iCs/>
                <w:vertAlign w:val="subscript"/>
              </w:rPr>
              <w:t>mp</w:t>
            </w:r>
            <w:r w:rsidRPr="00CD2C01">
              <w:rPr>
                <w:rFonts w:eastAsia="Calibri"/>
                <w:iCs/>
              </w:rPr>
              <w:t> (URTAML </w:t>
            </w:r>
            <w:r w:rsidRPr="00CD2C01">
              <w:rPr>
                <w:rFonts w:eastAsia="Calibri"/>
                <w:i/>
                <w:iCs/>
                <w:vertAlign w:val="subscript"/>
              </w:rPr>
              <w:t>mp</w:t>
            </w:r>
            <w:r w:rsidRPr="00CD2C01">
              <w:rPr>
                <w:rFonts w:eastAsia="Calibri"/>
                <w:iCs/>
              </w:rPr>
              <w:t xml:space="preserve"> + UWSLTOT </w:t>
            </w:r>
            <w:r w:rsidRPr="00CD2C01">
              <w:rPr>
                <w:rFonts w:eastAsia="Calibri"/>
                <w:i/>
                <w:iCs/>
                <w:vertAlign w:val="subscript"/>
              </w:rPr>
              <w:t>mp</w:t>
            </w:r>
            <w:r w:rsidR="00986EAF" w:rsidRPr="005D0F36">
              <w:rPr>
                <w:rFonts w:eastAsia="Calibri"/>
              </w:rPr>
              <w:t> </w:t>
            </w:r>
            <w:r w:rsidR="00986EAF" w:rsidRPr="005D0F36">
              <w:rPr>
                <w:rFonts w:eastAsia="Calibri"/>
                <w:iCs/>
              </w:rPr>
              <w:t>+</w:t>
            </w:r>
            <w:r w:rsidR="00986EAF">
              <w:rPr>
                <w:rFonts w:eastAsia="Calibri"/>
                <w:iCs/>
              </w:rPr>
              <w:t xml:space="preserve"> </w:t>
            </w:r>
            <w:r w:rsidR="00986EAF">
              <w:t>USOCLTOT</w:t>
            </w:r>
            <w:r w:rsidR="00986EAF" w:rsidRPr="005D0F36">
              <w:rPr>
                <w:i/>
                <w:vertAlign w:val="subscript"/>
              </w:rPr>
              <w:t xml:space="preserve"> mp</w:t>
            </w:r>
            <w:r w:rsidRPr="00CD2C01">
              <w:rPr>
                <w:rFonts w:eastAsia="Calibri"/>
                <w:iCs/>
              </w:rPr>
              <w:t>)</w:t>
            </w:r>
            <w:r w:rsidRPr="00CD2C01">
              <w:rPr>
                <w:rFonts w:eastAsia="Calibri"/>
                <w:iCs/>
                <w:vertAlign w:val="subscript"/>
              </w:rPr>
              <w:t xml:space="preserve">, </w:t>
            </w:r>
          </w:p>
          <w:p w14:paraId="295974C1" w14:textId="77777777" w:rsidR="00C4046B" w:rsidRPr="00CD2C01" w:rsidRDefault="00C4046B" w:rsidP="00C4046B">
            <w:pPr>
              <w:spacing w:after="240"/>
              <w:ind w:left="2160" w:firstLine="720"/>
              <w:rPr>
                <w:rFonts w:eastAsia="Calibri"/>
                <w:iCs/>
                <w:vertAlign w:val="subscript"/>
              </w:rPr>
            </w:pPr>
            <w:r w:rsidRPr="00CD2C01">
              <w:rPr>
                <w:iCs/>
              </w:rPr>
              <w:t>∑</w:t>
            </w:r>
            <w:r w:rsidRPr="00CD2C01">
              <w:rPr>
                <w:rFonts w:eastAsia="Calibri"/>
                <w:i/>
                <w:iCs/>
                <w:vertAlign w:val="subscript"/>
              </w:rPr>
              <w:t>mp</w:t>
            </w:r>
            <w:r w:rsidRPr="00CD2C01">
              <w:rPr>
                <w:rFonts w:eastAsia="Calibri"/>
                <w:iCs/>
                <w:vertAlign w:val="subscript"/>
              </w:rPr>
              <w:t> </w:t>
            </w:r>
            <w:r w:rsidRPr="00CD2C01">
              <w:rPr>
                <w:rFonts w:eastAsia="Calibri"/>
                <w:iCs/>
              </w:rPr>
              <w:t>URTQQES </w:t>
            </w:r>
            <w:r w:rsidRPr="00CD2C01">
              <w:rPr>
                <w:rFonts w:eastAsia="Calibri"/>
                <w:i/>
                <w:iCs/>
                <w:vertAlign w:val="subscript"/>
              </w:rPr>
              <w:t>mp</w:t>
            </w:r>
            <w:r w:rsidRPr="00CD2C01">
              <w:rPr>
                <w:rFonts w:eastAsia="Calibri"/>
                <w:iCs/>
                <w:vertAlign w:val="subscript"/>
              </w:rPr>
              <w:t xml:space="preserve">, </w:t>
            </w:r>
          </w:p>
          <w:p w14:paraId="67E0E202" w14:textId="77777777" w:rsidR="00C4046B" w:rsidRPr="00CD2C01" w:rsidRDefault="00C4046B" w:rsidP="00C4046B">
            <w:pPr>
              <w:spacing w:after="240"/>
              <w:ind w:left="2160" w:firstLine="720"/>
              <w:rPr>
                <w:rFonts w:eastAsia="Calibri"/>
                <w:iCs/>
                <w:vertAlign w:val="subscript"/>
              </w:rPr>
            </w:pPr>
            <w:r w:rsidRPr="00CD2C01">
              <w:rPr>
                <w:iCs/>
              </w:rPr>
              <w:t>∑</w:t>
            </w:r>
            <w:r w:rsidRPr="00CD2C01">
              <w:rPr>
                <w:rFonts w:eastAsia="Calibri"/>
                <w:i/>
                <w:iCs/>
                <w:vertAlign w:val="subscript"/>
              </w:rPr>
              <w:t>mp</w:t>
            </w:r>
            <w:r w:rsidRPr="00CD2C01">
              <w:rPr>
                <w:rFonts w:eastAsia="Calibri"/>
                <w:iCs/>
              </w:rPr>
              <w:t> URTQQEP </w:t>
            </w:r>
            <w:r w:rsidRPr="00CD2C01">
              <w:rPr>
                <w:rFonts w:eastAsia="Calibri"/>
                <w:i/>
                <w:iCs/>
                <w:vertAlign w:val="subscript"/>
              </w:rPr>
              <w:t>mp</w:t>
            </w:r>
            <w:r w:rsidRPr="00CD2C01">
              <w:rPr>
                <w:rFonts w:eastAsia="Calibri"/>
                <w:iCs/>
                <w:vertAlign w:val="subscript"/>
              </w:rPr>
              <w:t xml:space="preserve">, </w:t>
            </w:r>
          </w:p>
          <w:p w14:paraId="394B5506" w14:textId="77777777" w:rsidR="00C4046B" w:rsidRPr="00CD2C01" w:rsidRDefault="00C4046B" w:rsidP="00C4046B">
            <w:pPr>
              <w:spacing w:after="240"/>
              <w:ind w:left="2160" w:firstLine="720"/>
              <w:rPr>
                <w:rFonts w:eastAsia="Calibri"/>
                <w:iCs/>
                <w:vertAlign w:val="subscript"/>
              </w:rPr>
            </w:pPr>
            <w:r w:rsidRPr="00CD2C01">
              <w:rPr>
                <w:iCs/>
              </w:rPr>
              <w:lastRenderedPageBreak/>
              <w:t>∑</w:t>
            </w:r>
            <w:r w:rsidRPr="00CD2C01">
              <w:rPr>
                <w:rFonts w:eastAsia="Calibri"/>
                <w:i/>
                <w:iCs/>
                <w:vertAlign w:val="subscript"/>
              </w:rPr>
              <w:t>mp</w:t>
            </w:r>
            <w:r w:rsidRPr="00CD2C01">
              <w:rPr>
                <w:rFonts w:eastAsia="Calibri"/>
                <w:iCs/>
              </w:rPr>
              <w:t> UDAES </w:t>
            </w:r>
            <w:r w:rsidRPr="00CD2C01">
              <w:rPr>
                <w:rFonts w:eastAsia="Calibri"/>
                <w:i/>
                <w:iCs/>
                <w:vertAlign w:val="subscript"/>
              </w:rPr>
              <w:t>mp</w:t>
            </w:r>
            <w:r w:rsidRPr="00CD2C01">
              <w:rPr>
                <w:rFonts w:eastAsia="Calibri"/>
                <w:iCs/>
                <w:vertAlign w:val="subscript"/>
              </w:rPr>
              <w:t xml:space="preserve">, </w:t>
            </w:r>
          </w:p>
          <w:p w14:paraId="1A09890B" w14:textId="77777777" w:rsidR="00C4046B" w:rsidRPr="00CD2C01" w:rsidRDefault="00C4046B" w:rsidP="00C4046B">
            <w:pPr>
              <w:spacing w:after="240"/>
              <w:ind w:left="2160" w:firstLine="720"/>
              <w:rPr>
                <w:rFonts w:eastAsia="Calibri"/>
                <w:iCs/>
                <w:vertAlign w:val="subscript"/>
              </w:rPr>
            </w:pPr>
            <w:r w:rsidRPr="00CD2C01">
              <w:rPr>
                <w:iCs/>
              </w:rPr>
              <w:t>∑</w:t>
            </w:r>
            <w:r w:rsidRPr="00CD2C01">
              <w:rPr>
                <w:rFonts w:eastAsia="Calibri"/>
                <w:i/>
                <w:iCs/>
                <w:vertAlign w:val="subscript"/>
              </w:rPr>
              <w:t>mp</w:t>
            </w:r>
            <w:r w:rsidRPr="00CD2C01">
              <w:rPr>
                <w:rFonts w:eastAsia="Calibri"/>
                <w:iCs/>
              </w:rPr>
              <w:t> UDAEP </w:t>
            </w:r>
            <w:r w:rsidRPr="00CD2C01">
              <w:rPr>
                <w:rFonts w:eastAsia="Calibri"/>
                <w:i/>
                <w:iCs/>
                <w:vertAlign w:val="subscript"/>
              </w:rPr>
              <w:t>mp</w:t>
            </w:r>
            <w:r w:rsidRPr="00CD2C01">
              <w:rPr>
                <w:rFonts w:eastAsia="Calibri"/>
                <w:iCs/>
                <w:vertAlign w:val="subscript"/>
              </w:rPr>
              <w:t>,</w:t>
            </w:r>
          </w:p>
          <w:p w14:paraId="7ADB37DF" w14:textId="77777777" w:rsidR="00C4046B" w:rsidRPr="00CD2C01" w:rsidRDefault="00C4046B" w:rsidP="00C4046B">
            <w:pPr>
              <w:spacing w:after="240"/>
              <w:ind w:left="2160" w:firstLine="720"/>
              <w:rPr>
                <w:rFonts w:eastAsia="Calibri"/>
                <w:iCs/>
                <w:vertAlign w:val="subscript"/>
              </w:rPr>
            </w:pPr>
            <w:r w:rsidRPr="00CD2C01">
              <w:rPr>
                <w:iCs/>
              </w:rPr>
              <w:t>∑</w:t>
            </w:r>
            <w:r w:rsidRPr="00CD2C01">
              <w:rPr>
                <w:rFonts w:eastAsia="Calibri"/>
                <w:i/>
                <w:iCs/>
                <w:vertAlign w:val="subscript"/>
              </w:rPr>
              <w:t>mp</w:t>
            </w:r>
            <w:r w:rsidRPr="00CD2C01">
              <w:rPr>
                <w:rFonts w:eastAsia="Calibri"/>
                <w:iCs/>
              </w:rPr>
              <w:t> (URTOBL </w:t>
            </w:r>
            <w:r w:rsidRPr="00CD2C01">
              <w:rPr>
                <w:rFonts w:eastAsia="Calibri"/>
                <w:i/>
                <w:iCs/>
                <w:vertAlign w:val="subscript"/>
              </w:rPr>
              <w:t xml:space="preserve">mp </w:t>
            </w:r>
            <w:r w:rsidRPr="00CD2C01">
              <w:rPr>
                <w:rFonts w:eastAsia="Calibri"/>
                <w:i/>
                <w:iCs/>
              </w:rPr>
              <w:t xml:space="preserve">+ </w:t>
            </w:r>
            <w:r w:rsidRPr="00CD2C01">
              <w:rPr>
                <w:rFonts w:eastAsia="Calibri"/>
                <w:iCs/>
              </w:rPr>
              <w:t xml:space="preserve">URTOBLLO </w:t>
            </w:r>
            <w:r w:rsidRPr="00CD2C01">
              <w:rPr>
                <w:rFonts w:eastAsia="Calibri"/>
                <w:i/>
                <w:iCs/>
                <w:vertAlign w:val="subscript"/>
              </w:rPr>
              <w:t>mp</w:t>
            </w:r>
            <w:r w:rsidRPr="00CD2C01">
              <w:rPr>
                <w:rFonts w:eastAsia="Calibri"/>
                <w:iCs/>
              </w:rPr>
              <w:t>)</w:t>
            </w:r>
            <w:r w:rsidRPr="00CD2C01">
              <w:rPr>
                <w:rFonts w:eastAsia="Calibri"/>
                <w:iCs/>
                <w:vertAlign w:val="subscript"/>
              </w:rPr>
              <w:t xml:space="preserve">, </w:t>
            </w:r>
          </w:p>
          <w:p w14:paraId="46FB4DCA" w14:textId="0C223B62" w:rsidR="00C4046B" w:rsidRPr="00CD2C01" w:rsidRDefault="00C4046B" w:rsidP="00C4046B">
            <w:pPr>
              <w:spacing w:after="240"/>
              <w:ind w:left="2160" w:firstLine="720"/>
              <w:rPr>
                <w:iCs/>
              </w:rPr>
            </w:pPr>
            <w:r w:rsidRPr="00CD2C01">
              <w:rPr>
                <w:iCs/>
              </w:rPr>
              <w:t>∑</w:t>
            </w:r>
            <w:r w:rsidRPr="00CD2C01">
              <w:rPr>
                <w:rFonts w:eastAsia="Calibri"/>
                <w:i/>
                <w:iCs/>
                <w:vertAlign w:val="subscript"/>
              </w:rPr>
              <w:t>mp</w:t>
            </w:r>
            <w:r w:rsidRPr="00CD2C01">
              <w:rPr>
                <w:rFonts w:eastAsia="Calibri"/>
                <w:iCs/>
              </w:rPr>
              <w:t> </w:t>
            </w:r>
            <w:r w:rsidRPr="00CD2C01">
              <w:rPr>
                <w:iCs/>
              </w:rPr>
              <w:t>(</w:t>
            </w:r>
            <w:r w:rsidRPr="00CD2C01">
              <w:rPr>
                <w:rFonts w:eastAsia="Calibri"/>
                <w:iCs/>
              </w:rPr>
              <w:t>UDAOPT </w:t>
            </w:r>
            <w:r w:rsidRPr="00CD2C01">
              <w:rPr>
                <w:rFonts w:eastAsia="Calibri"/>
                <w:i/>
                <w:iCs/>
                <w:vertAlign w:val="subscript"/>
              </w:rPr>
              <w:t>mp</w:t>
            </w:r>
            <w:r w:rsidRPr="00CD2C01">
              <w:rPr>
                <w:rFonts w:eastAsia="Calibri"/>
                <w:iCs/>
                <w:vertAlign w:val="subscript"/>
              </w:rPr>
              <w:t xml:space="preserve"> </w:t>
            </w:r>
            <w:r w:rsidRPr="00CD2C01">
              <w:rPr>
                <w:rFonts w:eastAsia="Calibri"/>
                <w:iCs/>
              </w:rPr>
              <w:t>+ UDAOBL </w:t>
            </w:r>
            <w:r w:rsidRPr="00CD2C01">
              <w:rPr>
                <w:rFonts w:eastAsia="Calibri"/>
                <w:i/>
                <w:iCs/>
                <w:vertAlign w:val="subscript"/>
              </w:rPr>
              <w:t>mp</w:t>
            </w:r>
            <w:r w:rsidRPr="00CD2C01">
              <w:rPr>
                <w:iCs/>
              </w:rPr>
              <w:t xml:space="preserve">), </w:t>
            </w:r>
          </w:p>
          <w:p w14:paraId="140F7093" w14:textId="1FBB4E96" w:rsidR="00C4046B" w:rsidRPr="00C4046B" w:rsidRDefault="00D211B0" w:rsidP="0062198B">
            <w:pPr>
              <w:spacing w:after="240"/>
              <w:ind w:left="2160" w:firstLine="720"/>
              <w:rPr>
                <w:iCs/>
              </w:rPr>
            </w:pPr>
            <w:r w:rsidRPr="00D211B0">
              <w:t>∑</w:t>
            </w:r>
            <w:r w:rsidRPr="00D211B0">
              <w:rPr>
                <w:rFonts w:eastAsia="Calibri"/>
                <w:i/>
                <w:vertAlign w:val="subscript"/>
              </w:rPr>
              <w:t>mp</w:t>
            </w:r>
            <w:r w:rsidRPr="00D211B0">
              <w:rPr>
                <w:rFonts w:eastAsia="Calibri"/>
              </w:rPr>
              <w:t xml:space="preserve"> UDAASOAWD </w:t>
            </w:r>
            <w:r w:rsidRPr="00D211B0">
              <w:rPr>
                <w:rFonts w:eastAsia="Calibri"/>
                <w:i/>
                <w:vertAlign w:val="subscript"/>
              </w:rPr>
              <w:t>mp</w:t>
            </w:r>
            <w:r w:rsidR="00C4046B" w:rsidRPr="00CD2C01">
              <w:rPr>
                <w:iCs/>
              </w:rPr>
              <w:t>}</w:t>
            </w:r>
          </w:p>
        </w:tc>
      </w:tr>
    </w:tbl>
    <w:p w14:paraId="568CF082" w14:textId="77777777" w:rsidR="00881601" w:rsidRDefault="00881601" w:rsidP="00076E1C">
      <w:pPr>
        <w:pStyle w:val="BodyText"/>
        <w:spacing w:before="240"/>
        <w:ind w:left="1440"/>
        <w:rPr>
          <w:rFonts w:eastAsia="Calibri"/>
        </w:rPr>
      </w:pPr>
      <w:r w:rsidRPr="007F1065">
        <w:lastRenderedPageBreak/>
        <w:t>MMATOT = ∑</w:t>
      </w:r>
      <w:r w:rsidRPr="007F1065">
        <w:rPr>
          <w:rFonts w:eastAsia="Calibri"/>
          <w:i/>
          <w:vertAlign w:val="subscript"/>
        </w:rPr>
        <w:t>cp</w:t>
      </w:r>
      <w:r w:rsidRPr="007F1065">
        <w:rPr>
          <w:rFonts w:eastAsia="Calibri"/>
        </w:rPr>
        <w:t> (</w:t>
      </w:r>
      <w:r w:rsidRPr="007F1065">
        <w:rPr>
          <w:lang w:val="pt-BR"/>
        </w:rPr>
        <w:t>MMA</w:t>
      </w:r>
      <w:r w:rsidRPr="007F1065">
        <w:rPr>
          <w:rFonts w:eastAsia="Calibri"/>
          <w:i/>
          <w:vertAlign w:val="subscript"/>
        </w:rPr>
        <w:t>cp</w:t>
      </w:r>
      <w:r w:rsidRPr="007F1065">
        <w:rPr>
          <w:rFonts w:eastAsia="Calibri"/>
        </w:rPr>
        <w:t>)</w:t>
      </w:r>
    </w:p>
    <w:p w14:paraId="77F39DCA" w14:textId="77777777" w:rsidR="00881601" w:rsidRPr="002472A0" w:rsidRDefault="00881601" w:rsidP="00881601">
      <w:pPr>
        <w:pStyle w:val="BodyText"/>
        <w:ind w:left="720"/>
        <w:rPr>
          <w:rFonts w:eastAsia="Calibri"/>
        </w:rPr>
      </w:pPr>
      <w:r w:rsidRPr="002472A0">
        <w:rPr>
          <w:rFonts w:eastAsia="Calibri"/>
        </w:rPr>
        <w:t>Where:</w:t>
      </w:r>
    </w:p>
    <w:p w14:paraId="57F9442B" w14:textId="77777777" w:rsidR="00881601" w:rsidRPr="00D465F5" w:rsidRDefault="00881601" w:rsidP="00D465F5">
      <w:pPr>
        <w:pStyle w:val="FormulaBold"/>
        <w:rPr>
          <w:rFonts w:eastAsia="Calibri"/>
          <w:b w:val="0"/>
          <w:bCs/>
        </w:rPr>
      </w:pPr>
      <w:r w:rsidRPr="00D465F5">
        <w:rPr>
          <w:b w:val="0"/>
          <w:bCs/>
        </w:rPr>
        <w:t>URTMG </w:t>
      </w:r>
      <w:r w:rsidRPr="00D465F5">
        <w:rPr>
          <w:b w:val="0"/>
          <w:bCs/>
          <w:i/>
          <w:vertAlign w:val="subscript"/>
        </w:rPr>
        <w:t>mp</w:t>
      </w:r>
      <w:r w:rsidRPr="00D465F5">
        <w:rPr>
          <w:rFonts w:eastAsia="Calibri"/>
          <w:b w:val="0"/>
          <w:bCs/>
        </w:rPr>
        <w:t xml:space="preserve"> = </w:t>
      </w:r>
      <w:r w:rsidRPr="00D465F5">
        <w:rPr>
          <w:b w:val="0"/>
          <w:bCs/>
        </w:rPr>
        <w:t>∑</w:t>
      </w:r>
      <w:r w:rsidRPr="00D465F5">
        <w:rPr>
          <w:b w:val="0"/>
          <w:bCs/>
          <w:i/>
          <w:vertAlign w:val="subscript"/>
        </w:rPr>
        <w:t>p, r, i</w:t>
      </w:r>
      <w:r w:rsidRPr="00D465F5">
        <w:rPr>
          <w:b w:val="0"/>
          <w:bCs/>
        </w:rPr>
        <w:t xml:space="preserve"> (RTMG </w:t>
      </w:r>
      <w:r w:rsidRPr="00D465F5">
        <w:rPr>
          <w:b w:val="0"/>
          <w:bCs/>
          <w:i/>
          <w:vertAlign w:val="subscript"/>
        </w:rPr>
        <w:t>mp, p, r, i</w:t>
      </w:r>
      <w:r w:rsidRPr="00D465F5">
        <w:rPr>
          <w:b w:val="0"/>
          <w:bCs/>
        </w:rPr>
        <w:t>), excluding RTMG for RMR Resources and RTMG in Reliability Unit Commitment (RUC)-Committed Intervals for RUC-committed Resources</w:t>
      </w:r>
    </w:p>
    <w:p w14:paraId="10B91425" w14:textId="77777777" w:rsidR="00881601" w:rsidRPr="00D465F5" w:rsidRDefault="00881601" w:rsidP="00D465F5">
      <w:pPr>
        <w:pStyle w:val="FormulaBold"/>
        <w:rPr>
          <w:rFonts w:eastAsia="Calibri"/>
          <w:b w:val="0"/>
          <w:bCs/>
        </w:rPr>
      </w:pPr>
      <w:r w:rsidRPr="00D465F5">
        <w:rPr>
          <w:rFonts w:eastAsia="Calibri"/>
          <w:b w:val="0"/>
          <w:bCs/>
        </w:rPr>
        <w:t>URTDCIMP</w:t>
      </w:r>
      <w:r w:rsidRPr="00D465F5">
        <w:rPr>
          <w:b w:val="0"/>
          <w:bCs/>
        </w:rPr>
        <w:t> </w:t>
      </w:r>
      <w:r w:rsidRPr="00D465F5">
        <w:rPr>
          <w:b w:val="0"/>
          <w:bCs/>
          <w:i/>
          <w:vertAlign w:val="subscript"/>
        </w:rPr>
        <w:t>mp</w:t>
      </w:r>
      <w:r w:rsidRPr="00D465F5">
        <w:rPr>
          <w:rFonts w:eastAsia="Calibri"/>
          <w:b w:val="0"/>
          <w:bCs/>
        </w:rPr>
        <w:t xml:space="preserve"> = </w:t>
      </w:r>
      <w:r w:rsidRPr="00D465F5">
        <w:rPr>
          <w:b w:val="0"/>
          <w:bCs/>
        </w:rPr>
        <w:t>∑</w:t>
      </w:r>
      <w:r w:rsidRPr="00D465F5">
        <w:rPr>
          <w:b w:val="0"/>
          <w:bCs/>
          <w:i/>
          <w:vertAlign w:val="subscript"/>
        </w:rPr>
        <w:t>p, i</w:t>
      </w:r>
      <w:r w:rsidRPr="00D465F5">
        <w:rPr>
          <w:b w:val="0"/>
          <w:bCs/>
        </w:rPr>
        <w:t xml:space="preserve"> (RTDCIMP </w:t>
      </w:r>
      <w:r w:rsidRPr="00D465F5">
        <w:rPr>
          <w:b w:val="0"/>
          <w:bCs/>
          <w:i/>
          <w:vertAlign w:val="subscript"/>
        </w:rPr>
        <w:t>mp, p, i</w:t>
      </w:r>
      <w:r w:rsidRPr="00D465F5">
        <w:rPr>
          <w:b w:val="0"/>
          <w:bCs/>
        </w:rPr>
        <w:t>) / 4</w:t>
      </w:r>
    </w:p>
    <w:p w14:paraId="27467FD9" w14:textId="77777777" w:rsidR="00881601" w:rsidRPr="00D465F5" w:rsidRDefault="00881601" w:rsidP="00D465F5">
      <w:pPr>
        <w:pStyle w:val="FormulaBold"/>
        <w:rPr>
          <w:b w:val="0"/>
          <w:bCs/>
        </w:rPr>
      </w:pPr>
      <w:r w:rsidRPr="00D465F5">
        <w:rPr>
          <w:rFonts w:eastAsia="Calibri"/>
          <w:b w:val="0"/>
          <w:bCs/>
        </w:rPr>
        <w:t>URTAML</w:t>
      </w:r>
      <w:r w:rsidRPr="00D465F5">
        <w:rPr>
          <w:b w:val="0"/>
          <w:bCs/>
        </w:rPr>
        <w:t> </w:t>
      </w:r>
      <w:r w:rsidRPr="00D465F5">
        <w:rPr>
          <w:b w:val="0"/>
          <w:bCs/>
          <w:i/>
          <w:vertAlign w:val="subscript"/>
        </w:rPr>
        <w:t>mp</w:t>
      </w:r>
      <w:r w:rsidRPr="00D465F5">
        <w:rPr>
          <w:rFonts w:eastAsia="Calibri"/>
          <w:b w:val="0"/>
          <w:bCs/>
        </w:rPr>
        <w:t xml:space="preserve"> = </w:t>
      </w:r>
      <w:r w:rsidR="006A6713" w:rsidRPr="00D465F5">
        <w:rPr>
          <w:rFonts w:eastAsia="Calibri"/>
          <w:b w:val="0"/>
          <w:bCs/>
        </w:rPr>
        <w:t>max(0,</w:t>
      </w:r>
      <w:r w:rsidRPr="00D465F5">
        <w:rPr>
          <w:b w:val="0"/>
          <w:bCs/>
        </w:rPr>
        <w:t>∑</w:t>
      </w:r>
      <w:r w:rsidRPr="00D465F5">
        <w:rPr>
          <w:b w:val="0"/>
          <w:bCs/>
          <w:i/>
          <w:vertAlign w:val="subscript"/>
        </w:rPr>
        <w:t>p, i</w:t>
      </w:r>
      <w:r w:rsidRPr="00D465F5">
        <w:rPr>
          <w:b w:val="0"/>
          <w:bCs/>
        </w:rPr>
        <w:t xml:space="preserve"> (RTAML </w:t>
      </w:r>
      <w:r w:rsidRPr="00D465F5">
        <w:rPr>
          <w:b w:val="0"/>
          <w:bCs/>
          <w:i/>
          <w:vertAlign w:val="subscript"/>
        </w:rPr>
        <w:t>mp, p, i</w:t>
      </w:r>
      <w:r w:rsidRPr="00D465F5">
        <w:rPr>
          <w:b w:val="0"/>
          <w:bCs/>
        </w:rPr>
        <w:t>)</w:t>
      </w:r>
      <w:r w:rsidR="006A6713" w:rsidRPr="00D465F5">
        <w:rPr>
          <w:b w:val="0"/>
          <w:bCs/>
        </w:rPr>
        <w:t>)</w:t>
      </w:r>
    </w:p>
    <w:p w14:paraId="56A36858" w14:textId="77777777" w:rsidR="00881601" w:rsidRPr="00D465F5" w:rsidRDefault="00881601" w:rsidP="00D465F5">
      <w:pPr>
        <w:pStyle w:val="FormulaBold"/>
        <w:rPr>
          <w:b w:val="0"/>
          <w:bCs/>
        </w:rPr>
      </w:pPr>
      <w:r w:rsidRPr="00D465F5">
        <w:rPr>
          <w:rFonts w:eastAsia="Calibri"/>
          <w:b w:val="0"/>
          <w:bCs/>
        </w:rPr>
        <w:t>URTQQES</w:t>
      </w:r>
      <w:r w:rsidRPr="00D465F5">
        <w:rPr>
          <w:b w:val="0"/>
          <w:bCs/>
        </w:rPr>
        <w:t> </w:t>
      </w:r>
      <w:r w:rsidRPr="00D465F5">
        <w:rPr>
          <w:b w:val="0"/>
          <w:bCs/>
          <w:i/>
          <w:vertAlign w:val="subscript"/>
        </w:rPr>
        <w:t>mp</w:t>
      </w:r>
      <w:r w:rsidRPr="00D465F5">
        <w:rPr>
          <w:rFonts w:eastAsia="Calibri"/>
          <w:b w:val="0"/>
          <w:bCs/>
        </w:rPr>
        <w:t xml:space="preserve"> = </w:t>
      </w:r>
      <w:r w:rsidRPr="00D465F5">
        <w:rPr>
          <w:b w:val="0"/>
          <w:bCs/>
        </w:rPr>
        <w:t>∑</w:t>
      </w:r>
      <w:r w:rsidRPr="00D465F5">
        <w:rPr>
          <w:b w:val="0"/>
          <w:bCs/>
          <w:i/>
          <w:vertAlign w:val="subscript"/>
        </w:rPr>
        <w:t>p, i</w:t>
      </w:r>
      <w:r w:rsidRPr="00D465F5">
        <w:rPr>
          <w:b w:val="0"/>
          <w:bCs/>
        </w:rPr>
        <w:t xml:space="preserve"> (</w:t>
      </w:r>
      <w:r w:rsidRPr="00D465F5">
        <w:rPr>
          <w:rFonts w:eastAsia="Calibri"/>
          <w:b w:val="0"/>
          <w:bCs/>
        </w:rPr>
        <w:t>RTQQES </w:t>
      </w:r>
      <w:r w:rsidRPr="00D465F5">
        <w:rPr>
          <w:b w:val="0"/>
          <w:bCs/>
          <w:i/>
          <w:vertAlign w:val="subscript"/>
        </w:rPr>
        <w:t>mp, p, i</w:t>
      </w:r>
      <w:r w:rsidRPr="00D465F5">
        <w:rPr>
          <w:b w:val="0"/>
          <w:bCs/>
        </w:rPr>
        <w:t>) / 4</w:t>
      </w:r>
    </w:p>
    <w:p w14:paraId="55E6E0DE" w14:textId="77777777" w:rsidR="00881601" w:rsidRPr="00D465F5" w:rsidRDefault="00881601" w:rsidP="00D465F5">
      <w:pPr>
        <w:pStyle w:val="FormulaBold"/>
        <w:rPr>
          <w:b w:val="0"/>
          <w:bCs/>
        </w:rPr>
      </w:pPr>
      <w:r w:rsidRPr="00D465F5">
        <w:rPr>
          <w:rFonts w:eastAsia="Calibri"/>
          <w:b w:val="0"/>
          <w:bCs/>
        </w:rPr>
        <w:t>URTQQEP</w:t>
      </w:r>
      <w:r w:rsidRPr="00D465F5">
        <w:rPr>
          <w:b w:val="0"/>
          <w:bCs/>
        </w:rPr>
        <w:t> </w:t>
      </w:r>
      <w:r w:rsidRPr="00D465F5">
        <w:rPr>
          <w:b w:val="0"/>
          <w:bCs/>
          <w:i/>
          <w:vertAlign w:val="subscript"/>
        </w:rPr>
        <w:t>mp</w:t>
      </w:r>
      <w:r w:rsidRPr="00D465F5">
        <w:rPr>
          <w:rFonts w:eastAsia="Calibri"/>
          <w:b w:val="0"/>
          <w:bCs/>
        </w:rPr>
        <w:t xml:space="preserve"> = </w:t>
      </w:r>
      <w:r w:rsidRPr="00D465F5">
        <w:rPr>
          <w:b w:val="0"/>
          <w:bCs/>
        </w:rPr>
        <w:t>∑</w:t>
      </w:r>
      <w:r w:rsidRPr="00D465F5">
        <w:rPr>
          <w:b w:val="0"/>
          <w:bCs/>
          <w:i/>
          <w:vertAlign w:val="subscript"/>
        </w:rPr>
        <w:t>p, i</w:t>
      </w:r>
      <w:r w:rsidRPr="00D465F5">
        <w:rPr>
          <w:b w:val="0"/>
          <w:bCs/>
        </w:rPr>
        <w:t xml:space="preserve"> (</w:t>
      </w:r>
      <w:r w:rsidRPr="00D465F5">
        <w:rPr>
          <w:rFonts w:eastAsia="Calibri"/>
          <w:b w:val="0"/>
          <w:bCs/>
        </w:rPr>
        <w:t>RTQQEP </w:t>
      </w:r>
      <w:r w:rsidRPr="00D465F5">
        <w:rPr>
          <w:b w:val="0"/>
          <w:bCs/>
          <w:i/>
          <w:vertAlign w:val="subscript"/>
        </w:rPr>
        <w:t>mp, p, i</w:t>
      </w:r>
      <w:r w:rsidRPr="00D465F5">
        <w:rPr>
          <w:b w:val="0"/>
          <w:bCs/>
        </w:rPr>
        <w:t>) / 4</w:t>
      </w:r>
    </w:p>
    <w:p w14:paraId="154D89E1" w14:textId="77777777" w:rsidR="00881601" w:rsidRPr="00D465F5" w:rsidRDefault="00881601" w:rsidP="00D465F5">
      <w:pPr>
        <w:pStyle w:val="FormulaBold"/>
        <w:rPr>
          <w:b w:val="0"/>
          <w:bCs/>
        </w:rPr>
      </w:pPr>
      <w:r w:rsidRPr="00D465F5">
        <w:rPr>
          <w:rFonts w:eastAsia="Calibri"/>
          <w:b w:val="0"/>
          <w:bCs/>
        </w:rPr>
        <w:t>UDAES</w:t>
      </w:r>
      <w:r w:rsidRPr="00D465F5">
        <w:rPr>
          <w:b w:val="0"/>
          <w:bCs/>
        </w:rPr>
        <w:t> </w:t>
      </w:r>
      <w:r w:rsidRPr="00D465F5">
        <w:rPr>
          <w:b w:val="0"/>
          <w:bCs/>
          <w:i/>
          <w:vertAlign w:val="subscript"/>
        </w:rPr>
        <w:t>mp</w:t>
      </w:r>
      <w:r w:rsidRPr="00D465F5">
        <w:rPr>
          <w:rFonts w:eastAsia="Calibri"/>
          <w:b w:val="0"/>
          <w:bCs/>
        </w:rPr>
        <w:t xml:space="preserve"> = </w:t>
      </w:r>
      <w:r w:rsidRPr="00D465F5">
        <w:rPr>
          <w:b w:val="0"/>
          <w:bCs/>
        </w:rPr>
        <w:t>∑</w:t>
      </w:r>
      <w:r w:rsidRPr="00D465F5">
        <w:rPr>
          <w:b w:val="0"/>
          <w:bCs/>
          <w:i/>
          <w:vertAlign w:val="subscript"/>
        </w:rPr>
        <w:t>p, h</w:t>
      </w:r>
      <w:r w:rsidRPr="00D465F5">
        <w:rPr>
          <w:b w:val="0"/>
          <w:bCs/>
        </w:rPr>
        <w:t xml:space="preserve"> (</w:t>
      </w:r>
      <w:r w:rsidRPr="00D465F5">
        <w:rPr>
          <w:rFonts w:eastAsia="Calibri"/>
          <w:b w:val="0"/>
          <w:bCs/>
        </w:rPr>
        <w:t>DAES </w:t>
      </w:r>
      <w:r w:rsidRPr="00D465F5">
        <w:rPr>
          <w:b w:val="0"/>
          <w:bCs/>
          <w:i/>
          <w:vertAlign w:val="subscript"/>
        </w:rPr>
        <w:t>mp, p, h</w:t>
      </w:r>
      <w:r w:rsidRPr="00D465F5">
        <w:rPr>
          <w:b w:val="0"/>
          <w:bCs/>
        </w:rPr>
        <w:t>)</w:t>
      </w:r>
    </w:p>
    <w:p w14:paraId="5AAF3F6C" w14:textId="77777777" w:rsidR="00881601" w:rsidRPr="00D465F5" w:rsidRDefault="00881601" w:rsidP="00D465F5">
      <w:pPr>
        <w:pStyle w:val="FormulaBold"/>
        <w:rPr>
          <w:b w:val="0"/>
          <w:bCs/>
        </w:rPr>
      </w:pPr>
      <w:r w:rsidRPr="00D465F5">
        <w:rPr>
          <w:rFonts w:eastAsia="Calibri"/>
          <w:b w:val="0"/>
          <w:bCs/>
        </w:rPr>
        <w:t>UDAEP</w:t>
      </w:r>
      <w:r w:rsidRPr="00D465F5">
        <w:rPr>
          <w:b w:val="0"/>
          <w:bCs/>
        </w:rPr>
        <w:t> </w:t>
      </w:r>
      <w:r w:rsidRPr="00D465F5">
        <w:rPr>
          <w:b w:val="0"/>
          <w:bCs/>
          <w:i/>
          <w:vertAlign w:val="subscript"/>
        </w:rPr>
        <w:t>mp</w:t>
      </w:r>
      <w:r w:rsidRPr="00D465F5">
        <w:rPr>
          <w:rFonts w:eastAsia="Calibri"/>
          <w:b w:val="0"/>
          <w:bCs/>
        </w:rPr>
        <w:t xml:space="preserve"> = </w:t>
      </w:r>
      <w:r w:rsidRPr="00D465F5">
        <w:rPr>
          <w:b w:val="0"/>
          <w:bCs/>
        </w:rPr>
        <w:t>∑</w:t>
      </w:r>
      <w:r w:rsidRPr="00D465F5">
        <w:rPr>
          <w:b w:val="0"/>
          <w:bCs/>
          <w:i/>
          <w:vertAlign w:val="subscript"/>
        </w:rPr>
        <w:t>p, h</w:t>
      </w:r>
      <w:r w:rsidRPr="00D465F5">
        <w:rPr>
          <w:b w:val="0"/>
          <w:bCs/>
        </w:rPr>
        <w:t xml:space="preserve"> (</w:t>
      </w:r>
      <w:r w:rsidRPr="00D465F5">
        <w:rPr>
          <w:rFonts w:eastAsia="Calibri"/>
          <w:b w:val="0"/>
          <w:bCs/>
        </w:rPr>
        <w:t>DAEP </w:t>
      </w:r>
      <w:r w:rsidRPr="00D465F5">
        <w:rPr>
          <w:b w:val="0"/>
          <w:bCs/>
          <w:i/>
          <w:vertAlign w:val="subscript"/>
        </w:rPr>
        <w:t>mp, p, h</w:t>
      </w:r>
      <w:r w:rsidRPr="00D465F5">
        <w:rPr>
          <w:b w:val="0"/>
          <w:bCs/>
        </w:rPr>
        <w:t>)</w:t>
      </w:r>
    </w:p>
    <w:p w14:paraId="10210567" w14:textId="77777777" w:rsidR="00881601" w:rsidRPr="00D465F5" w:rsidRDefault="00881601" w:rsidP="00D465F5">
      <w:pPr>
        <w:pStyle w:val="FormulaBold"/>
        <w:rPr>
          <w:b w:val="0"/>
          <w:bCs/>
        </w:rPr>
      </w:pPr>
      <w:r w:rsidRPr="00D465F5">
        <w:rPr>
          <w:rFonts w:eastAsia="Calibri"/>
          <w:b w:val="0"/>
          <w:bCs/>
        </w:rPr>
        <w:t>URTOBL</w:t>
      </w:r>
      <w:r w:rsidRPr="00D465F5">
        <w:rPr>
          <w:b w:val="0"/>
          <w:bCs/>
        </w:rPr>
        <w:t> </w:t>
      </w:r>
      <w:r w:rsidRPr="00D465F5">
        <w:rPr>
          <w:b w:val="0"/>
          <w:bCs/>
          <w:vertAlign w:val="subscript"/>
        </w:rPr>
        <w:t>mp</w:t>
      </w:r>
      <w:r w:rsidRPr="00D465F5">
        <w:rPr>
          <w:rFonts w:eastAsia="Calibri"/>
          <w:b w:val="0"/>
          <w:bCs/>
        </w:rPr>
        <w:t xml:space="preserve"> = </w:t>
      </w:r>
      <w:r w:rsidRPr="00D465F5">
        <w:rPr>
          <w:b w:val="0"/>
          <w:bCs/>
        </w:rPr>
        <w:t>∑</w:t>
      </w:r>
      <w:r w:rsidRPr="00D465F5">
        <w:rPr>
          <w:b w:val="0"/>
          <w:bCs/>
          <w:vertAlign w:val="subscript"/>
        </w:rPr>
        <w:t>(j, k), h</w:t>
      </w:r>
      <w:r w:rsidRPr="00D465F5">
        <w:rPr>
          <w:b w:val="0"/>
          <w:bCs/>
        </w:rPr>
        <w:t xml:space="preserve"> (</w:t>
      </w:r>
      <w:r w:rsidRPr="00D465F5">
        <w:rPr>
          <w:rFonts w:eastAsia="Calibri"/>
          <w:b w:val="0"/>
          <w:bCs/>
        </w:rPr>
        <w:t>RTOBL</w:t>
      </w:r>
      <w:r w:rsidRPr="00D465F5">
        <w:rPr>
          <w:b w:val="0"/>
          <w:bCs/>
          <w:vertAlign w:val="subscript"/>
        </w:rPr>
        <w:t xml:space="preserve"> mp, (</w:t>
      </w:r>
      <w:r w:rsidRPr="00D465F5">
        <w:rPr>
          <w:rFonts w:eastAsia="Calibri"/>
          <w:b w:val="0"/>
          <w:bCs/>
          <w:vertAlign w:val="subscript"/>
        </w:rPr>
        <w:t>j, k), h</w:t>
      </w:r>
      <w:r w:rsidRPr="00D465F5">
        <w:rPr>
          <w:b w:val="0"/>
          <w:bCs/>
        </w:rPr>
        <w:t>)</w:t>
      </w:r>
    </w:p>
    <w:p w14:paraId="5DD8FADC" w14:textId="77777777" w:rsidR="00881601" w:rsidRPr="00D465F5" w:rsidRDefault="00881601" w:rsidP="00D465F5">
      <w:pPr>
        <w:pStyle w:val="FormulaBold"/>
        <w:rPr>
          <w:b w:val="0"/>
          <w:bCs/>
        </w:rPr>
      </w:pPr>
      <w:r w:rsidRPr="00D465F5">
        <w:rPr>
          <w:rFonts w:eastAsia="Calibri"/>
          <w:b w:val="0"/>
          <w:bCs/>
        </w:rPr>
        <w:t>URTOBLLO</w:t>
      </w:r>
      <w:r w:rsidRPr="00D465F5">
        <w:rPr>
          <w:b w:val="0"/>
          <w:bCs/>
        </w:rPr>
        <w:t> </w:t>
      </w:r>
      <w:r w:rsidRPr="00D465F5">
        <w:rPr>
          <w:b w:val="0"/>
          <w:bCs/>
          <w:i/>
          <w:vertAlign w:val="subscript"/>
        </w:rPr>
        <w:t>mp</w:t>
      </w:r>
      <w:r w:rsidRPr="00D465F5">
        <w:rPr>
          <w:rFonts w:eastAsia="Calibri"/>
          <w:b w:val="0"/>
          <w:bCs/>
        </w:rPr>
        <w:t xml:space="preserve"> = </w:t>
      </w:r>
      <w:r w:rsidRPr="00D465F5">
        <w:rPr>
          <w:b w:val="0"/>
          <w:bCs/>
        </w:rPr>
        <w:t>∑</w:t>
      </w:r>
      <w:r w:rsidRPr="00D465F5">
        <w:rPr>
          <w:b w:val="0"/>
          <w:bCs/>
          <w:i/>
          <w:vertAlign w:val="subscript"/>
        </w:rPr>
        <w:t>(j, k), h</w:t>
      </w:r>
      <w:r w:rsidRPr="00D465F5">
        <w:rPr>
          <w:b w:val="0"/>
          <w:bCs/>
        </w:rPr>
        <w:t xml:space="preserve"> (RT</w:t>
      </w:r>
      <w:r w:rsidRPr="00D465F5">
        <w:rPr>
          <w:rFonts w:eastAsia="Calibri"/>
          <w:b w:val="0"/>
          <w:bCs/>
        </w:rPr>
        <w:t>OBLLO</w:t>
      </w:r>
      <w:r w:rsidRPr="00D465F5">
        <w:rPr>
          <w:b w:val="0"/>
          <w:bCs/>
          <w:vertAlign w:val="subscript"/>
        </w:rPr>
        <w:t xml:space="preserve"> </w:t>
      </w:r>
      <w:r w:rsidRPr="00D465F5">
        <w:rPr>
          <w:b w:val="0"/>
          <w:bCs/>
          <w:i/>
          <w:vertAlign w:val="subscript"/>
        </w:rPr>
        <w:t>mp, (</w:t>
      </w:r>
      <w:r w:rsidRPr="00D465F5">
        <w:rPr>
          <w:rFonts w:eastAsia="Calibri"/>
          <w:b w:val="0"/>
          <w:bCs/>
          <w:i/>
          <w:vertAlign w:val="subscript"/>
        </w:rPr>
        <w:t>j, k), h</w:t>
      </w:r>
      <w:r w:rsidRPr="00D465F5">
        <w:rPr>
          <w:b w:val="0"/>
          <w:bCs/>
        </w:rPr>
        <w:t>)</w:t>
      </w:r>
    </w:p>
    <w:p w14:paraId="681CBDD5" w14:textId="77777777" w:rsidR="00881601" w:rsidRPr="00D465F5" w:rsidRDefault="00881601" w:rsidP="00D465F5">
      <w:pPr>
        <w:pStyle w:val="FormulaBold"/>
        <w:rPr>
          <w:b w:val="0"/>
          <w:bCs/>
        </w:rPr>
      </w:pPr>
      <w:r w:rsidRPr="00D465F5">
        <w:rPr>
          <w:b w:val="0"/>
          <w:bCs/>
        </w:rPr>
        <w:t>UDAOPT </w:t>
      </w:r>
      <w:r w:rsidRPr="00D465F5">
        <w:rPr>
          <w:b w:val="0"/>
          <w:bCs/>
          <w:vertAlign w:val="subscript"/>
        </w:rPr>
        <w:t>mp</w:t>
      </w:r>
      <w:r w:rsidRPr="00D465F5">
        <w:rPr>
          <w:rFonts w:eastAsia="Calibri"/>
          <w:b w:val="0"/>
          <w:bCs/>
        </w:rPr>
        <w:t xml:space="preserve"> = </w:t>
      </w:r>
      <w:r w:rsidRPr="00D465F5">
        <w:rPr>
          <w:b w:val="0"/>
          <w:bCs/>
        </w:rPr>
        <w:t>∑</w:t>
      </w:r>
      <w:r w:rsidRPr="00D465F5">
        <w:rPr>
          <w:b w:val="0"/>
          <w:bCs/>
          <w:vertAlign w:val="subscript"/>
        </w:rPr>
        <w:t>(j, k), h</w:t>
      </w:r>
      <w:r w:rsidRPr="00D465F5">
        <w:rPr>
          <w:b w:val="0"/>
          <w:bCs/>
        </w:rPr>
        <w:t xml:space="preserve"> (</w:t>
      </w:r>
      <w:r w:rsidRPr="00D465F5">
        <w:rPr>
          <w:rFonts w:eastAsia="Calibri"/>
          <w:b w:val="0"/>
          <w:bCs/>
        </w:rPr>
        <w:t>DAOPT</w:t>
      </w:r>
      <w:r w:rsidRPr="00D465F5">
        <w:rPr>
          <w:b w:val="0"/>
          <w:bCs/>
          <w:vertAlign w:val="subscript"/>
        </w:rPr>
        <w:t xml:space="preserve"> mp, (</w:t>
      </w:r>
      <w:r w:rsidRPr="00D465F5">
        <w:rPr>
          <w:rFonts w:eastAsia="Calibri"/>
          <w:b w:val="0"/>
          <w:bCs/>
          <w:vertAlign w:val="subscript"/>
        </w:rPr>
        <w:t>j, k), h</w:t>
      </w:r>
      <w:r w:rsidRPr="00D465F5">
        <w:rPr>
          <w:b w:val="0"/>
          <w:bCs/>
        </w:rPr>
        <w:t>)</w:t>
      </w:r>
    </w:p>
    <w:p w14:paraId="31AB9482" w14:textId="77777777" w:rsidR="00881601" w:rsidRPr="00D465F5" w:rsidRDefault="00881601" w:rsidP="00D465F5">
      <w:pPr>
        <w:pStyle w:val="FormulaBold"/>
        <w:rPr>
          <w:b w:val="0"/>
          <w:bCs/>
        </w:rPr>
      </w:pPr>
      <w:r w:rsidRPr="00D465F5">
        <w:rPr>
          <w:rFonts w:eastAsia="Calibri"/>
          <w:b w:val="0"/>
          <w:bCs/>
        </w:rPr>
        <w:t>UDAOBL</w:t>
      </w:r>
      <w:r w:rsidRPr="00D465F5">
        <w:rPr>
          <w:b w:val="0"/>
          <w:bCs/>
        </w:rPr>
        <w:t> </w:t>
      </w:r>
      <w:r w:rsidRPr="00D465F5">
        <w:rPr>
          <w:b w:val="0"/>
          <w:bCs/>
          <w:vertAlign w:val="subscript"/>
        </w:rPr>
        <w:t>mp</w:t>
      </w:r>
      <w:r w:rsidRPr="00D465F5">
        <w:rPr>
          <w:rFonts w:eastAsia="Calibri"/>
          <w:b w:val="0"/>
          <w:bCs/>
        </w:rPr>
        <w:t xml:space="preserve"> = </w:t>
      </w:r>
      <w:r w:rsidRPr="00D465F5">
        <w:rPr>
          <w:b w:val="0"/>
          <w:bCs/>
        </w:rPr>
        <w:t>∑</w:t>
      </w:r>
      <w:r w:rsidRPr="00D465F5">
        <w:rPr>
          <w:b w:val="0"/>
          <w:bCs/>
          <w:vertAlign w:val="subscript"/>
        </w:rPr>
        <w:t>(j, k), h</w:t>
      </w:r>
      <w:r w:rsidRPr="00D465F5">
        <w:rPr>
          <w:b w:val="0"/>
          <w:bCs/>
        </w:rPr>
        <w:t xml:space="preserve"> (</w:t>
      </w:r>
      <w:r w:rsidRPr="00D465F5">
        <w:rPr>
          <w:rFonts w:eastAsia="Calibri"/>
          <w:b w:val="0"/>
          <w:bCs/>
        </w:rPr>
        <w:t>DAOBL</w:t>
      </w:r>
      <w:r w:rsidRPr="00D465F5">
        <w:rPr>
          <w:b w:val="0"/>
          <w:bCs/>
          <w:vertAlign w:val="subscript"/>
        </w:rPr>
        <w:t xml:space="preserve"> mp, (</w:t>
      </w:r>
      <w:r w:rsidRPr="00D465F5">
        <w:rPr>
          <w:rFonts w:eastAsia="Calibri"/>
          <w:b w:val="0"/>
          <w:bCs/>
          <w:vertAlign w:val="subscript"/>
        </w:rPr>
        <w:t>j, k), h</w:t>
      </w:r>
      <w:r w:rsidRPr="00D465F5">
        <w:rPr>
          <w:b w:val="0"/>
          <w:bCs/>
        </w:rPr>
        <w:t>)</w:t>
      </w:r>
    </w:p>
    <w:p w14:paraId="1E6D09EF" w14:textId="77777777" w:rsidR="00881601" w:rsidRPr="00D465F5" w:rsidRDefault="00881601" w:rsidP="00D465F5">
      <w:pPr>
        <w:pStyle w:val="FormulaBold"/>
        <w:rPr>
          <w:b w:val="0"/>
          <w:bCs/>
        </w:rPr>
      </w:pPr>
      <w:r w:rsidRPr="00D465F5">
        <w:rPr>
          <w:rFonts w:eastAsia="Calibri"/>
          <w:b w:val="0"/>
          <w:bCs/>
        </w:rPr>
        <w:lastRenderedPageBreak/>
        <w:t>UOPTS</w:t>
      </w:r>
      <w:r w:rsidRPr="00D465F5">
        <w:rPr>
          <w:b w:val="0"/>
          <w:bCs/>
        </w:rPr>
        <w:t> </w:t>
      </w:r>
      <w:r w:rsidRPr="00D465F5">
        <w:rPr>
          <w:b w:val="0"/>
          <w:bCs/>
          <w:vertAlign w:val="subscript"/>
        </w:rPr>
        <w:t>mp</w:t>
      </w:r>
      <w:r w:rsidRPr="00D465F5">
        <w:rPr>
          <w:rFonts w:eastAsia="Calibri"/>
          <w:b w:val="0"/>
          <w:bCs/>
        </w:rPr>
        <w:t xml:space="preserve"> = </w:t>
      </w:r>
      <w:r w:rsidRPr="00D465F5">
        <w:rPr>
          <w:b w:val="0"/>
          <w:bCs/>
        </w:rPr>
        <w:t>∑</w:t>
      </w:r>
      <w:r w:rsidRPr="00D465F5">
        <w:rPr>
          <w:b w:val="0"/>
          <w:bCs/>
          <w:vertAlign w:val="subscript"/>
        </w:rPr>
        <w:t>(j, k), h</w:t>
      </w:r>
      <w:r w:rsidRPr="00D465F5">
        <w:rPr>
          <w:b w:val="0"/>
          <w:bCs/>
        </w:rPr>
        <w:t xml:space="preserve"> (</w:t>
      </w:r>
      <w:r w:rsidRPr="00D465F5">
        <w:rPr>
          <w:rFonts w:eastAsia="Calibri"/>
          <w:b w:val="0"/>
          <w:bCs/>
        </w:rPr>
        <w:t>OPTS</w:t>
      </w:r>
      <w:r w:rsidRPr="00D465F5">
        <w:rPr>
          <w:b w:val="0"/>
          <w:bCs/>
          <w:vertAlign w:val="subscript"/>
        </w:rPr>
        <w:t xml:space="preserve"> mp, (</w:t>
      </w:r>
      <w:r w:rsidRPr="00D465F5">
        <w:rPr>
          <w:rFonts w:eastAsia="Calibri"/>
          <w:b w:val="0"/>
          <w:bCs/>
          <w:vertAlign w:val="subscript"/>
        </w:rPr>
        <w:t>j, k), h</w:t>
      </w:r>
      <w:r w:rsidRPr="00D465F5">
        <w:rPr>
          <w:b w:val="0"/>
          <w:bCs/>
        </w:rPr>
        <w:t xml:space="preserve">) </w:t>
      </w:r>
    </w:p>
    <w:p w14:paraId="5822CCF8" w14:textId="77777777" w:rsidR="00881601" w:rsidRPr="00D465F5" w:rsidRDefault="00881601" w:rsidP="00D465F5">
      <w:pPr>
        <w:pStyle w:val="FormulaBold"/>
        <w:rPr>
          <w:b w:val="0"/>
          <w:bCs/>
        </w:rPr>
      </w:pPr>
      <w:r w:rsidRPr="00D465F5">
        <w:rPr>
          <w:rFonts w:eastAsia="Calibri"/>
          <w:b w:val="0"/>
          <w:bCs/>
        </w:rPr>
        <w:t>UOBLS</w:t>
      </w:r>
      <w:r w:rsidRPr="00D465F5">
        <w:rPr>
          <w:b w:val="0"/>
          <w:bCs/>
        </w:rPr>
        <w:t> </w:t>
      </w:r>
      <w:r w:rsidRPr="00D465F5">
        <w:rPr>
          <w:b w:val="0"/>
          <w:bCs/>
          <w:vertAlign w:val="subscript"/>
        </w:rPr>
        <w:t>mp</w:t>
      </w:r>
      <w:r w:rsidRPr="00D465F5">
        <w:rPr>
          <w:rFonts w:eastAsia="Calibri"/>
          <w:b w:val="0"/>
          <w:bCs/>
        </w:rPr>
        <w:t xml:space="preserve"> = </w:t>
      </w:r>
      <w:r w:rsidRPr="00D465F5">
        <w:rPr>
          <w:b w:val="0"/>
          <w:bCs/>
        </w:rPr>
        <w:t>∑</w:t>
      </w:r>
      <w:r w:rsidRPr="00D465F5">
        <w:rPr>
          <w:b w:val="0"/>
          <w:bCs/>
          <w:vertAlign w:val="subscript"/>
        </w:rPr>
        <w:t>(j, k), h</w:t>
      </w:r>
      <w:r w:rsidRPr="00D465F5">
        <w:rPr>
          <w:b w:val="0"/>
          <w:bCs/>
        </w:rPr>
        <w:t xml:space="preserve"> (</w:t>
      </w:r>
      <w:r w:rsidRPr="00D465F5">
        <w:rPr>
          <w:rFonts w:eastAsia="Calibri"/>
          <w:b w:val="0"/>
          <w:bCs/>
        </w:rPr>
        <w:t>OBLS</w:t>
      </w:r>
      <w:r w:rsidRPr="00D465F5">
        <w:rPr>
          <w:b w:val="0"/>
          <w:bCs/>
          <w:vertAlign w:val="subscript"/>
        </w:rPr>
        <w:t xml:space="preserve"> mp, (</w:t>
      </w:r>
      <w:r w:rsidRPr="00D465F5">
        <w:rPr>
          <w:rFonts w:eastAsia="Calibri"/>
          <w:b w:val="0"/>
          <w:bCs/>
          <w:vertAlign w:val="subscript"/>
        </w:rPr>
        <w:t>j, k), h</w:t>
      </w:r>
      <w:r w:rsidRPr="00D465F5">
        <w:rPr>
          <w:b w:val="0"/>
          <w:bCs/>
        </w:rPr>
        <w:t>)</w:t>
      </w:r>
    </w:p>
    <w:p w14:paraId="4A1E3A4F" w14:textId="77777777" w:rsidR="00881601" w:rsidRPr="00D465F5" w:rsidRDefault="00881601" w:rsidP="00D465F5">
      <w:pPr>
        <w:pStyle w:val="FormulaBold"/>
        <w:rPr>
          <w:b w:val="0"/>
          <w:bCs/>
        </w:rPr>
      </w:pPr>
      <w:r w:rsidRPr="00D465F5">
        <w:rPr>
          <w:rFonts w:eastAsia="Calibri"/>
          <w:b w:val="0"/>
          <w:bCs/>
        </w:rPr>
        <w:t>UOPTP</w:t>
      </w:r>
      <w:r w:rsidRPr="00D465F5">
        <w:rPr>
          <w:b w:val="0"/>
          <w:bCs/>
        </w:rPr>
        <w:t> </w:t>
      </w:r>
      <w:r w:rsidRPr="00D465F5">
        <w:rPr>
          <w:b w:val="0"/>
          <w:bCs/>
          <w:vertAlign w:val="subscript"/>
        </w:rPr>
        <w:t>mp</w:t>
      </w:r>
      <w:r w:rsidRPr="00D465F5">
        <w:rPr>
          <w:rFonts w:eastAsia="Calibri"/>
          <w:b w:val="0"/>
          <w:bCs/>
        </w:rPr>
        <w:t xml:space="preserve"> = </w:t>
      </w:r>
      <w:r w:rsidRPr="00D465F5">
        <w:rPr>
          <w:b w:val="0"/>
          <w:bCs/>
        </w:rPr>
        <w:t>∑</w:t>
      </w:r>
      <w:r w:rsidRPr="00D465F5">
        <w:rPr>
          <w:b w:val="0"/>
          <w:bCs/>
          <w:vertAlign w:val="subscript"/>
        </w:rPr>
        <w:t>(j, k), h</w:t>
      </w:r>
      <w:r w:rsidRPr="00D465F5">
        <w:rPr>
          <w:b w:val="0"/>
          <w:bCs/>
        </w:rPr>
        <w:t xml:space="preserve"> (</w:t>
      </w:r>
      <w:r w:rsidRPr="00D465F5">
        <w:rPr>
          <w:rFonts w:eastAsia="Calibri"/>
          <w:b w:val="0"/>
          <w:bCs/>
        </w:rPr>
        <w:t>OPTP</w:t>
      </w:r>
      <w:r w:rsidRPr="00D465F5">
        <w:rPr>
          <w:b w:val="0"/>
          <w:bCs/>
          <w:vertAlign w:val="subscript"/>
        </w:rPr>
        <w:t xml:space="preserve"> mp, </w:t>
      </w:r>
      <w:r w:rsidRPr="00D465F5">
        <w:rPr>
          <w:rFonts w:eastAsia="Calibri"/>
          <w:b w:val="0"/>
          <w:bCs/>
          <w:vertAlign w:val="subscript"/>
        </w:rPr>
        <w:t>j, h</w:t>
      </w:r>
      <w:r w:rsidRPr="00D465F5">
        <w:rPr>
          <w:b w:val="0"/>
          <w:bCs/>
        </w:rPr>
        <w:t>)</w:t>
      </w:r>
    </w:p>
    <w:p w14:paraId="04AFB7FA" w14:textId="77777777" w:rsidR="00881601" w:rsidRPr="00D465F5" w:rsidRDefault="00881601" w:rsidP="00D465F5">
      <w:pPr>
        <w:pStyle w:val="FormulaBold"/>
        <w:rPr>
          <w:b w:val="0"/>
          <w:bCs/>
          <w:lang w:val="en-US"/>
        </w:rPr>
      </w:pPr>
      <w:r w:rsidRPr="00D465F5">
        <w:rPr>
          <w:rFonts w:eastAsia="Calibri"/>
          <w:b w:val="0"/>
          <w:bCs/>
        </w:rPr>
        <w:t>UOBLP</w:t>
      </w:r>
      <w:r w:rsidRPr="00D465F5">
        <w:rPr>
          <w:b w:val="0"/>
          <w:bCs/>
        </w:rPr>
        <w:t> </w:t>
      </w:r>
      <w:r w:rsidRPr="00D465F5">
        <w:rPr>
          <w:b w:val="0"/>
          <w:bCs/>
          <w:vertAlign w:val="subscript"/>
        </w:rPr>
        <w:t>mp</w:t>
      </w:r>
      <w:r w:rsidRPr="00D465F5">
        <w:rPr>
          <w:rFonts w:eastAsia="Calibri"/>
          <w:b w:val="0"/>
          <w:bCs/>
        </w:rPr>
        <w:t xml:space="preserve"> = </w:t>
      </w:r>
      <w:r w:rsidRPr="00D465F5">
        <w:rPr>
          <w:b w:val="0"/>
          <w:bCs/>
        </w:rPr>
        <w:t>∑</w:t>
      </w:r>
      <w:r w:rsidRPr="00D465F5">
        <w:rPr>
          <w:b w:val="0"/>
          <w:bCs/>
          <w:vertAlign w:val="subscript"/>
        </w:rPr>
        <w:t>(j, k), h</w:t>
      </w:r>
      <w:r w:rsidRPr="00D465F5">
        <w:rPr>
          <w:b w:val="0"/>
          <w:bCs/>
        </w:rPr>
        <w:t xml:space="preserve"> (</w:t>
      </w:r>
      <w:r w:rsidRPr="00D465F5">
        <w:rPr>
          <w:rFonts w:eastAsia="Calibri"/>
          <w:b w:val="0"/>
          <w:bCs/>
        </w:rPr>
        <w:t>OBLP</w:t>
      </w:r>
      <w:r w:rsidRPr="00D465F5">
        <w:rPr>
          <w:b w:val="0"/>
          <w:bCs/>
          <w:vertAlign w:val="subscript"/>
        </w:rPr>
        <w:t xml:space="preserve"> mp, (</w:t>
      </w:r>
      <w:r w:rsidRPr="00D465F5">
        <w:rPr>
          <w:rFonts w:eastAsia="Calibri"/>
          <w:b w:val="0"/>
          <w:bCs/>
          <w:vertAlign w:val="subscript"/>
        </w:rPr>
        <w:t>j, k), h</w:t>
      </w:r>
      <w:r w:rsidRPr="00D465F5">
        <w:rPr>
          <w:b w:val="0"/>
          <w:bCs/>
        </w:rPr>
        <w:t>)</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3E0FF7" w:rsidRPr="00E566EB" w14:paraId="46A16562" w14:textId="77777777" w:rsidTr="00FE6580">
        <w:tc>
          <w:tcPr>
            <w:tcW w:w="9766" w:type="dxa"/>
            <w:shd w:val="pct12" w:color="auto" w:fill="auto"/>
          </w:tcPr>
          <w:p w14:paraId="496BC640" w14:textId="0B303ABD" w:rsidR="003E0FF7" w:rsidRPr="003E0FF7" w:rsidRDefault="003E0FF7" w:rsidP="003E0FF7">
            <w:pPr>
              <w:spacing w:before="120" w:after="240"/>
              <w:rPr>
                <w:b/>
                <w:i/>
                <w:iCs/>
              </w:rPr>
            </w:pPr>
            <w:r>
              <w:rPr>
                <w:b/>
                <w:i/>
                <w:iCs/>
              </w:rPr>
              <w:t>[NPRR1201</w:t>
            </w:r>
            <w:r w:rsidRPr="00E566EB">
              <w:rPr>
                <w:b/>
                <w:i/>
                <w:iCs/>
              </w:rPr>
              <w:t xml:space="preserve">: </w:t>
            </w:r>
            <w:r>
              <w:rPr>
                <w:b/>
                <w:i/>
                <w:iCs/>
              </w:rPr>
              <w:t xml:space="preserve"> Delete the formulas </w:t>
            </w:r>
            <w:r w:rsidRPr="005D0F36">
              <w:rPr>
                <w:b/>
                <w:i/>
                <w:iCs/>
              </w:rPr>
              <w:t>“</w:t>
            </w:r>
            <w:r w:rsidRPr="003E0FF7">
              <w:rPr>
                <w:b/>
                <w:i/>
                <w:iCs/>
                <w:lang w:val="x-none"/>
              </w:rPr>
              <w:t xml:space="preserve">UOPTS </w:t>
            </w:r>
            <w:r w:rsidRPr="003E0FF7">
              <w:rPr>
                <w:b/>
                <w:i/>
                <w:iCs/>
                <w:vertAlign w:val="subscript"/>
                <w:lang w:val="x-none"/>
              </w:rPr>
              <w:t>mp</w:t>
            </w:r>
            <w:r w:rsidRPr="005D0F36">
              <w:rPr>
                <w:b/>
                <w:i/>
                <w:iCs/>
              </w:rPr>
              <w:t>”</w:t>
            </w:r>
            <w:r>
              <w:rPr>
                <w:b/>
                <w:i/>
                <w:iCs/>
              </w:rPr>
              <w:t>, “</w:t>
            </w:r>
            <w:r w:rsidRPr="003E0FF7">
              <w:rPr>
                <w:b/>
                <w:i/>
                <w:iCs/>
              </w:rPr>
              <w:t>UOBLS</w:t>
            </w:r>
            <w:r w:rsidRPr="003E0FF7">
              <w:rPr>
                <w:b/>
                <w:i/>
                <w:iCs/>
                <w:lang w:val="x-none"/>
              </w:rPr>
              <w:t xml:space="preserve"> </w:t>
            </w:r>
            <w:r w:rsidRPr="003E0FF7">
              <w:rPr>
                <w:b/>
                <w:i/>
                <w:iCs/>
                <w:vertAlign w:val="subscript"/>
                <w:lang w:val="x-none"/>
              </w:rPr>
              <w:t>mp</w:t>
            </w:r>
            <w:r>
              <w:rPr>
                <w:b/>
                <w:i/>
                <w:iCs/>
              </w:rPr>
              <w:t>”, “</w:t>
            </w:r>
            <w:r w:rsidRPr="003E0FF7">
              <w:rPr>
                <w:b/>
                <w:i/>
                <w:iCs/>
              </w:rPr>
              <w:t>UOPTP</w:t>
            </w:r>
            <w:r w:rsidRPr="003E0FF7">
              <w:rPr>
                <w:b/>
                <w:i/>
                <w:iCs/>
                <w:lang w:val="x-none"/>
              </w:rPr>
              <w:t xml:space="preserve"> </w:t>
            </w:r>
            <w:r w:rsidRPr="003E0FF7">
              <w:rPr>
                <w:b/>
                <w:i/>
                <w:iCs/>
                <w:vertAlign w:val="subscript"/>
                <w:lang w:val="x-none"/>
              </w:rPr>
              <w:t>mp</w:t>
            </w:r>
            <w:r>
              <w:rPr>
                <w:b/>
                <w:i/>
                <w:iCs/>
              </w:rPr>
              <w:t>”, and “</w:t>
            </w:r>
            <w:r w:rsidRPr="003E0FF7">
              <w:rPr>
                <w:b/>
                <w:i/>
                <w:iCs/>
              </w:rPr>
              <w:t>UOBLP</w:t>
            </w:r>
            <w:r w:rsidRPr="003E0FF7">
              <w:rPr>
                <w:b/>
                <w:i/>
                <w:iCs/>
                <w:lang w:val="x-none"/>
              </w:rPr>
              <w:t xml:space="preserve"> </w:t>
            </w:r>
            <w:r w:rsidRPr="003E0FF7">
              <w:rPr>
                <w:b/>
                <w:i/>
                <w:iCs/>
                <w:vertAlign w:val="subscript"/>
                <w:lang w:val="x-none"/>
              </w:rPr>
              <w:t>mp</w:t>
            </w:r>
            <w:r>
              <w:rPr>
                <w:b/>
                <w:i/>
                <w:iCs/>
              </w:rPr>
              <w:t xml:space="preserve">” above upon </w:t>
            </w:r>
            <w:r w:rsidRPr="00E566EB">
              <w:rPr>
                <w:b/>
                <w:i/>
                <w:iCs/>
              </w:rPr>
              <w:t>system implementation</w:t>
            </w:r>
            <w:r w:rsidR="00314D14">
              <w:rPr>
                <w:b/>
                <w:i/>
                <w:iCs/>
              </w:rPr>
              <w:t>.</w:t>
            </w:r>
            <w:r w:rsidRPr="00E566EB">
              <w:rPr>
                <w:b/>
                <w:i/>
                <w:iCs/>
              </w:rPr>
              <w:t>]</w:t>
            </w:r>
          </w:p>
        </w:tc>
      </w:tr>
    </w:tbl>
    <w:p w14:paraId="1F1AAA4B" w14:textId="77777777" w:rsidR="00D211B0" w:rsidRPr="00D465F5" w:rsidRDefault="00326226" w:rsidP="00D465F5">
      <w:pPr>
        <w:pStyle w:val="FormulaBold"/>
        <w:rPr>
          <w:b w:val="0"/>
          <w:bCs/>
          <w:lang w:val="en-US"/>
        </w:rPr>
      </w:pPr>
      <w:r w:rsidRPr="00D465F5">
        <w:rPr>
          <w:b w:val="0"/>
          <w:bCs/>
        </w:rPr>
        <w:t>UWSLTOT</w:t>
      </w:r>
      <w:r w:rsidRPr="00D465F5">
        <w:rPr>
          <w:b w:val="0"/>
          <w:bCs/>
          <w:i/>
          <w:vertAlign w:val="subscript"/>
        </w:rPr>
        <w:t xml:space="preserve"> mp</w:t>
      </w:r>
      <w:r w:rsidRPr="00D465F5">
        <w:rPr>
          <w:b w:val="0"/>
          <w:bCs/>
        </w:rPr>
        <w:t xml:space="preserve"> = (-1) * ∑</w:t>
      </w:r>
      <w:r w:rsidRPr="00D465F5">
        <w:rPr>
          <w:b w:val="0"/>
          <w:bCs/>
          <w:i/>
          <w:vertAlign w:val="subscript"/>
        </w:rPr>
        <w:t>r,</w:t>
      </w:r>
      <w:r w:rsidRPr="00D465F5">
        <w:rPr>
          <w:b w:val="0"/>
          <w:bCs/>
          <w:i/>
          <w:vertAlign w:val="subscript"/>
          <w:lang w:val="en-US"/>
        </w:rPr>
        <w:t xml:space="preserve"> </w:t>
      </w:r>
      <w:r w:rsidRPr="00D465F5">
        <w:rPr>
          <w:b w:val="0"/>
          <w:bCs/>
          <w:i/>
          <w:vertAlign w:val="subscript"/>
        </w:rPr>
        <w:t>b</w:t>
      </w:r>
      <w:r w:rsidRPr="00D465F5">
        <w:rPr>
          <w:b w:val="0"/>
          <w:bCs/>
        </w:rPr>
        <w:t xml:space="preserve"> (MEBL</w:t>
      </w:r>
      <w:r w:rsidRPr="00D465F5">
        <w:rPr>
          <w:b w:val="0"/>
          <w:bCs/>
          <w:lang w:val="en-US"/>
        </w:rPr>
        <w:t xml:space="preserve"> </w:t>
      </w:r>
      <w:r w:rsidRPr="00D465F5">
        <w:rPr>
          <w:b w:val="0"/>
          <w:bCs/>
          <w:i/>
          <w:vertAlign w:val="subscript"/>
        </w:rPr>
        <w:t>mp,</w:t>
      </w:r>
      <w:r w:rsidRPr="00D465F5">
        <w:rPr>
          <w:b w:val="0"/>
          <w:bCs/>
          <w:i/>
          <w:vertAlign w:val="subscript"/>
          <w:lang w:val="en-US"/>
        </w:rPr>
        <w:t xml:space="preserve"> </w:t>
      </w:r>
      <w:r w:rsidRPr="00D465F5">
        <w:rPr>
          <w:b w:val="0"/>
          <w:bCs/>
          <w:i/>
          <w:vertAlign w:val="subscript"/>
        </w:rPr>
        <w:t>r,</w:t>
      </w:r>
      <w:r w:rsidRPr="00D465F5">
        <w:rPr>
          <w:b w:val="0"/>
          <w:bCs/>
          <w:i/>
          <w:vertAlign w:val="subscript"/>
          <w:lang w:val="en-US"/>
        </w:rPr>
        <w:t xml:space="preserve"> </w:t>
      </w:r>
      <w:r w:rsidRPr="00D465F5">
        <w:rPr>
          <w:b w:val="0"/>
          <w:bCs/>
          <w:i/>
          <w:vertAlign w:val="subscript"/>
        </w:rPr>
        <w:t>b</w:t>
      </w:r>
      <w:r w:rsidRPr="00D465F5">
        <w:rPr>
          <w:b w:val="0"/>
          <w:bCs/>
        </w:rPr>
        <w:t>)</w:t>
      </w:r>
    </w:p>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D211B0" w:rsidRPr="00E566EB" w14:paraId="5E1E41E2" w14:textId="77777777" w:rsidTr="00D211B0">
        <w:tc>
          <w:tcPr>
            <w:tcW w:w="9766" w:type="dxa"/>
            <w:tcBorders>
              <w:top w:val="single" w:sz="4" w:space="0" w:color="auto"/>
              <w:left w:val="single" w:sz="4" w:space="0" w:color="auto"/>
              <w:bottom w:val="single" w:sz="4" w:space="0" w:color="auto"/>
              <w:right w:val="single" w:sz="4" w:space="0" w:color="auto"/>
            </w:tcBorders>
            <w:shd w:val="pct12" w:color="auto" w:fill="auto"/>
          </w:tcPr>
          <w:p w14:paraId="5D03BFE8" w14:textId="58A96714" w:rsidR="00D211B0" w:rsidRPr="00E566EB" w:rsidRDefault="00D211B0" w:rsidP="001552F0">
            <w:pPr>
              <w:spacing w:before="120" w:after="240"/>
              <w:rPr>
                <w:b/>
                <w:i/>
                <w:iCs/>
              </w:rPr>
            </w:pPr>
            <w:r>
              <w:rPr>
                <w:b/>
                <w:i/>
                <w:iCs/>
              </w:rPr>
              <w:t>[NPRR1012</w:t>
            </w:r>
            <w:r w:rsidRPr="00E566EB">
              <w:rPr>
                <w:b/>
                <w:i/>
                <w:iCs/>
              </w:rPr>
              <w:t xml:space="preserve">: </w:t>
            </w:r>
            <w:r>
              <w:rPr>
                <w:b/>
                <w:i/>
                <w:iCs/>
              </w:rPr>
              <w:t xml:space="preserve"> Insert the formula “</w:t>
            </w:r>
            <w:r w:rsidRPr="00D211B0">
              <w:rPr>
                <w:rFonts w:eastAsia="Calibri"/>
                <w:b/>
                <w:i/>
              </w:rPr>
              <w:t xml:space="preserve">UDAASOAWD </w:t>
            </w:r>
            <w:r w:rsidRPr="00D211B0">
              <w:rPr>
                <w:rFonts w:eastAsia="Calibri"/>
                <w:b/>
                <w:i/>
                <w:vertAlign w:val="subscript"/>
              </w:rPr>
              <w:t>mp</w:t>
            </w:r>
            <w:r>
              <w:rPr>
                <w:b/>
                <w:i/>
                <w:iCs/>
              </w:rPr>
              <w:t xml:space="preserve">” below upon </w:t>
            </w:r>
            <w:r w:rsidRPr="00E566EB">
              <w:rPr>
                <w:b/>
                <w:i/>
                <w:iCs/>
              </w:rPr>
              <w:t>system implementation</w:t>
            </w:r>
            <w:r>
              <w:rPr>
                <w:b/>
                <w:i/>
                <w:iCs/>
              </w:rPr>
              <w:t xml:space="preserve"> of the Real-Time Co-Optimization (RTC) project</w:t>
            </w:r>
            <w:r w:rsidRPr="00E566EB">
              <w:rPr>
                <w:b/>
                <w:i/>
                <w:iCs/>
              </w:rPr>
              <w:t>:]</w:t>
            </w:r>
          </w:p>
          <w:p w14:paraId="73E61E1D" w14:textId="76974A06" w:rsidR="00D211B0" w:rsidRPr="00D211B0" w:rsidRDefault="00D211B0" w:rsidP="00FA181F">
            <w:pPr>
              <w:pStyle w:val="BodyText"/>
              <w:ind w:left="3420" w:hanging="1980"/>
              <w:rPr>
                <w:lang w:val="pt-BR"/>
              </w:rPr>
            </w:pPr>
            <w:r w:rsidRPr="00D211B0">
              <w:rPr>
                <w:rFonts w:eastAsia="Calibri"/>
              </w:rPr>
              <w:t xml:space="preserve">UDAASOAWD </w:t>
            </w:r>
            <w:r w:rsidRPr="00D211B0">
              <w:rPr>
                <w:rFonts w:eastAsia="Calibri"/>
                <w:i/>
                <w:vertAlign w:val="subscript"/>
              </w:rPr>
              <w:t>mp</w:t>
            </w:r>
            <w:r w:rsidRPr="00D211B0">
              <w:rPr>
                <w:i/>
                <w:vertAlign w:val="subscript"/>
              </w:rPr>
              <w:t xml:space="preserve"> </w:t>
            </w:r>
            <w:r w:rsidRPr="00D211B0">
              <w:rPr>
                <w:rFonts w:eastAsia="Calibri"/>
              </w:rPr>
              <w:t xml:space="preserve"> = </w:t>
            </w:r>
            <w:r w:rsidRPr="00D211B0">
              <w:t>∑</w:t>
            </w:r>
            <w:r w:rsidRPr="00D211B0">
              <w:rPr>
                <w:i/>
                <w:vertAlign w:val="subscript"/>
              </w:rPr>
              <w:t>h</w:t>
            </w:r>
            <w:r w:rsidRPr="00D211B0">
              <w:t xml:space="preserve"> (</w:t>
            </w:r>
            <w:r w:rsidRPr="00D211B0">
              <w:rPr>
                <w:rFonts w:eastAsia="Calibri"/>
              </w:rPr>
              <w:t>DA</w:t>
            </w:r>
            <w:r w:rsidRPr="00D211B0">
              <w:t>RUOAWD</w:t>
            </w:r>
            <w:r w:rsidRPr="00D211B0">
              <w:rPr>
                <w:i/>
                <w:vertAlign w:val="subscript"/>
              </w:rPr>
              <w:t xml:space="preserve"> mp,</w:t>
            </w:r>
            <w:r w:rsidR="001C5BB4">
              <w:rPr>
                <w:i/>
                <w:vertAlign w:val="subscript"/>
              </w:rPr>
              <w:t xml:space="preserve"> </w:t>
            </w:r>
            <w:r w:rsidRPr="00D211B0">
              <w:rPr>
                <w:i/>
                <w:vertAlign w:val="subscript"/>
              </w:rPr>
              <w:t xml:space="preserve">h  </w:t>
            </w:r>
            <w:r w:rsidRPr="00D211B0">
              <w:rPr>
                <w:rFonts w:eastAsia="Calibri"/>
              </w:rPr>
              <w:t>+ DA</w:t>
            </w:r>
            <w:r w:rsidRPr="00D211B0">
              <w:t>RDOAWD</w:t>
            </w:r>
            <w:r w:rsidRPr="00D211B0">
              <w:rPr>
                <w:i/>
                <w:vertAlign w:val="subscript"/>
              </w:rPr>
              <w:t xml:space="preserve"> mp,</w:t>
            </w:r>
            <w:r w:rsidR="001C5BB4">
              <w:rPr>
                <w:i/>
                <w:vertAlign w:val="subscript"/>
              </w:rPr>
              <w:t xml:space="preserve"> </w:t>
            </w:r>
            <w:r w:rsidRPr="00D211B0">
              <w:rPr>
                <w:i/>
                <w:vertAlign w:val="subscript"/>
              </w:rPr>
              <w:t xml:space="preserve">h </w:t>
            </w:r>
            <w:r w:rsidRPr="00D211B0">
              <w:rPr>
                <w:rFonts w:eastAsia="Calibri"/>
              </w:rPr>
              <w:t>+ DA</w:t>
            </w:r>
            <w:r w:rsidRPr="00D211B0">
              <w:t>RROAWD</w:t>
            </w:r>
            <w:r w:rsidRPr="00D211B0">
              <w:rPr>
                <w:i/>
                <w:vertAlign w:val="subscript"/>
              </w:rPr>
              <w:t xml:space="preserve"> mp,</w:t>
            </w:r>
            <w:r w:rsidR="001C5BB4">
              <w:rPr>
                <w:i/>
                <w:vertAlign w:val="subscript"/>
              </w:rPr>
              <w:t xml:space="preserve"> </w:t>
            </w:r>
            <w:r w:rsidRPr="00D211B0">
              <w:rPr>
                <w:i/>
                <w:vertAlign w:val="subscript"/>
              </w:rPr>
              <w:t xml:space="preserve">h </w:t>
            </w:r>
            <w:r w:rsidRPr="000D4F96">
              <w:rPr>
                <w:rFonts w:eastAsia="Calibri"/>
              </w:rPr>
              <w:t>+ DA</w:t>
            </w:r>
            <w:r w:rsidRPr="00D211B0">
              <w:t>NSOAWD</w:t>
            </w:r>
            <w:r w:rsidRPr="00D211B0">
              <w:rPr>
                <w:i/>
                <w:vertAlign w:val="subscript"/>
              </w:rPr>
              <w:t xml:space="preserve"> mp,</w:t>
            </w:r>
            <w:r w:rsidR="001C5BB4">
              <w:rPr>
                <w:i/>
                <w:vertAlign w:val="subscript"/>
              </w:rPr>
              <w:t xml:space="preserve"> </w:t>
            </w:r>
            <w:r w:rsidRPr="00D211B0">
              <w:rPr>
                <w:i/>
                <w:vertAlign w:val="subscript"/>
              </w:rPr>
              <w:t xml:space="preserve">h </w:t>
            </w:r>
            <w:r w:rsidRPr="00D211B0">
              <w:rPr>
                <w:rFonts w:eastAsia="Calibri"/>
              </w:rPr>
              <w:t>+ DA</w:t>
            </w:r>
            <w:r w:rsidRPr="00D211B0">
              <w:t>ECROAWD</w:t>
            </w:r>
            <w:r w:rsidRPr="00D211B0">
              <w:rPr>
                <w:i/>
                <w:vertAlign w:val="subscript"/>
              </w:rPr>
              <w:t xml:space="preserve"> mp, h </w:t>
            </w:r>
            <w:r w:rsidRPr="00D211B0">
              <w:t>)</w:t>
            </w:r>
          </w:p>
        </w:tc>
      </w:tr>
    </w:tbl>
    <w:p w14:paraId="1B9D3039" w14:textId="77777777" w:rsidR="00CD356A" w:rsidRDefault="00CD356A" w:rsidP="00CD356A">
      <w:pPr>
        <w:tabs>
          <w:tab w:val="left" w:pos="2340"/>
          <w:tab w:val="left" w:pos="3420"/>
        </w:tabs>
        <w:spacing w:before="240" w:after="240"/>
        <w:ind w:left="3037" w:hanging="1597"/>
      </w:pPr>
      <w:r w:rsidRPr="00357003">
        <w:rPr>
          <w:lang w:val="x-none" w:eastAsia="x-none"/>
        </w:rPr>
        <w:t>USOGTOT</w:t>
      </w:r>
      <w:r w:rsidRPr="00357003">
        <w:rPr>
          <w:i/>
          <w:vertAlign w:val="subscript"/>
        </w:rPr>
        <w:t xml:space="preserve"> mp</w:t>
      </w:r>
      <w:r w:rsidRPr="00357003">
        <w:t xml:space="preserve"> </w:t>
      </w:r>
      <w:r w:rsidRPr="00357003">
        <w:rPr>
          <w:rFonts w:eastAsia="Calibri"/>
        </w:rPr>
        <w:t xml:space="preserve">= </w:t>
      </w:r>
      <w:r w:rsidRPr="00357003">
        <w:t>∑</w:t>
      </w:r>
      <w:r w:rsidRPr="00357003">
        <w:rPr>
          <w:i/>
          <w:vertAlign w:val="subscript"/>
        </w:rPr>
        <w:t>gsc</w:t>
      </w:r>
      <w:r w:rsidRPr="00357003">
        <w:t xml:space="preserve"> (</w:t>
      </w:r>
      <w:r>
        <w:t>MEB</w:t>
      </w:r>
      <w:r w:rsidRPr="00357003">
        <w:t>SOG</w:t>
      </w:r>
      <w:r>
        <w:t>NET</w:t>
      </w:r>
      <w:r w:rsidRPr="00357003">
        <w:t xml:space="preserve"> </w:t>
      </w:r>
      <w:r w:rsidRPr="00357003">
        <w:rPr>
          <w:i/>
          <w:vertAlign w:val="subscript"/>
        </w:rPr>
        <w:t>mp, gsc</w:t>
      </w:r>
      <w:r w:rsidRPr="00357003">
        <w:t xml:space="preserve">) + </w:t>
      </w:r>
      <w:r w:rsidRPr="00357003">
        <w:rPr>
          <w:lang w:val="x-none" w:eastAsia="x-none"/>
        </w:rPr>
        <w:t>∑</w:t>
      </w:r>
      <w:r w:rsidRPr="00357003">
        <w:rPr>
          <w:lang w:eastAsia="x-none"/>
        </w:rPr>
        <w:t xml:space="preserve"> </w:t>
      </w:r>
      <w:r w:rsidRPr="00357003">
        <w:rPr>
          <w:i/>
          <w:vertAlign w:val="subscript"/>
          <w:lang w:val="x-none" w:eastAsia="x-none"/>
        </w:rPr>
        <w:t>p, i</w:t>
      </w:r>
      <w:r w:rsidRPr="00357003">
        <w:rPr>
          <w:i/>
          <w:vertAlign w:val="subscript"/>
          <w:lang w:eastAsia="x-none"/>
        </w:rPr>
        <w:t xml:space="preserve"> </w:t>
      </w:r>
      <w:r w:rsidRPr="00357003">
        <w:rPr>
          <w:lang w:eastAsia="x-none"/>
        </w:rPr>
        <w:t>(</w:t>
      </w:r>
      <w:r w:rsidRPr="00357003">
        <w:t xml:space="preserve">RTMGSOGZ </w:t>
      </w:r>
      <w:r w:rsidRPr="00357003">
        <w:rPr>
          <w:i/>
          <w:vertAlign w:val="subscript"/>
        </w:rPr>
        <w:t>mp, p, i</w:t>
      </w:r>
      <w:r w:rsidRPr="00357003">
        <w:t>)</w:t>
      </w:r>
      <w:r>
        <w:t xml:space="preserve"> </w:t>
      </w:r>
    </w:p>
    <w:p w14:paraId="49D264FA" w14:textId="77777777" w:rsidR="00D211B0" w:rsidRDefault="00D211B0"/>
    <w:tbl>
      <w:tblPr>
        <w:tblW w:w="976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C4046B" w:rsidRPr="00E566EB" w14:paraId="0AC10856" w14:textId="77777777" w:rsidTr="00D211B0">
        <w:tc>
          <w:tcPr>
            <w:tcW w:w="9766" w:type="dxa"/>
            <w:shd w:val="pct12" w:color="auto" w:fill="auto"/>
          </w:tcPr>
          <w:p w14:paraId="1C671519" w14:textId="11F3B2F6" w:rsidR="003720B5" w:rsidRPr="00E566EB" w:rsidRDefault="003720B5" w:rsidP="003720B5">
            <w:pPr>
              <w:spacing w:before="120" w:after="240"/>
              <w:rPr>
                <w:b/>
                <w:i/>
                <w:iCs/>
              </w:rPr>
            </w:pPr>
            <w:r>
              <w:rPr>
                <w:b/>
                <w:i/>
                <w:iCs/>
              </w:rPr>
              <w:t>[NPRR995</w:t>
            </w:r>
            <w:r w:rsidRPr="00E566EB">
              <w:rPr>
                <w:b/>
                <w:i/>
                <w:iCs/>
              </w:rPr>
              <w:t xml:space="preserve">: </w:t>
            </w:r>
            <w:r>
              <w:rPr>
                <w:b/>
                <w:i/>
                <w:iCs/>
              </w:rPr>
              <w:t xml:space="preserve"> Insert the formula </w:t>
            </w:r>
            <w:r w:rsidRPr="005D0F36">
              <w:rPr>
                <w:b/>
                <w:i/>
                <w:iCs/>
              </w:rPr>
              <w:t>“</w:t>
            </w:r>
            <w:r w:rsidRPr="005D0F36">
              <w:rPr>
                <w:b/>
                <w:i/>
                <w:iCs/>
                <w:lang w:val="x-none"/>
              </w:rPr>
              <w:t>USO</w:t>
            </w:r>
            <w:r>
              <w:rPr>
                <w:b/>
                <w:i/>
                <w:iCs/>
              </w:rPr>
              <w:t>CL</w:t>
            </w:r>
            <w:r w:rsidRPr="005D0F36">
              <w:rPr>
                <w:b/>
                <w:i/>
                <w:iCs/>
                <w:lang w:val="x-none"/>
              </w:rPr>
              <w:t>TOT</w:t>
            </w:r>
            <w:r w:rsidRPr="005D0F36">
              <w:rPr>
                <w:b/>
                <w:i/>
                <w:iCs/>
                <w:vertAlign w:val="subscript"/>
              </w:rPr>
              <w:t xml:space="preserve"> mp</w:t>
            </w:r>
            <w:r w:rsidRPr="005D0F36">
              <w:rPr>
                <w:b/>
                <w:i/>
                <w:iCs/>
              </w:rPr>
              <w:t>”</w:t>
            </w:r>
            <w:r>
              <w:rPr>
                <w:b/>
                <w:i/>
                <w:iCs/>
              </w:rPr>
              <w:t xml:space="preserve"> below upon </w:t>
            </w:r>
            <w:r w:rsidRPr="00E566EB">
              <w:rPr>
                <w:b/>
                <w:i/>
                <w:iCs/>
              </w:rPr>
              <w:t>system implementation:]</w:t>
            </w:r>
          </w:p>
          <w:p w14:paraId="3C4DABB5" w14:textId="782F7BCD" w:rsidR="00986EAF" w:rsidRPr="00357003" w:rsidRDefault="003720B5" w:rsidP="003720B5">
            <w:pPr>
              <w:tabs>
                <w:tab w:val="left" w:pos="2340"/>
                <w:tab w:val="left" w:pos="3420"/>
              </w:tabs>
              <w:spacing w:after="240"/>
              <w:ind w:left="1440"/>
            </w:pPr>
            <w:r>
              <w:t>USOCLTOT</w:t>
            </w:r>
            <w:r w:rsidRPr="005D0F36">
              <w:rPr>
                <w:i/>
                <w:vertAlign w:val="subscript"/>
              </w:rPr>
              <w:t xml:space="preserve"> mp</w:t>
            </w:r>
            <w:r>
              <w:t xml:space="preserve"> = </w:t>
            </w:r>
            <w:r w:rsidRPr="005D0F36">
              <w:rPr>
                <w:lang w:val="x-none" w:eastAsia="x-none"/>
              </w:rPr>
              <w:t xml:space="preserve">(-1) * </w:t>
            </w:r>
            <w:r w:rsidRPr="005D0F36">
              <w:t>∑</w:t>
            </w:r>
            <w:r w:rsidRPr="005D0F36">
              <w:rPr>
                <w:i/>
                <w:vertAlign w:val="subscript"/>
              </w:rPr>
              <w:t>gsc, b</w:t>
            </w:r>
            <w:r w:rsidRPr="005D0F36">
              <w:t xml:space="preserve"> </w:t>
            </w:r>
            <w:r w:rsidRPr="005D0F36">
              <w:rPr>
                <w:lang w:val="x-none" w:eastAsia="x-none"/>
              </w:rPr>
              <w:t>(</w:t>
            </w:r>
            <w:r w:rsidRPr="001E15B9">
              <w:rPr>
                <w:bCs/>
                <w:lang w:eastAsia="x-none"/>
              </w:rPr>
              <w:t xml:space="preserve">WSOL </w:t>
            </w:r>
            <w:r w:rsidRPr="001E15B9">
              <w:rPr>
                <w:bCs/>
                <w:i/>
                <w:vertAlign w:val="subscript"/>
                <w:lang w:eastAsia="x-none"/>
              </w:rPr>
              <w:t>mp, gsc, b</w:t>
            </w:r>
            <w:r w:rsidRPr="005D0F36">
              <w:rPr>
                <w:lang w:val="x-none" w:eastAsia="x-none"/>
              </w:rPr>
              <w:t>)</w:t>
            </w:r>
          </w:p>
        </w:tc>
      </w:tr>
    </w:tbl>
    <w:p w14:paraId="2A698CF5" w14:textId="11F2DCB8" w:rsidR="00881601" w:rsidRDefault="00881601" w:rsidP="00076E1C">
      <w:pPr>
        <w:pStyle w:val="BodyText"/>
        <w:spacing w:before="240" w:after="0"/>
      </w:pPr>
      <w:r w:rsidRPr="002472A0">
        <w:rPr>
          <w:rFonts w:eastAsia="Calibri"/>
        </w:rP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5"/>
        <w:gridCol w:w="864"/>
        <w:gridCol w:w="6921"/>
      </w:tblGrid>
      <w:tr w:rsidR="00881601" w14:paraId="10D0A308" w14:textId="77777777" w:rsidTr="00D465F5">
        <w:trPr>
          <w:cantSplit/>
          <w:tblHeader/>
        </w:trPr>
        <w:tc>
          <w:tcPr>
            <w:tcW w:w="813" w:type="pct"/>
          </w:tcPr>
          <w:p w14:paraId="2E5151F2" w14:textId="77777777" w:rsidR="00881601" w:rsidRDefault="00881601" w:rsidP="00463C16">
            <w:pPr>
              <w:pStyle w:val="TableHead"/>
            </w:pPr>
            <w:r>
              <w:t>Variable</w:t>
            </w:r>
          </w:p>
        </w:tc>
        <w:tc>
          <w:tcPr>
            <w:tcW w:w="461" w:type="pct"/>
          </w:tcPr>
          <w:p w14:paraId="00C17A93" w14:textId="77777777" w:rsidR="00881601" w:rsidRDefault="00881601" w:rsidP="00463C16">
            <w:pPr>
              <w:pStyle w:val="TableHead"/>
            </w:pPr>
            <w:r>
              <w:t>Unit</w:t>
            </w:r>
          </w:p>
        </w:tc>
        <w:tc>
          <w:tcPr>
            <w:tcW w:w="3725" w:type="pct"/>
          </w:tcPr>
          <w:p w14:paraId="1987FBB9" w14:textId="77777777" w:rsidR="00881601" w:rsidRDefault="00881601" w:rsidP="00463C16">
            <w:pPr>
              <w:pStyle w:val="TableHead"/>
            </w:pPr>
            <w:r>
              <w:t>Definition</w:t>
            </w:r>
          </w:p>
        </w:tc>
      </w:tr>
      <w:tr w:rsidR="00881601" w14:paraId="427B5AD1" w14:textId="77777777" w:rsidTr="00D465F5">
        <w:trPr>
          <w:cantSplit/>
        </w:trPr>
        <w:tc>
          <w:tcPr>
            <w:tcW w:w="813" w:type="pct"/>
          </w:tcPr>
          <w:p w14:paraId="2F0B1913" w14:textId="77777777" w:rsidR="00881601" w:rsidRPr="00CE5650" w:rsidRDefault="00881601" w:rsidP="00463C16">
            <w:pPr>
              <w:pStyle w:val="TableBody"/>
              <w:rPr>
                <w:color w:val="000000"/>
                <w:kern w:val="24"/>
              </w:rPr>
            </w:pPr>
            <w:r>
              <w:rPr>
                <w:lang w:val="pt-BR"/>
              </w:rPr>
              <w:t>D</w:t>
            </w:r>
            <w:r w:rsidRPr="00C078A4">
              <w:rPr>
                <w:lang w:val="pt-BR"/>
              </w:rPr>
              <w:t>URSCP</w:t>
            </w:r>
            <w:r w:rsidR="006C0ADB">
              <w:rPr>
                <w:color w:val="000000"/>
                <w:kern w:val="24"/>
              </w:rPr>
              <w:t xml:space="preserve"> </w:t>
            </w:r>
            <w:r w:rsidR="006C0ADB" w:rsidRPr="006C0ADB">
              <w:rPr>
                <w:i/>
                <w:color w:val="000000"/>
                <w:kern w:val="24"/>
                <w:vertAlign w:val="subscript"/>
              </w:rPr>
              <w:t>cp</w:t>
            </w:r>
          </w:p>
        </w:tc>
        <w:tc>
          <w:tcPr>
            <w:tcW w:w="461" w:type="pct"/>
          </w:tcPr>
          <w:p w14:paraId="57CDC1B5" w14:textId="77777777" w:rsidR="00881601" w:rsidRDefault="00881601" w:rsidP="00463C16">
            <w:pPr>
              <w:pStyle w:val="TableBody"/>
            </w:pPr>
            <w:r>
              <w:rPr>
                <w:color w:val="000000"/>
                <w:kern w:val="24"/>
              </w:rPr>
              <w:t>$</w:t>
            </w:r>
          </w:p>
        </w:tc>
        <w:tc>
          <w:tcPr>
            <w:tcW w:w="3725" w:type="pct"/>
          </w:tcPr>
          <w:p w14:paraId="0B8D301C" w14:textId="77777777" w:rsidR="00881601" w:rsidRPr="00B34C5D" w:rsidRDefault="00881601" w:rsidP="00463C16">
            <w:pPr>
              <w:pStyle w:val="TableBody"/>
              <w:rPr>
                <w:i/>
              </w:rPr>
            </w:pPr>
            <w:r w:rsidRPr="009627EF">
              <w:rPr>
                <w:i/>
              </w:rPr>
              <w:t>Default Uplift Ratio Share per Counter</w:t>
            </w:r>
            <w:r>
              <w:rPr>
                <w:i/>
              </w:rPr>
              <w:t>-</w:t>
            </w:r>
            <w:r w:rsidRPr="009627EF">
              <w:rPr>
                <w:i/>
              </w:rPr>
              <w:t>Party</w:t>
            </w:r>
            <w:r>
              <w:t xml:space="preserve">—The Counter-Party’s pro rata portion of the total short-pay amount for all Day-Ahead Market (DAM) and Real-Time Market (RTM) Invoices for a month. </w:t>
            </w:r>
          </w:p>
        </w:tc>
      </w:tr>
      <w:tr w:rsidR="00881601" w14:paraId="679511C1" w14:textId="77777777" w:rsidTr="00D465F5">
        <w:trPr>
          <w:cantSplit/>
        </w:trPr>
        <w:tc>
          <w:tcPr>
            <w:tcW w:w="813" w:type="pct"/>
          </w:tcPr>
          <w:p w14:paraId="1157EA0E" w14:textId="77777777" w:rsidR="00881601" w:rsidRPr="00CE5650" w:rsidRDefault="00881601" w:rsidP="00463C16">
            <w:pPr>
              <w:pStyle w:val="TableBody"/>
              <w:rPr>
                <w:color w:val="000000"/>
                <w:kern w:val="24"/>
              </w:rPr>
            </w:pPr>
            <w:r w:rsidRPr="00C078A4">
              <w:rPr>
                <w:lang w:val="pt-BR"/>
              </w:rPr>
              <w:t>TSPA</w:t>
            </w:r>
          </w:p>
        </w:tc>
        <w:tc>
          <w:tcPr>
            <w:tcW w:w="461" w:type="pct"/>
          </w:tcPr>
          <w:p w14:paraId="74BAE4AA" w14:textId="77777777" w:rsidR="00881601" w:rsidRDefault="00881601" w:rsidP="00463C16">
            <w:pPr>
              <w:pStyle w:val="TableBody"/>
            </w:pPr>
            <w:r>
              <w:rPr>
                <w:color w:val="000000"/>
                <w:kern w:val="24"/>
              </w:rPr>
              <w:t>$</w:t>
            </w:r>
          </w:p>
        </w:tc>
        <w:tc>
          <w:tcPr>
            <w:tcW w:w="3725" w:type="pct"/>
          </w:tcPr>
          <w:p w14:paraId="40E335D5" w14:textId="77777777" w:rsidR="00881601" w:rsidRPr="00B34C5D" w:rsidRDefault="00881601" w:rsidP="00463C16">
            <w:pPr>
              <w:pStyle w:val="TableBody"/>
              <w:rPr>
                <w:i/>
              </w:rPr>
            </w:pPr>
            <w:r w:rsidRPr="009627EF">
              <w:rPr>
                <w:i/>
              </w:rPr>
              <w:t>Total Short Pay Amount</w:t>
            </w:r>
            <w:r>
              <w:t>—The total short-pay amount calculated by ERCOT to be collected through the Default Uplift Invoice process.</w:t>
            </w:r>
          </w:p>
        </w:tc>
      </w:tr>
      <w:tr w:rsidR="00881601" w14:paraId="4640793E" w14:textId="77777777" w:rsidTr="00D465F5">
        <w:trPr>
          <w:cantSplit/>
        </w:trPr>
        <w:tc>
          <w:tcPr>
            <w:tcW w:w="813" w:type="pct"/>
          </w:tcPr>
          <w:p w14:paraId="5CD71019" w14:textId="77777777" w:rsidR="00881601" w:rsidRPr="00CE5650" w:rsidRDefault="00881601" w:rsidP="00463C16">
            <w:pPr>
              <w:pStyle w:val="TableBody"/>
              <w:rPr>
                <w:color w:val="000000"/>
                <w:kern w:val="24"/>
              </w:rPr>
            </w:pPr>
            <w:r w:rsidRPr="00421EF2">
              <w:rPr>
                <w:color w:val="000000"/>
                <w:kern w:val="24"/>
              </w:rPr>
              <w:t>MMARS</w:t>
            </w:r>
            <w:r w:rsidR="00326226">
              <w:rPr>
                <w:color w:val="000000"/>
                <w:kern w:val="24"/>
              </w:rPr>
              <w:t xml:space="preserve"> </w:t>
            </w:r>
            <w:r w:rsidRPr="006C0ADB">
              <w:rPr>
                <w:i/>
                <w:color w:val="000000"/>
                <w:kern w:val="24"/>
                <w:vertAlign w:val="subscript"/>
              </w:rPr>
              <w:t>cp</w:t>
            </w:r>
          </w:p>
        </w:tc>
        <w:tc>
          <w:tcPr>
            <w:tcW w:w="461" w:type="pct"/>
          </w:tcPr>
          <w:p w14:paraId="41917A01" w14:textId="77777777" w:rsidR="00881601" w:rsidRDefault="00881601" w:rsidP="00463C16">
            <w:pPr>
              <w:pStyle w:val="TableBody"/>
            </w:pPr>
            <w:r w:rsidRPr="00421EF2">
              <w:rPr>
                <w:color w:val="000000"/>
                <w:kern w:val="24"/>
              </w:rPr>
              <w:t>None</w:t>
            </w:r>
          </w:p>
        </w:tc>
        <w:tc>
          <w:tcPr>
            <w:tcW w:w="3725" w:type="pct"/>
          </w:tcPr>
          <w:p w14:paraId="050259ED" w14:textId="2476FD55" w:rsidR="00881601" w:rsidRPr="00B34C5D" w:rsidRDefault="00881601" w:rsidP="00463C16">
            <w:pPr>
              <w:pStyle w:val="TableBody"/>
              <w:rPr>
                <w:i/>
              </w:rPr>
            </w:pPr>
            <w:r w:rsidRPr="009627EF">
              <w:rPr>
                <w:i/>
              </w:rPr>
              <w:t>Maximum MWh Activity Ratio Share</w:t>
            </w:r>
            <w:r>
              <w:t>—The Counter-Party’s pro rata share of Maximum MWh Activity</w:t>
            </w:r>
            <w:r w:rsidR="006B44B4">
              <w:t xml:space="preserve"> in the reference month</w:t>
            </w:r>
            <w:r>
              <w:t>.</w:t>
            </w:r>
          </w:p>
        </w:tc>
      </w:tr>
      <w:tr w:rsidR="00881601" w14:paraId="695D2A82" w14:textId="77777777" w:rsidTr="00D465F5">
        <w:trPr>
          <w:cantSplit/>
        </w:trPr>
        <w:tc>
          <w:tcPr>
            <w:tcW w:w="813" w:type="pct"/>
          </w:tcPr>
          <w:p w14:paraId="32781671" w14:textId="77777777" w:rsidR="00881601" w:rsidRPr="00CE5650" w:rsidRDefault="00881601" w:rsidP="00463C16">
            <w:pPr>
              <w:pStyle w:val="TableBody"/>
              <w:rPr>
                <w:color w:val="000000"/>
                <w:kern w:val="24"/>
              </w:rPr>
            </w:pPr>
            <w:r w:rsidRPr="00421EF2">
              <w:rPr>
                <w:color w:val="000000"/>
                <w:kern w:val="24"/>
              </w:rPr>
              <w:t>MMA</w:t>
            </w:r>
            <w:r w:rsidR="00326226">
              <w:rPr>
                <w:color w:val="000000"/>
                <w:kern w:val="24"/>
              </w:rPr>
              <w:t xml:space="preserve"> </w:t>
            </w:r>
            <w:r w:rsidRPr="006C0ADB">
              <w:rPr>
                <w:i/>
                <w:color w:val="000000"/>
                <w:kern w:val="24"/>
                <w:vertAlign w:val="subscript"/>
              </w:rPr>
              <w:t>cp</w:t>
            </w:r>
          </w:p>
        </w:tc>
        <w:tc>
          <w:tcPr>
            <w:tcW w:w="461" w:type="pct"/>
          </w:tcPr>
          <w:p w14:paraId="4401BB80" w14:textId="77777777" w:rsidR="00881601" w:rsidRDefault="00881601" w:rsidP="00463C16">
            <w:pPr>
              <w:pStyle w:val="TableBody"/>
            </w:pPr>
            <w:r>
              <w:rPr>
                <w:color w:val="000000"/>
                <w:kern w:val="24"/>
              </w:rPr>
              <w:t>MWh</w:t>
            </w:r>
          </w:p>
        </w:tc>
        <w:tc>
          <w:tcPr>
            <w:tcW w:w="3725" w:type="pct"/>
          </w:tcPr>
          <w:p w14:paraId="1182FE29" w14:textId="784104A4" w:rsidR="00881601" w:rsidRPr="00B34C5D" w:rsidRDefault="00881601" w:rsidP="006B44B4">
            <w:pPr>
              <w:pStyle w:val="TableBody"/>
              <w:rPr>
                <w:i/>
              </w:rPr>
            </w:pPr>
            <w:r w:rsidRPr="009627EF">
              <w:rPr>
                <w:i/>
              </w:rPr>
              <w:t>Maximum MWh Activity</w:t>
            </w:r>
            <w:r>
              <w:t xml:space="preserve">—The maximum MWh activity of all Market Participants represented by the Counter-Party in the DAM, RTM and CRR Auction </w:t>
            </w:r>
            <w:r w:rsidR="006B44B4">
              <w:t>in the reference</w:t>
            </w:r>
            <w:r>
              <w:t xml:space="preserve"> month.</w:t>
            </w:r>
          </w:p>
        </w:tc>
      </w:tr>
      <w:tr w:rsidR="00881601" w14:paraId="31BA9D09" w14:textId="77777777" w:rsidTr="00D465F5">
        <w:trPr>
          <w:cantSplit/>
        </w:trPr>
        <w:tc>
          <w:tcPr>
            <w:tcW w:w="813" w:type="pct"/>
          </w:tcPr>
          <w:p w14:paraId="36349F3C" w14:textId="77777777" w:rsidR="00881601" w:rsidRPr="00CE5650" w:rsidRDefault="00881601" w:rsidP="00463C16">
            <w:pPr>
              <w:pStyle w:val="TableBody"/>
              <w:rPr>
                <w:color w:val="000000"/>
                <w:kern w:val="24"/>
              </w:rPr>
            </w:pPr>
            <w:r w:rsidRPr="00421EF2">
              <w:rPr>
                <w:color w:val="000000"/>
                <w:kern w:val="24"/>
              </w:rPr>
              <w:t>MMATOT</w:t>
            </w:r>
          </w:p>
        </w:tc>
        <w:tc>
          <w:tcPr>
            <w:tcW w:w="461" w:type="pct"/>
          </w:tcPr>
          <w:p w14:paraId="1BCD8AC1" w14:textId="77777777" w:rsidR="00881601" w:rsidRDefault="00881601" w:rsidP="00463C16">
            <w:pPr>
              <w:pStyle w:val="TableBody"/>
            </w:pPr>
            <w:r>
              <w:rPr>
                <w:color w:val="000000"/>
                <w:kern w:val="24"/>
              </w:rPr>
              <w:t>MWh</w:t>
            </w:r>
          </w:p>
        </w:tc>
        <w:tc>
          <w:tcPr>
            <w:tcW w:w="3725" w:type="pct"/>
          </w:tcPr>
          <w:p w14:paraId="3750CC4E" w14:textId="6A145438" w:rsidR="00881601" w:rsidRPr="00B34C5D" w:rsidRDefault="00881601" w:rsidP="00463C16">
            <w:pPr>
              <w:pStyle w:val="TableBody"/>
              <w:rPr>
                <w:i/>
              </w:rPr>
            </w:pPr>
            <w:r w:rsidRPr="009627EF">
              <w:rPr>
                <w:i/>
              </w:rPr>
              <w:t>Maximum MWh Activity Total</w:t>
            </w:r>
            <w:r>
              <w:t>—The sum of all Counter-Party’s Maximum MWh Activity</w:t>
            </w:r>
            <w:r w:rsidR="006B44B4">
              <w:t xml:space="preserve"> in the reference month</w:t>
            </w:r>
            <w:r>
              <w:t>.</w:t>
            </w:r>
          </w:p>
        </w:tc>
      </w:tr>
      <w:tr w:rsidR="00881601" w14:paraId="3E0B7192" w14:textId="77777777" w:rsidTr="00D465F5">
        <w:trPr>
          <w:cantSplit/>
        </w:trPr>
        <w:tc>
          <w:tcPr>
            <w:tcW w:w="813" w:type="pct"/>
          </w:tcPr>
          <w:p w14:paraId="5F272DCC" w14:textId="77777777" w:rsidR="00881601" w:rsidRDefault="00881601" w:rsidP="00463C16">
            <w:pPr>
              <w:pStyle w:val="TableBody"/>
            </w:pPr>
            <w:r w:rsidRPr="00CE5650">
              <w:rPr>
                <w:color w:val="000000"/>
                <w:kern w:val="24"/>
              </w:rPr>
              <w:lastRenderedPageBreak/>
              <w:t>RTMG</w:t>
            </w:r>
            <w:r>
              <w:rPr>
                <w:color w:val="000000"/>
                <w:kern w:val="24"/>
              </w:rPr>
              <w:t xml:space="preserve"> </w:t>
            </w:r>
            <w:r w:rsidRPr="006C0ADB">
              <w:rPr>
                <w:i/>
                <w:color w:val="000000"/>
                <w:kern w:val="24"/>
                <w:vertAlign w:val="subscript"/>
              </w:rPr>
              <w:t>mp, p, r, i</w:t>
            </w:r>
          </w:p>
        </w:tc>
        <w:tc>
          <w:tcPr>
            <w:tcW w:w="461" w:type="pct"/>
          </w:tcPr>
          <w:p w14:paraId="7D14C88B" w14:textId="77777777" w:rsidR="00881601" w:rsidRDefault="00881601" w:rsidP="00463C16">
            <w:pPr>
              <w:pStyle w:val="TableBody"/>
            </w:pPr>
            <w:r>
              <w:t>MWh</w:t>
            </w:r>
          </w:p>
        </w:tc>
        <w:tc>
          <w:tcPr>
            <w:tcW w:w="3725" w:type="pct"/>
          </w:tcPr>
          <w:p w14:paraId="215E69BE" w14:textId="77777777" w:rsidR="00881601" w:rsidRDefault="00881601" w:rsidP="00463C16">
            <w:pPr>
              <w:pStyle w:val="TableBody"/>
            </w:pPr>
            <w:r w:rsidRPr="00B34C5D">
              <w:rPr>
                <w:i/>
              </w:rPr>
              <w:t>Real-Time Metered Generation</w:t>
            </w:r>
            <w:r>
              <w:rPr>
                <w:i/>
              </w:rPr>
              <w:t xml:space="preserve"> per Market Participant per Settlement Point per Resource</w:t>
            </w:r>
            <w:r>
              <w:t xml:space="preserve">—The Real-Time energy produced by the Generation Resource </w:t>
            </w:r>
            <w:r w:rsidRPr="00446C24">
              <w:rPr>
                <w:i/>
              </w:rPr>
              <w:t>r</w:t>
            </w:r>
            <w:r>
              <w:t xml:space="preserve"> represented by Market Participant </w:t>
            </w:r>
            <w:r w:rsidRPr="00446C24">
              <w:rPr>
                <w:i/>
              </w:rPr>
              <w:t>mp</w:t>
            </w:r>
            <w:r>
              <w:t xml:space="preserve">, at Resource Node </w:t>
            </w:r>
            <w:r w:rsidRPr="00446C24">
              <w:rPr>
                <w:i/>
              </w:rPr>
              <w:t>p</w:t>
            </w:r>
            <w:r>
              <w:t xml:space="preserve">, for the 15-minute Settlement Interval </w:t>
            </w:r>
            <w:r>
              <w:rPr>
                <w:i/>
              </w:rPr>
              <w:t>i</w:t>
            </w:r>
            <w:r>
              <w:t>, where the Market Participant is a QSE.</w:t>
            </w:r>
          </w:p>
        </w:tc>
      </w:tr>
      <w:tr w:rsidR="00881601" w14:paraId="5A446A20" w14:textId="77777777" w:rsidTr="00D465F5">
        <w:trPr>
          <w:cantSplit/>
        </w:trPr>
        <w:tc>
          <w:tcPr>
            <w:tcW w:w="813" w:type="pct"/>
          </w:tcPr>
          <w:p w14:paraId="5810B5D2" w14:textId="77777777" w:rsidR="00881601" w:rsidRDefault="00881601" w:rsidP="00463C16">
            <w:pPr>
              <w:pStyle w:val="TableBody"/>
            </w:pPr>
            <w:r>
              <w:rPr>
                <w:rFonts w:eastAsia="Calibri"/>
              </w:rPr>
              <w:t xml:space="preserve">URTMG </w:t>
            </w:r>
            <w:r w:rsidRPr="006C0ADB">
              <w:rPr>
                <w:rFonts w:eastAsia="Calibri"/>
                <w:i/>
                <w:vertAlign w:val="subscript"/>
              </w:rPr>
              <w:t>mp</w:t>
            </w:r>
          </w:p>
        </w:tc>
        <w:tc>
          <w:tcPr>
            <w:tcW w:w="461" w:type="pct"/>
          </w:tcPr>
          <w:p w14:paraId="141C1395" w14:textId="77777777" w:rsidR="00881601" w:rsidRDefault="00881601" w:rsidP="00463C16">
            <w:pPr>
              <w:pStyle w:val="TableBody"/>
            </w:pPr>
            <w:r>
              <w:t>MWh</w:t>
            </w:r>
          </w:p>
        </w:tc>
        <w:tc>
          <w:tcPr>
            <w:tcW w:w="3725" w:type="pct"/>
          </w:tcPr>
          <w:p w14:paraId="1427E9E3" w14:textId="77777777" w:rsidR="00881601" w:rsidRDefault="00881601" w:rsidP="00463C16">
            <w:pPr>
              <w:pStyle w:val="TableBody"/>
              <w:rPr>
                <w:i/>
              </w:rPr>
            </w:pPr>
            <w:r w:rsidRPr="00FD7EBB">
              <w:rPr>
                <w:i/>
              </w:rPr>
              <w:t>Uplift Real-Time Metered Generation per Market Participant</w:t>
            </w:r>
            <w:r>
              <w:t xml:space="preserve">—The monthly sum of Real-Time energy produced by Generation Resources represented by Market Participant </w:t>
            </w:r>
            <w:r w:rsidRPr="00446C24">
              <w:rPr>
                <w:i/>
              </w:rPr>
              <w:t>mp</w:t>
            </w:r>
            <w:r>
              <w:t xml:space="preserve">, excluding generation for RMR Resources and generation in RUC-Committed Intervals, where the Market Participant is a QSE assigned to the registered Counter-Party. </w:t>
            </w:r>
          </w:p>
        </w:tc>
      </w:tr>
      <w:tr w:rsidR="00881601" w14:paraId="10BD3766" w14:textId="77777777" w:rsidTr="00D465F5">
        <w:trPr>
          <w:cantSplit/>
        </w:trPr>
        <w:tc>
          <w:tcPr>
            <w:tcW w:w="813" w:type="pct"/>
          </w:tcPr>
          <w:p w14:paraId="0DA84477" w14:textId="77777777" w:rsidR="00881601" w:rsidRPr="00CE5650" w:rsidRDefault="00881601" w:rsidP="00463C16">
            <w:pPr>
              <w:pStyle w:val="TableBody"/>
              <w:rPr>
                <w:color w:val="000000"/>
                <w:kern w:val="24"/>
              </w:rPr>
            </w:pPr>
            <w:r>
              <w:rPr>
                <w:color w:val="000000"/>
                <w:kern w:val="24"/>
              </w:rPr>
              <w:t xml:space="preserve">RTDCIMP </w:t>
            </w:r>
            <w:r w:rsidRPr="006C0ADB">
              <w:rPr>
                <w:i/>
                <w:color w:val="000000"/>
                <w:kern w:val="24"/>
                <w:vertAlign w:val="subscript"/>
              </w:rPr>
              <w:t>mp, p, i</w:t>
            </w:r>
          </w:p>
        </w:tc>
        <w:tc>
          <w:tcPr>
            <w:tcW w:w="461" w:type="pct"/>
          </w:tcPr>
          <w:p w14:paraId="0B573FDB" w14:textId="77777777" w:rsidR="00881601" w:rsidRDefault="00881601" w:rsidP="00463C16">
            <w:pPr>
              <w:pStyle w:val="TableBody"/>
            </w:pPr>
            <w:r>
              <w:t>MW</w:t>
            </w:r>
          </w:p>
        </w:tc>
        <w:tc>
          <w:tcPr>
            <w:tcW w:w="3725" w:type="pct"/>
          </w:tcPr>
          <w:p w14:paraId="2D3977FF" w14:textId="77777777" w:rsidR="00881601" w:rsidRDefault="00881601" w:rsidP="00463C16">
            <w:pPr>
              <w:pStyle w:val="TableBody"/>
              <w:rPr>
                <w:i/>
              </w:rPr>
            </w:pPr>
            <w:r>
              <w:rPr>
                <w:i/>
              </w:rPr>
              <w:t>Real-Time DC Import per QSE per Settlement Point</w:t>
            </w:r>
            <w:r>
              <w:t xml:space="preserve">—The aggregated Direct Current Tie (DC Tie) Schedule submitted by Market Participant </w:t>
            </w:r>
            <w:r w:rsidRPr="00446C24">
              <w:rPr>
                <w:i/>
              </w:rPr>
              <w:t>mp</w:t>
            </w:r>
            <w:r>
              <w:rPr>
                <w:i/>
              </w:rPr>
              <w:t>,</w:t>
            </w:r>
            <w:r>
              <w:t xml:space="preserve"> as an importer into the ERCOT System through DC Tie </w:t>
            </w:r>
            <w:r>
              <w:rPr>
                <w:i/>
              </w:rPr>
              <w:t>p</w:t>
            </w:r>
            <w:r>
              <w:t xml:space="preserve">, for the 15-minute Settlement Interval </w:t>
            </w:r>
            <w:r>
              <w:rPr>
                <w:i/>
              </w:rPr>
              <w:t>i</w:t>
            </w:r>
            <w:r>
              <w:t>, where the Market Participant is a QSE.</w:t>
            </w:r>
          </w:p>
        </w:tc>
      </w:tr>
      <w:tr w:rsidR="00881601" w14:paraId="201B8C69" w14:textId="77777777" w:rsidTr="00D465F5">
        <w:trPr>
          <w:cantSplit/>
        </w:trPr>
        <w:tc>
          <w:tcPr>
            <w:tcW w:w="813" w:type="pct"/>
          </w:tcPr>
          <w:p w14:paraId="4602FBA7" w14:textId="77777777" w:rsidR="00881601" w:rsidRPr="00CE5650" w:rsidRDefault="00881601" w:rsidP="00463C16">
            <w:pPr>
              <w:pStyle w:val="TableBody"/>
              <w:rPr>
                <w:color w:val="000000"/>
                <w:kern w:val="24"/>
              </w:rPr>
            </w:pPr>
            <w:r>
              <w:rPr>
                <w:rFonts w:eastAsia="Calibri"/>
              </w:rPr>
              <w:t xml:space="preserve">URTDCIMP </w:t>
            </w:r>
            <w:r w:rsidRPr="006C0ADB">
              <w:rPr>
                <w:rFonts w:eastAsia="Calibri"/>
                <w:i/>
                <w:vertAlign w:val="subscript"/>
              </w:rPr>
              <w:t>mp</w:t>
            </w:r>
          </w:p>
        </w:tc>
        <w:tc>
          <w:tcPr>
            <w:tcW w:w="461" w:type="pct"/>
          </w:tcPr>
          <w:p w14:paraId="7B7D06F6" w14:textId="77777777" w:rsidR="00881601" w:rsidRDefault="00881601" w:rsidP="00463C16">
            <w:pPr>
              <w:pStyle w:val="TableBody"/>
            </w:pPr>
            <w:r>
              <w:t>MW</w:t>
            </w:r>
          </w:p>
        </w:tc>
        <w:tc>
          <w:tcPr>
            <w:tcW w:w="3725" w:type="pct"/>
          </w:tcPr>
          <w:p w14:paraId="06810EA5" w14:textId="77777777" w:rsidR="00881601" w:rsidRDefault="00881601" w:rsidP="00463C16">
            <w:pPr>
              <w:pStyle w:val="TableBody"/>
              <w:rPr>
                <w:i/>
              </w:rPr>
            </w:pPr>
            <w:r>
              <w:rPr>
                <w:i/>
              </w:rPr>
              <w:t>Uplift Real-Time DC Import per Market Participant</w:t>
            </w:r>
            <w:r>
              <w:t xml:space="preserve">—The monthly sum of the aggregated DC Tie Schedule submitted by Market Participant </w:t>
            </w:r>
            <w:r w:rsidRPr="00446C24">
              <w:rPr>
                <w:i/>
              </w:rPr>
              <w:t>mp</w:t>
            </w:r>
            <w:r w:rsidRPr="009A5A53">
              <w:t xml:space="preserve">, </w:t>
            </w:r>
            <w:r>
              <w:t>as an importer into the ERCOT System where the Market Participant is a QSE assigned to a registered Counter-Party.</w:t>
            </w:r>
          </w:p>
        </w:tc>
      </w:tr>
      <w:tr w:rsidR="00881601" w14:paraId="2EEF9A56" w14:textId="77777777" w:rsidTr="00D465F5">
        <w:trPr>
          <w:cantSplit/>
        </w:trPr>
        <w:tc>
          <w:tcPr>
            <w:tcW w:w="813" w:type="pct"/>
          </w:tcPr>
          <w:p w14:paraId="5BE66206" w14:textId="77777777" w:rsidR="00881601" w:rsidRDefault="00881601" w:rsidP="00463C16">
            <w:pPr>
              <w:pStyle w:val="TableBody"/>
            </w:pPr>
            <w:r w:rsidRPr="00CE5650">
              <w:rPr>
                <w:color w:val="000000"/>
                <w:kern w:val="24"/>
              </w:rPr>
              <w:t>RT</w:t>
            </w:r>
            <w:r>
              <w:rPr>
                <w:color w:val="000000"/>
                <w:kern w:val="24"/>
              </w:rPr>
              <w:t xml:space="preserve">AML </w:t>
            </w:r>
            <w:r w:rsidRPr="006C0ADB">
              <w:rPr>
                <w:i/>
                <w:color w:val="000000"/>
                <w:kern w:val="24"/>
                <w:vertAlign w:val="subscript"/>
              </w:rPr>
              <w:t>mp, p, i</w:t>
            </w:r>
          </w:p>
        </w:tc>
        <w:tc>
          <w:tcPr>
            <w:tcW w:w="461" w:type="pct"/>
          </w:tcPr>
          <w:p w14:paraId="304B5DC4" w14:textId="77777777" w:rsidR="00881601" w:rsidRDefault="00881601" w:rsidP="00463C16">
            <w:pPr>
              <w:pStyle w:val="TableBody"/>
            </w:pPr>
            <w:r>
              <w:t>MWh</w:t>
            </w:r>
          </w:p>
        </w:tc>
        <w:tc>
          <w:tcPr>
            <w:tcW w:w="3725" w:type="pct"/>
          </w:tcPr>
          <w:p w14:paraId="5658FD05" w14:textId="77777777" w:rsidR="00881601" w:rsidRDefault="00881601" w:rsidP="00463C16">
            <w:pPr>
              <w:pStyle w:val="TableBody"/>
            </w:pPr>
            <w:r>
              <w:rPr>
                <w:i/>
              </w:rPr>
              <w:t>Real-Time Adjusted Metered Load per Market Participant per Settlement Point</w:t>
            </w:r>
            <w:r>
              <w:t xml:space="preserve">—The sum of the Adjusted Metered Load (AML) at the Electrical Buses that are included in Settlement Point </w:t>
            </w:r>
            <w:r w:rsidRPr="00BA1C67">
              <w:rPr>
                <w:i/>
              </w:rPr>
              <w:t>p</w:t>
            </w:r>
            <w:r>
              <w:t xml:space="preserve"> represented by Market Participant </w:t>
            </w:r>
            <w:r w:rsidRPr="00BA1C67">
              <w:rPr>
                <w:i/>
              </w:rPr>
              <w:t>mp</w:t>
            </w:r>
            <w:r>
              <w:t xml:space="preserve"> for the 15-minute Settlement Interval </w:t>
            </w:r>
            <w:r>
              <w:rPr>
                <w:i/>
              </w:rPr>
              <w:t>i</w:t>
            </w:r>
            <w:r>
              <w:t>, where the Market Participant is a QSE.</w:t>
            </w:r>
          </w:p>
        </w:tc>
      </w:tr>
      <w:tr w:rsidR="00881601" w14:paraId="66F96A74" w14:textId="77777777" w:rsidTr="00D465F5">
        <w:trPr>
          <w:cantSplit/>
        </w:trPr>
        <w:tc>
          <w:tcPr>
            <w:tcW w:w="813" w:type="pct"/>
          </w:tcPr>
          <w:p w14:paraId="39008FD6" w14:textId="77777777" w:rsidR="00881601" w:rsidRDefault="00881601" w:rsidP="00463C16">
            <w:pPr>
              <w:pStyle w:val="TableBody"/>
            </w:pPr>
            <w:r>
              <w:rPr>
                <w:rFonts w:eastAsia="Calibri"/>
              </w:rPr>
              <w:t xml:space="preserve">URTAML </w:t>
            </w:r>
            <w:r w:rsidRPr="006C0ADB">
              <w:rPr>
                <w:rFonts w:eastAsia="Calibri"/>
                <w:i/>
                <w:vertAlign w:val="subscript"/>
              </w:rPr>
              <w:t>mp</w:t>
            </w:r>
          </w:p>
        </w:tc>
        <w:tc>
          <w:tcPr>
            <w:tcW w:w="461" w:type="pct"/>
          </w:tcPr>
          <w:p w14:paraId="659AE03A" w14:textId="77777777" w:rsidR="00881601" w:rsidRDefault="00881601" w:rsidP="00463C16">
            <w:pPr>
              <w:pStyle w:val="TableBody"/>
            </w:pPr>
            <w:r>
              <w:t>MWh</w:t>
            </w:r>
          </w:p>
        </w:tc>
        <w:tc>
          <w:tcPr>
            <w:tcW w:w="3725" w:type="pct"/>
          </w:tcPr>
          <w:p w14:paraId="019908F6" w14:textId="77777777" w:rsidR="00881601" w:rsidRDefault="00881601" w:rsidP="00463C16">
            <w:pPr>
              <w:pStyle w:val="TableBody"/>
              <w:rPr>
                <w:i/>
              </w:rPr>
            </w:pPr>
            <w:r>
              <w:rPr>
                <w:i/>
              </w:rPr>
              <w:t>Uplift Real-Time Adjusted Metered Load per Market Participant</w:t>
            </w:r>
            <w:r>
              <w:t xml:space="preserve">—The monthly sum of the AML represented by Market Participant </w:t>
            </w:r>
            <w:r w:rsidRPr="00BA1C67">
              <w:rPr>
                <w:i/>
              </w:rPr>
              <w:t>mp</w:t>
            </w:r>
            <w:r>
              <w:t>, where the Market Participant is a QSE assigned to the registered Counter-Party.</w:t>
            </w:r>
          </w:p>
        </w:tc>
      </w:tr>
      <w:tr w:rsidR="00881601" w14:paraId="4812A177" w14:textId="77777777" w:rsidTr="00D465F5">
        <w:trPr>
          <w:cantSplit/>
        </w:trPr>
        <w:tc>
          <w:tcPr>
            <w:tcW w:w="813" w:type="pct"/>
          </w:tcPr>
          <w:p w14:paraId="0975E0FA" w14:textId="77777777" w:rsidR="00881601" w:rsidRDefault="00881601" w:rsidP="00463C16">
            <w:pPr>
              <w:pStyle w:val="TableBody"/>
            </w:pPr>
            <w:r>
              <w:rPr>
                <w:rFonts w:eastAsia="Calibri"/>
              </w:rPr>
              <w:t xml:space="preserve">RTQQES </w:t>
            </w:r>
            <w:r w:rsidRPr="006C0ADB">
              <w:rPr>
                <w:i/>
                <w:color w:val="000000"/>
                <w:kern w:val="24"/>
                <w:vertAlign w:val="subscript"/>
              </w:rPr>
              <w:t>mp, p, i</w:t>
            </w:r>
          </w:p>
        </w:tc>
        <w:tc>
          <w:tcPr>
            <w:tcW w:w="461" w:type="pct"/>
          </w:tcPr>
          <w:p w14:paraId="0A4486EE" w14:textId="77777777" w:rsidR="00881601" w:rsidRDefault="00881601" w:rsidP="00463C16">
            <w:pPr>
              <w:pStyle w:val="TableBody"/>
            </w:pPr>
            <w:r>
              <w:t>MW</w:t>
            </w:r>
          </w:p>
        </w:tc>
        <w:tc>
          <w:tcPr>
            <w:tcW w:w="3725" w:type="pct"/>
          </w:tcPr>
          <w:p w14:paraId="01F8FD1B" w14:textId="77777777" w:rsidR="00881601" w:rsidRDefault="00881601" w:rsidP="00463C16">
            <w:pPr>
              <w:pStyle w:val="TableBody"/>
              <w:rPr>
                <w:i/>
              </w:rPr>
            </w:pPr>
            <w:r>
              <w:rPr>
                <w:i/>
              </w:rPr>
              <w:t xml:space="preserve">QSE-to-QSE Energy </w:t>
            </w:r>
            <w:smartTag w:uri="urn:schemas-microsoft-com:office:smarttags" w:element="PersonName">
              <w:smartTag w:uri="urn:schemas-microsoft-com:office:smarttags" w:element="date">
                <w:r>
                  <w:rPr>
                    <w:i/>
                  </w:rPr>
                  <w:t>Sale</w:t>
                </w:r>
              </w:smartTag>
            </w:smartTag>
            <w:r>
              <w:rPr>
                <w:i/>
              </w:rPr>
              <w:t xml:space="preserve"> per Market Participant per Settlement Point</w:t>
            </w:r>
            <w:r>
              <w:t xml:space="preserve">—The amount of MW sold by Market Participant </w:t>
            </w:r>
            <w:r w:rsidRPr="000300B0">
              <w:rPr>
                <w:i/>
              </w:rPr>
              <w:t>mp</w:t>
            </w:r>
            <w:r>
              <w:t xml:space="preserve"> through Energy Trades at Settlement Point </w:t>
            </w:r>
            <w:r>
              <w:rPr>
                <w:i/>
              </w:rPr>
              <w:t>p</w:t>
            </w:r>
            <w:r>
              <w:t xml:space="preserve"> for the 15-minute Settlement Interval </w:t>
            </w:r>
            <w:r w:rsidRPr="000039C4">
              <w:rPr>
                <w:i/>
              </w:rPr>
              <w:t>i</w:t>
            </w:r>
            <w:r>
              <w:t>, where the Market Participant is a QSE.</w:t>
            </w:r>
          </w:p>
        </w:tc>
      </w:tr>
      <w:tr w:rsidR="00881601" w14:paraId="62297F26" w14:textId="77777777" w:rsidTr="00D465F5">
        <w:trPr>
          <w:cantSplit/>
        </w:trPr>
        <w:tc>
          <w:tcPr>
            <w:tcW w:w="813" w:type="pct"/>
          </w:tcPr>
          <w:p w14:paraId="0DC935F7" w14:textId="77777777" w:rsidR="00881601" w:rsidRDefault="00881601" w:rsidP="00463C16">
            <w:pPr>
              <w:pStyle w:val="TableBody"/>
            </w:pPr>
            <w:r>
              <w:rPr>
                <w:rFonts w:eastAsia="Calibri"/>
              </w:rPr>
              <w:t xml:space="preserve">URTQQES </w:t>
            </w:r>
            <w:r w:rsidRPr="006C0ADB">
              <w:rPr>
                <w:rFonts w:eastAsia="Calibri"/>
                <w:i/>
                <w:vertAlign w:val="subscript"/>
              </w:rPr>
              <w:t>mp</w:t>
            </w:r>
          </w:p>
        </w:tc>
        <w:tc>
          <w:tcPr>
            <w:tcW w:w="461" w:type="pct"/>
          </w:tcPr>
          <w:p w14:paraId="7B280624" w14:textId="77777777" w:rsidR="00881601" w:rsidRDefault="00881601" w:rsidP="00463C16">
            <w:pPr>
              <w:pStyle w:val="TableBody"/>
            </w:pPr>
            <w:r>
              <w:t>MWh</w:t>
            </w:r>
          </w:p>
        </w:tc>
        <w:tc>
          <w:tcPr>
            <w:tcW w:w="3725" w:type="pct"/>
          </w:tcPr>
          <w:p w14:paraId="498082DF" w14:textId="77777777" w:rsidR="00881601" w:rsidRDefault="00881601" w:rsidP="00463C16">
            <w:pPr>
              <w:pStyle w:val="TableBody"/>
              <w:rPr>
                <w:i/>
              </w:rPr>
            </w:pPr>
            <w:r>
              <w:rPr>
                <w:i/>
              </w:rPr>
              <w:t xml:space="preserve">Uplift QSE-to-QSE Energy </w:t>
            </w:r>
            <w:smartTag w:uri="urn:schemas-microsoft-com:office:smarttags" w:element="PersonName">
              <w:smartTag w:uri="urn:schemas-microsoft-com:office:smarttags" w:element="date">
                <w:r>
                  <w:rPr>
                    <w:i/>
                  </w:rPr>
                  <w:t>Sale</w:t>
                </w:r>
              </w:smartTag>
            </w:smartTag>
            <w:r>
              <w:rPr>
                <w:i/>
              </w:rPr>
              <w:t xml:space="preserve"> per Market Participant</w:t>
            </w:r>
            <w:r>
              <w:t xml:space="preserve">—The monthly sum of MW sold by Market Participant </w:t>
            </w:r>
            <w:r w:rsidRPr="000300B0">
              <w:rPr>
                <w:i/>
              </w:rPr>
              <w:t>mp</w:t>
            </w:r>
            <w:r>
              <w:t xml:space="preserve"> through Energy Trades, where the Market Participant is a QSE assigned to the registered Counter-Party.</w:t>
            </w:r>
          </w:p>
        </w:tc>
      </w:tr>
      <w:tr w:rsidR="00881601" w14:paraId="4904D205" w14:textId="77777777" w:rsidTr="00D465F5">
        <w:trPr>
          <w:cantSplit/>
        </w:trPr>
        <w:tc>
          <w:tcPr>
            <w:tcW w:w="813" w:type="pct"/>
          </w:tcPr>
          <w:p w14:paraId="6CFFC259" w14:textId="77777777" w:rsidR="00881601" w:rsidRDefault="00881601" w:rsidP="00463C16">
            <w:pPr>
              <w:pStyle w:val="TableBody"/>
            </w:pPr>
            <w:r>
              <w:rPr>
                <w:rFonts w:eastAsia="Calibri"/>
              </w:rPr>
              <w:t xml:space="preserve">RTQQEP </w:t>
            </w:r>
            <w:r w:rsidRPr="006C0ADB">
              <w:rPr>
                <w:i/>
                <w:color w:val="000000"/>
                <w:kern w:val="24"/>
                <w:vertAlign w:val="subscript"/>
              </w:rPr>
              <w:t>mp, p, i</w:t>
            </w:r>
          </w:p>
        </w:tc>
        <w:tc>
          <w:tcPr>
            <w:tcW w:w="461" w:type="pct"/>
          </w:tcPr>
          <w:p w14:paraId="2ACFBF9A" w14:textId="77777777" w:rsidR="00881601" w:rsidRDefault="00881601" w:rsidP="00463C16">
            <w:pPr>
              <w:pStyle w:val="TableBody"/>
            </w:pPr>
            <w:r>
              <w:t>MW</w:t>
            </w:r>
          </w:p>
        </w:tc>
        <w:tc>
          <w:tcPr>
            <w:tcW w:w="3725" w:type="pct"/>
          </w:tcPr>
          <w:p w14:paraId="7EF646BE" w14:textId="77777777" w:rsidR="00881601" w:rsidRDefault="00881601" w:rsidP="00463C16">
            <w:pPr>
              <w:pStyle w:val="TableBody"/>
              <w:rPr>
                <w:i/>
              </w:rPr>
            </w:pPr>
            <w:r>
              <w:rPr>
                <w:i/>
              </w:rPr>
              <w:t>QSE-to-QSE Energy Purchase per Market Participant per Settlement Point</w:t>
            </w:r>
            <w:r>
              <w:t xml:space="preserve">—The amount of MW bought by Market Participant </w:t>
            </w:r>
            <w:r w:rsidRPr="000300B0">
              <w:rPr>
                <w:i/>
              </w:rPr>
              <w:t>mp</w:t>
            </w:r>
            <w:r>
              <w:t xml:space="preserve"> through Energy Trades at Settlement Point </w:t>
            </w:r>
            <w:r>
              <w:rPr>
                <w:i/>
              </w:rPr>
              <w:t>p</w:t>
            </w:r>
            <w:r>
              <w:t xml:space="preserve"> for the 15-minute Settlement Interval </w:t>
            </w:r>
            <w:r w:rsidRPr="000039C4">
              <w:rPr>
                <w:i/>
              </w:rPr>
              <w:t>i</w:t>
            </w:r>
            <w:r>
              <w:t>, where the Market Participant is a QSE.</w:t>
            </w:r>
          </w:p>
        </w:tc>
      </w:tr>
      <w:tr w:rsidR="00881601" w14:paraId="56CF559F" w14:textId="77777777" w:rsidTr="00D465F5">
        <w:trPr>
          <w:cantSplit/>
        </w:trPr>
        <w:tc>
          <w:tcPr>
            <w:tcW w:w="813" w:type="pct"/>
          </w:tcPr>
          <w:p w14:paraId="58F9F257" w14:textId="77777777" w:rsidR="00881601" w:rsidRDefault="00881601" w:rsidP="00463C16">
            <w:pPr>
              <w:pStyle w:val="TableBody"/>
            </w:pPr>
            <w:r>
              <w:rPr>
                <w:rFonts w:eastAsia="Calibri"/>
              </w:rPr>
              <w:t xml:space="preserve">URTQQEP </w:t>
            </w:r>
            <w:r w:rsidRPr="006C0ADB">
              <w:rPr>
                <w:rFonts w:eastAsia="Calibri"/>
                <w:i/>
                <w:vertAlign w:val="subscript"/>
              </w:rPr>
              <w:t>mp</w:t>
            </w:r>
          </w:p>
        </w:tc>
        <w:tc>
          <w:tcPr>
            <w:tcW w:w="461" w:type="pct"/>
          </w:tcPr>
          <w:p w14:paraId="07D2DC5C" w14:textId="77777777" w:rsidR="00881601" w:rsidRDefault="00881601" w:rsidP="00463C16">
            <w:pPr>
              <w:pStyle w:val="TableBody"/>
            </w:pPr>
            <w:r>
              <w:t>MWh</w:t>
            </w:r>
          </w:p>
        </w:tc>
        <w:tc>
          <w:tcPr>
            <w:tcW w:w="3725" w:type="pct"/>
          </w:tcPr>
          <w:p w14:paraId="3F5C665A" w14:textId="77777777" w:rsidR="00881601" w:rsidRPr="00971FA2" w:rsidRDefault="00881601" w:rsidP="00463C16">
            <w:pPr>
              <w:pStyle w:val="TableBody"/>
            </w:pPr>
            <w:r>
              <w:rPr>
                <w:i/>
              </w:rPr>
              <w:t>Uplift QSE-to-QSE Energy Purchase per Market Participant</w:t>
            </w:r>
            <w:r>
              <w:t xml:space="preserve">—The monthly sum of MW bought by Market Participant </w:t>
            </w:r>
            <w:r w:rsidRPr="000300B0">
              <w:rPr>
                <w:i/>
              </w:rPr>
              <w:t>mp</w:t>
            </w:r>
            <w:r>
              <w:t xml:space="preserve"> through Energy Trades, where the Market Participant is a QSE assigned to the registered Counter-Party.</w:t>
            </w:r>
          </w:p>
        </w:tc>
      </w:tr>
      <w:tr w:rsidR="00881601" w14:paraId="77B6D6DB" w14:textId="77777777" w:rsidTr="00D465F5">
        <w:trPr>
          <w:cantSplit/>
        </w:trPr>
        <w:tc>
          <w:tcPr>
            <w:tcW w:w="813" w:type="pct"/>
          </w:tcPr>
          <w:p w14:paraId="6B14A72D" w14:textId="77777777" w:rsidR="00881601" w:rsidRDefault="00881601" w:rsidP="00463C16">
            <w:pPr>
              <w:pStyle w:val="TableBody"/>
            </w:pPr>
            <w:r>
              <w:rPr>
                <w:rFonts w:eastAsia="Calibri"/>
              </w:rPr>
              <w:t xml:space="preserve">DAES </w:t>
            </w:r>
            <w:r w:rsidRPr="004A7A0E">
              <w:rPr>
                <w:i/>
                <w:color w:val="000000"/>
                <w:kern w:val="24"/>
                <w:vertAlign w:val="subscript"/>
              </w:rPr>
              <w:t>mp, p, h</w:t>
            </w:r>
          </w:p>
        </w:tc>
        <w:tc>
          <w:tcPr>
            <w:tcW w:w="461" w:type="pct"/>
          </w:tcPr>
          <w:p w14:paraId="125E5134" w14:textId="77777777" w:rsidR="00881601" w:rsidRDefault="00881601" w:rsidP="00463C16">
            <w:pPr>
              <w:pStyle w:val="TableBody"/>
            </w:pPr>
            <w:r>
              <w:t>MW</w:t>
            </w:r>
          </w:p>
        </w:tc>
        <w:tc>
          <w:tcPr>
            <w:tcW w:w="3725" w:type="pct"/>
          </w:tcPr>
          <w:p w14:paraId="475DE213" w14:textId="77777777" w:rsidR="00881601" w:rsidRDefault="00881601" w:rsidP="00C76F59">
            <w:pPr>
              <w:pStyle w:val="TableBody"/>
            </w:pPr>
            <w:r>
              <w:rPr>
                <w:i/>
              </w:rPr>
              <w:t>Day-Ahead Energy Sale per Market Participant per Settlement Point per hour</w:t>
            </w:r>
            <w:r>
              <w:t xml:space="preserve">—The total amount of energy represented by Market Participant </w:t>
            </w:r>
            <w:r w:rsidRPr="000300B0">
              <w:rPr>
                <w:i/>
              </w:rPr>
              <w:t>mp</w:t>
            </w:r>
            <w:r>
              <w:t xml:space="preserve">’s cleared Three-Part Supply Offers in the DAM and cleared DAM Energy-Only Offers at Settlement Point </w:t>
            </w:r>
            <w:r w:rsidRPr="000300B0">
              <w:rPr>
                <w:i/>
              </w:rPr>
              <w:t>p</w:t>
            </w:r>
            <w:r>
              <w:t xml:space="preserve">, for the hour </w:t>
            </w:r>
            <w:r>
              <w:rPr>
                <w:i/>
              </w:rPr>
              <w:t>h</w:t>
            </w:r>
            <w:r>
              <w:t>, where the Market Participant is a QSE.</w:t>
            </w:r>
          </w:p>
        </w:tc>
      </w:tr>
      <w:tr w:rsidR="00881601" w14:paraId="1CC9E486" w14:textId="77777777" w:rsidTr="00D465F5">
        <w:trPr>
          <w:cantSplit/>
        </w:trPr>
        <w:tc>
          <w:tcPr>
            <w:tcW w:w="813" w:type="pct"/>
          </w:tcPr>
          <w:p w14:paraId="3C5D753D" w14:textId="77777777" w:rsidR="00881601" w:rsidRDefault="00881601" w:rsidP="00463C16">
            <w:pPr>
              <w:pStyle w:val="TableBody"/>
            </w:pPr>
            <w:r>
              <w:rPr>
                <w:rFonts w:eastAsia="Calibri"/>
              </w:rPr>
              <w:t xml:space="preserve">UDAES </w:t>
            </w:r>
            <w:r w:rsidRPr="004A7A0E">
              <w:rPr>
                <w:rFonts w:eastAsia="Calibri"/>
                <w:i/>
                <w:vertAlign w:val="subscript"/>
              </w:rPr>
              <w:t>mp</w:t>
            </w:r>
          </w:p>
        </w:tc>
        <w:tc>
          <w:tcPr>
            <w:tcW w:w="461" w:type="pct"/>
          </w:tcPr>
          <w:p w14:paraId="68676B5E" w14:textId="77777777" w:rsidR="00881601" w:rsidRDefault="00881601" w:rsidP="00463C16">
            <w:pPr>
              <w:pStyle w:val="TableBody"/>
            </w:pPr>
            <w:r>
              <w:t>MWh</w:t>
            </w:r>
          </w:p>
        </w:tc>
        <w:tc>
          <w:tcPr>
            <w:tcW w:w="3725" w:type="pct"/>
          </w:tcPr>
          <w:p w14:paraId="628ED68E" w14:textId="77777777" w:rsidR="00881601" w:rsidRDefault="00881601" w:rsidP="00463C16">
            <w:pPr>
              <w:pStyle w:val="TableBody"/>
              <w:rPr>
                <w:i/>
              </w:rPr>
            </w:pPr>
            <w:r>
              <w:rPr>
                <w:i/>
              </w:rPr>
              <w:t>Uplift Day-Ahead Energy Sale per Market Participant</w:t>
            </w:r>
            <w:r>
              <w:t xml:space="preserve">—The monthly total of energy represented by Market Participant </w:t>
            </w:r>
            <w:r w:rsidRPr="000300B0">
              <w:rPr>
                <w:i/>
              </w:rPr>
              <w:t>mp</w:t>
            </w:r>
            <w:r>
              <w:t>’s cleared Three-Part Supply Offers in the DAM and cleared DAM Energy-Only Offer Curves, where the Market Participant is a QSE assigned to the registered Counter-Party.</w:t>
            </w:r>
          </w:p>
        </w:tc>
      </w:tr>
      <w:tr w:rsidR="00881601" w14:paraId="78E1C6C6" w14:textId="77777777" w:rsidTr="00D465F5">
        <w:trPr>
          <w:cantSplit/>
        </w:trPr>
        <w:tc>
          <w:tcPr>
            <w:tcW w:w="813" w:type="pct"/>
          </w:tcPr>
          <w:p w14:paraId="0850A17B" w14:textId="77777777" w:rsidR="00881601" w:rsidRDefault="00881601" w:rsidP="00463C16">
            <w:pPr>
              <w:pStyle w:val="TableBody"/>
            </w:pPr>
            <w:r>
              <w:rPr>
                <w:rFonts w:eastAsia="Calibri"/>
              </w:rPr>
              <w:t xml:space="preserve">DAEP </w:t>
            </w:r>
            <w:r w:rsidRPr="004A7A0E">
              <w:rPr>
                <w:i/>
                <w:color w:val="000000"/>
                <w:kern w:val="24"/>
                <w:vertAlign w:val="subscript"/>
              </w:rPr>
              <w:t>mp, p, h</w:t>
            </w:r>
          </w:p>
        </w:tc>
        <w:tc>
          <w:tcPr>
            <w:tcW w:w="461" w:type="pct"/>
          </w:tcPr>
          <w:p w14:paraId="184F9306" w14:textId="77777777" w:rsidR="00881601" w:rsidRDefault="00881601" w:rsidP="00463C16">
            <w:pPr>
              <w:pStyle w:val="TableBody"/>
            </w:pPr>
            <w:r>
              <w:t>MW</w:t>
            </w:r>
          </w:p>
        </w:tc>
        <w:tc>
          <w:tcPr>
            <w:tcW w:w="3725" w:type="pct"/>
          </w:tcPr>
          <w:p w14:paraId="3FC80E84" w14:textId="77777777" w:rsidR="00881601" w:rsidRDefault="00881601" w:rsidP="00463C16">
            <w:pPr>
              <w:pStyle w:val="TableBody"/>
            </w:pPr>
            <w:r>
              <w:rPr>
                <w:i/>
              </w:rPr>
              <w:t>Day-Ahead Energy Purchase per Market Participant per Settlement Point per hour</w:t>
            </w:r>
            <w:r>
              <w:t xml:space="preserve">—The total amount of energy represented by Market Participant </w:t>
            </w:r>
            <w:r w:rsidRPr="003E6C65">
              <w:rPr>
                <w:i/>
              </w:rPr>
              <w:t>mp</w:t>
            </w:r>
            <w:r>
              <w:t xml:space="preserve">’s cleared DAM Energy Bids at Settlement Point </w:t>
            </w:r>
            <w:r>
              <w:rPr>
                <w:i/>
              </w:rPr>
              <w:t>p</w:t>
            </w:r>
            <w:r>
              <w:t xml:space="preserve"> for the hour </w:t>
            </w:r>
            <w:r>
              <w:rPr>
                <w:i/>
              </w:rPr>
              <w:t>h</w:t>
            </w:r>
            <w:r>
              <w:t>, where the Market Participant is a QSE.</w:t>
            </w:r>
          </w:p>
        </w:tc>
      </w:tr>
      <w:tr w:rsidR="00881601" w14:paraId="12A31E03" w14:textId="77777777" w:rsidTr="00D465F5">
        <w:trPr>
          <w:cantSplit/>
        </w:trPr>
        <w:tc>
          <w:tcPr>
            <w:tcW w:w="813" w:type="pct"/>
          </w:tcPr>
          <w:p w14:paraId="08939E8E" w14:textId="77777777" w:rsidR="00881601" w:rsidRDefault="00881601" w:rsidP="00463C16">
            <w:pPr>
              <w:pStyle w:val="TableBody"/>
            </w:pPr>
            <w:r>
              <w:rPr>
                <w:rFonts w:eastAsia="Calibri"/>
              </w:rPr>
              <w:lastRenderedPageBreak/>
              <w:t xml:space="preserve">UDAEP </w:t>
            </w:r>
            <w:r w:rsidRPr="004A7A0E">
              <w:rPr>
                <w:rFonts w:eastAsia="Calibri"/>
                <w:i/>
                <w:vertAlign w:val="subscript"/>
              </w:rPr>
              <w:t>mp</w:t>
            </w:r>
          </w:p>
        </w:tc>
        <w:tc>
          <w:tcPr>
            <w:tcW w:w="461" w:type="pct"/>
          </w:tcPr>
          <w:p w14:paraId="2236748C" w14:textId="77777777" w:rsidR="00881601" w:rsidRDefault="00881601" w:rsidP="00463C16">
            <w:pPr>
              <w:pStyle w:val="TableBody"/>
            </w:pPr>
            <w:r>
              <w:t>MWh</w:t>
            </w:r>
          </w:p>
        </w:tc>
        <w:tc>
          <w:tcPr>
            <w:tcW w:w="3725" w:type="pct"/>
          </w:tcPr>
          <w:p w14:paraId="1E21D2DD" w14:textId="77777777" w:rsidR="00881601" w:rsidRDefault="00881601" w:rsidP="00463C16">
            <w:pPr>
              <w:pStyle w:val="TableBody"/>
              <w:rPr>
                <w:i/>
              </w:rPr>
            </w:pPr>
            <w:r>
              <w:rPr>
                <w:i/>
              </w:rPr>
              <w:t>Uplift Day-Ahead Energy Purchase per Market Participant</w:t>
            </w:r>
            <w:r>
              <w:t xml:space="preserve">—The monthly total of energy represented by Market Participant </w:t>
            </w:r>
            <w:r w:rsidRPr="003E6C65">
              <w:rPr>
                <w:i/>
              </w:rPr>
              <w:t>mp</w:t>
            </w:r>
            <w:r>
              <w:t>’s cleared DAM Energy Bids, where the Market Participant is a QSE assigned to the registered Counter-Party.</w:t>
            </w:r>
          </w:p>
        </w:tc>
      </w:tr>
      <w:tr w:rsidR="00881601" w14:paraId="6062AAF7" w14:textId="77777777" w:rsidTr="00D465F5">
        <w:trPr>
          <w:cantSplit/>
        </w:trPr>
        <w:tc>
          <w:tcPr>
            <w:tcW w:w="813" w:type="pct"/>
          </w:tcPr>
          <w:p w14:paraId="16C315A2" w14:textId="77777777" w:rsidR="00881601" w:rsidRDefault="00881601" w:rsidP="00463C16">
            <w:pPr>
              <w:pStyle w:val="TableBody"/>
            </w:pPr>
            <w:r>
              <w:t xml:space="preserve">RTOBL </w:t>
            </w:r>
            <w:r w:rsidRPr="004A7A0E">
              <w:rPr>
                <w:i/>
                <w:vertAlign w:val="subscript"/>
              </w:rPr>
              <w:t>mp, (j, k), h</w:t>
            </w:r>
          </w:p>
        </w:tc>
        <w:tc>
          <w:tcPr>
            <w:tcW w:w="461" w:type="pct"/>
          </w:tcPr>
          <w:p w14:paraId="5521B8B3" w14:textId="77777777" w:rsidR="00881601" w:rsidRDefault="00881601" w:rsidP="00463C16">
            <w:pPr>
              <w:pStyle w:val="TableBody"/>
            </w:pPr>
            <w:r>
              <w:t>MW</w:t>
            </w:r>
          </w:p>
        </w:tc>
        <w:tc>
          <w:tcPr>
            <w:tcW w:w="3725" w:type="pct"/>
          </w:tcPr>
          <w:p w14:paraId="09B7847F" w14:textId="77777777" w:rsidR="00881601" w:rsidRDefault="00881601" w:rsidP="00463C16">
            <w:pPr>
              <w:pStyle w:val="TableBody"/>
            </w:pPr>
            <w:r>
              <w:rPr>
                <w:i/>
              </w:rPr>
              <w:t>Real-Time Obligation per Market Participant per source and sink pair per hour</w:t>
            </w:r>
            <w:r>
              <w:t xml:space="preserve">—The number of Market Participant </w:t>
            </w:r>
            <w:r w:rsidRPr="003E6C65">
              <w:rPr>
                <w:i/>
              </w:rPr>
              <w:t>mp</w:t>
            </w:r>
            <w:r>
              <w:t xml:space="preserve">’s Point-to-Point (PTP) Obligations with the source </w:t>
            </w:r>
            <w:r>
              <w:rPr>
                <w:i/>
              </w:rPr>
              <w:t>j</w:t>
            </w:r>
            <w:r>
              <w:t xml:space="preserve"> and the sink </w:t>
            </w:r>
            <w:r>
              <w:rPr>
                <w:i/>
              </w:rPr>
              <w:t>k</w:t>
            </w:r>
            <w:r>
              <w:t xml:space="preserve"> settled in Real-Time for the hour </w:t>
            </w:r>
            <w:r>
              <w:rPr>
                <w:i/>
              </w:rPr>
              <w:t>h</w:t>
            </w:r>
            <w:r>
              <w:t>, and where the Market Participant is a QSE.</w:t>
            </w:r>
          </w:p>
        </w:tc>
      </w:tr>
      <w:tr w:rsidR="00881601" w14:paraId="64B9AFFE" w14:textId="77777777" w:rsidTr="00D465F5">
        <w:trPr>
          <w:cantSplit/>
        </w:trPr>
        <w:tc>
          <w:tcPr>
            <w:tcW w:w="813" w:type="pct"/>
          </w:tcPr>
          <w:p w14:paraId="4445B3BA" w14:textId="77777777" w:rsidR="00881601" w:rsidRDefault="00881601" w:rsidP="00463C16">
            <w:pPr>
              <w:pStyle w:val="TableBody"/>
              <w:rPr>
                <w:bCs/>
              </w:rPr>
            </w:pPr>
            <w:r>
              <w:rPr>
                <w:rFonts w:eastAsia="Calibri"/>
              </w:rPr>
              <w:t xml:space="preserve">URTOBL </w:t>
            </w:r>
            <w:r w:rsidRPr="004A7A0E">
              <w:rPr>
                <w:rFonts w:eastAsia="Calibri"/>
                <w:i/>
                <w:vertAlign w:val="subscript"/>
              </w:rPr>
              <w:t>mp</w:t>
            </w:r>
          </w:p>
        </w:tc>
        <w:tc>
          <w:tcPr>
            <w:tcW w:w="461" w:type="pct"/>
          </w:tcPr>
          <w:p w14:paraId="410CB2EC" w14:textId="77777777" w:rsidR="00881601" w:rsidRDefault="00881601" w:rsidP="00463C16">
            <w:pPr>
              <w:pStyle w:val="TableBody"/>
              <w:rPr>
                <w:bCs/>
              </w:rPr>
            </w:pPr>
            <w:r>
              <w:t>MWh</w:t>
            </w:r>
          </w:p>
        </w:tc>
        <w:tc>
          <w:tcPr>
            <w:tcW w:w="3725" w:type="pct"/>
          </w:tcPr>
          <w:p w14:paraId="1F38E519" w14:textId="77777777" w:rsidR="00881601" w:rsidRDefault="00881601" w:rsidP="00463C16">
            <w:pPr>
              <w:pStyle w:val="TableBody"/>
              <w:rPr>
                <w:bCs/>
                <w:i/>
              </w:rPr>
            </w:pPr>
            <w:r>
              <w:rPr>
                <w:i/>
              </w:rPr>
              <w:t>Uplift Real-Time Obligation per Market Participant</w:t>
            </w:r>
            <w:r>
              <w:t xml:space="preserve">—The monthly total of Market Participant </w:t>
            </w:r>
            <w:r w:rsidRPr="00DF336E">
              <w:rPr>
                <w:i/>
              </w:rPr>
              <w:t>mp</w:t>
            </w:r>
            <w:r>
              <w:t xml:space="preserve">’s PTP Obligations settled in Real-Time, counting the quantity only once per source and sink pair, and where the Market Participant is </w:t>
            </w:r>
            <w:r w:rsidRPr="00EE4ABE">
              <w:t>a QSE</w:t>
            </w:r>
            <w:r>
              <w:t xml:space="preserve"> assigned to the registered Counter-Party.</w:t>
            </w:r>
          </w:p>
        </w:tc>
      </w:tr>
      <w:tr w:rsidR="00881601" w14:paraId="7A5D06B2" w14:textId="77777777" w:rsidTr="00D465F5">
        <w:trPr>
          <w:cantSplit/>
        </w:trPr>
        <w:tc>
          <w:tcPr>
            <w:tcW w:w="813" w:type="pct"/>
          </w:tcPr>
          <w:p w14:paraId="42A1A127" w14:textId="77777777" w:rsidR="00881601" w:rsidRDefault="00881601" w:rsidP="00463C16">
            <w:pPr>
              <w:pStyle w:val="TableBody"/>
              <w:rPr>
                <w:bCs/>
              </w:rPr>
            </w:pPr>
            <w:r>
              <w:rPr>
                <w:bCs/>
              </w:rPr>
              <w:t xml:space="preserve">RTOBLLO </w:t>
            </w:r>
            <w:r w:rsidRPr="004A7A0E">
              <w:rPr>
                <w:bCs/>
                <w:i/>
                <w:vertAlign w:val="subscript"/>
              </w:rPr>
              <w:t>q, (j, k)</w:t>
            </w:r>
          </w:p>
        </w:tc>
        <w:tc>
          <w:tcPr>
            <w:tcW w:w="461" w:type="pct"/>
          </w:tcPr>
          <w:p w14:paraId="4DB03500" w14:textId="77777777" w:rsidR="00881601" w:rsidRDefault="00881601" w:rsidP="00463C16">
            <w:pPr>
              <w:pStyle w:val="TableBody"/>
              <w:rPr>
                <w:bCs/>
              </w:rPr>
            </w:pPr>
            <w:r>
              <w:rPr>
                <w:bCs/>
              </w:rPr>
              <w:t>MW</w:t>
            </w:r>
          </w:p>
        </w:tc>
        <w:tc>
          <w:tcPr>
            <w:tcW w:w="3725" w:type="pct"/>
          </w:tcPr>
          <w:p w14:paraId="7BEE270D" w14:textId="77777777" w:rsidR="00881601" w:rsidRDefault="00881601" w:rsidP="00463C16">
            <w:pPr>
              <w:pStyle w:val="TableBody"/>
              <w:rPr>
                <w:bCs/>
                <w:i/>
              </w:rPr>
            </w:pPr>
            <w:r>
              <w:rPr>
                <w:bCs/>
                <w:i/>
              </w:rPr>
              <w:t>Real-Time Obligation with Links to an Option per QSE per pair of source and sink</w:t>
            </w:r>
            <w:r>
              <w:rPr>
                <w:bCs/>
              </w:rPr>
              <w:sym w:font="Symbol" w:char="F0BE"/>
            </w:r>
            <w:r>
              <w:rPr>
                <w:bCs/>
              </w:rPr>
              <w:t xml:space="preserve">The total MW of the QSE’s PTP Obligation with Links to an Option Bids cleared in the DAM and settled in Real-Time for the source </w:t>
            </w:r>
            <w:r>
              <w:rPr>
                <w:bCs/>
                <w:i/>
              </w:rPr>
              <w:t>j</w:t>
            </w:r>
            <w:r>
              <w:rPr>
                <w:bCs/>
              </w:rPr>
              <w:t xml:space="preserve"> and the sink </w:t>
            </w:r>
            <w:r>
              <w:rPr>
                <w:bCs/>
                <w:i/>
              </w:rPr>
              <w:t>k</w:t>
            </w:r>
            <w:r>
              <w:rPr>
                <w:bCs/>
              </w:rPr>
              <w:t xml:space="preserve"> for the hour.</w:t>
            </w:r>
          </w:p>
        </w:tc>
      </w:tr>
      <w:tr w:rsidR="00881601" w14:paraId="545205E4" w14:textId="77777777" w:rsidTr="00D465F5">
        <w:trPr>
          <w:cantSplit/>
        </w:trPr>
        <w:tc>
          <w:tcPr>
            <w:tcW w:w="813" w:type="pct"/>
          </w:tcPr>
          <w:p w14:paraId="5DD6C6EF" w14:textId="77777777" w:rsidR="00881601" w:rsidRDefault="00881601" w:rsidP="00463C16">
            <w:pPr>
              <w:pStyle w:val="TableBody"/>
              <w:rPr>
                <w:bCs/>
              </w:rPr>
            </w:pPr>
            <w:r>
              <w:rPr>
                <w:bCs/>
              </w:rPr>
              <w:t xml:space="preserve">URTOBLLO </w:t>
            </w:r>
            <w:r w:rsidRPr="004A7A0E">
              <w:rPr>
                <w:bCs/>
                <w:i/>
                <w:vertAlign w:val="subscript"/>
              </w:rPr>
              <w:t>q, (j, k)</w:t>
            </w:r>
          </w:p>
        </w:tc>
        <w:tc>
          <w:tcPr>
            <w:tcW w:w="461" w:type="pct"/>
          </w:tcPr>
          <w:p w14:paraId="139AAACD" w14:textId="77777777" w:rsidR="00881601" w:rsidRDefault="00881601" w:rsidP="00463C16">
            <w:pPr>
              <w:pStyle w:val="TableBody"/>
              <w:rPr>
                <w:bCs/>
              </w:rPr>
            </w:pPr>
            <w:r>
              <w:rPr>
                <w:bCs/>
              </w:rPr>
              <w:t>MW</w:t>
            </w:r>
          </w:p>
        </w:tc>
        <w:tc>
          <w:tcPr>
            <w:tcW w:w="3725" w:type="pct"/>
          </w:tcPr>
          <w:p w14:paraId="2F972422" w14:textId="77777777" w:rsidR="00881601" w:rsidRDefault="00881601" w:rsidP="00463C16">
            <w:pPr>
              <w:pStyle w:val="TableBody"/>
              <w:rPr>
                <w:bCs/>
                <w:i/>
              </w:rPr>
            </w:pPr>
            <w:r>
              <w:rPr>
                <w:bCs/>
                <w:i/>
              </w:rPr>
              <w:t>Uplift Real-Time Obligation with Links to an Option per QSE per pair of source and sink</w:t>
            </w:r>
            <w:r>
              <w:rPr>
                <w:bCs/>
              </w:rPr>
              <w:sym w:font="Symbol" w:char="F0BE"/>
            </w:r>
            <w:r>
              <w:rPr>
                <w:bCs/>
              </w:rPr>
              <w:t xml:space="preserve">The monthly total of </w:t>
            </w:r>
            <w:r>
              <w:t xml:space="preserve">Market Participant </w:t>
            </w:r>
            <w:r w:rsidRPr="00DF336E">
              <w:rPr>
                <w:i/>
              </w:rPr>
              <w:t>mp</w:t>
            </w:r>
            <w:r>
              <w:t xml:space="preserve">’s </w:t>
            </w:r>
            <w:r>
              <w:rPr>
                <w:bCs/>
              </w:rPr>
              <w:t xml:space="preserve">MW of PTP Obligation with Links to Options Bids cleared in the DAM and settled in Real-Time for the source </w:t>
            </w:r>
            <w:r>
              <w:rPr>
                <w:bCs/>
                <w:i/>
              </w:rPr>
              <w:t>j</w:t>
            </w:r>
            <w:r>
              <w:rPr>
                <w:bCs/>
              </w:rPr>
              <w:t xml:space="preserve"> and the sink </w:t>
            </w:r>
            <w:r>
              <w:rPr>
                <w:bCs/>
                <w:i/>
              </w:rPr>
              <w:t>k</w:t>
            </w:r>
            <w:r>
              <w:rPr>
                <w:bCs/>
              </w:rPr>
              <w:t xml:space="preserve"> for the hour,</w:t>
            </w:r>
            <w:r>
              <w:t xml:space="preserve"> where the Market Participant is a QSE assigned to the registered Counter-Party.</w:t>
            </w:r>
          </w:p>
        </w:tc>
      </w:tr>
      <w:tr w:rsidR="00881601" w14:paraId="53E5B63A" w14:textId="77777777" w:rsidTr="00D465F5">
        <w:trPr>
          <w:cantSplit/>
        </w:trPr>
        <w:tc>
          <w:tcPr>
            <w:tcW w:w="813" w:type="pct"/>
          </w:tcPr>
          <w:p w14:paraId="69B8D7FD" w14:textId="77777777" w:rsidR="00881601" w:rsidRDefault="00881601" w:rsidP="00463C16">
            <w:pPr>
              <w:pStyle w:val="TableBody"/>
            </w:pPr>
            <w:r>
              <w:rPr>
                <w:bCs/>
              </w:rPr>
              <w:t xml:space="preserve">DAOPT </w:t>
            </w:r>
            <w:r w:rsidRPr="004A7A0E">
              <w:rPr>
                <w:rFonts w:eastAsia="Calibri"/>
                <w:i/>
                <w:vertAlign w:val="subscript"/>
              </w:rPr>
              <w:t>mp</w:t>
            </w:r>
            <w:r w:rsidRPr="004A7A0E">
              <w:rPr>
                <w:bCs/>
                <w:i/>
                <w:vertAlign w:val="subscript"/>
              </w:rPr>
              <w:t>, (j, k), h</w:t>
            </w:r>
          </w:p>
        </w:tc>
        <w:tc>
          <w:tcPr>
            <w:tcW w:w="461" w:type="pct"/>
          </w:tcPr>
          <w:p w14:paraId="7342EEC8" w14:textId="77777777" w:rsidR="00881601" w:rsidRDefault="00881601" w:rsidP="00463C16">
            <w:pPr>
              <w:pStyle w:val="TableBody"/>
            </w:pPr>
            <w:r>
              <w:rPr>
                <w:bCs/>
              </w:rPr>
              <w:t>MW</w:t>
            </w:r>
          </w:p>
        </w:tc>
        <w:tc>
          <w:tcPr>
            <w:tcW w:w="3725" w:type="pct"/>
          </w:tcPr>
          <w:p w14:paraId="69CF61BE" w14:textId="77777777" w:rsidR="00881601" w:rsidRPr="008865FE" w:rsidRDefault="00881601" w:rsidP="00463C16">
            <w:pPr>
              <w:pStyle w:val="TableBody"/>
              <w:rPr>
                <w:bCs/>
              </w:rPr>
            </w:pPr>
            <w:r>
              <w:rPr>
                <w:bCs/>
                <w:i/>
              </w:rPr>
              <w:t>Day-Ahead Option per Market Participant per source and sink pair per hour</w:t>
            </w:r>
            <w:r>
              <w:rPr>
                <w:bCs/>
              </w:rPr>
              <w:sym w:font="Symbol" w:char="F0BE"/>
            </w:r>
            <w:r>
              <w:rPr>
                <w:bCs/>
              </w:rPr>
              <w:t xml:space="preserve">The number of </w:t>
            </w:r>
            <w:r>
              <w:t xml:space="preserve">Market Participant </w:t>
            </w:r>
            <w:r w:rsidRPr="00DF336E">
              <w:rPr>
                <w:i/>
              </w:rPr>
              <w:t>mp</w:t>
            </w:r>
            <w:r>
              <w:t xml:space="preserve">’s </w:t>
            </w:r>
            <w:r>
              <w:rPr>
                <w:bCs/>
              </w:rPr>
              <w:t xml:space="preserve">PTP Options with the source </w:t>
            </w:r>
            <w:r>
              <w:rPr>
                <w:bCs/>
                <w:i/>
              </w:rPr>
              <w:t>j</w:t>
            </w:r>
            <w:r>
              <w:rPr>
                <w:bCs/>
              </w:rPr>
              <w:t xml:space="preserve"> and the sink </w:t>
            </w:r>
            <w:r>
              <w:rPr>
                <w:bCs/>
                <w:i/>
              </w:rPr>
              <w:t>k</w:t>
            </w:r>
            <w:r>
              <w:rPr>
                <w:bCs/>
              </w:rPr>
              <w:t xml:space="preserve"> owned</w:t>
            </w:r>
            <w:r w:rsidRPr="00F42E29">
              <w:rPr>
                <w:bCs/>
              </w:rPr>
              <w:t xml:space="preserve"> in the DAM</w:t>
            </w:r>
            <w:r>
              <w:rPr>
                <w:bCs/>
              </w:rPr>
              <w:t xml:space="preserve"> for the hour </w:t>
            </w:r>
            <w:r>
              <w:rPr>
                <w:bCs/>
                <w:i/>
              </w:rPr>
              <w:t>h</w:t>
            </w:r>
            <w:r>
              <w:rPr>
                <w:bCs/>
              </w:rPr>
              <w:t>,</w:t>
            </w:r>
            <w:r>
              <w:t xml:space="preserve"> and where the Market Participant is a CRR Account Holder.</w:t>
            </w:r>
            <w:r>
              <w:rPr>
                <w:bCs/>
              </w:rPr>
              <w:t xml:space="preserve"> </w:t>
            </w:r>
          </w:p>
        </w:tc>
      </w:tr>
      <w:tr w:rsidR="00881601" w14:paraId="5F6F6A0C" w14:textId="77777777" w:rsidTr="00D465F5">
        <w:trPr>
          <w:cantSplit/>
        </w:trPr>
        <w:tc>
          <w:tcPr>
            <w:tcW w:w="813" w:type="pct"/>
          </w:tcPr>
          <w:p w14:paraId="2E8CA0BE" w14:textId="77777777" w:rsidR="00881601" w:rsidRDefault="00881601" w:rsidP="00463C16">
            <w:pPr>
              <w:pStyle w:val="TableBody"/>
              <w:rPr>
                <w:bCs/>
              </w:rPr>
            </w:pPr>
            <w:r>
              <w:rPr>
                <w:rFonts w:eastAsia="Calibri"/>
              </w:rPr>
              <w:t xml:space="preserve">UDAOPT </w:t>
            </w:r>
            <w:r w:rsidRPr="004A7A0E">
              <w:rPr>
                <w:rFonts w:eastAsia="Calibri"/>
                <w:i/>
                <w:vertAlign w:val="subscript"/>
              </w:rPr>
              <w:t>mp</w:t>
            </w:r>
          </w:p>
        </w:tc>
        <w:tc>
          <w:tcPr>
            <w:tcW w:w="461" w:type="pct"/>
          </w:tcPr>
          <w:p w14:paraId="63FF7269" w14:textId="77777777" w:rsidR="00881601" w:rsidRDefault="00881601" w:rsidP="00463C16">
            <w:pPr>
              <w:pStyle w:val="TableBody"/>
              <w:rPr>
                <w:bCs/>
              </w:rPr>
            </w:pPr>
            <w:r>
              <w:t>MWh</w:t>
            </w:r>
          </w:p>
        </w:tc>
        <w:tc>
          <w:tcPr>
            <w:tcW w:w="3725" w:type="pct"/>
          </w:tcPr>
          <w:p w14:paraId="59D51ABB" w14:textId="77777777" w:rsidR="00881601" w:rsidRDefault="00881601" w:rsidP="00463C16">
            <w:pPr>
              <w:pStyle w:val="TableBody"/>
              <w:rPr>
                <w:i/>
              </w:rPr>
            </w:pPr>
            <w:r>
              <w:rPr>
                <w:bCs/>
                <w:i/>
              </w:rPr>
              <w:t>Uplift Day-Ahead Option per Market Participant</w:t>
            </w:r>
            <w:r>
              <w:rPr>
                <w:bCs/>
              </w:rPr>
              <w:sym w:font="Symbol" w:char="F0BE"/>
            </w:r>
            <w:r>
              <w:rPr>
                <w:bCs/>
              </w:rPr>
              <w:t xml:space="preserve">The monthly total of </w:t>
            </w:r>
            <w:r>
              <w:t xml:space="preserve">Market Participant </w:t>
            </w:r>
            <w:r w:rsidRPr="00DF336E">
              <w:rPr>
                <w:i/>
              </w:rPr>
              <w:t>mp</w:t>
            </w:r>
            <w:r>
              <w:t xml:space="preserve">’s </w:t>
            </w:r>
            <w:r>
              <w:rPr>
                <w:bCs/>
              </w:rPr>
              <w:t xml:space="preserve">PTP </w:t>
            </w:r>
            <w:r w:rsidRPr="00F42E29">
              <w:rPr>
                <w:bCs/>
              </w:rPr>
              <w:t xml:space="preserve">Options </w:t>
            </w:r>
            <w:r>
              <w:rPr>
                <w:bCs/>
              </w:rPr>
              <w:t>owned</w:t>
            </w:r>
            <w:r w:rsidRPr="00F42E29">
              <w:rPr>
                <w:bCs/>
              </w:rPr>
              <w:t xml:space="preserve"> in the DAM</w:t>
            </w:r>
            <w:r>
              <w:t>, counting the ownership quantity only once per source and sink pair, and where the Market Participant is a CRR Account Holder assigned to the registered Counter-Party.</w:t>
            </w:r>
          </w:p>
        </w:tc>
      </w:tr>
      <w:tr w:rsidR="00881601" w14:paraId="636D4EE6" w14:textId="77777777" w:rsidTr="00D465F5">
        <w:trPr>
          <w:cantSplit/>
        </w:trPr>
        <w:tc>
          <w:tcPr>
            <w:tcW w:w="813" w:type="pct"/>
          </w:tcPr>
          <w:p w14:paraId="504440B3" w14:textId="77777777" w:rsidR="00881601" w:rsidRDefault="00881601" w:rsidP="00463C16">
            <w:pPr>
              <w:pStyle w:val="TableBody"/>
              <w:rPr>
                <w:bCs/>
              </w:rPr>
            </w:pPr>
            <w:r>
              <w:rPr>
                <w:bCs/>
              </w:rPr>
              <w:t xml:space="preserve">DAOBL </w:t>
            </w:r>
            <w:r w:rsidRPr="004A7A0E">
              <w:rPr>
                <w:rFonts w:eastAsia="Calibri"/>
                <w:i/>
                <w:vertAlign w:val="subscript"/>
              </w:rPr>
              <w:t>mp</w:t>
            </w:r>
            <w:r w:rsidRPr="004A7A0E">
              <w:rPr>
                <w:i/>
                <w:vertAlign w:val="subscript"/>
              </w:rPr>
              <w:t xml:space="preserve">, </w:t>
            </w:r>
            <w:r w:rsidRPr="004A7A0E">
              <w:rPr>
                <w:bCs/>
                <w:i/>
                <w:vertAlign w:val="subscript"/>
              </w:rPr>
              <w:t>(j, k), h</w:t>
            </w:r>
          </w:p>
        </w:tc>
        <w:tc>
          <w:tcPr>
            <w:tcW w:w="461" w:type="pct"/>
          </w:tcPr>
          <w:p w14:paraId="6572F3E8" w14:textId="77777777" w:rsidR="00881601" w:rsidRDefault="00881601" w:rsidP="00463C16">
            <w:pPr>
              <w:pStyle w:val="TableBody"/>
            </w:pPr>
            <w:r>
              <w:rPr>
                <w:bCs/>
              </w:rPr>
              <w:t>MW</w:t>
            </w:r>
          </w:p>
        </w:tc>
        <w:tc>
          <w:tcPr>
            <w:tcW w:w="3725" w:type="pct"/>
          </w:tcPr>
          <w:p w14:paraId="0604062B" w14:textId="77777777" w:rsidR="00881601" w:rsidRPr="00F42E29" w:rsidRDefault="00881601" w:rsidP="00463C16">
            <w:pPr>
              <w:pStyle w:val="TableBody"/>
            </w:pPr>
            <w:r>
              <w:rPr>
                <w:i/>
              </w:rPr>
              <w:t xml:space="preserve">Day-Ahead Obligation per </w:t>
            </w:r>
            <w:r>
              <w:rPr>
                <w:bCs/>
                <w:i/>
              </w:rPr>
              <w:t xml:space="preserve">Market Participant </w:t>
            </w:r>
            <w:r>
              <w:rPr>
                <w:i/>
              </w:rPr>
              <w:t>per source and sink pair per hour</w:t>
            </w:r>
            <w:r>
              <w:t>—</w:t>
            </w:r>
            <w:r>
              <w:rPr>
                <w:bCs/>
              </w:rPr>
              <w:t xml:space="preserve">The number of </w:t>
            </w:r>
            <w:r>
              <w:t xml:space="preserve">Market Participant </w:t>
            </w:r>
            <w:r w:rsidRPr="00DF336E">
              <w:rPr>
                <w:i/>
              </w:rPr>
              <w:t>mp</w:t>
            </w:r>
            <w:r>
              <w:t xml:space="preserve">’s </w:t>
            </w:r>
            <w:r>
              <w:rPr>
                <w:bCs/>
              </w:rPr>
              <w:t>PT</w:t>
            </w:r>
            <w:r>
              <w:t>P</w:t>
            </w:r>
            <w:r>
              <w:rPr>
                <w:bCs/>
              </w:rPr>
              <w:t xml:space="preserve"> Obligations with the source </w:t>
            </w:r>
            <w:r>
              <w:rPr>
                <w:bCs/>
                <w:i/>
              </w:rPr>
              <w:t>j</w:t>
            </w:r>
            <w:r>
              <w:rPr>
                <w:bCs/>
              </w:rPr>
              <w:t xml:space="preserve"> and the sink </w:t>
            </w:r>
            <w:r>
              <w:rPr>
                <w:bCs/>
                <w:i/>
              </w:rPr>
              <w:t>k</w:t>
            </w:r>
            <w:r>
              <w:rPr>
                <w:bCs/>
              </w:rPr>
              <w:t xml:space="preserve"> owned</w:t>
            </w:r>
            <w:r w:rsidRPr="00F42E29">
              <w:rPr>
                <w:bCs/>
              </w:rPr>
              <w:t xml:space="preserve"> in the DAM</w:t>
            </w:r>
            <w:r>
              <w:rPr>
                <w:bCs/>
              </w:rPr>
              <w:t xml:space="preserve"> for the hour </w:t>
            </w:r>
            <w:r>
              <w:rPr>
                <w:bCs/>
                <w:i/>
              </w:rPr>
              <w:t>h</w:t>
            </w:r>
            <w:r>
              <w:t xml:space="preserve">, and where the Market Participant is a CRR Account Holder.  </w:t>
            </w:r>
          </w:p>
        </w:tc>
      </w:tr>
      <w:tr w:rsidR="00881601" w14:paraId="1D77F864" w14:textId="77777777" w:rsidTr="00D465F5">
        <w:trPr>
          <w:cantSplit/>
        </w:trPr>
        <w:tc>
          <w:tcPr>
            <w:tcW w:w="813" w:type="pct"/>
          </w:tcPr>
          <w:p w14:paraId="7378BEFE" w14:textId="77777777" w:rsidR="00881601" w:rsidRDefault="00881601" w:rsidP="00463C16">
            <w:pPr>
              <w:pStyle w:val="TableBody"/>
            </w:pPr>
            <w:r>
              <w:rPr>
                <w:rFonts w:eastAsia="Calibri"/>
              </w:rPr>
              <w:t xml:space="preserve">UDAOBL </w:t>
            </w:r>
            <w:r w:rsidRPr="004A7A0E">
              <w:rPr>
                <w:rFonts w:eastAsia="Calibri"/>
                <w:i/>
                <w:vertAlign w:val="subscript"/>
              </w:rPr>
              <w:t>mp</w:t>
            </w:r>
          </w:p>
        </w:tc>
        <w:tc>
          <w:tcPr>
            <w:tcW w:w="461" w:type="pct"/>
          </w:tcPr>
          <w:p w14:paraId="7A44169F" w14:textId="77777777" w:rsidR="00881601" w:rsidRDefault="00881601" w:rsidP="00463C16">
            <w:pPr>
              <w:pStyle w:val="TableBody"/>
            </w:pPr>
            <w:r>
              <w:t>MWh</w:t>
            </w:r>
          </w:p>
        </w:tc>
        <w:tc>
          <w:tcPr>
            <w:tcW w:w="3725" w:type="pct"/>
          </w:tcPr>
          <w:p w14:paraId="2124D7D0" w14:textId="77777777" w:rsidR="00881601" w:rsidRDefault="00881601" w:rsidP="00463C16">
            <w:pPr>
              <w:pStyle w:val="TableBody"/>
              <w:rPr>
                <w:i/>
              </w:rPr>
            </w:pPr>
            <w:r>
              <w:rPr>
                <w:bCs/>
                <w:i/>
              </w:rPr>
              <w:t>Uplift Day-Ahead Obligation per Market Participant</w:t>
            </w:r>
            <w:r>
              <w:rPr>
                <w:bCs/>
              </w:rPr>
              <w:sym w:font="Symbol" w:char="F0BE"/>
            </w:r>
            <w:r>
              <w:rPr>
                <w:bCs/>
              </w:rPr>
              <w:t xml:space="preserve">The monthly total of </w:t>
            </w:r>
            <w:r>
              <w:t xml:space="preserve">Market Participant </w:t>
            </w:r>
            <w:r w:rsidRPr="00DF336E">
              <w:rPr>
                <w:i/>
              </w:rPr>
              <w:t>mp</w:t>
            </w:r>
            <w:r>
              <w:t xml:space="preserve">’s </w:t>
            </w:r>
            <w:r>
              <w:rPr>
                <w:bCs/>
              </w:rPr>
              <w:t>PTP Obligations owned</w:t>
            </w:r>
            <w:r w:rsidRPr="00F42E29">
              <w:rPr>
                <w:bCs/>
              </w:rPr>
              <w:t xml:space="preserve"> in the DAM</w:t>
            </w:r>
            <w:r w:rsidRPr="00F42E29">
              <w:t>, counting</w:t>
            </w:r>
            <w:r>
              <w:t xml:space="preserve"> the ownership quantity only once per source and sink pair, where the Market Participant is a CRR Account Holder assigned to the registered Counter-Party.</w:t>
            </w:r>
          </w:p>
        </w:tc>
      </w:tr>
      <w:tr w:rsidR="005F7F75" w14:paraId="194EF4BF"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1E80E627" w14:textId="77777777" w:rsidR="005F7F75" w:rsidRPr="00D164B6" w:rsidRDefault="005F7F75" w:rsidP="00FA0C07">
            <w:pPr>
              <w:pStyle w:val="TableBody"/>
              <w:rPr>
                <w:rFonts w:eastAsia="Calibri"/>
              </w:rPr>
            </w:pPr>
            <w:r>
              <w:t xml:space="preserve">OPTS </w:t>
            </w:r>
            <w:r w:rsidRPr="004A7A0E">
              <w:rPr>
                <w:rFonts w:eastAsia="Calibri"/>
                <w:i/>
                <w:vertAlign w:val="subscript"/>
              </w:rPr>
              <w:t>mp</w:t>
            </w:r>
            <w:r w:rsidRPr="004A7A0E">
              <w:rPr>
                <w:i/>
                <w:vertAlign w:val="subscript"/>
              </w:rPr>
              <w:t>, (j, k), a, h</w:t>
            </w:r>
          </w:p>
        </w:tc>
        <w:tc>
          <w:tcPr>
            <w:tcW w:w="461" w:type="pct"/>
            <w:tcBorders>
              <w:top w:val="single" w:sz="6" w:space="0" w:color="auto"/>
              <w:left w:val="single" w:sz="6" w:space="0" w:color="auto"/>
              <w:bottom w:val="single" w:sz="6" w:space="0" w:color="auto"/>
              <w:right w:val="single" w:sz="6" w:space="0" w:color="auto"/>
            </w:tcBorders>
          </w:tcPr>
          <w:p w14:paraId="520A2721" w14:textId="77777777" w:rsidR="005F7F75" w:rsidRDefault="005F7F75" w:rsidP="00FA0C07">
            <w:pPr>
              <w:pStyle w:val="TableBody"/>
            </w:pPr>
            <w:r>
              <w:t>MW</w:t>
            </w:r>
          </w:p>
        </w:tc>
        <w:tc>
          <w:tcPr>
            <w:tcW w:w="3725" w:type="pct"/>
            <w:tcBorders>
              <w:top w:val="single" w:sz="6" w:space="0" w:color="auto"/>
              <w:left w:val="single" w:sz="6" w:space="0" w:color="auto"/>
              <w:bottom w:val="single" w:sz="6" w:space="0" w:color="auto"/>
              <w:right w:val="single" w:sz="4" w:space="0" w:color="auto"/>
            </w:tcBorders>
          </w:tcPr>
          <w:p w14:paraId="6A8C0955" w14:textId="77777777" w:rsidR="005F7F75" w:rsidRPr="00D164B6" w:rsidRDefault="005F7F75" w:rsidP="00FA0C07">
            <w:pPr>
              <w:pStyle w:val="TableBody"/>
              <w:rPr>
                <w:bCs/>
                <w:i/>
              </w:rPr>
            </w:pPr>
            <w:r>
              <w:rPr>
                <w:i/>
              </w:rPr>
              <w:t xml:space="preserve">PTP Option Sale </w:t>
            </w:r>
            <w:r>
              <w:rPr>
                <w:bCs/>
                <w:i/>
              </w:rPr>
              <w:t xml:space="preserve">per Market Participant </w:t>
            </w:r>
            <w:r>
              <w:rPr>
                <w:i/>
              </w:rPr>
              <w:t>per source and sink pair per CRR Auction per hour</w:t>
            </w:r>
            <w:r>
              <w:t xml:space="preserve">—The MW quantity that represents the total of Market Participant </w:t>
            </w:r>
            <w:r w:rsidRPr="00DF336E">
              <w:rPr>
                <w:i/>
              </w:rPr>
              <w:t>mp</w:t>
            </w:r>
            <w:r>
              <w:t xml:space="preserve">’s PTP Option offers with the source </w:t>
            </w:r>
            <w:r>
              <w:rPr>
                <w:i/>
              </w:rPr>
              <w:t>j</w:t>
            </w:r>
            <w:r>
              <w:t xml:space="preserve"> and the sink </w:t>
            </w:r>
            <w:r>
              <w:rPr>
                <w:i/>
              </w:rPr>
              <w:t>k</w:t>
            </w:r>
            <w:r>
              <w:t xml:space="preserve"> awarded in CRR Auction </w:t>
            </w:r>
            <w:r>
              <w:rPr>
                <w:i/>
              </w:rPr>
              <w:t>a</w:t>
            </w:r>
            <w:r>
              <w:t xml:space="preserve">, for the hour </w:t>
            </w:r>
            <w:r>
              <w:rPr>
                <w:i/>
              </w:rPr>
              <w:t>h</w:t>
            </w:r>
            <w:r>
              <w:t>, where the Market Participant is a CRR Account Holder.</w:t>
            </w:r>
          </w:p>
        </w:tc>
      </w:tr>
      <w:tr w:rsidR="005F7F75" w14:paraId="3CF5B529"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05100853" w14:textId="77777777" w:rsidR="005F7F75" w:rsidRPr="00D164B6" w:rsidRDefault="005F7F75" w:rsidP="00FA0C07">
            <w:pPr>
              <w:pStyle w:val="TableBody"/>
              <w:rPr>
                <w:rFonts w:eastAsia="Calibri"/>
              </w:rPr>
            </w:pPr>
            <w:r>
              <w:rPr>
                <w:rFonts w:eastAsia="Calibri"/>
              </w:rPr>
              <w:t xml:space="preserve">UOPTS </w:t>
            </w:r>
            <w:r w:rsidRPr="004A7A0E">
              <w:rPr>
                <w:rFonts w:eastAsia="Calibri"/>
                <w:i/>
                <w:vertAlign w:val="subscript"/>
              </w:rPr>
              <w:t>mp</w:t>
            </w:r>
          </w:p>
        </w:tc>
        <w:tc>
          <w:tcPr>
            <w:tcW w:w="461" w:type="pct"/>
            <w:tcBorders>
              <w:top w:val="single" w:sz="6" w:space="0" w:color="auto"/>
              <w:left w:val="single" w:sz="6" w:space="0" w:color="auto"/>
              <w:bottom w:val="single" w:sz="6" w:space="0" w:color="auto"/>
              <w:right w:val="single" w:sz="6" w:space="0" w:color="auto"/>
            </w:tcBorders>
          </w:tcPr>
          <w:p w14:paraId="531C0FD3" w14:textId="77777777" w:rsidR="005F7F75" w:rsidRDefault="005F7F75" w:rsidP="00FA0C07">
            <w:pPr>
              <w:pStyle w:val="TableBody"/>
            </w:pPr>
            <w:r>
              <w:t>MWh</w:t>
            </w:r>
          </w:p>
        </w:tc>
        <w:tc>
          <w:tcPr>
            <w:tcW w:w="3725" w:type="pct"/>
            <w:tcBorders>
              <w:top w:val="single" w:sz="6" w:space="0" w:color="auto"/>
              <w:left w:val="single" w:sz="6" w:space="0" w:color="auto"/>
              <w:bottom w:val="single" w:sz="6" w:space="0" w:color="auto"/>
              <w:right w:val="single" w:sz="4" w:space="0" w:color="auto"/>
            </w:tcBorders>
          </w:tcPr>
          <w:p w14:paraId="7697E9EA" w14:textId="77777777" w:rsidR="005F7F75" w:rsidRPr="00D164B6" w:rsidRDefault="005F7F75" w:rsidP="00FA0C07">
            <w:pPr>
              <w:pStyle w:val="TableBody"/>
              <w:rPr>
                <w:bCs/>
                <w:i/>
              </w:rPr>
            </w:pPr>
            <w:r>
              <w:rPr>
                <w:i/>
              </w:rPr>
              <w:t xml:space="preserve">Uplift PTP Option Sale </w:t>
            </w:r>
            <w:r>
              <w:rPr>
                <w:bCs/>
                <w:i/>
              </w:rPr>
              <w:t>per Market Participant</w:t>
            </w:r>
            <w:r>
              <w:t xml:space="preserve">—The MW quantity that represents the monthly total of Market Participant </w:t>
            </w:r>
            <w:r w:rsidRPr="00DF336E">
              <w:rPr>
                <w:i/>
              </w:rPr>
              <w:t>mp</w:t>
            </w:r>
            <w:r>
              <w:t>’s PTP Option offers awarded in CRR Auctions, counting the awarded quantity only once per source and sink pair, where the Market Participant is a CRR Account Holder assigned to the registered Counter-Party.</w:t>
            </w:r>
          </w:p>
        </w:tc>
      </w:tr>
      <w:tr w:rsidR="005F7F75" w14:paraId="597E53D2"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3933C92D" w14:textId="77777777" w:rsidR="005F7F75" w:rsidRPr="00D164B6" w:rsidRDefault="005F7F75" w:rsidP="00FA0C07">
            <w:pPr>
              <w:pStyle w:val="TableBody"/>
              <w:rPr>
                <w:rFonts w:eastAsia="Calibri"/>
              </w:rPr>
            </w:pPr>
            <w:r>
              <w:t xml:space="preserve">OBLS </w:t>
            </w:r>
            <w:r w:rsidRPr="004A7A0E">
              <w:rPr>
                <w:rFonts w:eastAsia="Calibri"/>
                <w:i/>
                <w:vertAlign w:val="subscript"/>
              </w:rPr>
              <w:t>mp</w:t>
            </w:r>
            <w:r w:rsidRPr="004A7A0E">
              <w:rPr>
                <w:i/>
                <w:vertAlign w:val="subscript"/>
              </w:rPr>
              <w:t>, (j, k), a, h</w:t>
            </w:r>
          </w:p>
        </w:tc>
        <w:tc>
          <w:tcPr>
            <w:tcW w:w="461" w:type="pct"/>
            <w:tcBorders>
              <w:top w:val="single" w:sz="6" w:space="0" w:color="auto"/>
              <w:left w:val="single" w:sz="6" w:space="0" w:color="auto"/>
              <w:bottom w:val="single" w:sz="6" w:space="0" w:color="auto"/>
              <w:right w:val="single" w:sz="6" w:space="0" w:color="auto"/>
            </w:tcBorders>
          </w:tcPr>
          <w:p w14:paraId="12B990AD" w14:textId="77777777" w:rsidR="005F7F75" w:rsidRDefault="005F7F75" w:rsidP="00FA0C07">
            <w:pPr>
              <w:pStyle w:val="TableBody"/>
            </w:pPr>
            <w:r>
              <w:t>MW</w:t>
            </w:r>
          </w:p>
        </w:tc>
        <w:tc>
          <w:tcPr>
            <w:tcW w:w="3725" w:type="pct"/>
            <w:tcBorders>
              <w:top w:val="single" w:sz="6" w:space="0" w:color="auto"/>
              <w:left w:val="single" w:sz="6" w:space="0" w:color="auto"/>
              <w:bottom w:val="single" w:sz="6" w:space="0" w:color="auto"/>
              <w:right w:val="single" w:sz="4" w:space="0" w:color="auto"/>
            </w:tcBorders>
          </w:tcPr>
          <w:p w14:paraId="73F001B4" w14:textId="77777777" w:rsidR="005F7F75" w:rsidRPr="00D164B6" w:rsidRDefault="005F7F75" w:rsidP="00FA0C07">
            <w:pPr>
              <w:pStyle w:val="TableBody"/>
              <w:rPr>
                <w:bCs/>
                <w:i/>
              </w:rPr>
            </w:pPr>
            <w:r>
              <w:rPr>
                <w:i/>
              </w:rPr>
              <w:t xml:space="preserve">PTP Obligation Sale per </w:t>
            </w:r>
            <w:r>
              <w:rPr>
                <w:bCs/>
                <w:i/>
              </w:rPr>
              <w:t xml:space="preserve">Market Participant </w:t>
            </w:r>
            <w:r>
              <w:rPr>
                <w:i/>
              </w:rPr>
              <w:t>per source and sink pair per CRR Auction per hour</w:t>
            </w:r>
            <w:r>
              <w:t xml:space="preserve">—The MW quantity that represents the total of Market Participant </w:t>
            </w:r>
            <w:r w:rsidRPr="00DF336E">
              <w:rPr>
                <w:i/>
              </w:rPr>
              <w:t>mp</w:t>
            </w:r>
            <w:r>
              <w:t xml:space="preserve">’s PTP Obligation offers with the source </w:t>
            </w:r>
            <w:r>
              <w:rPr>
                <w:i/>
              </w:rPr>
              <w:t>j</w:t>
            </w:r>
            <w:r>
              <w:t xml:space="preserve"> and the sink </w:t>
            </w:r>
            <w:r>
              <w:rPr>
                <w:i/>
              </w:rPr>
              <w:t>k</w:t>
            </w:r>
            <w:r>
              <w:t xml:space="preserve"> awarded in CRR Auction </w:t>
            </w:r>
            <w:r>
              <w:rPr>
                <w:i/>
              </w:rPr>
              <w:t>a</w:t>
            </w:r>
            <w:r>
              <w:t xml:space="preserve">, for the hour </w:t>
            </w:r>
            <w:r>
              <w:rPr>
                <w:i/>
              </w:rPr>
              <w:t>h</w:t>
            </w:r>
            <w:r>
              <w:t>, where the Market Participant is a CRR Account Holder.</w:t>
            </w:r>
          </w:p>
        </w:tc>
      </w:tr>
      <w:tr w:rsidR="005F7F75" w14:paraId="75A9A88B"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5E627BD3" w14:textId="77777777" w:rsidR="005F7F75" w:rsidRPr="00D164B6" w:rsidRDefault="005F7F75" w:rsidP="00FA0C07">
            <w:pPr>
              <w:pStyle w:val="TableBody"/>
              <w:rPr>
                <w:rFonts w:eastAsia="Calibri"/>
              </w:rPr>
            </w:pPr>
            <w:r>
              <w:rPr>
                <w:rFonts w:eastAsia="Calibri"/>
              </w:rPr>
              <w:lastRenderedPageBreak/>
              <w:t xml:space="preserve">UOBLS </w:t>
            </w:r>
            <w:r w:rsidRPr="004A7A0E">
              <w:rPr>
                <w:rFonts w:eastAsia="Calibri"/>
                <w:i/>
                <w:vertAlign w:val="subscript"/>
              </w:rPr>
              <w:t>mp</w:t>
            </w:r>
          </w:p>
        </w:tc>
        <w:tc>
          <w:tcPr>
            <w:tcW w:w="461" w:type="pct"/>
            <w:tcBorders>
              <w:top w:val="single" w:sz="6" w:space="0" w:color="auto"/>
              <w:left w:val="single" w:sz="6" w:space="0" w:color="auto"/>
              <w:bottom w:val="single" w:sz="6" w:space="0" w:color="auto"/>
              <w:right w:val="single" w:sz="6" w:space="0" w:color="auto"/>
            </w:tcBorders>
          </w:tcPr>
          <w:p w14:paraId="03353402" w14:textId="77777777" w:rsidR="005F7F75" w:rsidRDefault="005F7F75" w:rsidP="00FA0C07">
            <w:pPr>
              <w:pStyle w:val="TableBody"/>
            </w:pPr>
            <w:r>
              <w:t>MWh</w:t>
            </w:r>
          </w:p>
        </w:tc>
        <w:tc>
          <w:tcPr>
            <w:tcW w:w="3725" w:type="pct"/>
            <w:tcBorders>
              <w:top w:val="single" w:sz="6" w:space="0" w:color="auto"/>
              <w:left w:val="single" w:sz="6" w:space="0" w:color="auto"/>
              <w:bottom w:val="single" w:sz="6" w:space="0" w:color="auto"/>
              <w:right w:val="single" w:sz="4" w:space="0" w:color="auto"/>
            </w:tcBorders>
          </w:tcPr>
          <w:p w14:paraId="2B18E8D9" w14:textId="77777777" w:rsidR="005F7F75" w:rsidRPr="00D164B6" w:rsidRDefault="005F7F75" w:rsidP="00FA0C07">
            <w:pPr>
              <w:pStyle w:val="TableBody"/>
              <w:rPr>
                <w:bCs/>
                <w:i/>
              </w:rPr>
            </w:pPr>
            <w:r>
              <w:rPr>
                <w:i/>
              </w:rPr>
              <w:t xml:space="preserve">Uplift PTP Obligation Sale </w:t>
            </w:r>
            <w:r>
              <w:rPr>
                <w:bCs/>
                <w:i/>
              </w:rPr>
              <w:t>per Market Participant</w:t>
            </w:r>
            <w:r>
              <w:t xml:space="preserve">—The MW quantity that represents the monthly total of Market Participant </w:t>
            </w:r>
            <w:r w:rsidRPr="00DF336E">
              <w:rPr>
                <w:i/>
              </w:rPr>
              <w:t>mp</w:t>
            </w:r>
            <w:r>
              <w:t>’s PTP Obligation offers awarded in CRR Auctions, counting the quantity only once per source and sink pair, where the Market Participant is a CRR Account Holder assigned to the registered Counter-Party.</w:t>
            </w:r>
          </w:p>
        </w:tc>
      </w:tr>
      <w:tr w:rsidR="005F7F75" w14:paraId="342A9F87"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08B3D9EE" w14:textId="77777777" w:rsidR="005F7F75" w:rsidRPr="00D164B6" w:rsidRDefault="005F7F75" w:rsidP="00FA0C07">
            <w:pPr>
              <w:pStyle w:val="TableBody"/>
              <w:rPr>
                <w:rFonts w:eastAsia="Calibri"/>
              </w:rPr>
            </w:pPr>
            <w:r>
              <w:t xml:space="preserve">OPTP </w:t>
            </w:r>
            <w:r w:rsidRPr="004A7A0E">
              <w:rPr>
                <w:rFonts w:eastAsia="Calibri"/>
                <w:i/>
                <w:vertAlign w:val="subscript"/>
              </w:rPr>
              <w:t>mp</w:t>
            </w:r>
            <w:r w:rsidRPr="004A7A0E">
              <w:rPr>
                <w:i/>
                <w:vertAlign w:val="subscript"/>
              </w:rPr>
              <w:t>, (j, k), a, h</w:t>
            </w:r>
          </w:p>
        </w:tc>
        <w:tc>
          <w:tcPr>
            <w:tcW w:w="461" w:type="pct"/>
            <w:tcBorders>
              <w:top w:val="single" w:sz="6" w:space="0" w:color="auto"/>
              <w:left w:val="single" w:sz="6" w:space="0" w:color="auto"/>
              <w:bottom w:val="single" w:sz="6" w:space="0" w:color="auto"/>
              <w:right w:val="single" w:sz="6" w:space="0" w:color="auto"/>
            </w:tcBorders>
          </w:tcPr>
          <w:p w14:paraId="76BC35A2" w14:textId="77777777" w:rsidR="005F7F75" w:rsidRDefault="005F7F75" w:rsidP="00FA0C07">
            <w:pPr>
              <w:pStyle w:val="TableBody"/>
            </w:pPr>
            <w:r>
              <w:t>MW</w:t>
            </w:r>
          </w:p>
        </w:tc>
        <w:tc>
          <w:tcPr>
            <w:tcW w:w="3725" w:type="pct"/>
            <w:tcBorders>
              <w:top w:val="single" w:sz="6" w:space="0" w:color="auto"/>
              <w:left w:val="single" w:sz="6" w:space="0" w:color="auto"/>
              <w:bottom w:val="single" w:sz="6" w:space="0" w:color="auto"/>
              <w:right w:val="single" w:sz="4" w:space="0" w:color="auto"/>
            </w:tcBorders>
          </w:tcPr>
          <w:p w14:paraId="2D626E35" w14:textId="77777777" w:rsidR="005F7F75" w:rsidRPr="00D164B6" w:rsidRDefault="005F7F75" w:rsidP="00FA0C07">
            <w:pPr>
              <w:pStyle w:val="TableBody"/>
              <w:rPr>
                <w:bCs/>
                <w:i/>
              </w:rPr>
            </w:pPr>
            <w:r>
              <w:rPr>
                <w:i/>
              </w:rPr>
              <w:t xml:space="preserve">PTP Option Purchase per </w:t>
            </w:r>
            <w:r>
              <w:rPr>
                <w:bCs/>
                <w:i/>
              </w:rPr>
              <w:t xml:space="preserve">Market Participant </w:t>
            </w:r>
            <w:r>
              <w:rPr>
                <w:i/>
              </w:rPr>
              <w:t>per source and sink pair per CRR Auction per hour</w:t>
            </w:r>
            <w:r>
              <w:t xml:space="preserve">—The MW quantity that represents the total of Market Participant </w:t>
            </w:r>
            <w:r w:rsidRPr="00DF336E">
              <w:rPr>
                <w:i/>
              </w:rPr>
              <w:t>mp</w:t>
            </w:r>
            <w:r>
              <w:t xml:space="preserve">’s PTP Option bids with the source </w:t>
            </w:r>
            <w:r>
              <w:rPr>
                <w:i/>
              </w:rPr>
              <w:t>j</w:t>
            </w:r>
            <w:r>
              <w:t xml:space="preserve"> and the sink </w:t>
            </w:r>
            <w:r>
              <w:rPr>
                <w:i/>
              </w:rPr>
              <w:t>k</w:t>
            </w:r>
            <w:r>
              <w:t xml:space="preserve"> awarded in CRR Auction </w:t>
            </w:r>
            <w:r>
              <w:rPr>
                <w:i/>
              </w:rPr>
              <w:t>a</w:t>
            </w:r>
            <w:r>
              <w:t xml:space="preserve">, for the hour </w:t>
            </w:r>
            <w:r>
              <w:rPr>
                <w:i/>
              </w:rPr>
              <w:t>h</w:t>
            </w:r>
            <w:r>
              <w:t>, where the Market Participant is a CRR Account Holder.</w:t>
            </w:r>
          </w:p>
        </w:tc>
      </w:tr>
      <w:tr w:rsidR="005F7F75" w14:paraId="4073B5FB"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6236C154" w14:textId="77777777" w:rsidR="005F7F75" w:rsidRPr="00D164B6" w:rsidRDefault="005F7F75" w:rsidP="00FA0C07">
            <w:pPr>
              <w:pStyle w:val="TableBody"/>
              <w:rPr>
                <w:rFonts w:eastAsia="Calibri"/>
              </w:rPr>
            </w:pPr>
            <w:r>
              <w:rPr>
                <w:rFonts w:eastAsia="Calibri"/>
              </w:rPr>
              <w:t xml:space="preserve">UOPTP </w:t>
            </w:r>
            <w:r w:rsidRPr="004A7A0E">
              <w:rPr>
                <w:rFonts w:eastAsia="Calibri"/>
                <w:i/>
                <w:vertAlign w:val="subscript"/>
              </w:rPr>
              <w:t>mp</w:t>
            </w:r>
          </w:p>
        </w:tc>
        <w:tc>
          <w:tcPr>
            <w:tcW w:w="461" w:type="pct"/>
            <w:tcBorders>
              <w:top w:val="single" w:sz="6" w:space="0" w:color="auto"/>
              <w:left w:val="single" w:sz="6" w:space="0" w:color="auto"/>
              <w:bottom w:val="single" w:sz="6" w:space="0" w:color="auto"/>
              <w:right w:val="single" w:sz="6" w:space="0" w:color="auto"/>
            </w:tcBorders>
          </w:tcPr>
          <w:p w14:paraId="69A391B3" w14:textId="77777777" w:rsidR="005F7F75" w:rsidRDefault="005F7F75" w:rsidP="00FA0C07">
            <w:pPr>
              <w:pStyle w:val="TableBody"/>
            </w:pPr>
            <w:r>
              <w:t>MWh</w:t>
            </w:r>
          </w:p>
        </w:tc>
        <w:tc>
          <w:tcPr>
            <w:tcW w:w="3725" w:type="pct"/>
            <w:tcBorders>
              <w:top w:val="single" w:sz="6" w:space="0" w:color="auto"/>
              <w:left w:val="single" w:sz="6" w:space="0" w:color="auto"/>
              <w:bottom w:val="single" w:sz="6" w:space="0" w:color="auto"/>
              <w:right w:val="single" w:sz="4" w:space="0" w:color="auto"/>
            </w:tcBorders>
          </w:tcPr>
          <w:p w14:paraId="4319663B" w14:textId="77777777" w:rsidR="005F7F75" w:rsidRPr="00D164B6" w:rsidRDefault="00326226" w:rsidP="00FA0C07">
            <w:pPr>
              <w:pStyle w:val="TableBody"/>
              <w:rPr>
                <w:bCs/>
                <w:i/>
              </w:rPr>
            </w:pPr>
            <w:r>
              <w:rPr>
                <w:i/>
              </w:rPr>
              <w:t xml:space="preserve">Uplift </w:t>
            </w:r>
            <w:r w:rsidR="005F7F75">
              <w:rPr>
                <w:i/>
              </w:rPr>
              <w:t xml:space="preserve">PTP Option Purchase per </w:t>
            </w:r>
            <w:r w:rsidR="005F7F75">
              <w:rPr>
                <w:bCs/>
                <w:i/>
              </w:rPr>
              <w:t>Market Participant</w:t>
            </w:r>
            <w:r w:rsidR="005F7F75">
              <w:t xml:space="preserve">—The MW quantity that represents the monthly total of Market Participant </w:t>
            </w:r>
            <w:r w:rsidR="005F7F75" w:rsidRPr="00DF336E">
              <w:rPr>
                <w:i/>
              </w:rPr>
              <w:t>mp</w:t>
            </w:r>
            <w:r w:rsidR="005F7F75">
              <w:t>’s PTP Option bids awarded in CRR Auctions, counting the quantity only once per source and sink pair, where the Market Participant is a CRR Account Holder assigned to the registered Counter-Party.</w:t>
            </w:r>
          </w:p>
        </w:tc>
      </w:tr>
      <w:tr w:rsidR="005F7F75" w14:paraId="36A04F17"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32194224" w14:textId="77777777" w:rsidR="005F7F75" w:rsidRPr="00D164B6" w:rsidRDefault="005F7F75" w:rsidP="00FA0C07">
            <w:pPr>
              <w:pStyle w:val="TableBody"/>
              <w:rPr>
                <w:rFonts w:eastAsia="Calibri"/>
              </w:rPr>
            </w:pPr>
            <w:r>
              <w:t xml:space="preserve">OBLP </w:t>
            </w:r>
            <w:r w:rsidRPr="004A7A0E">
              <w:rPr>
                <w:rFonts w:eastAsia="Calibri"/>
                <w:i/>
                <w:vertAlign w:val="subscript"/>
              </w:rPr>
              <w:t>mp</w:t>
            </w:r>
            <w:r w:rsidRPr="004A7A0E">
              <w:rPr>
                <w:i/>
                <w:vertAlign w:val="subscript"/>
              </w:rPr>
              <w:t>, (j, k), a, h</w:t>
            </w:r>
          </w:p>
        </w:tc>
        <w:tc>
          <w:tcPr>
            <w:tcW w:w="461" w:type="pct"/>
            <w:tcBorders>
              <w:top w:val="single" w:sz="6" w:space="0" w:color="auto"/>
              <w:left w:val="single" w:sz="6" w:space="0" w:color="auto"/>
              <w:bottom w:val="single" w:sz="6" w:space="0" w:color="auto"/>
              <w:right w:val="single" w:sz="6" w:space="0" w:color="auto"/>
            </w:tcBorders>
          </w:tcPr>
          <w:p w14:paraId="0E0B1E65" w14:textId="77777777" w:rsidR="005F7F75" w:rsidRDefault="005F7F75" w:rsidP="00FA0C07">
            <w:pPr>
              <w:pStyle w:val="TableBody"/>
            </w:pPr>
            <w:r>
              <w:t>MW</w:t>
            </w:r>
          </w:p>
        </w:tc>
        <w:tc>
          <w:tcPr>
            <w:tcW w:w="3725" w:type="pct"/>
            <w:tcBorders>
              <w:top w:val="single" w:sz="6" w:space="0" w:color="auto"/>
              <w:left w:val="single" w:sz="6" w:space="0" w:color="auto"/>
              <w:bottom w:val="single" w:sz="6" w:space="0" w:color="auto"/>
              <w:right w:val="single" w:sz="4" w:space="0" w:color="auto"/>
            </w:tcBorders>
          </w:tcPr>
          <w:p w14:paraId="5B99CED3" w14:textId="77777777" w:rsidR="005F7F75" w:rsidRPr="00D164B6" w:rsidRDefault="005F7F75" w:rsidP="00FA0C07">
            <w:pPr>
              <w:pStyle w:val="TableBody"/>
              <w:rPr>
                <w:bCs/>
                <w:i/>
              </w:rPr>
            </w:pPr>
            <w:r>
              <w:rPr>
                <w:i/>
              </w:rPr>
              <w:t xml:space="preserve">PTP Obligation Purchase per </w:t>
            </w:r>
            <w:r>
              <w:rPr>
                <w:bCs/>
                <w:i/>
              </w:rPr>
              <w:t xml:space="preserve">Market Participant </w:t>
            </w:r>
            <w:r>
              <w:rPr>
                <w:i/>
              </w:rPr>
              <w:t>per source and sink pair per CRR Auction per hour</w:t>
            </w:r>
            <w:r>
              <w:t xml:space="preserve">—The MW quantity that represents the total of Market Participant </w:t>
            </w:r>
            <w:r w:rsidRPr="00DF336E">
              <w:rPr>
                <w:i/>
              </w:rPr>
              <w:t>mp</w:t>
            </w:r>
            <w:r>
              <w:t xml:space="preserve">’s PTP Obligation bids with the source </w:t>
            </w:r>
            <w:r>
              <w:rPr>
                <w:i/>
              </w:rPr>
              <w:t>j</w:t>
            </w:r>
            <w:r>
              <w:t xml:space="preserve"> and the sink </w:t>
            </w:r>
            <w:r>
              <w:rPr>
                <w:i/>
              </w:rPr>
              <w:t>k</w:t>
            </w:r>
            <w:r>
              <w:t xml:space="preserve"> awarded in CRR Auction </w:t>
            </w:r>
            <w:r>
              <w:rPr>
                <w:i/>
              </w:rPr>
              <w:t>a</w:t>
            </w:r>
            <w:r>
              <w:t xml:space="preserve">, for the hour </w:t>
            </w:r>
            <w:r>
              <w:rPr>
                <w:i/>
              </w:rPr>
              <w:t>h</w:t>
            </w:r>
            <w:r>
              <w:t>, where the Market Participant is a CRR Account Holder.</w:t>
            </w:r>
          </w:p>
        </w:tc>
      </w:tr>
      <w:tr w:rsidR="005F7F75" w14:paraId="4C8FD084"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3F070869" w14:textId="77777777" w:rsidR="005F7F75" w:rsidRPr="00D164B6" w:rsidRDefault="005F7F75" w:rsidP="00FA0C07">
            <w:pPr>
              <w:pStyle w:val="TableBody"/>
              <w:rPr>
                <w:rFonts w:eastAsia="Calibri"/>
              </w:rPr>
            </w:pPr>
            <w:r>
              <w:rPr>
                <w:rFonts w:eastAsia="Calibri"/>
              </w:rPr>
              <w:t>UOBLP</w:t>
            </w:r>
            <w:r w:rsidRPr="004A7A0E">
              <w:rPr>
                <w:rFonts w:eastAsia="Calibri"/>
                <w:i/>
              </w:rPr>
              <w:t xml:space="preserve"> </w:t>
            </w:r>
            <w:r w:rsidRPr="004A7A0E">
              <w:rPr>
                <w:rFonts w:eastAsia="Calibri"/>
                <w:i/>
                <w:vertAlign w:val="subscript"/>
              </w:rPr>
              <w:t>mp</w:t>
            </w:r>
          </w:p>
        </w:tc>
        <w:tc>
          <w:tcPr>
            <w:tcW w:w="461" w:type="pct"/>
            <w:tcBorders>
              <w:top w:val="single" w:sz="6" w:space="0" w:color="auto"/>
              <w:left w:val="single" w:sz="6" w:space="0" w:color="auto"/>
              <w:bottom w:val="single" w:sz="6" w:space="0" w:color="auto"/>
              <w:right w:val="single" w:sz="6" w:space="0" w:color="auto"/>
            </w:tcBorders>
          </w:tcPr>
          <w:p w14:paraId="0BDA82EF" w14:textId="77777777" w:rsidR="005F7F75" w:rsidRDefault="005F7F75" w:rsidP="00FA0C07">
            <w:pPr>
              <w:pStyle w:val="TableBody"/>
            </w:pPr>
            <w:r>
              <w:t>MWh</w:t>
            </w:r>
          </w:p>
        </w:tc>
        <w:tc>
          <w:tcPr>
            <w:tcW w:w="3725" w:type="pct"/>
            <w:tcBorders>
              <w:top w:val="single" w:sz="6" w:space="0" w:color="auto"/>
              <w:left w:val="single" w:sz="6" w:space="0" w:color="auto"/>
              <w:bottom w:val="single" w:sz="6" w:space="0" w:color="auto"/>
              <w:right w:val="single" w:sz="4" w:space="0" w:color="auto"/>
            </w:tcBorders>
          </w:tcPr>
          <w:p w14:paraId="58DDB5AF" w14:textId="77777777" w:rsidR="005F7F75" w:rsidRPr="00D164B6" w:rsidRDefault="00326226" w:rsidP="00FA0C07">
            <w:pPr>
              <w:pStyle w:val="TableBody"/>
              <w:rPr>
                <w:bCs/>
                <w:i/>
              </w:rPr>
            </w:pPr>
            <w:r>
              <w:rPr>
                <w:i/>
              </w:rPr>
              <w:t xml:space="preserve">Uplift </w:t>
            </w:r>
            <w:r w:rsidR="005F7F75">
              <w:rPr>
                <w:i/>
              </w:rPr>
              <w:t xml:space="preserve">PTP Obligation Purchase per </w:t>
            </w:r>
            <w:r w:rsidR="005F7F75">
              <w:rPr>
                <w:bCs/>
                <w:i/>
              </w:rPr>
              <w:t>Market Participant</w:t>
            </w:r>
            <w:r w:rsidR="005F7F75">
              <w:t xml:space="preserve">—The MW quantity that represents the monthly total of Market Participant </w:t>
            </w:r>
            <w:r w:rsidR="005F7F75" w:rsidRPr="00DF336E">
              <w:rPr>
                <w:i/>
              </w:rPr>
              <w:t>mp</w:t>
            </w:r>
            <w:r w:rsidR="005F7F75">
              <w:t>’s PTP Obligation bids awarded in CRR Auctions, counting the quantity only once per source and sink pair, where the Market Participant is a CRR Account Holder assigned to the registered Counter-Party.</w:t>
            </w:r>
          </w:p>
        </w:tc>
      </w:tr>
      <w:tr w:rsidR="003E0FF7" w14:paraId="41B882BD" w14:textId="77777777" w:rsidTr="00D465F5">
        <w:trPr>
          <w:cantSplit/>
        </w:trPr>
        <w:tc>
          <w:tcPr>
            <w:tcW w:w="5000" w:type="pct"/>
            <w:gridSpan w:val="3"/>
            <w:tcBorders>
              <w:top w:val="single" w:sz="6" w:space="0" w:color="auto"/>
              <w:left w:val="single" w:sz="4" w:space="0" w:color="auto"/>
              <w:bottom w:val="single" w:sz="6" w:space="0" w:color="auto"/>
              <w:right w:val="single" w:sz="4" w:space="0" w:color="auto"/>
            </w:tcBorders>
          </w:tcPr>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27"/>
            </w:tblGrid>
            <w:tr w:rsidR="003E0FF7" w14:paraId="7CAF9CD6" w14:textId="77777777" w:rsidTr="00D465F5">
              <w:trPr>
                <w:trHeight w:val="206"/>
              </w:trPr>
              <w:tc>
                <w:tcPr>
                  <w:tcW w:w="9427" w:type="dxa"/>
                  <w:shd w:val="pct12" w:color="auto" w:fill="auto"/>
                </w:tcPr>
                <w:p w14:paraId="6B14167D" w14:textId="55135881" w:rsidR="003E0FF7" w:rsidRPr="0018762D" w:rsidRDefault="003E0FF7" w:rsidP="0018762D">
                  <w:pPr>
                    <w:pStyle w:val="Instructions"/>
                    <w:spacing w:before="120"/>
                  </w:pPr>
                  <w:r>
                    <w:t>[NPRR</w:t>
                  </w:r>
                  <w:r>
                    <w:rPr>
                      <w:lang w:val="en-US"/>
                    </w:rPr>
                    <w:t>1</w:t>
                  </w:r>
                  <w:r w:rsidR="0018762D">
                    <w:rPr>
                      <w:lang w:val="en-US"/>
                    </w:rPr>
                    <w:t>201</w:t>
                  </w:r>
                  <w:r>
                    <w:t xml:space="preserve">:  </w:t>
                  </w:r>
                  <w:r w:rsidR="0018762D">
                    <w:rPr>
                      <w:lang w:val="en-US"/>
                    </w:rPr>
                    <w:t>Delete</w:t>
                  </w:r>
                  <w:r>
                    <w:t xml:space="preserve"> the variables </w:t>
                  </w:r>
                  <w:r w:rsidR="0018762D">
                    <w:rPr>
                      <w:lang w:val="en-US"/>
                    </w:rPr>
                    <w:t>“</w:t>
                  </w:r>
                  <w:r w:rsidR="0018762D">
                    <w:t xml:space="preserve">OPTS </w:t>
                  </w:r>
                  <w:r w:rsidR="0018762D" w:rsidRPr="004A7A0E">
                    <w:rPr>
                      <w:rFonts w:eastAsia="Calibri"/>
                      <w:vertAlign w:val="subscript"/>
                    </w:rPr>
                    <w:t>mp</w:t>
                  </w:r>
                  <w:r w:rsidR="0018762D" w:rsidRPr="004A7A0E">
                    <w:rPr>
                      <w:vertAlign w:val="subscript"/>
                    </w:rPr>
                    <w:t>, (j, k), a, h</w:t>
                  </w:r>
                  <w:r w:rsidR="0018762D">
                    <w:rPr>
                      <w:lang w:val="en-US"/>
                    </w:rPr>
                    <w:t>”, “</w:t>
                  </w:r>
                  <w:r w:rsidR="0018762D">
                    <w:rPr>
                      <w:rFonts w:eastAsia="Calibri"/>
                    </w:rPr>
                    <w:t xml:space="preserve">UOPTS </w:t>
                  </w:r>
                  <w:r w:rsidR="0018762D" w:rsidRPr="004A7A0E">
                    <w:rPr>
                      <w:rFonts w:eastAsia="Calibri"/>
                      <w:vertAlign w:val="subscript"/>
                    </w:rPr>
                    <w:t>mp</w:t>
                  </w:r>
                  <w:r w:rsidR="0018762D">
                    <w:rPr>
                      <w:lang w:val="en-US"/>
                    </w:rPr>
                    <w:t>”, “</w:t>
                  </w:r>
                  <w:r w:rsidR="007B05E5">
                    <w:t xml:space="preserve">OBLS </w:t>
                  </w:r>
                  <w:r w:rsidR="007B05E5" w:rsidRPr="004A7A0E">
                    <w:rPr>
                      <w:rFonts w:eastAsia="Calibri"/>
                      <w:vertAlign w:val="subscript"/>
                    </w:rPr>
                    <w:t>mp</w:t>
                  </w:r>
                  <w:r w:rsidR="007B05E5" w:rsidRPr="004A7A0E">
                    <w:rPr>
                      <w:vertAlign w:val="subscript"/>
                    </w:rPr>
                    <w:t>, (j, k), a, h</w:t>
                  </w:r>
                  <w:r w:rsidR="0018762D">
                    <w:rPr>
                      <w:lang w:val="en-US"/>
                    </w:rPr>
                    <w:t>”,</w:t>
                  </w:r>
                  <w:r w:rsidR="007B05E5">
                    <w:rPr>
                      <w:lang w:val="en-US"/>
                    </w:rPr>
                    <w:t xml:space="preserve"> “</w:t>
                  </w:r>
                  <w:r w:rsidR="007B05E5">
                    <w:rPr>
                      <w:rFonts w:eastAsia="Calibri"/>
                    </w:rPr>
                    <w:t xml:space="preserve">UOBLS </w:t>
                  </w:r>
                  <w:r w:rsidR="007B05E5" w:rsidRPr="004A7A0E">
                    <w:rPr>
                      <w:rFonts w:eastAsia="Calibri"/>
                      <w:vertAlign w:val="subscript"/>
                    </w:rPr>
                    <w:t>mp</w:t>
                  </w:r>
                  <w:r w:rsidR="007B05E5">
                    <w:rPr>
                      <w:lang w:val="en-US"/>
                    </w:rPr>
                    <w:t xml:space="preserve">”, </w:t>
                  </w:r>
                  <w:r w:rsidR="0018762D">
                    <w:rPr>
                      <w:lang w:val="en-US"/>
                    </w:rPr>
                    <w:t>“</w:t>
                  </w:r>
                  <w:r w:rsidR="007B05E5">
                    <w:t xml:space="preserve">OPTP </w:t>
                  </w:r>
                  <w:r w:rsidR="007B05E5" w:rsidRPr="004A7A0E">
                    <w:rPr>
                      <w:rFonts w:eastAsia="Calibri"/>
                      <w:vertAlign w:val="subscript"/>
                    </w:rPr>
                    <w:t>mp</w:t>
                  </w:r>
                  <w:r w:rsidR="007B05E5" w:rsidRPr="004A7A0E">
                    <w:rPr>
                      <w:vertAlign w:val="subscript"/>
                    </w:rPr>
                    <w:t>, (j, k), a, h</w:t>
                  </w:r>
                  <w:r w:rsidR="0018762D">
                    <w:rPr>
                      <w:lang w:val="en-US"/>
                    </w:rPr>
                    <w:t>”, “</w:t>
                  </w:r>
                  <w:r w:rsidR="007B05E5">
                    <w:rPr>
                      <w:rFonts w:eastAsia="Calibri"/>
                    </w:rPr>
                    <w:t xml:space="preserve">UOPTP </w:t>
                  </w:r>
                  <w:r w:rsidR="007B05E5" w:rsidRPr="004A7A0E">
                    <w:rPr>
                      <w:rFonts w:eastAsia="Calibri"/>
                      <w:vertAlign w:val="subscript"/>
                    </w:rPr>
                    <w:t>mp</w:t>
                  </w:r>
                  <w:r w:rsidR="0018762D">
                    <w:rPr>
                      <w:lang w:val="en-US"/>
                    </w:rPr>
                    <w:t>”, “</w:t>
                  </w:r>
                  <w:r w:rsidR="007B05E5">
                    <w:t xml:space="preserve">OBLP </w:t>
                  </w:r>
                  <w:r w:rsidR="007B05E5" w:rsidRPr="004A7A0E">
                    <w:rPr>
                      <w:rFonts w:eastAsia="Calibri"/>
                      <w:vertAlign w:val="subscript"/>
                    </w:rPr>
                    <w:t>mp</w:t>
                  </w:r>
                  <w:r w:rsidR="007B05E5" w:rsidRPr="004A7A0E">
                    <w:rPr>
                      <w:vertAlign w:val="subscript"/>
                    </w:rPr>
                    <w:t>, (j, k), a, h</w:t>
                  </w:r>
                  <w:r w:rsidR="0018762D">
                    <w:rPr>
                      <w:lang w:val="en-US"/>
                    </w:rPr>
                    <w:t>”, “</w:t>
                  </w:r>
                  <w:r w:rsidR="007B05E5">
                    <w:rPr>
                      <w:rFonts w:eastAsia="Calibri"/>
                    </w:rPr>
                    <w:t>UOBLP</w:t>
                  </w:r>
                  <w:r w:rsidR="007B05E5" w:rsidRPr="004A7A0E">
                    <w:rPr>
                      <w:rFonts w:eastAsia="Calibri"/>
                    </w:rPr>
                    <w:t xml:space="preserve"> </w:t>
                  </w:r>
                  <w:r w:rsidR="007B05E5" w:rsidRPr="004A7A0E">
                    <w:rPr>
                      <w:rFonts w:eastAsia="Calibri"/>
                      <w:vertAlign w:val="subscript"/>
                    </w:rPr>
                    <w:t>mp</w:t>
                  </w:r>
                  <w:r w:rsidR="0018762D">
                    <w:rPr>
                      <w:lang w:val="en-US"/>
                    </w:rPr>
                    <w:t>”</w:t>
                  </w:r>
                  <w:r w:rsidR="007B05E5">
                    <w:rPr>
                      <w:lang w:val="en-US"/>
                    </w:rPr>
                    <w:t xml:space="preserve"> </w:t>
                  </w:r>
                  <w:r w:rsidR="0018762D">
                    <w:rPr>
                      <w:lang w:val="en-US"/>
                    </w:rPr>
                    <w:t>above</w:t>
                  </w:r>
                  <w:r>
                    <w:t xml:space="preserve"> upon system implementation</w:t>
                  </w:r>
                  <w:r w:rsidR="00EF1E8A">
                    <w:rPr>
                      <w:lang w:val="en-US"/>
                    </w:rPr>
                    <w:t>.</w:t>
                  </w:r>
                  <w:r>
                    <w:t>]</w:t>
                  </w:r>
                </w:p>
              </w:tc>
            </w:tr>
          </w:tbl>
          <w:p w14:paraId="1B08F555" w14:textId="77777777" w:rsidR="003E0FF7" w:rsidRDefault="003E0FF7" w:rsidP="00FA0C07">
            <w:pPr>
              <w:pStyle w:val="TableBody"/>
              <w:rPr>
                <w:i/>
              </w:rPr>
            </w:pPr>
          </w:p>
        </w:tc>
      </w:tr>
      <w:tr w:rsidR="00326226" w14:paraId="59CBA00C"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443F3EE8" w14:textId="77777777" w:rsidR="00326226" w:rsidRPr="00D164B6" w:rsidRDefault="00326226" w:rsidP="003858AA">
            <w:pPr>
              <w:pStyle w:val="TableBody"/>
              <w:rPr>
                <w:rFonts w:eastAsia="Calibri"/>
              </w:rPr>
            </w:pPr>
            <w:r>
              <w:rPr>
                <w:iCs w:val="0"/>
              </w:rPr>
              <w:t>U</w:t>
            </w:r>
            <w:r w:rsidRPr="00741BD7">
              <w:rPr>
                <w:iCs w:val="0"/>
              </w:rPr>
              <w:t>WSLTOT</w:t>
            </w:r>
            <w:r w:rsidRPr="004A7A0E">
              <w:rPr>
                <w:i/>
                <w:iCs w:val="0"/>
                <w:vertAlign w:val="subscript"/>
              </w:rPr>
              <w:t xml:space="preserve"> mp</w:t>
            </w:r>
          </w:p>
        </w:tc>
        <w:tc>
          <w:tcPr>
            <w:tcW w:w="461" w:type="pct"/>
            <w:tcBorders>
              <w:top w:val="single" w:sz="6" w:space="0" w:color="auto"/>
              <w:left w:val="single" w:sz="6" w:space="0" w:color="auto"/>
              <w:bottom w:val="single" w:sz="6" w:space="0" w:color="auto"/>
              <w:right w:val="single" w:sz="6" w:space="0" w:color="auto"/>
            </w:tcBorders>
          </w:tcPr>
          <w:p w14:paraId="495D13C9" w14:textId="77777777" w:rsidR="00326226" w:rsidRDefault="00326226" w:rsidP="003858AA">
            <w:pPr>
              <w:pStyle w:val="TableBody"/>
            </w:pPr>
            <w:r w:rsidRPr="00741BD7">
              <w:rPr>
                <w:iCs w:val="0"/>
              </w:rPr>
              <w:t>MWh</w:t>
            </w:r>
          </w:p>
        </w:tc>
        <w:tc>
          <w:tcPr>
            <w:tcW w:w="3725" w:type="pct"/>
            <w:tcBorders>
              <w:top w:val="single" w:sz="6" w:space="0" w:color="auto"/>
              <w:left w:val="single" w:sz="6" w:space="0" w:color="auto"/>
              <w:bottom w:val="single" w:sz="6" w:space="0" w:color="auto"/>
              <w:right w:val="single" w:sz="4" w:space="0" w:color="auto"/>
            </w:tcBorders>
          </w:tcPr>
          <w:p w14:paraId="12CCE721" w14:textId="77777777" w:rsidR="00326226" w:rsidRPr="00D164B6" w:rsidRDefault="00326226" w:rsidP="003858AA">
            <w:pPr>
              <w:pStyle w:val="TableBody"/>
              <w:rPr>
                <w:bCs/>
                <w:i/>
              </w:rPr>
            </w:pPr>
            <w:r>
              <w:rPr>
                <w:i/>
                <w:iCs w:val="0"/>
              </w:rPr>
              <w:t xml:space="preserve">Uplift </w:t>
            </w:r>
            <w:r w:rsidRPr="00741BD7">
              <w:rPr>
                <w:i/>
                <w:iCs w:val="0"/>
              </w:rPr>
              <w:t xml:space="preserve">Metered Energy for Wholesale </w:t>
            </w:r>
            <w:r>
              <w:rPr>
                <w:i/>
                <w:iCs w:val="0"/>
              </w:rPr>
              <w:t xml:space="preserve">Storage </w:t>
            </w:r>
            <w:r w:rsidRPr="00741BD7">
              <w:rPr>
                <w:i/>
                <w:iCs w:val="0"/>
              </w:rPr>
              <w:t>Load at bus per Market Participant</w:t>
            </w:r>
            <w:r w:rsidRPr="00741BD7">
              <w:rPr>
                <w:iCs w:val="0"/>
              </w:rPr>
              <w:sym w:font="Symbol" w:char="F0BE"/>
            </w:r>
            <w:r w:rsidRPr="00741BD7">
              <w:rPr>
                <w:iCs w:val="0"/>
              </w:rPr>
              <w:t xml:space="preserve">The monthly sum of Market Participant </w:t>
            </w:r>
            <w:r w:rsidRPr="00741BD7">
              <w:rPr>
                <w:i/>
                <w:iCs w:val="0"/>
              </w:rPr>
              <w:t>mp</w:t>
            </w:r>
            <w:r w:rsidRPr="00741BD7">
              <w:rPr>
                <w:iCs w:val="0"/>
              </w:rPr>
              <w:t xml:space="preserve">’s </w:t>
            </w:r>
            <w:r>
              <w:rPr>
                <w:iCs w:val="0"/>
              </w:rPr>
              <w:t>Wholesale Storage Load (</w:t>
            </w:r>
            <w:r w:rsidRPr="00741BD7">
              <w:rPr>
                <w:iCs w:val="0"/>
              </w:rPr>
              <w:t>WSL</w:t>
            </w:r>
            <w:r>
              <w:rPr>
                <w:iCs w:val="0"/>
              </w:rPr>
              <w:t>)</w:t>
            </w:r>
            <w:r w:rsidRPr="00741BD7">
              <w:rPr>
                <w:iCs w:val="0"/>
              </w:rPr>
              <w:t xml:space="preserve"> energy metered by the Settlement Meter which measures WSL.</w:t>
            </w:r>
          </w:p>
        </w:tc>
      </w:tr>
      <w:tr w:rsidR="00326226" w14:paraId="2BB6FD79"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73C7DC00" w14:textId="77777777" w:rsidR="00326226" w:rsidRPr="00D164B6" w:rsidRDefault="00326226" w:rsidP="003858AA">
            <w:pPr>
              <w:pStyle w:val="TableBody"/>
              <w:rPr>
                <w:rFonts w:eastAsia="Calibri"/>
              </w:rPr>
            </w:pPr>
            <w:r w:rsidRPr="00741BD7">
              <w:rPr>
                <w:bCs/>
                <w:iCs w:val="0"/>
              </w:rPr>
              <w:t xml:space="preserve">MEBL </w:t>
            </w:r>
            <w:r w:rsidRPr="004A7A0E">
              <w:rPr>
                <w:bCs/>
                <w:i/>
                <w:iCs w:val="0"/>
                <w:vertAlign w:val="subscript"/>
              </w:rPr>
              <w:t>mp, r, b</w:t>
            </w:r>
          </w:p>
        </w:tc>
        <w:tc>
          <w:tcPr>
            <w:tcW w:w="461" w:type="pct"/>
            <w:tcBorders>
              <w:top w:val="single" w:sz="6" w:space="0" w:color="auto"/>
              <w:left w:val="single" w:sz="6" w:space="0" w:color="auto"/>
              <w:bottom w:val="single" w:sz="6" w:space="0" w:color="auto"/>
              <w:right w:val="single" w:sz="6" w:space="0" w:color="auto"/>
            </w:tcBorders>
          </w:tcPr>
          <w:p w14:paraId="554FDE90" w14:textId="77777777" w:rsidR="00326226" w:rsidRDefault="00326226" w:rsidP="003858AA">
            <w:pPr>
              <w:pStyle w:val="TableBody"/>
            </w:pPr>
            <w:r w:rsidRPr="00741BD7">
              <w:rPr>
                <w:iCs w:val="0"/>
              </w:rPr>
              <w:t>MWh</w:t>
            </w:r>
          </w:p>
        </w:tc>
        <w:tc>
          <w:tcPr>
            <w:tcW w:w="3725" w:type="pct"/>
            <w:tcBorders>
              <w:top w:val="single" w:sz="6" w:space="0" w:color="auto"/>
              <w:left w:val="single" w:sz="6" w:space="0" w:color="auto"/>
              <w:bottom w:val="single" w:sz="6" w:space="0" w:color="auto"/>
              <w:right w:val="single" w:sz="4" w:space="0" w:color="auto"/>
            </w:tcBorders>
          </w:tcPr>
          <w:p w14:paraId="741A302C" w14:textId="77777777" w:rsidR="00326226" w:rsidRPr="00D164B6" w:rsidRDefault="00326226" w:rsidP="003858AA">
            <w:pPr>
              <w:pStyle w:val="TableBody"/>
              <w:rPr>
                <w:bCs/>
                <w:i/>
              </w:rPr>
            </w:pPr>
            <w:r w:rsidRPr="00741BD7">
              <w:rPr>
                <w:i/>
                <w:iCs w:val="0"/>
              </w:rPr>
              <w:t xml:space="preserve">Metered Energy for Wholesale </w:t>
            </w:r>
            <w:r>
              <w:rPr>
                <w:i/>
                <w:iCs w:val="0"/>
              </w:rPr>
              <w:t xml:space="preserve">Storage </w:t>
            </w:r>
            <w:r w:rsidRPr="00741BD7">
              <w:rPr>
                <w:i/>
                <w:iCs w:val="0"/>
              </w:rPr>
              <w:t>Load at bus</w:t>
            </w:r>
            <w:r w:rsidRPr="00741BD7">
              <w:rPr>
                <w:iCs w:val="0"/>
              </w:rPr>
              <w:sym w:font="Symbol" w:char="F0BE"/>
            </w:r>
            <w:r w:rsidRPr="00741BD7">
              <w:rPr>
                <w:iCs w:val="0"/>
              </w:rPr>
              <w:t xml:space="preserve">The WSL energy metered by the Settlement Meter which measures WSL for the 15-minute Settlement Interval represented as a negative value, for the </w:t>
            </w:r>
            <w:r>
              <w:rPr>
                <w:iCs w:val="0"/>
              </w:rPr>
              <w:t>Market Participant</w:t>
            </w:r>
            <w:r w:rsidRPr="00741BD7">
              <w:rPr>
                <w:iCs w:val="0"/>
              </w:rPr>
              <w:t xml:space="preserve"> </w:t>
            </w:r>
            <w:r>
              <w:rPr>
                <w:i/>
                <w:iCs w:val="0"/>
              </w:rPr>
              <w:t>mp</w:t>
            </w:r>
            <w:r w:rsidRPr="00741BD7">
              <w:rPr>
                <w:iCs w:val="0"/>
              </w:rPr>
              <w:t xml:space="preserve">, Resource </w:t>
            </w:r>
            <w:r w:rsidRPr="00741BD7">
              <w:rPr>
                <w:i/>
                <w:iCs w:val="0"/>
              </w:rPr>
              <w:t>r</w:t>
            </w:r>
            <w:r w:rsidRPr="00741BD7">
              <w:rPr>
                <w:iCs w:val="0"/>
              </w:rPr>
              <w:t xml:space="preserve">, at bus </w:t>
            </w:r>
            <w:r w:rsidRPr="00741BD7">
              <w:rPr>
                <w:i/>
                <w:iCs w:val="0"/>
              </w:rPr>
              <w:t>b</w:t>
            </w:r>
            <w:r w:rsidRPr="00741BD7">
              <w:rPr>
                <w:iCs w:val="0"/>
              </w:rPr>
              <w:t xml:space="preserve">.  </w:t>
            </w:r>
          </w:p>
        </w:tc>
      </w:tr>
      <w:tr w:rsidR="00D211B0" w14:paraId="48BD7289" w14:textId="77777777" w:rsidTr="00D465F5">
        <w:trPr>
          <w:cantSplit/>
        </w:trPr>
        <w:tc>
          <w:tcPr>
            <w:tcW w:w="5000" w:type="pct"/>
            <w:gridSpan w:val="3"/>
            <w:tcBorders>
              <w:top w:val="single" w:sz="6" w:space="0" w:color="auto"/>
              <w:left w:val="single" w:sz="4" w:space="0" w:color="auto"/>
              <w:bottom w:val="single" w:sz="6" w:space="0" w:color="auto"/>
              <w:right w:val="single" w:sz="4" w:space="0" w:color="auto"/>
            </w:tcBorders>
          </w:tcPr>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535"/>
            </w:tblGrid>
            <w:tr w:rsidR="00D211B0" w14:paraId="2CF364F5" w14:textId="77777777" w:rsidTr="001552F0">
              <w:trPr>
                <w:trHeight w:val="206"/>
              </w:trPr>
              <w:tc>
                <w:tcPr>
                  <w:tcW w:w="9535" w:type="dxa"/>
                  <w:shd w:val="pct12" w:color="auto" w:fill="auto"/>
                </w:tcPr>
                <w:p w14:paraId="603E789E" w14:textId="39A58DFF" w:rsidR="00D211B0" w:rsidRDefault="00D211B0" w:rsidP="00D211B0">
                  <w:pPr>
                    <w:pStyle w:val="Instructions"/>
                    <w:spacing w:before="120"/>
                  </w:pPr>
                  <w:r>
                    <w:lastRenderedPageBreak/>
                    <w:t>[NPRR</w:t>
                  </w:r>
                  <w:r>
                    <w:rPr>
                      <w:lang w:val="en-US"/>
                    </w:rPr>
                    <w:t>1012</w:t>
                  </w:r>
                  <w:r>
                    <w:t>:  Insert the variables below upon system implementation</w:t>
                  </w:r>
                  <w:r>
                    <w:rPr>
                      <w:lang w:val="en-US"/>
                    </w:rPr>
                    <w:t xml:space="preserve"> of the Real-Time Co-Optimization (RTC) project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443"/>
                    <w:gridCol w:w="736"/>
                    <w:gridCol w:w="6116"/>
                  </w:tblGrid>
                  <w:tr w:rsidR="00D211B0" w:rsidRPr="0003648D" w14:paraId="0705788D" w14:textId="77777777" w:rsidTr="001552F0">
                    <w:trPr>
                      <w:cantSplit/>
                    </w:trPr>
                    <w:tc>
                      <w:tcPr>
                        <w:tcW w:w="1314" w:type="pct"/>
                        <w:tcBorders>
                          <w:bottom w:val="single" w:sz="4" w:space="0" w:color="auto"/>
                        </w:tcBorders>
                      </w:tcPr>
                      <w:p w14:paraId="57A62E4C" w14:textId="75378D21" w:rsidR="00D211B0" w:rsidRPr="0003648D" w:rsidRDefault="00D211B0" w:rsidP="00D211B0">
                        <w:pPr>
                          <w:pStyle w:val="tablebody0"/>
                        </w:pPr>
                        <w:r>
                          <w:t>UDAASOAWD</w:t>
                        </w:r>
                        <w:r w:rsidRPr="00815A15">
                          <w:rPr>
                            <w:i/>
                            <w:vertAlign w:val="subscript"/>
                          </w:rPr>
                          <w:t xml:space="preserve"> mp</w:t>
                        </w:r>
                      </w:p>
                    </w:tc>
                    <w:tc>
                      <w:tcPr>
                        <w:tcW w:w="396" w:type="pct"/>
                        <w:tcBorders>
                          <w:bottom w:val="single" w:sz="4" w:space="0" w:color="auto"/>
                        </w:tcBorders>
                      </w:tcPr>
                      <w:p w14:paraId="1D4AFED7" w14:textId="6F2E2FE9" w:rsidR="00D211B0" w:rsidRPr="0003648D" w:rsidRDefault="00D211B0" w:rsidP="00D211B0">
                        <w:pPr>
                          <w:pStyle w:val="tablebody0"/>
                        </w:pPr>
                        <w:r>
                          <w:t>MWh</w:t>
                        </w:r>
                      </w:p>
                    </w:tc>
                    <w:tc>
                      <w:tcPr>
                        <w:tcW w:w="3290" w:type="pct"/>
                        <w:tcBorders>
                          <w:bottom w:val="single" w:sz="4" w:space="0" w:color="auto"/>
                        </w:tcBorders>
                      </w:tcPr>
                      <w:p w14:paraId="611F40CA" w14:textId="59F0E079" w:rsidR="00D211B0" w:rsidRPr="0003648D" w:rsidRDefault="00D211B0" w:rsidP="00D211B0">
                        <w:pPr>
                          <w:pStyle w:val="tablebody0"/>
                          <w:rPr>
                            <w:i/>
                          </w:rPr>
                        </w:pPr>
                        <w:r w:rsidRPr="008649D0">
                          <w:rPr>
                            <w:i/>
                          </w:rPr>
                          <w:t xml:space="preserve">Uplift Day-Ahead Ancillary Service </w:t>
                        </w:r>
                        <w:r>
                          <w:rPr>
                            <w:i/>
                          </w:rPr>
                          <w:t xml:space="preserve">Only </w:t>
                        </w:r>
                        <w:r w:rsidRPr="008649D0">
                          <w:rPr>
                            <w:i/>
                          </w:rPr>
                          <w:t>Award per Market Participant—</w:t>
                        </w:r>
                        <w:r w:rsidRPr="008649D0">
                          <w:t xml:space="preserve">The monthly total of </w:t>
                        </w:r>
                        <w:r>
                          <w:t xml:space="preserve">Market Participant </w:t>
                        </w:r>
                        <w:r>
                          <w:rPr>
                            <w:i/>
                          </w:rPr>
                          <w:t xml:space="preserve">mp’s </w:t>
                        </w:r>
                        <w:r>
                          <w:t>A</w:t>
                        </w:r>
                        <w:r w:rsidRPr="008649D0">
                          <w:t xml:space="preserve">ncillary </w:t>
                        </w:r>
                        <w:r>
                          <w:t>S</w:t>
                        </w:r>
                        <w:r w:rsidRPr="008649D0">
                          <w:t xml:space="preserve">ervice </w:t>
                        </w:r>
                        <w:r>
                          <w:t xml:space="preserve">Only Offers </w:t>
                        </w:r>
                        <w:r w:rsidRPr="00EF4A50">
                          <w:t>awarded in DAM</w:t>
                        </w:r>
                        <w:r w:rsidRPr="008649D0">
                          <w:t>, where the Market Participant is a QSE assigned to the registered Counter-Party.</w:t>
                        </w:r>
                      </w:p>
                    </w:tc>
                  </w:tr>
                  <w:tr w:rsidR="00D211B0" w:rsidRPr="0003648D" w14:paraId="210635D4" w14:textId="77777777" w:rsidTr="001552F0">
                    <w:trPr>
                      <w:cantSplit/>
                    </w:trPr>
                    <w:tc>
                      <w:tcPr>
                        <w:tcW w:w="1314" w:type="pct"/>
                        <w:tcBorders>
                          <w:bottom w:val="single" w:sz="4" w:space="0" w:color="auto"/>
                        </w:tcBorders>
                      </w:tcPr>
                      <w:p w14:paraId="77EE73AA" w14:textId="08E07247" w:rsidR="00D211B0" w:rsidRPr="00892119" w:rsidRDefault="00D211B0" w:rsidP="00D211B0">
                        <w:pPr>
                          <w:pStyle w:val="tablebody0"/>
                        </w:pPr>
                        <w:r w:rsidRPr="008649D0">
                          <w:t xml:space="preserve">DARUOAWD </w:t>
                        </w:r>
                        <w:r w:rsidRPr="008649D0">
                          <w:rPr>
                            <w:i/>
                            <w:vertAlign w:val="subscript"/>
                          </w:rPr>
                          <w:t>mp, h</w:t>
                        </w:r>
                      </w:p>
                    </w:tc>
                    <w:tc>
                      <w:tcPr>
                        <w:tcW w:w="396" w:type="pct"/>
                        <w:tcBorders>
                          <w:bottom w:val="single" w:sz="4" w:space="0" w:color="auto"/>
                        </w:tcBorders>
                      </w:tcPr>
                      <w:p w14:paraId="11D834AD" w14:textId="258CCBFC" w:rsidR="00D211B0" w:rsidRPr="00892119" w:rsidRDefault="00D211B0" w:rsidP="00D211B0">
                        <w:pPr>
                          <w:pStyle w:val="tablebody0"/>
                          <w:rPr>
                            <w:bCs/>
                          </w:rPr>
                        </w:pPr>
                        <w:r w:rsidRPr="008649D0">
                          <w:t>MW</w:t>
                        </w:r>
                      </w:p>
                    </w:tc>
                    <w:tc>
                      <w:tcPr>
                        <w:tcW w:w="3290" w:type="pct"/>
                        <w:tcBorders>
                          <w:bottom w:val="single" w:sz="4" w:space="0" w:color="auto"/>
                        </w:tcBorders>
                      </w:tcPr>
                      <w:p w14:paraId="2E698453" w14:textId="24FFCBFB" w:rsidR="00D211B0" w:rsidRPr="00892119" w:rsidRDefault="00D211B0" w:rsidP="0020251B">
                        <w:pPr>
                          <w:pStyle w:val="tablebody0"/>
                          <w:rPr>
                            <w:i/>
                          </w:rPr>
                        </w:pPr>
                        <w:r w:rsidRPr="008649D0">
                          <w:rPr>
                            <w:i/>
                          </w:rPr>
                          <w:t>Day-Ahead Reg-Up Only Award per Market Participant</w:t>
                        </w:r>
                        <w:r w:rsidRPr="008649D0">
                          <w:sym w:font="Symbol" w:char="F0BE"/>
                        </w:r>
                        <w:r w:rsidRPr="008649D0">
                          <w:t>The Reg-Up Only capacity quantity awarded in the D</w:t>
                        </w:r>
                        <w:r>
                          <w:t>AM</w:t>
                        </w:r>
                        <w:r w:rsidRPr="008649D0">
                          <w:t xml:space="preserve"> to the Market Participant </w:t>
                        </w:r>
                        <w:r w:rsidRPr="008649D0">
                          <w:rPr>
                            <w:i/>
                          </w:rPr>
                          <w:t>mp</w:t>
                        </w:r>
                        <w:r w:rsidRPr="008649D0">
                          <w:t xml:space="preserve"> for the hour </w:t>
                        </w:r>
                        <w:r w:rsidRPr="008649D0">
                          <w:rPr>
                            <w:i/>
                          </w:rPr>
                          <w:t>h</w:t>
                        </w:r>
                        <w:r w:rsidRPr="008649D0">
                          <w:t>.</w:t>
                        </w:r>
                      </w:p>
                    </w:tc>
                  </w:tr>
                  <w:tr w:rsidR="00D211B0" w:rsidRPr="0003648D" w14:paraId="55A269D8" w14:textId="77777777" w:rsidTr="00D211B0">
                    <w:trPr>
                      <w:cantSplit/>
                    </w:trPr>
                    <w:tc>
                      <w:tcPr>
                        <w:tcW w:w="1314" w:type="pct"/>
                      </w:tcPr>
                      <w:p w14:paraId="064BB90C" w14:textId="60D8636A" w:rsidR="00D211B0" w:rsidRPr="0003648D" w:rsidRDefault="00D211B0" w:rsidP="00D211B0">
                        <w:pPr>
                          <w:pStyle w:val="tablebody0"/>
                        </w:pPr>
                        <w:r>
                          <w:t>DARD</w:t>
                        </w:r>
                        <w:r w:rsidRPr="00815A15">
                          <w:t xml:space="preserve">OAWD </w:t>
                        </w:r>
                        <w:r w:rsidRPr="00815A15">
                          <w:rPr>
                            <w:i/>
                            <w:vertAlign w:val="subscript"/>
                          </w:rPr>
                          <w:t>mp, h</w:t>
                        </w:r>
                      </w:p>
                    </w:tc>
                    <w:tc>
                      <w:tcPr>
                        <w:tcW w:w="396" w:type="pct"/>
                      </w:tcPr>
                      <w:p w14:paraId="2206A939" w14:textId="686AB6F1" w:rsidR="00D211B0" w:rsidRPr="0003648D" w:rsidRDefault="00D211B0" w:rsidP="00D211B0">
                        <w:pPr>
                          <w:pStyle w:val="tablebody0"/>
                        </w:pPr>
                        <w:r w:rsidRPr="00815A15">
                          <w:t>MW</w:t>
                        </w:r>
                      </w:p>
                    </w:tc>
                    <w:tc>
                      <w:tcPr>
                        <w:tcW w:w="3290" w:type="pct"/>
                      </w:tcPr>
                      <w:p w14:paraId="7496BB75" w14:textId="04412325" w:rsidR="00D211B0" w:rsidRPr="0003648D" w:rsidRDefault="00D211B0" w:rsidP="000E5BA4">
                        <w:pPr>
                          <w:pStyle w:val="tablebody0"/>
                          <w:rPr>
                            <w:i/>
                          </w:rPr>
                        </w:pPr>
                        <w:r w:rsidRPr="00815A15">
                          <w:rPr>
                            <w:i/>
                          </w:rPr>
                          <w:t xml:space="preserve">Day-Ahead </w:t>
                        </w:r>
                        <w:r>
                          <w:rPr>
                            <w:i/>
                          </w:rPr>
                          <w:t>Reg-Down</w:t>
                        </w:r>
                        <w:r w:rsidRPr="00815A15">
                          <w:rPr>
                            <w:i/>
                          </w:rPr>
                          <w:t xml:space="preserve"> Only Award per Market Participant</w:t>
                        </w:r>
                        <w:r w:rsidRPr="00815A15">
                          <w:sym w:font="Symbol" w:char="F0BE"/>
                        </w:r>
                        <w:r>
                          <w:t>The Reg-Down</w:t>
                        </w:r>
                        <w:r w:rsidRPr="00815A15">
                          <w:t xml:space="preserve"> Only capacity quantity awarded in the D</w:t>
                        </w:r>
                        <w:r>
                          <w:t>AM</w:t>
                        </w:r>
                        <w:r w:rsidRPr="00815A15">
                          <w:t xml:space="preserve"> to the Market Participant </w:t>
                        </w:r>
                        <w:r w:rsidRPr="00815A15">
                          <w:rPr>
                            <w:i/>
                          </w:rPr>
                          <w:t>mp</w:t>
                        </w:r>
                        <w:r w:rsidRPr="00815A15">
                          <w:t xml:space="preserve"> for the hour </w:t>
                        </w:r>
                        <w:r w:rsidRPr="00815A15">
                          <w:rPr>
                            <w:i/>
                          </w:rPr>
                          <w:t>h</w:t>
                        </w:r>
                        <w:r w:rsidRPr="00815A15">
                          <w:t>.</w:t>
                        </w:r>
                      </w:p>
                    </w:tc>
                  </w:tr>
                  <w:tr w:rsidR="00D211B0" w:rsidRPr="0003648D" w14:paraId="4F8473A2" w14:textId="77777777" w:rsidTr="00D211B0">
                    <w:trPr>
                      <w:cantSplit/>
                    </w:trPr>
                    <w:tc>
                      <w:tcPr>
                        <w:tcW w:w="1314" w:type="pct"/>
                      </w:tcPr>
                      <w:p w14:paraId="4E6F9361" w14:textId="519EED81" w:rsidR="00D211B0" w:rsidRPr="0003648D" w:rsidRDefault="00D211B0" w:rsidP="00D211B0">
                        <w:pPr>
                          <w:pStyle w:val="tablebody0"/>
                        </w:pPr>
                        <w:r>
                          <w:t>DARR</w:t>
                        </w:r>
                        <w:r w:rsidRPr="00815A15">
                          <w:t xml:space="preserve">OAWD </w:t>
                        </w:r>
                        <w:r w:rsidRPr="00815A15">
                          <w:rPr>
                            <w:i/>
                            <w:vertAlign w:val="subscript"/>
                          </w:rPr>
                          <w:t>mp, h</w:t>
                        </w:r>
                      </w:p>
                    </w:tc>
                    <w:tc>
                      <w:tcPr>
                        <w:tcW w:w="396" w:type="pct"/>
                      </w:tcPr>
                      <w:p w14:paraId="2975BE64" w14:textId="590A4E12" w:rsidR="00D211B0" w:rsidRPr="0003648D" w:rsidRDefault="00D211B0" w:rsidP="00D211B0">
                        <w:pPr>
                          <w:pStyle w:val="tablebody0"/>
                        </w:pPr>
                        <w:r w:rsidRPr="00815A15">
                          <w:t>MW</w:t>
                        </w:r>
                      </w:p>
                    </w:tc>
                    <w:tc>
                      <w:tcPr>
                        <w:tcW w:w="3290" w:type="pct"/>
                      </w:tcPr>
                      <w:p w14:paraId="2515C71D" w14:textId="42C9E7C7" w:rsidR="00D211B0" w:rsidRPr="0003648D" w:rsidRDefault="00D211B0" w:rsidP="00EA4531">
                        <w:pPr>
                          <w:pStyle w:val="tablebody0"/>
                          <w:rPr>
                            <w:i/>
                          </w:rPr>
                        </w:pPr>
                        <w:r w:rsidRPr="00815A15">
                          <w:rPr>
                            <w:i/>
                          </w:rPr>
                          <w:t xml:space="preserve">Day-Ahead </w:t>
                        </w:r>
                        <w:r>
                          <w:rPr>
                            <w:i/>
                          </w:rPr>
                          <w:t>Responsive Reserve</w:t>
                        </w:r>
                        <w:r w:rsidRPr="00815A15">
                          <w:rPr>
                            <w:i/>
                          </w:rPr>
                          <w:t xml:space="preserve"> Only Award per Market Participant</w:t>
                        </w:r>
                        <w:r w:rsidRPr="00815A15">
                          <w:sym w:font="Symbol" w:char="F0BE"/>
                        </w:r>
                        <w:r w:rsidRPr="00815A15">
                          <w:t xml:space="preserve"> The </w:t>
                        </w:r>
                        <w:r w:rsidR="00EA4531">
                          <w:t>Responsive Reserve (</w:t>
                        </w:r>
                        <w:r>
                          <w:t>RRS</w:t>
                        </w:r>
                        <w:r w:rsidR="00EA4531">
                          <w:t>)</w:t>
                        </w:r>
                        <w:r w:rsidRPr="00815A15">
                          <w:t xml:space="preserve"> Only capacity quantity awarded in the D</w:t>
                        </w:r>
                        <w:r>
                          <w:t>AM</w:t>
                        </w:r>
                        <w:r w:rsidRPr="00815A15">
                          <w:t xml:space="preserve"> to the Market Participant </w:t>
                        </w:r>
                        <w:r w:rsidRPr="00815A15">
                          <w:rPr>
                            <w:i/>
                          </w:rPr>
                          <w:t>mp</w:t>
                        </w:r>
                        <w:r w:rsidRPr="00815A15">
                          <w:t xml:space="preserve"> for the hour </w:t>
                        </w:r>
                        <w:r w:rsidRPr="00815A15">
                          <w:rPr>
                            <w:i/>
                          </w:rPr>
                          <w:t>h</w:t>
                        </w:r>
                        <w:r w:rsidRPr="00815A15">
                          <w:t>.</w:t>
                        </w:r>
                      </w:p>
                    </w:tc>
                  </w:tr>
                  <w:tr w:rsidR="00D211B0" w:rsidRPr="0003648D" w14:paraId="5842EC1B" w14:textId="77777777" w:rsidTr="00D211B0">
                    <w:trPr>
                      <w:cantSplit/>
                    </w:trPr>
                    <w:tc>
                      <w:tcPr>
                        <w:tcW w:w="1314" w:type="pct"/>
                      </w:tcPr>
                      <w:p w14:paraId="2754EE5C" w14:textId="7683E5E8" w:rsidR="00D211B0" w:rsidRPr="0003648D" w:rsidRDefault="00D211B0" w:rsidP="00D211B0">
                        <w:pPr>
                          <w:pStyle w:val="tablebody0"/>
                        </w:pPr>
                        <w:r>
                          <w:t>DANS</w:t>
                        </w:r>
                        <w:r w:rsidRPr="00815A15">
                          <w:t xml:space="preserve">OAWD </w:t>
                        </w:r>
                        <w:r w:rsidRPr="00815A15">
                          <w:rPr>
                            <w:i/>
                            <w:vertAlign w:val="subscript"/>
                          </w:rPr>
                          <w:t>mp, h</w:t>
                        </w:r>
                      </w:p>
                    </w:tc>
                    <w:tc>
                      <w:tcPr>
                        <w:tcW w:w="396" w:type="pct"/>
                      </w:tcPr>
                      <w:p w14:paraId="00491778" w14:textId="3D17E380" w:rsidR="00D211B0" w:rsidRPr="0003648D" w:rsidRDefault="00D211B0" w:rsidP="00D211B0">
                        <w:pPr>
                          <w:pStyle w:val="tablebody0"/>
                        </w:pPr>
                        <w:r w:rsidRPr="00815A15">
                          <w:t>MW</w:t>
                        </w:r>
                      </w:p>
                    </w:tc>
                    <w:tc>
                      <w:tcPr>
                        <w:tcW w:w="3290" w:type="pct"/>
                      </w:tcPr>
                      <w:p w14:paraId="0F15F41E" w14:textId="2858D688" w:rsidR="00D211B0" w:rsidRPr="0003648D" w:rsidRDefault="00D211B0" w:rsidP="000E5BA4">
                        <w:pPr>
                          <w:pStyle w:val="tablebody0"/>
                          <w:rPr>
                            <w:i/>
                          </w:rPr>
                        </w:pPr>
                        <w:r w:rsidRPr="00815A15">
                          <w:rPr>
                            <w:i/>
                          </w:rPr>
                          <w:t xml:space="preserve">Day-Ahead </w:t>
                        </w:r>
                        <w:r>
                          <w:rPr>
                            <w:i/>
                          </w:rPr>
                          <w:t>Non-Spin</w:t>
                        </w:r>
                        <w:r w:rsidRPr="00815A15">
                          <w:rPr>
                            <w:i/>
                          </w:rPr>
                          <w:t xml:space="preserve"> Only Award per Market Participant</w:t>
                        </w:r>
                        <w:r w:rsidRPr="00815A15">
                          <w:sym w:font="Symbol" w:char="F0BE"/>
                        </w:r>
                        <w:r w:rsidRPr="00815A15">
                          <w:t xml:space="preserve">The </w:t>
                        </w:r>
                        <w:r>
                          <w:t>Non-Spin</w:t>
                        </w:r>
                        <w:r w:rsidRPr="00815A15">
                          <w:t xml:space="preserve"> Only capacity quantity awarded in the D</w:t>
                        </w:r>
                        <w:r>
                          <w:t>AM</w:t>
                        </w:r>
                        <w:r w:rsidRPr="00815A15">
                          <w:t xml:space="preserve"> to the Market Participant </w:t>
                        </w:r>
                        <w:r w:rsidRPr="00815A15">
                          <w:rPr>
                            <w:i/>
                          </w:rPr>
                          <w:t>mp</w:t>
                        </w:r>
                        <w:r w:rsidRPr="00815A15">
                          <w:t xml:space="preserve"> for the hour </w:t>
                        </w:r>
                        <w:r w:rsidRPr="00815A15">
                          <w:rPr>
                            <w:i/>
                          </w:rPr>
                          <w:t>h</w:t>
                        </w:r>
                        <w:r w:rsidRPr="00815A15">
                          <w:t>.</w:t>
                        </w:r>
                      </w:p>
                    </w:tc>
                  </w:tr>
                  <w:tr w:rsidR="00D211B0" w:rsidRPr="0003648D" w14:paraId="433E7732" w14:textId="77777777" w:rsidTr="001552F0">
                    <w:trPr>
                      <w:cantSplit/>
                    </w:trPr>
                    <w:tc>
                      <w:tcPr>
                        <w:tcW w:w="1314" w:type="pct"/>
                        <w:tcBorders>
                          <w:bottom w:val="single" w:sz="4" w:space="0" w:color="auto"/>
                        </w:tcBorders>
                      </w:tcPr>
                      <w:p w14:paraId="3A8BE367" w14:textId="2F647159" w:rsidR="00D211B0" w:rsidRPr="0003648D" w:rsidRDefault="00D211B0" w:rsidP="00D211B0">
                        <w:pPr>
                          <w:pStyle w:val="tablebody0"/>
                        </w:pPr>
                        <w:r>
                          <w:t>DAECR</w:t>
                        </w:r>
                        <w:r w:rsidRPr="00815A15">
                          <w:t xml:space="preserve">OAWD </w:t>
                        </w:r>
                        <w:r w:rsidRPr="00815A15">
                          <w:rPr>
                            <w:i/>
                            <w:vertAlign w:val="subscript"/>
                          </w:rPr>
                          <w:t>mp, h</w:t>
                        </w:r>
                      </w:p>
                    </w:tc>
                    <w:tc>
                      <w:tcPr>
                        <w:tcW w:w="396" w:type="pct"/>
                        <w:tcBorders>
                          <w:bottom w:val="single" w:sz="4" w:space="0" w:color="auto"/>
                        </w:tcBorders>
                      </w:tcPr>
                      <w:p w14:paraId="239FC2A8" w14:textId="3B5D2040" w:rsidR="00D211B0" w:rsidRPr="0003648D" w:rsidRDefault="00D211B0" w:rsidP="00D211B0">
                        <w:pPr>
                          <w:pStyle w:val="tablebody0"/>
                        </w:pPr>
                        <w:r w:rsidRPr="00815A15">
                          <w:t>MW</w:t>
                        </w:r>
                      </w:p>
                    </w:tc>
                    <w:tc>
                      <w:tcPr>
                        <w:tcW w:w="3290" w:type="pct"/>
                        <w:tcBorders>
                          <w:bottom w:val="single" w:sz="4" w:space="0" w:color="auto"/>
                        </w:tcBorders>
                      </w:tcPr>
                      <w:p w14:paraId="42FB7183" w14:textId="30B50B9F" w:rsidR="00D211B0" w:rsidRPr="0003648D" w:rsidRDefault="00D211B0" w:rsidP="00EA4531">
                        <w:pPr>
                          <w:pStyle w:val="tablebody0"/>
                          <w:rPr>
                            <w:i/>
                          </w:rPr>
                        </w:pPr>
                        <w:r w:rsidRPr="00815A15">
                          <w:rPr>
                            <w:i/>
                          </w:rPr>
                          <w:t xml:space="preserve">Day-Ahead </w:t>
                        </w:r>
                        <w:r>
                          <w:rPr>
                            <w:i/>
                          </w:rPr>
                          <w:t>ERCOT Contingency Reserve Service Only</w:t>
                        </w:r>
                        <w:r w:rsidRPr="00815A15">
                          <w:rPr>
                            <w:i/>
                          </w:rPr>
                          <w:t xml:space="preserve"> Award per Market Participant</w:t>
                        </w:r>
                        <w:r w:rsidRPr="00815A15">
                          <w:sym w:font="Symbol" w:char="F0BE"/>
                        </w:r>
                        <w:r w:rsidRPr="00815A15">
                          <w:t xml:space="preserve">The </w:t>
                        </w:r>
                        <w:r w:rsidR="00EA4531">
                          <w:t>ERCOT Contingency Reserve Service (</w:t>
                        </w:r>
                        <w:r>
                          <w:t>ECRS</w:t>
                        </w:r>
                        <w:r w:rsidR="00EA4531">
                          <w:t>)</w:t>
                        </w:r>
                        <w:r w:rsidRPr="00815A15">
                          <w:t xml:space="preserve"> Only capacity quantity awarded in the D</w:t>
                        </w:r>
                        <w:r>
                          <w:t>AM</w:t>
                        </w:r>
                        <w:r w:rsidRPr="00815A15">
                          <w:t xml:space="preserve"> to the Market Participant </w:t>
                        </w:r>
                        <w:r w:rsidRPr="00815A15">
                          <w:rPr>
                            <w:i/>
                          </w:rPr>
                          <w:t>mp</w:t>
                        </w:r>
                        <w:r w:rsidRPr="00815A15">
                          <w:t xml:space="preserve"> for the hour </w:t>
                        </w:r>
                        <w:r w:rsidRPr="00815A15">
                          <w:rPr>
                            <w:i/>
                          </w:rPr>
                          <w:t>h</w:t>
                        </w:r>
                        <w:r w:rsidRPr="00815A15">
                          <w:t>.</w:t>
                        </w:r>
                      </w:p>
                    </w:tc>
                  </w:tr>
                </w:tbl>
                <w:p w14:paraId="52C36480" w14:textId="77777777" w:rsidR="00D211B0" w:rsidRPr="00AF45BD" w:rsidRDefault="00D211B0" w:rsidP="00D211B0">
                  <w:pPr>
                    <w:pStyle w:val="tablebody0"/>
                    <w:rPr>
                      <w:i/>
                    </w:rPr>
                  </w:pPr>
                </w:p>
              </w:tc>
            </w:tr>
          </w:tbl>
          <w:p w14:paraId="20C53636" w14:textId="77777777" w:rsidR="00D211B0" w:rsidRPr="00741BD7" w:rsidRDefault="00D211B0" w:rsidP="003858AA">
            <w:pPr>
              <w:pStyle w:val="TableBody"/>
              <w:rPr>
                <w:i/>
                <w:iCs w:val="0"/>
              </w:rPr>
            </w:pPr>
          </w:p>
        </w:tc>
      </w:tr>
      <w:tr w:rsidR="00FA77FA" w14:paraId="3FE54762"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58D7AA28" w14:textId="571BF902" w:rsidR="00FA77FA" w:rsidRPr="00D164B6" w:rsidRDefault="00FA77FA" w:rsidP="00FA77FA">
            <w:pPr>
              <w:pStyle w:val="TableBody"/>
              <w:rPr>
                <w:rFonts w:eastAsia="Calibri"/>
              </w:rPr>
            </w:pPr>
            <w:r w:rsidRPr="00DA2165">
              <w:rPr>
                <w:rFonts w:eastAsia="Calibri"/>
              </w:rPr>
              <w:t>USOGTOT</w:t>
            </w:r>
            <w:r w:rsidRPr="00DA2165">
              <w:rPr>
                <w:rFonts w:eastAsia="Calibri"/>
                <w:i/>
              </w:rPr>
              <w:t xml:space="preserve"> </w:t>
            </w:r>
            <w:r w:rsidRPr="00DA2165">
              <w:rPr>
                <w:rFonts w:eastAsia="Calibri"/>
                <w:i/>
                <w:vertAlign w:val="subscript"/>
              </w:rPr>
              <w:t>mp</w:t>
            </w:r>
          </w:p>
        </w:tc>
        <w:tc>
          <w:tcPr>
            <w:tcW w:w="461" w:type="pct"/>
            <w:tcBorders>
              <w:top w:val="single" w:sz="6" w:space="0" w:color="auto"/>
              <w:left w:val="single" w:sz="6" w:space="0" w:color="auto"/>
              <w:bottom w:val="single" w:sz="6" w:space="0" w:color="auto"/>
              <w:right w:val="single" w:sz="6" w:space="0" w:color="auto"/>
            </w:tcBorders>
          </w:tcPr>
          <w:p w14:paraId="64A796FF" w14:textId="3450673F" w:rsidR="00FA77FA" w:rsidRDefault="00FA77FA" w:rsidP="00FA77FA">
            <w:pPr>
              <w:pStyle w:val="TableBody"/>
            </w:pPr>
            <w:r w:rsidRPr="00DA2165">
              <w:t>MWh</w:t>
            </w:r>
          </w:p>
        </w:tc>
        <w:tc>
          <w:tcPr>
            <w:tcW w:w="3725" w:type="pct"/>
            <w:tcBorders>
              <w:top w:val="single" w:sz="6" w:space="0" w:color="auto"/>
              <w:left w:val="single" w:sz="6" w:space="0" w:color="auto"/>
              <w:bottom w:val="single" w:sz="6" w:space="0" w:color="auto"/>
              <w:right w:val="single" w:sz="4" w:space="0" w:color="auto"/>
            </w:tcBorders>
          </w:tcPr>
          <w:p w14:paraId="3A2EC035" w14:textId="63A7BAA4" w:rsidR="00116EF1" w:rsidRPr="00D164B6" w:rsidRDefault="00FA77FA" w:rsidP="00FA77FA">
            <w:pPr>
              <w:pStyle w:val="TableBody"/>
              <w:rPr>
                <w:bCs/>
                <w:i/>
              </w:rPr>
            </w:pPr>
            <w:r w:rsidRPr="00DA2165">
              <w:rPr>
                <w:i/>
              </w:rPr>
              <w:t>Uplift Real</w:t>
            </w:r>
            <w:r w:rsidR="00D04163">
              <w:rPr>
                <w:i/>
              </w:rPr>
              <w:t>-</w:t>
            </w:r>
            <w:r w:rsidRPr="00DA2165">
              <w:rPr>
                <w:i/>
              </w:rPr>
              <w:t>Time Settlement Only Generator Site per Market Participant</w:t>
            </w:r>
            <w:r w:rsidRPr="00DA2165">
              <w:t xml:space="preserve">—The monthly sum of Real-Time energy produced by Settlement Only Generators (SOGs) represented by Market Participant </w:t>
            </w:r>
            <w:r w:rsidRPr="00DA2165">
              <w:rPr>
                <w:i/>
              </w:rPr>
              <w:t>mp</w:t>
            </w:r>
            <w:r w:rsidRPr="00DA2165">
              <w:t xml:space="preserve">, where the Market Participant is a QSE assigned to the registered Counter-Party.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695"/>
            </w:tblGrid>
            <w:tr w:rsidR="00116EF1" w14:paraId="2D5948A6" w14:textId="77777777" w:rsidTr="00CB43C2">
              <w:trPr>
                <w:trHeight w:val="206"/>
              </w:trPr>
              <w:tc>
                <w:tcPr>
                  <w:tcW w:w="0" w:type="auto"/>
                  <w:shd w:val="pct12" w:color="auto" w:fill="auto"/>
                </w:tcPr>
                <w:p w14:paraId="2E90961C" w14:textId="77777777" w:rsidR="00116EF1" w:rsidRDefault="00116EF1" w:rsidP="00116EF1">
                  <w:pPr>
                    <w:pStyle w:val="Instructions"/>
                    <w:spacing w:before="120"/>
                  </w:pPr>
                  <w:r>
                    <w:t>[NPRR</w:t>
                  </w:r>
                  <w:r>
                    <w:rPr>
                      <w:lang w:val="en-US"/>
                    </w:rPr>
                    <w:t>995</w:t>
                  </w:r>
                  <w:r>
                    <w:t>:  Replace the definition above with the following upon system implementation:]</w:t>
                  </w:r>
                </w:p>
                <w:p w14:paraId="7BDB7660" w14:textId="2F745DD1" w:rsidR="00116EF1" w:rsidRPr="008F39F7" w:rsidRDefault="00D04163" w:rsidP="00116EF1">
                  <w:pPr>
                    <w:pStyle w:val="TableBody"/>
                  </w:pPr>
                  <w:r w:rsidRPr="005D0F36">
                    <w:rPr>
                      <w:i/>
                    </w:rPr>
                    <w:t>Uplift Real</w:t>
                  </w:r>
                  <w:r>
                    <w:rPr>
                      <w:i/>
                    </w:rPr>
                    <w:t>-</w:t>
                  </w:r>
                  <w:r w:rsidRPr="005D0F36">
                    <w:rPr>
                      <w:i/>
                    </w:rPr>
                    <w:t>Time Settlement Only Generator Site per Market Participant</w:t>
                  </w:r>
                  <w:r w:rsidRPr="005D0F36">
                    <w:t xml:space="preserve">—The monthly sum of Real-Time energy produced by </w:t>
                  </w:r>
                  <w:r w:rsidRPr="005D0F36" w:rsidDel="005D0F36">
                    <w:t>Settlement Only Generators (SOGs)</w:t>
                  </w:r>
                  <w:r>
                    <w:t>, Settlement Only Distribution Generators</w:t>
                  </w:r>
                  <w:r w:rsidRPr="005D0F36" w:rsidDel="005D0F36">
                    <w:t xml:space="preserve"> </w:t>
                  </w:r>
                  <w:r>
                    <w:t xml:space="preserve">(SODGs), Settlement Only Transmission Generators (SOTGs), Settlement Only Distribution Energy Storage Systems (SODESSs), or Settlement Only Transmission Energy Storage Systems (SOTESSs) </w:t>
                  </w:r>
                  <w:r w:rsidRPr="005D0F36">
                    <w:t xml:space="preserve">represented by Market Participant </w:t>
                  </w:r>
                  <w:r w:rsidRPr="005D0F36">
                    <w:rPr>
                      <w:i/>
                    </w:rPr>
                    <w:t>mp</w:t>
                  </w:r>
                  <w:r w:rsidRPr="005D0F36">
                    <w:t>, where the Market Participant is a QSE assigned to the registered Counter-Party.</w:t>
                  </w:r>
                </w:p>
              </w:tc>
            </w:tr>
          </w:tbl>
          <w:p w14:paraId="0C58A602" w14:textId="2BDF8CF1" w:rsidR="00FA77FA" w:rsidRPr="00D164B6" w:rsidRDefault="00FA77FA" w:rsidP="00FA77FA">
            <w:pPr>
              <w:pStyle w:val="TableBody"/>
              <w:rPr>
                <w:bCs/>
                <w:i/>
              </w:rPr>
            </w:pPr>
          </w:p>
        </w:tc>
      </w:tr>
      <w:tr w:rsidR="00FA77FA" w14:paraId="2B996BDE" w14:textId="77777777" w:rsidTr="00D465F5">
        <w:trPr>
          <w:cantSplit/>
        </w:trPr>
        <w:tc>
          <w:tcPr>
            <w:tcW w:w="5000" w:type="pct"/>
            <w:gridSpan w:val="3"/>
            <w:tcBorders>
              <w:top w:val="single" w:sz="6" w:space="0" w:color="auto"/>
              <w:left w:val="single" w:sz="4" w:space="0" w:color="auto"/>
              <w:bottom w:val="single" w:sz="6" w:space="0" w:color="auto"/>
              <w:right w:val="single" w:sz="4" w:space="0" w:color="auto"/>
            </w:tcBorders>
          </w:tcPr>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535"/>
            </w:tblGrid>
            <w:tr w:rsidR="00FA77FA" w:rsidRPr="00AF45BD" w14:paraId="528A3C25" w14:textId="77777777" w:rsidTr="00CB43C2">
              <w:trPr>
                <w:trHeight w:val="206"/>
              </w:trPr>
              <w:tc>
                <w:tcPr>
                  <w:tcW w:w="9535" w:type="dxa"/>
                  <w:shd w:val="pct12" w:color="auto" w:fill="auto"/>
                </w:tcPr>
                <w:p w14:paraId="117FB8F7" w14:textId="2FA75489" w:rsidR="00FA77FA" w:rsidRDefault="00FA77FA" w:rsidP="00FA77FA">
                  <w:pPr>
                    <w:pStyle w:val="Instructions"/>
                    <w:spacing w:before="120"/>
                  </w:pPr>
                  <w:r>
                    <w:t>[NPRR</w:t>
                  </w:r>
                  <w:r>
                    <w:rPr>
                      <w:lang w:val="en-US"/>
                    </w:rPr>
                    <w:t>R995</w:t>
                  </w:r>
                  <w:r>
                    <w:t xml:space="preserve">:  </w:t>
                  </w:r>
                  <w:r>
                    <w:rPr>
                      <w:lang w:val="en-US"/>
                    </w:rPr>
                    <w:t>Insert</w:t>
                  </w:r>
                  <w:r>
                    <w:t xml:space="preserve"> the variable</w:t>
                  </w:r>
                  <w:r>
                    <w:rPr>
                      <w:lang w:val="en-US"/>
                    </w:rPr>
                    <w:t xml:space="preserve"> “</w:t>
                  </w:r>
                  <w:r w:rsidRPr="00FA77FA">
                    <w:rPr>
                      <w:rFonts w:eastAsia="Calibri"/>
                    </w:rPr>
                    <w:t xml:space="preserve">USOCLTOT </w:t>
                  </w:r>
                  <w:r w:rsidRPr="00FA77FA">
                    <w:rPr>
                      <w:rFonts w:eastAsia="Calibri"/>
                      <w:vertAlign w:val="subscript"/>
                    </w:rPr>
                    <w:t>mp</w:t>
                  </w:r>
                  <w:r>
                    <w:rPr>
                      <w:lang w:val="en-US"/>
                    </w:rPr>
                    <w:t>”</w:t>
                  </w:r>
                  <w:r>
                    <w:t xml:space="preserve"> </w:t>
                  </w:r>
                  <w:r>
                    <w:rPr>
                      <w:lang w:val="en-US"/>
                    </w:rPr>
                    <w:t>below</w:t>
                  </w:r>
                  <w:r>
                    <w:t xml:space="preserve"> upon system implementation:]</w:t>
                  </w: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442"/>
                    <w:gridCol w:w="736"/>
                    <w:gridCol w:w="6039"/>
                  </w:tblGrid>
                  <w:tr w:rsidR="00FA77FA" w:rsidRPr="0003648D" w14:paraId="50499E1F" w14:textId="77777777" w:rsidTr="00D465F5">
                    <w:trPr>
                      <w:cantSplit/>
                    </w:trPr>
                    <w:tc>
                      <w:tcPr>
                        <w:tcW w:w="1325" w:type="pct"/>
                        <w:tcBorders>
                          <w:bottom w:val="single" w:sz="4" w:space="0" w:color="auto"/>
                        </w:tcBorders>
                      </w:tcPr>
                      <w:p w14:paraId="6BE79A85" w14:textId="037839F6" w:rsidR="00FA77FA" w:rsidRPr="0003648D" w:rsidRDefault="00FA77FA" w:rsidP="00FA77FA">
                        <w:pPr>
                          <w:pStyle w:val="tablebody0"/>
                        </w:pPr>
                        <w:r>
                          <w:rPr>
                            <w:rFonts w:eastAsia="Calibri"/>
                          </w:rPr>
                          <w:t>USOCL</w:t>
                        </w:r>
                        <w:r w:rsidRPr="005D0F36">
                          <w:rPr>
                            <w:rFonts w:eastAsia="Calibri"/>
                          </w:rPr>
                          <w:t>TOT</w:t>
                        </w:r>
                        <w:r w:rsidRPr="005D0F36">
                          <w:rPr>
                            <w:rFonts w:eastAsia="Calibri"/>
                            <w:i/>
                          </w:rPr>
                          <w:t xml:space="preserve"> </w:t>
                        </w:r>
                        <w:r w:rsidRPr="005D0F36">
                          <w:rPr>
                            <w:rFonts w:eastAsia="Calibri"/>
                            <w:i/>
                            <w:vertAlign w:val="subscript"/>
                          </w:rPr>
                          <w:t>mp</w:t>
                        </w:r>
                      </w:p>
                    </w:tc>
                    <w:tc>
                      <w:tcPr>
                        <w:tcW w:w="399" w:type="pct"/>
                        <w:tcBorders>
                          <w:bottom w:val="single" w:sz="4" w:space="0" w:color="auto"/>
                        </w:tcBorders>
                      </w:tcPr>
                      <w:p w14:paraId="2F1FC266" w14:textId="5A4D3E09" w:rsidR="00FA77FA" w:rsidRPr="0003648D" w:rsidRDefault="00FA77FA" w:rsidP="00FA77FA">
                        <w:pPr>
                          <w:pStyle w:val="tablebody0"/>
                        </w:pPr>
                        <w:r w:rsidRPr="005D0F36">
                          <w:t>MWh</w:t>
                        </w:r>
                      </w:p>
                    </w:tc>
                    <w:tc>
                      <w:tcPr>
                        <w:tcW w:w="3275" w:type="pct"/>
                        <w:tcBorders>
                          <w:bottom w:val="single" w:sz="4" w:space="0" w:color="auto"/>
                        </w:tcBorders>
                      </w:tcPr>
                      <w:p w14:paraId="7071940D" w14:textId="3A2EFD54" w:rsidR="00FA77FA" w:rsidRPr="0003648D" w:rsidRDefault="00FA77FA" w:rsidP="00FA77FA">
                        <w:pPr>
                          <w:pStyle w:val="tablebody0"/>
                          <w:rPr>
                            <w:i/>
                          </w:rPr>
                        </w:pPr>
                        <w:r>
                          <w:rPr>
                            <w:i/>
                          </w:rPr>
                          <w:t>Uplift Real-</w:t>
                        </w:r>
                        <w:r w:rsidRPr="005D0F36">
                          <w:rPr>
                            <w:i/>
                          </w:rPr>
                          <w:t xml:space="preserve">Time Settlement Only </w:t>
                        </w:r>
                        <w:r>
                          <w:rPr>
                            <w:i/>
                          </w:rPr>
                          <w:t>Charging Load</w:t>
                        </w:r>
                        <w:r w:rsidRPr="005D0F36">
                          <w:rPr>
                            <w:i/>
                          </w:rPr>
                          <w:t xml:space="preserve"> per Market Participant</w:t>
                        </w:r>
                        <w:r w:rsidRPr="005D0F36">
                          <w:t xml:space="preserve">—The monthly sum of Real-Time </w:t>
                        </w:r>
                        <w:r>
                          <w:t>charging Load</w:t>
                        </w:r>
                        <w:r w:rsidRPr="005D0F36">
                          <w:t xml:space="preserve"> </w:t>
                        </w:r>
                        <w:r>
                          <w:t xml:space="preserve">that is WSL </w:t>
                        </w:r>
                        <w:r w:rsidRPr="005D0F36">
                          <w:t xml:space="preserve">by </w:t>
                        </w:r>
                        <w:r>
                          <w:t>SODESSs</w:t>
                        </w:r>
                        <w:r w:rsidR="00D04163">
                          <w:t xml:space="preserve"> </w:t>
                        </w:r>
                        <w:r>
                          <w:t xml:space="preserve">and SOTESSs </w:t>
                        </w:r>
                        <w:r w:rsidRPr="005D0F36">
                          <w:t xml:space="preserve">represented by Market Participant </w:t>
                        </w:r>
                        <w:r w:rsidRPr="005D0F36">
                          <w:rPr>
                            <w:i/>
                          </w:rPr>
                          <w:t>mp</w:t>
                        </w:r>
                        <w:r w:rsidRPr="005D0F36">
                          <w:t xml:space="preserve">, where the Market Participant is a QSE assigned to the registered Counter-Party. </w:t>
                        </w:r>
                      </w:p>
                    </w:tc>
                  </w:tr>
                </w:tbl>
                <w:p w14:paraId="3343FE94" w14:textId="77777777" w:rsidR="00FA77FA" w:rsidRPr="00AF45BD" w:rsidRDefault="00FA77FA" w:rsidP="00FA77FA">
                  <w:pPr>
                    <w:pStyle w:val="tablebody0"/>
                    <w:rPr>
                      <w:i/>
                    </w:rPr>
                  </w:pPr>
                </w:p>
              </w:tc>
            </w:tr>
          </w:tbl>
          <w:p w14:paraId="0D059E5F" w14:textId="77777777" w:rsidR="00FA77FA" w:rsidRPr="00612551" w:rsidRDefault="00FA77FA" w:rsidP="00FA77FA">
            <w:pPr>
              <w:pStyle w:val="TableBody"/>
              <w:rPr>
                <w:i/>
              </w:rPr>
            </w:pPr>
          </w:p>
        </w:tc>
      </w:tr>
      <w:tr w:rsidR="00FA77FA" w14:paraId="0BE4C5A3"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725384A5" w14:textId="4CB732CB" w:rsidR="00FA77FA" w:rsidRDefault="00FA77FA" w:rsidP="00FA77FA">
            <w:pPr>
              <w:pStyle w:val="TableBody"/>
              <w:rPr>
                <w:iCs w:val="0"/>
              </w:rPr>
            </w:pPr>
            <w:r w:rsidRPr="00DA2165">
              <w:lastRenderedPageBreak/>
              <w:t xml:space="preserve">RTMGSOGZ </w:t>
            </w:r>
            <w:r w:rsidRPr="00DA2165">
              <w:rPr>
                <w:i/>
                <w:vertAlign w:val="subscript"/>
              </w:rPr>
              <w:t>mp. p, i</w:t>
            </w:r>
          </w:p>
        </w:tc>
        <w:tc>
          <w:tcPr>
            <w:tcW w:w="461" w:type="pct"/>
            <w:tcBorders>
              <w:top w:val="single" w:sz="6" w:space="0" w:color="auto"/>
              <w:left w:val="single" w:sz="6" w:space="0" w:color="auto"/>
              <w:bottom w:val="single" w:sz="6" w:space="0" w:color="auto"/>
              <w:right w:val="single" w:sz="6" w:space="0" w:color="auto"/>
            </w:tcBorders>
          </w:tcPr>
          <w:p w14:paraId="0914A29C" w14:textId="2B246386" w:rsidR="00FA77FA" w:rsidRPr="00741BD7" w:rsidRDefault="00FA77FA" w:rsidP="00FA77FA">
            <w:pPr>
              <w:pStyle w:val="TableBody"/>
              <w:rPr>
                <w:iCs w:val="0"/>
              </w:rPr>
            </w:pPr>
            <w:r w:rsidRPr="00DA2165">
              <w:t>MWh</w:t>
            </w:r>
          </w:p>
        </w:tc>
        <w:tc>
          <w:tcPr>
            <w:tcW w:w="3725" w:type="pct"/>
            <w:tcBorders>
              <w:top w:val="single" w:sz="6" w:space="0" w:color="auto"/>
              <w:left w:val="single" w:sz="6" w:space="0" w:color="auto"/>
              <w:bottom w:val="single" w:sz="6" w:space="0" w:color="auto"/>
              <w:right w:val="single" w:sz="4" w:space="0" w:color="auto"/>
            </w:tcBorders>
          </w:tcPr>
          <w:p w14:paraId="2EB12152" w14:textId="6F4809DC" w:rsidR="00FA77FA" w:rsidRDefault="00FA77FA" w:rsidP="00FA77FA">
            <w:pPr>
              <w:pStyle w:val="TableBody"/>
            </w:pPr>
            <w:r w:rsidRPr="00612551">
              <w:rPr>
                <w:i/>
              </w:rPr>
              <w:t xml:space="preserve">Real-Time Metered Generation from </w:t>
            </w:r>
            <w:r>
              <w:rPr>
                <w:i/>
              </w:rPr>
              <w:t>Settlement Only G</w:t>
            </w:r>
            <w:r w:rsidRPr="00612551">
              <w:rPr>
                <w:i/>
              </w:rPr>
              <w:t>enerators</w:t>
            </w:r>
            <w:r>
              <w:rPr>
                <w:i/>
              </w:rPr>
              <w:t xml:space="preserve"> Zonal</w:t>
            </w:r>
            <w:r w:rsidRPr="00612551">
              <w:rPr>
                <w:i/>
              </w:rPr>
              <w:t xml:space="preserve"> per QSE per Settlement Point</w:t>
            </w:r>
            <w:r w:rsidRPr="00612551">
              <w:t xml:space="preserve">—The total Real-Time energy produced by </w:t>
            </w:r>
            <w:r>
              <w:t>Settlement Only Transmission Self-Generators (</w:t>
            </w:r>
            <w:r w:rsidRPr="00271E37">
              <w:t>SOTSG</w:t>
            </w:r>
            <w:r w:rsidRPr="0083340A">
              <w:t>s</w:t>
            </w:r>
            <w:r>
              <w:t xml:space="preserve">) </w:t>
            </w:r>
            <w:r w:rsidRPr="00CD2C01">
              <w:t xml:space="preserve">for the Market Participant </w:t>
            </w:r>
            <w:r w:rsidRPr="00CD2C01">
              <w:rPr>
                <w:i/>
              </w:rPr>
              <w:t>mp</w:t>
            </w:r>
            <w:r w:rsidRPr="00612551">
              <w:t xml:space="preserve"> in Load Zone Settlement Point </w:t>
            </w:r>
            <w:r w:rsidRPr="00612551">
              <w:rPr>
                <w:i/>
              </w:rPr>
              <w:t>p</w:t>
            </w:r>
            <w:r w:rsidRPr="00612551">
              <w:t>, for the 15-minute Settlement Interval.</w:t>
            </w:r>
            <w:r>
              <w:t xml:space="preserve">  </w:t>
            </w:r>
            <w:r w:rsidRPr="006D79BF">
              <w:t xml:space="preserve">MWh quantities for </w:t>
            </w:r>
            <w:r>
              <w:t>Energy Storage System (ESS), Settlement Only Distribution Generators (</w:t>
            </w:r>
            <w:r w:rsidRPr="00BE0CCF">
              <w:t>SODG</w:t>
            </w:r>
            <w:r>
              <w:t>s), and Settlement Only Transmission Generators (</w:t>
            </w:r>
            <w:r w:rsidRPr="00BE0CCF">
              <w:t>SOTG</w:t>
            </w:r>
            <w:r>
              <w:t xml:space="preserve">s) at sites </w:t>
            </w:r>
            <w:r w:rsidRPr="00A3268D">
              <w:t xml:space="preserve">where </w:t>
            </w:r>
            <w:r>
              <w:t xml:space="preserve">the ESS capacity constitutes more than 50% of the total SOG nameplate capacity </w:t>
            </w:r>
            <w:r w:rsidRPr="006D79BF">
              <w:t>will be included in this value.</w:t>
            </w:r>
            <w:r>
              <w:t xml:space="preserve">  MWh quantities for </w:t>
            </w:r>
            <w:r w:rsidRPr="00BE0CCF">
              <w:t>SODG</w:t>
            </w:r>
            <w:r>
              <w:t xml:space="preserve">s and </w:t>
            </w:r>
            <w:r w:rsidRPr="00BE0CCF">
              <w:t>SOTG</w:t>
            </w:r>
            <w:r>
              <w:t xml:space="preserve">s that opted out of nodal pricing pursuant to </w:t>
            </w:r>
            <w:r w:rsidRPr="006804FC">
              <w:t>Section 6.6.3.</w:t>
            </w:r>
            <w:r w:rsidR="00406205">
              <w:t>8</w:t>
            </w:r>
            <w:r>
              <w:t>, Real-Time Payment or Charge for Energy from a Settlement Only Distribution Generator (SODG) or a Settlement Only Transmission Generator (SOTG), will also be included in this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695"/>
            </w:tblGrid>
            <w:tr w:rsidR="00FA77FA" w14:paraId="032D62D8" w14:textId="77777777" w:rsidTr="00CB43C2">
              <w:trPr>
                <w:trHeight w:val="206"/>
              </w:trPr>
              <w:tc>
                <w:tcPr>
                  <w:tcW w:w="0" w:type="auto"/>
                  <w:shd w:val="pct12" w:color="auto" w:fill="auto"/>
                </w:tcPr>
                <w:p w14:paraId="436E6675" w14:textId="2F5AB22C" w:rsidR="00FA77FA" w:rsidRDefault="00FA77FA" w:rsidP="00FA77FA">
                  <w:pPr>
                    <w:pStyle w:val="Instructions"/>
                    <w:spacing w:before="120"/>
                  </w:pPr>
                  <w:r>
                    <w:t>[NPRR</w:t>
                  </w:r>
                  <w:r>
                    <w:rPr>
                      <w:lang w:val="en-US"/>
                    </w:rPr>
                    <w:t>995</w:t>
                  </w:r>
                  <w:r>
                    <w:t>:  Replace the definition above with the following upon system implementation:]</w:t>
                  </w:r>
                </w:p>
                <w:p w14:paraId="7D5D6660" w14:textId="39AF2380" w:rsidR="00FA77FA" w:rsidRPr="008F39F7" w:rsidRDefault="00D04163" w:rsidP="00FA77FA">
                  <w:pPr>
                    <w:pStyle w:val="TableBody"/>
                  </w:pPr>
                  <w:r w:rsidRPr="005D0F36">
                    <w:rPr>
                      <w:i/>
                    </w:rPr>
                    <w:t>Real-Time Metered Generation from Settlement Only Generators Zonal per QSE per Settlement Point</w:t>
                  </w:r>
                  <w:r w:rsidRPr="005D0F36">
                    <w:t xml:space="preserve">—The total Real-Time energy produced by Settlement Only Transmission Self-Generators (SOTSGs) for the Market Participant </w:t>
                  </w:r>
                  <w:r w:rsidRPr="005D0F36">
                    <w:rPr>
                      <w:i/>
                    </w:rPr>
                    <w:t>mp</w:t>
                  </w:r>
                  <w:r w:rsidRPr="005D0F36">
                    <w:t xml:space="preserve"> in Load Zone </w:t>
                  </w:r>
                  <w:r w:rsidRPr="00092F5C">
                    <w:t xml:space="preserve">Settlement Point </w:t>
                  </w:r>
                  <w:r w:rsidRPr="00092F5C">
                    <w:rPr>
                      <w:i/>
                    </w:rPr>
                    <w:t>p</w:t>
                  </w:r>
                  <w:r w:rsidRPr="00092F5C">
                    <w:t>, for the 15-minute Settlement Interval.  MWh quantities for Energy Storage System (ESS), SODGs</w:t>
                  </w:r>
                  <w:r>
                    <w:t>,</w:t>
                  </w:r>
                  <w:r w:rsidRPr="00092F5C">
                    <w:t xml:space="preserve"> and SOTGs at sites where the ESS capacity constitutes more than 50% of the total SOG nameplate capacity will be included in this value</w:t>
                  </w:r>
                  <w:r>
                    <w:t>.</w:t>
                  </w:r>
                  <w:r w:rsidRPr="00092F5C">
                    <w:t xml:space="preserve"> </w:t>
                  </w:r>
                  <w:r>
                    <w:t xml:space="preserve"> </w:t>
                  </w:r>
                  <w:r w:rsidRPr="00092F5C">
                    <w:t>MWh quantities for SODGs and SOTGs that opted out of nodal pricing pursuant to Section 6.6.3.</w:t>
                  </w:r>
                  <w:r w:rsidR="00406205">
                    <w:t>8</w:t>
                  </w:r>
                  <w:r w:rsidRPr="00092F5C">
                    <w:t xml:space="preserve">, Real-Time Payment or Charge for Energy from a Settlement Only Distribution Generator (SODG), Settlement Only Transmission Generator (SOTG), </w:t>
                  </w:r>
                  <w:r w:rsidRPr="00031AC3">
                    <w:t xml:space="preserve">Settlement Only Distribution Energy Storage System </w:t>
                  </w:r>
                  <w:r>
                    <w:t>(</w:t>
                  </w:r>
                  <w:r w:rsidRPr="00092F5C">
                    <w:t>SODESS</w:t>
                  </w:r>
                  <w:r>
                    <w:t>)</w:t>
                  </w:r>
                  <w:r w:rsidRPr="00092F5C">
                    <w:t xml:space="preserve">, or </w:t>
                  </w:r>
                  <w:r w:rsidRPr="00031AC3">
                    <w:t xml:space="preserve">Settlement Only Transmission Energy Storage System </w:t>
                  </w:r>
                  <w:r>
                    <w:t>(</w:t>
                  </w:r>
                  <w:r w:rsidRPr="00092F5C">
                    <w:t>SOTESS</w:t>
                  </w:r>
                  <w:r>
                    <w:t>)</w:t>
                  </w:r>
                  <w:r w:rsidRPr="00092F5C">
                    <w:t>, will also be included in this value.</w:t>
                  </w:r>
                </w:p>
              </w:tc>
            </w:tr>
          </w:tbl>
          <w:p w14:paraId="77AEE71A" w14:textId="2943F23F" w:rsidR="00FA77FA" w:rsidRDefault="00FA77FA" w:rsidP="00FA77FA">
            <w:pPr>
              <w:pStyle w:val="TableBody"/>
              <w:rPr>
                <w:i/>
                <w:iCs w:val="0"/>
              </w:rPr>
            </w:pPr>
          </w:p>
        </w:tc>
      </w:tr>
      <w:tr w:rsidR="00FA77FA" w14:paraId="09FE93AD"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37B72A23" w14:textId="70734F3F" w:rsidR="00FA77FA" w:rsidRDefault="00FA77FA" w:rsidP="00FA77FA">
            <w:pPr>
              <w:pStyle w:val="TableBody"/>
              <w:rPr>
                <w:iCs w:val="0"/>
              </w:rPr>
            </w:pPr>
            <w:r w:rsidRPr="00DA2165">
              <w:t>MEBSOGNET</w:t>
            </w:r>
            <w:r w:rsidRPr="00DA2165">
              <w:rPr>
                <w:i/>
                <w:vertAlign w:val="subscript"/>
              </w:rPr>
              <w:t xml:space="preserve"> q, gsc</w:t>
            </w:r>
          </w:p>
        </w:tc>
        <w:tc>
          <w:tcPr>
            <w:tcW w:w="461" w:type="pct"/>
            <w:tcBorders>
              <w:top w:val="single" w:sz="6" w:space="0" w:color="auto"/>
              <w:left w:val="single" w:sz="6" w:space="0" w:color="auto"/>
              <w:bottom w:val="single" w:sz="6" w:space="0" w:color="auto"/>
              <w:right w:val="single" w:sz="6" w:space="0" w:color="auto"/>
            </w:tcBorders>
          </w:tcPr>
          <w:p w14:paraId="08D85011" w14:textId="12B428E3" w:rsidR="00FA77FA" w:rsidRPr="00741BD7" w:rsidRDefault="00FA77FA" w:rsidP="00FA77FA">
            <w:pPr>
              <w:pStyle w:val="TableBody"/>
              <w:rPr>
                <w:iCs w:val="0"/>
              </w:rPr>
            </w:pPr>
            <w:r w:rsidRPr="00DA2165">
              <w:t>MWh</w:t>
            </w:r>
          </w:p>
        </w:tc>
        <w:tc>
          <w:tcPr>
            <w:tcW w:w="3725" w:type="pct"/>
            <w:tcBorders>
              <w:top w:val="single" w:sz="6" w:space="0" w:color="auto"/>
              <w:left w:val="single" w:sz="6" w:space="0" w:color="auto"/>
              <w:bottom w:val="single" w:sz="6" w:space="0" w:color="auto"/>
              <w:right w:val="single" w:sz="4" w:space="0" w:color="auto"/>
            </w:tcBorders>
          </w:tcPr>
          <w:p w14:paraId="3551CF5F" w14:textId="07F3281E" w:rsidR="00FA77FA" w:rsidRDefault="00FA77FA" w:rsidP="00FA77FA">
            <w:pPr>
              <w:pStyle w:val="TableBody"/>
            </w:pPr>
            <w:r w:rsidRPr="00DA2165">
              <w:rPr>
                <w:i/>
              </w:rPr>
              <w:t>Net Metered energy at gsc for an SODG or SOTG Site</w:t>
            </w:r>
            <w:r w:rsidRPr="00DA2165">
              <w:sym w:font="Symbol" w:char="F0BE"/>
            </w:r>
            <w:r w:rsidRPr="00DA2165">
              <w:t>The net sum for all Settlement Meters for SODG or SOTG site</w:t>
            </w:r>
            <w:r w:rsidRPr="00DA2165">
              <w:rPr>
                <w:i/>
              </w:rPr>
              <w:t xml:space="preserve"> gsc</w:t>
            </w:r>
            <w:r w:rsidRPr="00DA2165">
              <w:t xml:space="preserve"> represented by QSE </w:t>
            </w:r>
            <w:r w:rsidRPr="00DA2165">
              <w:rPr>
                <w:i/>
              </w:rPr>
              <w:t>q</w:t>
            </w:r>
            <w:r w:rsidRPr="00DA2165">
              <w:t>.  A positive value indicates an injection of power to the ERCOT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695"/>
            </w:tblGrid>
            <w:tr w:rsidR="00116EF1" w14:paraId="4F533DB7" w14:textId="77777777" w:rsidTr="00CB43C2">
              <w:trPr>
                <w:trHeight w:val="206"/>
              </w:trPr>
              <w:tc>
                <w:tcPr>
                  <w:tcW w:w="0" w:type="auto"/>
                  <w:shd w:val="pct12" w:color="auto" w:fill="auto"/>
                </w:tcPr>
                <w:p w14:paraId="2484BB7D" w14:textId="77777777" w:rsidR="00116EF1" w:rsidRDefault="00116EF1" w:rsidP="00116EF1">
                  <w:pPr>
                    <w:pStyle w:val="Instructions"/>
                    <w:spacing w:before="120"/>
                  </w:pPr>
                  <w:r>
                    <w:t>[NPRR</w:t>
                  </w:r>
                  <w:r>
                    <w:rPr>
                      <w:lang w:val="en-US"/>
                    </w:rPr>
                    <w:t>995</w:t>
                  </w:r>
                  <w:r>
                    <w:t>:  Replace the definition above with the following upon system implementation:]</w:t>
                  </w:r>
                </w:p>
                <w:p w14:paraId="13195EB7" w14:textId="787D257A" w:rsidR="00116EF1" w:rsidRPr="008F39F7" w:rsidRDefault="00116EF1" w:rsidP="00116EF1">
                  <w:pPr>
                    <w:pStyle w:val="TableBody"/>
                  </w:pPr>
                  <w:r w:rsidRPr="009752BE">
                    <w:rPr>
                      <w:i/>
                    </w:rPr>
                    <w:t xml:space="preserve">Net Metered energy at gsc </w:t>
                  </w:r>
                  <w:r w:rsidRPr="005D0F36">
                    <w:rPr>
                      <w:i/>
                    </w:rPr>
                    <w:t>for an SODG</w:t>
                  </w:r>
                  <w:r>
                    <w:rPr>
                      <w:i/>
                    </w:rPr>
                    <w:t>,</w:t>
                  </w:r>
                  <w:r w:rsidRPr="005D0F36">
                    <w:rPr>
                      <w:i/>
                    </w:rPr>
                    <w:t xml:space="preserve"> SOTG</w:t>
                  </w:r>
                  <w:r>
                    <w:rPr>
                      <w:i/>
                    </w:rPr>
                    <w:t>, SODESS, or SOTESS</w:t>
                  </w:r>
                  <w:r w:rsidRPr="005D0F36">
                    <w:rPr>
                      <w:i/>
                    </w:rPr>
                    <w:t xml:space="preserve"> Site</w:t>
                  </w:r>
                  <w:r w:rsidRPr="005D0F36">
                    <w:sym w:font="Symbol" w:char="F0BE"/>
                  </w:r>
                  <w:r w:rsidRPr="005D0F36">
                    <w:t xml:space="preserve">The </w:t>
                  </w:r>
                  <w:r>
                    <w:t>net sum for all</w:t>
                  </w:r>
                  <w:r w:rsidRPr="005D0F36">
                    <w:t xml:space="preserve"> Settlement Meters for SODG</w:t>
                  </w:r>
                  <w:r>
                    <w:t xml:space="preserve">, </w:t>
                  </w:r>
                  <w:r w:rsidRPr="005D0F36">
                    <w:t>SOTG</w:t>
                  </w:r>
                  <w:r>
                    <w:t>, SODESS, or SOTESS</w:t>
                  </w:r>
                  <w:r w:rsidRPr="005D0F36">
                    <w:t xml:space="preserve"> site </w:t>
                  </w:r>
                  <w:r w:rsidRPr="005D0F36">
                    <w:rPr>
                      <w:i/>
                    </w:rPr>
                    <w:t>gsc</w:t>
                  </w:r>
                  <w:r w:rsidRPr="005D0F36">
                    <w:t xml:space="preserve"> represented by </w:t>
                  </w:r>
                  <w:r>
                    <w:t>QSE</w:t>
                  </w:r>
                  <w:r w:rsidRPr="005D0F36">
                    <w:t xml:space="preserve"> </w:t>
                  </w:r>
                  <w:r>
                    <w:rPr>
                      <w:i/>
                    </w:rPr>
                    <w:t xml:space="preserve">q </w:t>
                  </w:r>
                  <w:r w:rsidRPr="00CA280F">
                    <w:t xml:space="preserve">for the 15-minute Settlement </w:t>
                  </w:r>
                  <w:r w:rsidRPr="009752BE">
                    <w:t>Interval.  A positive value indicates an injection of power to the ERCOT System.</w:t>
                  </w:r>
                </w:p>
              </w:tc>
            </w:tr>
          </w:tbl>
          <w:p w14:paraId="6D845D5C" w14:textId="704F8297" w:rsidR="00116EF1" w:rsidRDefault="00116EF1" w:rsidP="00FA77FA">
            <w:pPr>
              <w:pStyle w:val="TableBody"/>
              <w:rPr>
                <w:i/>
                <w:iCs w:val="0"/>
              </w:rPr>
            </w:pPr>
          </w:p>
        </w:tc>
      </w:tr>
      <w:tr w:rsidR="00FA77FA" w14:paraId="2E5E5961" w14:textId="77777777" w:rsidTr="00D465F5">
        <w:trPr>
          <w:cantSplit/>
        </w:trPr>
        <w:tc>
          <w:tcPr>
            <w:tcW w:w="5000" w:type="pct"/>
            <w:gridSpan w:val="3"/>
            <w:tcBorders>
              <w:top w:val="single" w:sz="6" w:space="0" w:color="auto"/>
              <w:left w:val="single" w:sz="4" w:space="0" w:color="auto"/>
              <w:bottom w:val="single" w:sz="6" w:space="0" w:color="auto"/>
              <w:right w:val="single" w:sz="4" w:space="0" w:color="auto"/>
            </w:tcBorders>
          </w:tcPr>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535"/>
            </w:tblGrid>
            <w:tr w:rsidR="00116EF1" w:rsidRPr="00AF45BD" w14:paraId="62D5F986" w14:textId="77777777" w:rsidTr="00CB43C2">
              <w:trPr>
                <w:trHeight w:val="206"/>
              </w:trPr>
              <w:tc>
                <w:tcPr>
                  <w:tcW w:w="9535" w:type="dxa"/>
                  <w:shd w:val="pct12" w:color="auto" w:fill="auto"/>
                </w:tcPr>
                <w:p w14:paraId="3AC760E1" w14:textId="1200E1F8" w:rsidR="00116EF1" w:rsidRDefault="00116EF1" w:rsidP="00116EF1">
                  <w:pPr>
                    <w:pStyle w:val="Instructions"/>
                    <w:spacing w:before="120"/>
                  </w:pPr>
                  <w:r>
                    <w:t>[NPRR</w:t>
                  </w:r>
                  <w:r>
                    <w:rPr>
                      <w:lang w:val="en-US"/>
                    </w:rPr>
                    <w:t>R995</w:t>
                  </w:r>
                  <w:r>
                    <w:t xml:space="preserve">:  </w:t>
                  </w:r>
                  <w:r>
                    <w:rPr>
                      <w:lang w:val="en-US"/>
                    </w:rPr>
                    <w:t>Insert</w:t>
                  </w:r>
                  <w:r>
                    <w:t xml:space="preserve"> the variable</w:t>
                  </w:r>
                  <w:r>
                    <w:rPr>
                      <w:lang w:val="en-US"/>
                    </w:rPr>
                    <w:t xml:space="preserve"> “</w:t>
                  </w:r>
                  <w:r w:rsidRPr="00116EF1">
                    <w:rPr>
                      <w:rFonts w:eastAsia="Calibri"/>
                    </w:rPr>
                    <w:t>WSOL</w:t>
                  </w:r>
                  <w:r w:rsidRPr="00116EF1">
                    <w:rPr>
                      <w:rFonts w:eastAsia="Calibri"/>
                      <w:vertAlign w:val="subscript"/>
                    </w:rPr>
                    <w:t xml:space="preserve"> mp, gsc, b</w:t>
                  </w:r>
                  <w:r>
                    <w:rPr>
                      <w:lang w:val="en-US"/>
                    </w:rPr>
                    <w:t>”</w:t>
                  </w:r>
                  <w:r>
                    <w:t xml:space="preserve"> </w:t>
                  </w:r>
                  <w:r>
                    <w:rPr>
                      <w:lang w:val="en-US"/>
                    </w:rPr>
                    <w:t>below</w:t>
                  </w:r>
                  <w:r>
                    <w:t xml:space="preserve"> upon system implementation:]</w:t>
                  </w: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443"/>
                    <w:gridCol w:w="736"/>
                    <w:gridCol w:w="5858"/>
                  </w:tblGrid>
                  <w:tr w:rsidR="00116EF1" w:rsidRPr="0003648D" w14:paraId="15F816BD" w14:textId="77777777" w:rsidTr="00D465F5">
                    <w:trPr>
                      <w:cantSplit/>
                    </w:trPr>
                    <w:tc>
                      <w:tcPr>
                        <w:tcW w:w="1352" w:type="pct"/>
                        <w:tcBorders>
                          <w:bottom w:val="single" w:sz="4" w:space="0" w:color="auto"/>
                        </w:tcBorders>
                      </w:tcPr>
                      <w:p w14:paraId="0DDC72C8" w14:textId="2C0B8E6B" w:rsidR="00116EF1" w:rsidRPr="0003648D" w:rsidRDefault="00116EF1" w:rsidP="00116EF1">
                        <w:pPr>
                          <w:pStyle w:val="tablebody0"/>
                        </w:pPr>
                        <w:r w:rsidRPr="006E7B76">
                          <w:t xml:space="preserve">WSOL </w:t>
                        </w:r>
                        <w:r>
                          <w:rPr>
                            <w:i/>
                            <w:vertAlign w:val="subscript"/>
                          </w:rPr>
                          <w:t>mp</w:t>
                        </w:r>
                        <w:r w:rsidRPr="00E61497">
                          <w:rPr>
                            <w:i/>
                            <w:vertAlign w:val="subscript"/>
                          </w:rPr>
                          <w:t>,</w:t>
                        </w:r>
                        <w:r>
                          <w:rPr>
                            <w:i/>
                            <w:vertAlign w:val="subscript"/>
                          </w:rPr>
                          <w:t xml:space="preserve"> </w:t>
                        </w:r>
                        <w:r w:rsidRPr="00E61497">
                          <w:rPr>
                            <w:i/>
                            <w:vertAlign w:val="subscript"/>
                          </w:rPr>
                          <w:t>gsc,</w:t>
                        </w:r>
                        <w:r>
                          <w:rPr>
                            <w:i/>
                            <w:vertAlign w:val="subscript"/>
                          </w:rPr>
                          <w:t xml:space="preserve"> </w:t>
                        </w:r>
                        <w:r w:rsidRPr="00E61497">
                          <w:rPr>
                            <w:i/>
                            <w:vertAlign w:val="subscript"/>
                          </w:rPr>
                          <w:t>b</w:t>
                        </w:r>
                      </w:p>
                    </w:tc>
                    <w:tc>
                      <w:tcPr>
                        <w:tcW w:w="407" w:type="pct"/>
                        <w:tcBorders>
                          <w:bottom w:val="single" w:sz="4" w:space="0" w:color="auto"/>
                        </w:tcBorders>
                      </w:tcPr>
                      <w:p w14:paraId="5D2C0A5E" w14:textId="6A2CC563" w:rsidR="00116EF1" w:rsidRPr="0003648D" w:rsidRDefault="00116EF1" w:rsidP="00116EF1">
                        <w:pPr>
                          <w:pStyle w:val="tablebody0"/>
                        </w:pPr>
                        <w:r>
                          <w:t>MWh</w:t>
                        </w:r>
                      </w:p>
                    </w:tc>
                    <w:tc>
                      <w:tcPr>
                        <w:tcW w:w="3241" w:type="pct"/>
                        <w:tcBorders>
                          <w:bottom w:val="single" w:sz="4" w:space="0" w:color="auto"/>
                        </w:tcBorders>
                      </w:tcPr>
                      <w:p w14:paraId="7D969C53" w14:textId="3336C8C4" w:rsidR="00116EF1" w:rsidRPr="0003648D" w:rsidRDefault="00116EF1" w:rsidP="00116EF1">
                        <w:pPr>
                          <w:pStyle w:val="tablebody0"/>
                          <w:rPr>
                            <w:i/>
                          </w:rPr>
                        </w:pPr>
                        <w:r>
                          <w:rPr>
                            <w:i/>
                          </w:rPr>
                          <w:t>WSL</w:t>
                        </w:r>
                        <w:r w:rsidRPr="006E7B76">
                          <w:rPr>
                            <w:i/>
                          </w:rPr>
                          <w:t xml:space="preserve"> for an SODES</w:t>
                        </w:r>
                        <w:r>
                          <w:rPr>
                            <w:i/>
                          </w:rPr>
                          <w:t>S</w:t>
                        </w:r>
                        <w:r w:rsidRPr="006E7B76">
                          <w:rPr>
                            <w:i/>
                          </w:rPr>
                          <w:t xml:space="preserve"> or SOTES</w:t>
                        </w:r>
                        <w:r>
                          <w:rPr>
                            <w:i/>
                          </w:rPr>
                          <w:t>S</w:t>
                        </w:r>
                        <w:r w:rsidRPr="006E7B76">
                          <w:rPr>
                            <w:i/>
                          </w:rPr>
                          <w:t xml:space="preserve"> Site</w:t>
                        </w:r>
                        <w:r w:rsidR="00D04163" w:rsidRPr="00DA2165">
                          <w:sym w:font="Symbol" w:char="F0BE"/>
                        </w:r>
                        <w:r w:rsidRPr="00E61497">
                          <w:t xml:space="preserve">The </w:t>
                        </w:r>
                        <w:r>
                          <w:t>WSL</w:t>
                        </w:r>
                        <w:r w:rsidRPr="00E61497">
                          <w:t xml:space="preserve"> </w:t>
                        </w:r>
                        <w:r>
                          <w:t>as measured</w:t>
                        </w:r>
                        <w:r w:rsidRPr="00E61497">
                          <w:t xml:space="preserve"> for an for SODES</w:t>
                        </w:r>
                        <w:r>
                          <w:t>S</w:t>
                        </w:r>
                        <w:r w:rsidRPr="00E61497">
                          <w:t xml:space="preserve"> or SOTES</w:t>
                        </w:r>
                        <w:r>
                          <w:t>S</w:t>
                        </w:r>
                        <w:r w:rsidRPr="00E61497">
                          <w:t xml:space="preserve"> site </w:t>
                        </w:r>
                        <w:r w:rsidRPr="001E15B9">
                          <w:rPr>
                            <w:i/>
                          </w:rPr>
                          <w:t xml:space="preserve">gsc </w:t>
                        </w:r>
                        <w:r w:rsidRPr="00E61497">
                          <w:t xml:space="preserve">at Electrical Bus </w:t>
                        </w:r>
                        <w:r w:rsidRPr="001E15B9">
                          <w:rPr>
                            <w:i/>
                          </w:rPr>
                          <w:t>b</w:t>
                        </w:r>
                        <w:r w:rsidRPr="00E61497">
                          <w:t xml:space="preserve">, represented by </w:t>
                        </w:r>
                        <w:r>
                          <w:t xml:space="preserve">the Market Participant </w:t>
                        </w:r>
                        <w:r>
                          <w:rPr>
                            <w:i/>
                          </w:rPr>
                          <w:t>mp,</w:t>
                        </w:r>
                        <w:r w:rsidRPr="00CA280F">
                          <w:t xml:space="preserve"> </w:t>
                        </w:r>
                        <w:r>
                          <w:t>represented as a negative value,</w:t>
                        </w:r>
                        <w:r w:rsidRPr="00CA280F">
                          <w:t xml:space="preserve"> for the 15-minute Settlement Interval.</w:t>
                        </w:r>
                      </w:p>
                    </w:tc>
                  </w:tr>
                </w:tbl>
                <w:p w14:paraId="698D0A6D" w14:textId="77777777" w:rsidR="00116EF1" w:rsidRPr="00AF45BD" w:rsidRDefault="00116EF1" w:rsidP="00116EF1">
                  <w:pPr>
                    <w:pStyle w:val="tablebody0"/>
                    <w:rPr>
                      <w:i/>
                    </w:rPr>
                  </w:pPr>
                </w:p>
              </w:tc>
            </w:tr>
          </w:tbl>
          <w:p w14:paraId="5D089C3B" w14:textId="77777777" w:rsidR="00FA77FA" w:rsidRPr="00DA2165" w:rsidRDefault="00FA77FA" w:rsidP="00FA77FA">
            <w:pPr>
              <w:pStyle w:val="TableBody"/>
              <w:rPr>
                <w:i/>
              </w:rPr>
            </w:pPr>
          </w:p>
        </w:tc>
      </w:tr>
      <w:tr w:rsidR="004A7A0E" w14:paraId="187D2BFF" w14:textId="77777777" w:rsidTr="00D465F5">
        <w:trPr>
          <w:cantSplit/>
        </w:trPr>
        <w:tc>
          <w:tcPr>
            <w:tcW w:w="5000" w:type="pct"/>
            <w:gridSpan w:val="3"/>
            <w:tcBorders>
              <w:top w:val="single" w:sz="6" w:space="0" w:color="auto"/>
              <w:left w:val="single" w:sz="4" w:space="0" w:color="auto"/>
              <w:bottom w:val="single" w:sz="6" w:space="0" w:color="auto"/>
              <w:right w:val="single" w:sz="4" w:space="0" w:color="auto"/>
            </w:tcBorders>
          </w:tcPr>
          <w:p w14:paraId="67A0A23F" w14:textId="77777777" w:rsidR="004A7A0E" w:rsidRPr="00E63934" w:rsidRDefault="004A7A0E" w:rsidP="003858AA">
            <w:pPr>
              <w:pStyle w:val="TableBody"/>
              <w:rPr>
                <w:bCs/>
              </w:rPr>
            </w:pPr>
          </w:p>
        </w:tc>
      </w:tr>
      <w:tr w:rsidR="00326226" w14:paraId="5F77BB57"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150D98B3" w14:textId="7268197E" w:rsidR="00326226" w:rsidRPr="004A7A0E" w:rsidRDefault="0006505C" w:rsidP="003858AA">
            <w:pPr>
              <w:pStyle w:val="TableBody"/>
              <w:rPr>
                <w:rFonts w:eastAsia="Calibri"/>
                <w:i/>
              </w:rPr>
            </w:pPr>
            <w:r>
              <w:rPr>
                <w:rFonts w:eastAsia="Calibri"/>
                <w:i/>
              </w:rPr>
              <w:t>c</w:t>
            </w:r>
            <w:r w:rsidR="00326226" w:rsidRPr="004A7A0E">
              <w:rPr>
                <w:rFonts w:eastAsia="Calibri"/>
                <w:i/>
              </w:rPr>
              <w:t>p</w:t>
            </w:r>
          </w:p>
        </w:tc>
        <w:tc>
          <w:tcPr>
            <w:tcW w:w="461" w:type="pct"/>
            <w:tcBorders>
              <w:top w:val="single" w:sz="6" w:space="0" w:color="auto"/>
              <w:left w:val="single" w:sz="6" w:space="0" w:color="auto"/>
              <w:bottom w:val="single" w:sz="6" w:space="0" w:color="auto"/>
              <w:right w:val="single" w:sz="6" w:space="0" w:color="auto"/>
            </w:tcBorders>
          </w:tcPr>
          <w:p w14:paraId="45A7D44F" w14:textId="77777777" w:rsidR="00326226" w:rsidRDefault="00326226" w:rsidP="003858AA">
            <w:pPr>
              <w:pStyle w:val="TableBody"/>
            </w:pPr>
            <w:r>
              <w:t>none</w:t>
            </w:r>
          </w:p>
        </w:tc>
        <w:tc>
          <w:tcPr>
            <w:tcW w:w="3725" w:type="pct"/>
            <w:tcBorders>
              <w:top w:val="single" w:sz="6" w:space="0" w:color="auto"/>
              <w:left w:val="single" w:sz="6" w:space="0" w:color="auto"/>
              <w:bottom w:val="single" w:sz="6" w:space="0" w:color="auto"/>
              <w:right w:val="single" w:sz="4" w:space="0" w:color="auto"/>
            </w:tcBorders>
          </w:tcPr>
          <w:p w14:paraId="5288A6E7" w14:textId="77777777" w:rsidR="00326226" w:rsidRPr="00E63934" w:rsidRDefault="00326226" w:rsidP="003858AA">
            <w:pPr>
              <w:pStyle w:val="TableBody"/>
              <w:rPr>
                <w:bCs/>
              </w:rPr>
            </w:pPr>
            <w:r w:rsidRPr="00E63934">
              <w:rPr>
                <w:bCs/>
              </w:rPr>
              <w:t>A registered Counter-Party.</w:t>
            </w:r>
          </w:p>
        </w:tc>
      </w:tr>
      <w:tr w:rsidR="00326226" w14:paraId="7198DFCA"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0F5AE721" w14:textId="77777777" w:rsidR="00326226" w:rsidRPr="004A7A0E" w:rsidRDefault="00326226" w:rsidP="003858AA">
            <w:pPr>
              <w:pStyle w:val="TableBody"/>
              <w:rPr>
                <w:rFonts w:eastAsia="Calibri"/>
                <w:i/>
              </w:rPr>
            </w:pPr>
            <w:r w:rsidRPr="004A7A0E">
              <w:rPr>
                <w:rFonts w:eastAsia="Calibri"/>
                <w:i/>
              </w:rPr>
              <w:t>mp</w:t>
            </w:r>
          </w:p>
        </w:tc>
        <w:tc>
          <w:tcPr>
            <w:tcW w:w="461" w:type="pct"/>
            <w:tcBorders>
              <w:top w:val="single" w:sz="6" w:space="0" w:color="auto"/>
              <w:left w:val="single" w:sz="6" w:space="0" w:color="auto"/>
              <w:bottom w:val="single" w:sz="6" w:space="0" w:color="auto"/>
              <w:right w:val="single" w:sz="6" w:space="0" w:color="auto"/>
            </w:tcBorders>
          </w:tcPr>
          <w:p w14:paraId="2D618D65" w14:textId="77777777" w:rsidR="00326226" w:rsidRDefault="00326226" w:rsidP="003858AA">
            <w:pPr>
              <w:pStyle w:val="TableBody"/>
            </w:pPr>
            <w:r>
              <w:t>none</w:t>
            </w:r>
          </w:p>
        </w:tc>
        <w:tc>
          <w:tcPr>
            <w:tcW w:w="3725" w:type="pct"/>
            <w:tcBorders>
              <w:top w:val="single" w:sz="6" w:space="0" w:color="auto"/>
              <w:left w:val="single" w:sz="6" w:space="0" w:color="auto"/>
              <w:bottom w:val="single" w:sz="6" w:space="0" w:color="auto"/>
              <w:right w:val="single" w:sz="4" w:space="0" w:color="auto"/>
            </w:tcBorders>
          </w:tcPr>
          <w:p w14:paraId="127A1C35" w14:textId="715C0228" w:rsidR="00326226" w:rsidRPr="00E63934" w:rsidRDefault="00326226" w:rsidP="006B44B4">
            <w:pPr>
              <w:pStyle w:val="TableBody"/>
              <w:rPr>
                <w:bCs/>
              </w:rPr>
            </w:pPr>
            <w:r w:rsidRPr="00E63934">
              <w:rPr>
                <w:bCs/>
              </w:rPr>
              <w:t xml:space="preserve">A Market Participant </w:t>
            </w:r>
            <w:r w:rsidR="006B44B4">
              <w:rPr>
                <w:bCs/>
              </w:rPr>
              <w:t xml:space="preserve">with </w:t>
            </w:r>
            <w:r w:rsidR="006B44B4" w:rsidRPr="005D287F">
              <w:t xml:space="preserve">MWh activity </w:t>
            </w:r>
            <w:r w:rsidR="006B44B4">
              <w:rPr>
                <w:bCs/>
              </w:rPr>
              <w:t>in the reference month</w:t>
            </w:r>
            <w:r w:rsidR="006B44B4" w:rsidRPr="00E63934">
              <w:rPr>
                <w:bCs/>
              </w:rPr>
              <w:t xml:space="preserve"> </w:t>
            </w:r>
            <w:r w:rsidRPr="00E63934">
              <w:rPr>
                <w:bCs/>
              </w:rPr>
              <w:t xml:space="preserve">that is a </w:t>
            </w:r>
            <w:r w:rsidR="006B44B4">
              <w:rPr>
                <w:bCs/>
              </w:rPr>
              <w:t>currently-registered</w:t>
            </w:r>
            <w:r w:rsidRPr="00E63934">
              <w:rPr>
                <w:bCs/>
              </w:rPr>
              <w:t xml:space="preserve"> QSE or CRR Account Holder</w:t>
            </w:r>
            <w:r w:rsidR="006B44B4">
              <w:rPr>
                <w:bCs/>
              </w:rPr>
              <w:t xml:space="preserve"> or that voluntarily terminated its </w:t>
            </w:r>
            <w:r w:rsidR="006B44B4" w:rsidRPr="005D287F">
              <w:rPr>
                <w:bCs/>
              </w:rPr>
              <w:t>QSE or CRR Account Holder</w:t>
            </w:r>
            <w:r w:rsidR="006B44B4">
              <w:rPr>
                <w:bCs/>
              </w:rPr>
              <w:t xml:space="preserve"> registration</w:t>
            </w:r>
            <w:r w:rsidRPr="00E63934">
              <w:rPr>
                <w:bCs/>
              </w:rPr>
              <w:t>.</w:t>
            </w:r>
          </w:p>
        </w:tc>
      </w:tr>
      <w:tr w:rsidR="00326226" w14:paraId="7981776C"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10CE2D9D" w14:textId="77777777" w:rsidR="00326226" w:rsidRPr="004A7A0E" w:rsidRDefault="00326226" w:rsidP="003858AA">
            <w:pPr>
              <w:pStyle w:val="TableBody"/>
              <w:rPr>
                <w:rFonts w:eastAsia="Calibri"/>
                <w:i/>
              </w:rPr>
            </w:pPr>
            <w:r w:rsidRPr="004A7A0E">
              <w:rPr>
                <w:rFonts w:eastAsia="Calibri"/>
                <w:i/>
              </w:rPr>
              <w:lastRenderedPageBreak/>
              <w:t>j</w:t>
            </w:r>
          </w:p>
        </w:tc>
        <w:tc>
          <w:tcPr>
            <w:tcW w:w="461" w:type="pct"/>
            <w:tcBorders>
              <w:top w:val="single" w:sz="6" w:space="0" w:color="auto"/>
              <w:left w:val="single" w:sz="6" w:space="0" w:color="auto"/>
              <w:bottom w:val="single" w:sz="6" w:space="0" w:color="auto"/>
              <w:right w:val="single" w:sz="6" w:space="0" w:color="auto"/>
            </w:tcBorders>
          </w:tcPr>
          <w:p w14:paraId="50B8A2CC" w14:textId="77777777" w:rsidR="00326226" w:rsidRDefault="00326226" w:rsidP="003858AA">
            <w:pPr>
              <w:pStyle w:val="TableBody"/>
            </w:pPr>
            <w:r w:rsidRPr="00D164B6">
              <w:t>none</w:t>
            </w:r>
          </w:p>
        </w:tc>
        <w:tc>
          <w:tcPr>
            <w:tcW w:w="3725" w:type="pct"/>
            <w:tcBorders>
              <w:top w:val="single" w:sz="6" w:space="0" w:color="auto"/>
              <w:left w:val="single" w:sz="6" w:space="0" w:color="auto"/>
              <w:bottom w:val="single" w:sz="6" w:space="0" w:color="auto"/>
              <w:right w:val="single" w:sz="4" w:space="0" w:color="auto"/>
            </w:tcBorders>
          </w:tcPr>
          <w:p w14:paraId="564A3FE1" w14:textId="77777777" w:rsidR="00326226" w:rsidRPr="00E63934" w:rsidRDefault="00326226" w:rsidP="003858AA">
            <w:pPr>
              <w:pStyle w:val="TableBody"/>
              <w:rPr>
                <w:bCs/>
              </w:rPr>
            </w:pPr>
            <w:r w:rsidRPr="00E63934">
              <w:rPr>
                <w:bCs/>
              </w:rPr>
              <w:t>A source Settlement Point.</w:t>
            </w:r>
          </w:p>
        </w:tc>
      </w:tr>
      <w:tr w:rsidR="00326226" w14:paraId="214EDF6C"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76CF5E85" w14:textId="77777777" w:rsidR="00326226" w:rsidRPr="004A7A0E" w:rsidRDefault="00326226" w:rsidP="003858AA">
            <w:pPr>
              <w:pStyle w:val="TableBody"/>
              <w:rPr>
                <w:rFonts w:eastAsia="Calibri"/>
                <w:i/>
              </w:rPr>
            </w:pPr>
            <w:r w:rsidRPr="004A7A0E">
              <w:rPr>
                <w:rFonts w:eastAsia="Calibri"/>
                <w:i/>
              </w:rPr>
              <w:t>k</w:t>
            </w:r>
          </w:p>
        </w:tc>
        <w:tc>
          <w:tcPr>
            <w:tcW w:w="461" w:type="pct"/>
            <w:tcBorders>
              <w:top w:val="single" w:sz="6" w:space="0" w:color="auto"/>
              <w:left w:val="single" w:sz="6" w:space="0" w:color="auto"/>
              <w:bottom w:val="single" w:sz="6" w:space="0" w:color="auto"/>
              <w:right w:val="single" w:sz="6" w:space="0" w:color="auto"/>
            </w:tcBorders>
          </w:tcPr>
          <w:p w14:paraId="0C6A10ED" w14:textId="77777777" w:rsidR="00326226" w:rsidRPr="00D164B6" w:rsidRDefault="00326226" w:rsidP="003858AA">
            <w:pPr>
              <w:pStyle w:val="TableBody"/>
            </w:pPr>
            <w:r w:rsidRPr="00D164B6">
              <w:t>none</w:t>
            </w:r>
          </w:p>
        </w:tc>
        <w:tc>
          <w:tcPr>
            <w:tcW w:w="3725" w:type="pct"/>
            <w:tcBorders>
              <w:top w:val="single" w:sz="6" w:space="0" w:color="auto"/>
              <w:left w:val="single" w:sz="6" w:space="0" w:color="auto"/>
              <w:bottom w:val="single" w:sz="6" w:space="0" w:color="auto"/>
              <w:right w:val="single" w:sz="4" w:space="0" w:color="auto"/>
            </w:tcBorders>
          </w:tcPr>
          <w:p w14:paraId="5C180A45" w14:textId="77777777" w:rsidR="00326226" w:rsidRPr="00E63934" w:rsidRDefault="00326226" w:rsidP="003858AA">
            <w:pPr>
              <w:pStyle w:val="TableBody"/>
              <w:rPr>
                <w:bCs/>
              </w:rPr>
            </w:pPr>
            <w:r w:rsidRPr="00E63934">
              <w:rPr>
                <w:bCs/>
              </w:rPr>
              <w:t>A sink Settlement Point.</w:t>
            </w:r>
          </w:p>
        </w:tc>
      </w:tr>
      <w:tr w:rsidR="00326226" w14:paraId="6C7654BA"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69DDEA5A" w14:textId="77777777" w:rsidR="00326226" w:rsidRPr="004A7A0E" w:rsidRDefault="00326226" w:rsidP="003858AA">
            <w:pPr>
              <w:pStyle w:val="TableBody"/>
              <w:rPr>
                <w:rFonts w:eastAsia="Calibri"/>
                <w:i/>
              </w:rPr>
            </w:pPr>
            <w:r w:rsidRPr="004A7A0E">
              <w:rPr>
                <w:rFonts w:eastAsia="Calibri"/>
                <w:i/>
              </w:rPr>
              <w:t>a</w:t>
            </w:r>
          </w:p>
        </w:tc>
        <w:tc>
          <w:tcPr>
            <w:tcW w:w="461" w:type="pct"/>
            <w:tcBorders>
              <w:top w:val="single" w:sz="6" w:space="0" w:color="auto"/>
              <w:left w:val="single" w:sz="6" w:space="0" w:color="auto"/>
              <w:bottom w:val="single" w:sz="6" w:space="0" w:color="auto"/>
              <w:right w:val="single" w:sz="6" w:space="0" w:color="auto"/>
            </w:tcBorders>
          </w:tcPr>
          <w:p w14:paraId="017480C6" w14:textId="77777777" w:rsidR="00326226" w:rsidRPr="00D164B6" w:rsidRDefault="00326226" w:rsidP="003858AA">
            <w:pPr>
              <w:pStyle w:val="TableBody"/>
            </w:pPr>
            <w:r>
              <w:t>none</w:t>
            </w:r>
          </w:p>
        </w:tc>
        <w:tc>
          <w:tcPr>
            <w:tcW w:w="3725" w:type="pct"/>
            <w:tcBorders>
              <w:top w:val="single" w:sz="6" w:space="0" w:color="auto"/>
              <w:left w:val="single" w:sz="6" w:space="0" w:color="auto"/>
              <w:bottom w:val="single" w:sz="6" w:space="0" w:color="auto"/>
              <w:right w:val="single" w:sz="4" w:space="0" w:color="auto"/>
            </w:tcBorders>
          </w:tcPr>
          <w:p w14:paraId="6D7CEBFE" w14:textId="77777777" w:rsidR="00326226" w:rsidRPr="00E63934" w:rsidRDefault="00326226" w:rsidP="003858AA">
            <w:pPr>
              <w:pStyle w:val="TableBody"/>
              <w:rPr>
                <w:bCs/>
              </w:rPr>
            </w:pPr>
            <w:r w:rsidRPr="00E63934">
              <w:rPr>
                <w:bCs/>
              </w:rPr>
              <w:t>A CRR Auction.</w:t>
            </w:r>
          </w:p>
        </w:tc>
      </w:tr>
      <w:tr w:rsidR="00326226" w14:paraId="1C01B9B0"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129D46B4" w14:textId="77777777" w:rsidR="00326226" w:rsidRPr="004A7A0E" w:rsidRDefault="00326226" w:rsidP="003858AA">
            <w:pPr>
              <w:pStyle w:val="TableBody"/>
              <w:rPr>
                <w:rFonts w:eastAsia="Calibri"/>
                <w:i/>
              </w:rPr>
            </w:pPr>
            <w:r w:rsidRPr="004A7A0E">
              <w:rPr>
                <w:rFonts w:eastAsia="Calibri"/>
                <w:i/>
              </w:rPr>
              <w:t>p</w:t>
            </w:r>
          </w:p>
        </w:tc>
        <w:tc>
          <w:tcPr>
            <w:tcW w:w="461" w:type="pct"/>
            <w:tcBorders>
              <w:top w:val="single" w:sz="6" w:space="0" w:color="auto"/>
              <w:left w:val="single" w:sz="6" w:space="0" w:color="auto"/>
              <w:bottom w:val="single" w:sz="6" w:space="0" w:color="auto"/>
              <w:right w:val="single" w:sz="6" w:space="0" w:color="auto"/>
            </w:tcBorders>
          </w:tcPr>
          <w:p w14:paraId="36AE26DB" w14:textId="77777777" w:rsidR="00326226" w:rsidRDefault="00326226" w:rsidP="003858AA">
            <w:pPr>
              <w:pStyle w:val="TableBody"/>
            </w:pPr>
            <w:r>
              <w:t>none</w:t>
            </w:r>
          </w:p>
        </w:tc>
        <w:tc>
          <w:tcPr>
            <w:tcW w:w="3725" w:type="pct"/>
            <w:tcBorders>
              <w:top w:val="single" w:sz="6" w:space="0" w:color="auto"/>
              <w:left w:val="single" w:sz="6" w:space="0" w:color="auto"/>
              <w:bottom w:val="single" w:sz="6" w:space="0" w:color="auto"/>
              <w:right w:val="single" w:sz="4" w:space="0" w:color="auto"/>
            </w:tcBorders>
          </w:tcPr>
          <w:p w14:paraId="521573A1" w14:textId="77777777" w:rsidR="00326226" w:rsidRPr="00E63934" w:rsidRDefault="00326226" w:rsidP="003858AA">
            <w:pPr>
              <w:pStyle w:val="TableBody"/>
              <w:rPr>
                <w:bCs/>
              </w:rPr>
            </w:pPr>
            <w:r w:rsidRPr="00E63934">
              <w:rPr>
                <w:bCs/>
              </w:rPr>
              <w:t>A Settlement Point.</w:t>
            </w:r>
          </w:p>
        </w:tc>
      </w:tr>
      <w:tr w:rsidR="00326226" w14:paraId="42F620A3"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093D5262" w14:textId="77777777" w:rsidR="00326226" w:rsidRPr="004A7A0E" w:rsidRDefault="00326226" w:rsidP="003858AA">
            <w:pPr>
              <w:pStyle w:val="TableBody"/>
              <w:rPr>
                <w:rFonts w:eastAsia="Calibri"/>
                <w:i/>
              </w:rPr>
            </w:pPr>
            <w:r w:rsidRPr="004A7A0E">
              <w:rPr>
                <w:rFonts w:eastAsia="Calibri"/>
                <w:i/>
              </w:rPr>
              <w:t>i</w:t>
            </w:r>
          </w:p>
        </w:tc>
        <w:tc>
          <w:tcPr>
            <w:tcW w:w="461" w:type="pct"/>
            <w:tcBorders>
              <w:top w:val="single" w:sz="6" w:space="0" w:color="auto"/>
              <w:left w:val="single" w:sz="6" w:space="0" w:color="auto"/>
              <w:bottom w:val="single" w:sz="6" w:space="0" w:color="auto"/>
              <w:right w:val="single" w:sz="6" w:space="0" w:color="auto"/>
            </w:tcBorders>
          </w:tcPr>
          <w:p w14:paraId="108E2AFC" w14:textId="77777777" w:rsidR="00326226" w:rsidRDefault="00326226" w:rsidP="003858AA">
            <w:pPr>
              <w:pStyle w:val="TableBody"/>
            </w:pPr>
            <w:r>
              <w:t>none</w:t>
            </w:r>
          </w:p>
        </w:tc>
        <w:tc>
          <w:tcPr>
            <w:tcW w:w="3725" w:type="pct"/>
            <w:tcBorders>
              <w:top w:val="single" w:sz="6" w:space="0" w:color="auto"/>
              <w:left w:val="single" w:sz="6" w:space="0" w:color="auto"/>
              <w:bottom w:val="single" w:sz="6" w:space="0" w:color="auto"/>
              <w:right w:val="single" w:sz="4" w:space="0" w:color="auto"/>
            </w:tcBorders>
          </w:tcPr>
          <w:p w14:paraId="3913AD8F" w14:textId="77777777" w:rsidR="00326226" w:rsidRPr="00E63934" w:rsidRDefault="00326226" w:rsidP="003858AA">
            <w:pPr>
              <w:pStyle w:val="TableBody"/>
              <w:rPr>
                <w:bCs/>
              </w:rPr>
            </w:pPr>
            <w:r w:rsidRPr="00E63934">
              <w:rPr>
                <w:bCs/>
              </w:rPr>
              <w:t>A 15-minute Settlement Interval.</w:t>
            </w:r>
          </w:p>
        </w:tc>
      </w:tr>
      <w:tr w:rsidR="00326226" w14:paraId="33778ABF"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774EF74F" w14:textId="77777777" w:rsidR="00326226" w:rsidRPr="004A7A0E" w:rsidRDefault="00326226" w:rsidP="003858AA">
            <w:pPr>
              <w:pStyle w:val="TableBody"/>
              <w:rPr>
                <w:rFonts w:eastAsia="Calibri"/>
                <w:i/>
              </w:rPr>
            </w:pPr>
            <w:r w:rsidRPr="004A7A0E">
              <w:rPr>
                <w:rFonts w:eastAsia="Calibri"/>
                <w:i/>
              </w:rPr>
              <w:t>h</w:t>
            </w:r>
          </w:p>
        </w:tc>
        <w:tc>
          <w:tcPr>
            <w:tcW w:w="461" w:type="pct"/>
            <w:tcBorders>
              <w:top w:val="single" w:sz="6" w:space="0" w:color="auto"/>
              <w:left w:val="single" w:sz="6" w:space="0" w:color="auto"/>
              <w:bottom w:val="single" w:sz="6" w:space="0" w:color="auto"/>
              <w:right w:val="single" w:sz="6" w:space="0" w:color="auto"/>
            </w:tcBorders>
          </w:tcPr>
          <w:p w14:paraId="2B7299B2" w14:textId="77777777" w:rsidR="00326226" w:rsidRDefault="00326226" w:rsidP="003858AA">
            <w:pPr>
              <w:pStyle w:val="TableBody"/>
            </w:pPr>
            <w:r>
              <w:t>none</w:t>
            </w:r>
          </w:p>
        </w:tc>
        <w:tc>
          <w:tcPr>
            <w:tcW w:w="3725" w:type="pct"/>
            <w:tcBorders>
              <w:top w:val="single" w:sz="6" w:space="0" w:color="auto"/>
              <w:left w:val="single" w:sz="6" w:space="0" w:color="auto"/>
              <w:bottom w:val="single" w:sz="6" w:space="0" w:color="auto"/>
              <w:right w:val="single" w:sz="4" w:space="0" w:color="auto"/>
            </w:tcBorders>
          </w:tcPr>
          <w:p w14:paraId="667F0F36" w14:textId="77777777" w:rsidR="00326226" w:rsidRPr="00E63934" w:rsidRDefault="00326226" w:rsidP="003858AA">
            <w:pPr>
              <w:pStyle w:val="TableBody"/>
              <w:rPr>
                <w:bCs/>
              </w:rPr>
            </w:pPr>
            <w:r w:rsidRPr="00E63934">
              <w:rPr>
                <w:bCs/>
              </w:rPr>
              <w:t xml:space="preserve">The hour that includes the Settlement Interval i. </w:t>
            </w:r>
          </w:p>
        </w:tc>
      </w:tr>
      <w:tr w:rsidR="00326226" w14:paraId="2A664AC7"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0C128C18" w14:textId="77777777" w:rsidR="00326226" w:rsidRPr="004A7A0E" w:rsidRDefault="00326226" w:rsidP="003858AA">
            <w:pPr>
              <w:pStyle w:val="TableBody"/>
              <w:rPr>
                <w:rFonts w:eastAsia="Calibri"/>
                <w:i/>
              </w:rPr>
            </w:pPr>
            <w:r w:rsidRPr="004A7A0E">
              <w:rPr>
                <w:rFonts w:eastAsia="Calibri"/>
                <w:i/>
              </w:rPr>
              <w:t>r</w:t>
            </w:r>
          </w:p>
        </w:tc>
        <w:tc>
          <w:tcPr>
            <w:tcW w:w="461" w:type="pct"/>
            <w:tcBorders>
              <w:top w:val="single" w:sz="6" w:space="0" w:color="auto"/>
              <w:left w:val="single" w:sz="6" w:space="0" w:color="auto"/>
              <w:bottom w:val="single" w:sz="6" w:space="0" w:color="auto"/>
              <w:right w:val="single" w:sz="6" w:space="0" w:color="auto"/>
            </w:tcBorders>
          </w:tcPr>
          <w:p w14:paraId="3E952BDE" w14:textId="77777777" w:rsidR="00326226" w:rsidRDefault="00326226" w:rsidP="003858AA">
            <w:pPr>
              <w:pStyle w:val="TableBody"/>
            </w:pPr>
            <w:r>
              <w:t xml:space="preserve">none </w:t>
            </w:r>
          </w:p>
        </w:tc>
        <w:tc>
          <w:tcPr>
            <w:tcW w:w="3725" w:type="pct"/>
            <w:tcBorders>
              <w:top w:val="single" w:sz="6" w:space="0" w:color="auto"/>
              <w:left w:val="single" w:sz="6" w:space="0" w:color="auto"/>
              <w:bottom w:val="single" w:sz="6" w:space="0" w:color="auto"/>
              <w:right w:val="single" w:sz="4" w:space="0" w:color="auto"/>
            </w:tcBorders>
          </w:tcPr>
          <w:p w14:paraId="7BC0B17F" w14:textId="77777777" w:rsidR="00326226" w:rsidRPr="00E63934" w:rsidRDefault="00326226" w:rsidP="003858AA">
            <w:pPr>
              <w:pStyle w:val="TableBody"/>
              <w:rPr>
                <w:bCs/>
              </w:rPr>
            </w:pPr>
            <w:r w:rsidRPr="00E63934">
              <w:rPr>
                <w:bCs/>
              </w:rPr>
              <w:t xml:space="preserve">A Resource. </w:t>
            </w:r>
          </w:p>
        </w:tc>
      </w:tr>
      <w:tr w:rsidR="00116EF1" w14:paraId="4C09AA25"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0CA39C17" w14:textId="588B2E49" w:rsidR="00116EF1" w:rsidRPr="004A7A0E" w:rsidRDefault="00116EF1" w:rsidP="00116EF1">
            <w:pPr>
              <w:pStyle w:val="TableBody"/>
              <w:rPr>
                <w:rFonts w:eastAsia="Calibri"/>
                <w:i/>
              </w:rPr>
            </w:pPr>
            <w:r w:rsidRPr="005D4689">
              <w:rPr>
                <w:i/>
              </w:rPr>
              <w:t>gsc</w:t>
            </w:r>
          </w:p>
        </w:tc>
        <w:tc>
          <w:tcPr>
            <w:tcW w:w="461" w:type="pct"/>
            <w:tcBorders>
              <w:top w:val="single" w:sz="6" w:space="0" w:color="auto"/>
              <w:left w:val="single" w:sz="6" w:space="0" w:color="auto"/>
              <w:bottom w:val="single" w:sz="6" w:space="0" w:color="auto"/>
              <w:right w:val="single" w:sz="6" w:space="0" w:color="auto"/>
            </w:tcBorders>
          </w:tcPr>
          <w:p w14:paraId="7BA7DF9D" w14:textId="6E7B8860" w:rsidR="00116EF1" w:rsidRDefault="00116EF1" w:rsidP="00116EF1">
            <w:pPr>
              <w:pStyle w:val="TableBody"/>
            </w:pPr>
            <w:r>
              <w:t>n</w:t>
            </w:r>
            <w:r w:rsidRPr="005D4689">
              <w:t>one</w:t>
            </w:r>
          </w:p>
        </w:tc>
        <w:tc>
          <w:tcPr>
            <w:tcW w:w="3725" w:type="pct"/>
            <w:tcBorders>
              <w:top w:val="single" w:sz="6" w:space="0" w:color="auto"/>
              <w:left w:val="single" w:sz="6" w:space="0" w:color="auto"/>
              <w:bottom w:val="single" w:sz="6" w:space="0" w:color="auto"/>
              <w:right w:val="single" w:sz="4" w:space="0" w:color="auto"/>
            </w:tcBorders>
          </w:tcPr>
          <w:p w14:paraId="723A9241" w14:textId="142BAD42" w:rsidR="00116EF1" w:rsidRPr="00E63934" w:rsidRDefault="00116EF1" w:rsidP="00116EF1">
            <w:pPr>
              <w:pStyle w:val="TableBody"/>
              <w:rPr>
                <w:bCs/>
              </w:rPr>
            </w:pPr>
            <w:r w:rsidRPr="005D4689">
              <w:t>A generation site code.</w:t>
            </w:r>
          </w:p>
        </w:tc>
      </w:tr>
      <w:tr w:rsidR="00116EF1" w14:paraId="5BBC5328" w14:textId="77777777" w:rsidTr="00D465F5">
        <w:trPr>
          <w:cantSplit/>
        </w:trPr>
        <w:tc>
          <w:tcPr>
            <w:tcW w:w="813" w:type="pct"/>
            <w:tcBorders>
              <w:top w:val="single" w:sz="6" w:space="0" w:color="auto"/>
              <w:left w:val="single" w:sz="4" w:space="0" w:color="auto"/>
              <w:bottom w:val="single" w:sz="6" w:space="0" w:color="auto"/>
              <w:right w:val="single" w:sz="6" w:space="0" w:color="auto"/>
            </w:tcBorders>
          </w:tcPr>
          <w:p w14:paraId="60D4B168" w14:textId="6AA2837B" w:rsidR="00116EF1" w:rsidRPr="004A7A0E" w:rsidRDefault="00116EF1" w:rsidP="00116EF1">
            <w:pPr>
              <w:pStyle w:val="TableBody"/>
              <w:rPr>
                <w:rFonts w:eastAsia="Calibri"/>
                <w:i/>
              </w:rPr>
            </w:pPr>
            <w:r w:rsidRPr="005D4689">
              <w:rPr>
                <w:i/>
              </w:rPr>
              <w:t>b</w:t>
            </w:r>
          </w:p>
        </w:tc>
        <w:tc>
          <w:tcPr>
            <w:tcW w:w="461" w:type="pct"/>
            <w:tcBorders>
              <w:top w:val="single" w:sz="6" w:space="0" w:color="auto"/>
              <w:left w:val="single" w:sz="6" w:space="0" w:color="auto"/>
              <w:bottom w:val="single" w:sz="6" w:space="0" w:color="auto"/>
              <w:right w:val="single" w:sz="6" w:space="0" w:color="auto"/>
            </w:tcBorders>
          </w:tcPr>
          <w:p w14:paraId="5AA6C5E9" w14:textId="779B02F6" w:rsidR="00116EF1" w:rsidRDefault="00116EF1" w:rsidP="00116EF1">
            <w:pPr>
              <w:pStyle w:val="TableBody"/>
            </w:pPr>
            <w:r>
              <w:t>n</w:t>
            </w:r>
            <w:r w:rsidRPr="005D4689">
              <w:t>one</w:t>
            </w:r>
          </w:p>
        </w:tc>
        <w:tc>
          <w:tcPr>
            <w:tcW w:w="3725" w:type="pct"/>
            <w:tcBorders>
              <w:top w:val="single" w:sz="6" w:space="0" w:color="auto"/>
              <w:left w:val="single" w:sz="6" w:space="0" w:color="auto"/>
              <w:bottom w:val="single" w:sz="6" w:space="0" w:color="auto"/>
              <w:right w:val="single" w:sz="4" w:space="0" w:color="auto"/>
            </w:tcBorders>
          </w:tcPr>
          <w:p w14:paraId="4B036166" w14:textId="10CD8C2F" w:rsidR="00116EF1" w:rsidRPr="00E63934" w:rsidRDefault="00116EF1" w:rsidP="00116EF1">
            <w:pPr>
              <w:pStyle w:val="TableBody"/>
              <w:rPr>
                <w:bCs/>
              </w:rPr>
            </w:pPr>
            <w:r w:rsidRPr="005D4689">
              <w:t>An Electrical Bus.</w:t>
            </w:r>
          </w:p>
        </w:tc>
      </w:tr>
      <w:bookmarkEnd w:id="529"/>
    </w:tbl>
    <w:p w14:paraId="6AF5CFB8" w14:textId="77777777" w:rsidR="00834D02" w:rsidRDefault="00834D02" w:rsidP="00834D02">
      <w:pPr>
        <w:pStyle w:val="List"/>
        <w:spacing w:after="0"/>
      </w:pPr>
    </w:p>
    <w:p w14:paraId="732EB675" w14:textId="77777777" w:rsidR="0014132B" w:rsidRDefault="00A43CDA" w:rsidP="00326226">
      <w:pPr>
        <w:pStyle w:val="List"/>
        <w:tabs>
          <w:tab w:val="left" w:pos="720"/>
        </w:tabs>
        <w:ind w:left="720"/>
      </w:pPr>
      <w:r>
        <w:t>(3</w:t>
      </w:r>
      <w:r w:rsidRPr="0065195B">
        <w:t>)</w:t>
      </w:r>
      <w:r w:rsidRPr="0065195B">
        <w:tab/>
        <w:t xml:space="preserve">The </w:t>
      </w:r>
      <w:r>
        <w:t>u</w:t>
      </w:r>
      <w:r w:rsidRPr="0065195B">
        <w:t>plifted short-paid amount will be allocated to the Market Participants (</w:t>
      </w:r>
      <w:r>
        <w:t>QSEs or CRR Account Holders</w:t>
      </w:r>
      <w:r w:rsidRPr="0065195B">
        <w:t>) assigned to a registered Counter</w:t>
      </w:r>
      <w:r>
        <w:t>-</w:t>
      </w:r>
      <w:r w:rsidRPr="0065195B">
        <w:t xml:space="preserve">Party based on the pro-rata share of MWhs that </w:t>
      </w:r>
      <w:r>
        <w:t>the QSE or CRR Account Holder</w:t>
      </w:r>
      <w:r w:rsidRPr="0065195B">
        <w:t xml:space="preserve"> contributed to </w:t>
      </w:r>
      <w:r>
        <w:t>its</w:t>
      </w:r>
      <w:r w:rsidRPr="0065195B">
        <w:t xml:space="preserve"> Counter</w:t>
      </w:r>
      <w:r>
        <w:t>-</w:t>
      </w:r>
      <w:r w:rsidRPr="0065195B">
        <w:t>Party’s maximum MWh activity ratio share.</w:t>
      </w:r>
    </w:p>
    <w:p w14:paraId="621AA701" w14:textId="77777777" w:rsidR="0014132B" w:rsidRDefault="00A43CDA">
      <w:pPr>
        <w:pStyle w:val="List"/>
        <w:tabs>
          <w:tab w:val="left" w:pos="720"/>
        </w:tabs>
        <w:ind w:left="720"/>
      </w:pPr>
      <w:r>
        <w:t>(4)</w:t>
      </w:r>
      <w:r>
        <w:tab/>
        <w:t>Any uplifted short-paid amount greater than $2,500,000 must be scheduled so that no amount greater than $2,500,000 is charged on each set of Default Uplift Invoices until ERCOT uplifts the total short-paid amount.  ERCOT must issue Default Uplift Invoices at least 30 days apart from each other.</w:t>
      </w:r>
    </w:p>
    <w:p w14:paraId="3385BEFC" w14:textId="6BF4D686" w:rsidR="0014132B" w:rsidRPr="00EB11F5" w:rsidRDefault="00350834">
      <w:pPr>
        <w:pStyle w:val="BodyText"/>
        <w:ind w:left="720" w:hanging="720"/>
      </w:pPr>
      <w:r w:rsidRPr="008436F5">
        <w:t>(5)</w:t>
      </w:r>
      <w:r w:rsidRPr="008436F5">
        <w:tab/>
        <w:t xml:space="preserve">ERCOT shall issue Default Uplift Invoices no earlier than </w:t>
      </w:r>
      <w:r w:rsidR="006358F5">
        <w:t>90</w:t>
      </w:r>
      <w:r w:rsidRPr="008436F5">
        <w:t xml:space="preserve"> days following a short-pay of a Settlement Invoice on the date specified in the Settlement Calendar.  The Invoice Recipient is responsible for accessing the Invoice on the MIS Certified Area once posted by ERCOT.</w:t>
      </w:r>
    </w:p>
    <w:p w14:paraId="2CFC996C" w14:textId="77777777" w:rsidR="00A43CDA" w:rsidRDefault="00A43CDA" w:rsidP="00A43CDA">
      <w:pPr>
        <w:pStyle w:val="BodyTextNumbered"/>
      </w:pPr>
      <w:r>
        <w:t>(6)</w:t>
      </w:r>
      <w:r>
        <w:tab/>
        <w:t>Each Default Uplift Invoice must contain:</w:t>
      </w:r>
    </w:p>
    <w:p w14:paraId="71968FD6" w14:textId="77777777" w:rsidR="00A43CDA" w:rsidRDefault="00A43CDA" w:rsidP="00A43CDA">
      <w:pPr>
        <w:pStyle w:val="List"/>
      </w:pPr>
      <w:r>
        <w:t>(a)</w:t>
      </w:r>
      <w:r>
        <w:tab/>
        <w:t>The Invoice Recipient’s name;</w:t>
      </w:r>
    </w:p>
    <w:p w14:paraId="3818E926" w14:textId="77777777" w:rsidR="00A43CDA" w:rsidRDefault="00A43CDA" w:rsidP="00A43CDA">
      <w:pPr>
        <w:pStyle w:val="List"/>
      </w:pPr>
      <w:r>
        <w:t>(b)</w:t>
      </w:r>
      <w:r>
        <w:tab/>
        <w:t>The ERCOT identifier (Settlement identification number issued by ERCOT);</w:t>
      </w:r>
    </w:p>
    <w:p w14:paraId="2EB51991" w14:textId="77777777" w:rsidR="00A43CDA" w:rsidRDefault="00A43CDA" w:rsidP="00A43CDA">
      <w:pPr>
        <w:pStyle w:val="List"/>
      </w:pPr>
      <w:r>
        <w:t>(c)</w:t>
      </w:r>
      <w:r>
        <w:tab/>
        <w:t>Net Amount Due or Payable – the aggregate summary of all charges owed by a Default Uplift Invoice Recipient;</w:t>
      </w:r>
    </w:p>
    <w:p w14:paraId="74A2A371" w14:textId="77777777" w:rsidR="00A43CDA" w:rsidRDefault="00A43CDA" w:rsidP="00A43CDA">
      <w:pPr>
        <w:pStyle w:val="List"/>
      </w:pPr>
      <w:r>
        <w:t>(d)</w:t>
      </w:r>
      <w:r>
        <w:tab/>
        <w:t>Run Date – the date on which ERCOT created and published the Default Uplift Invoice;</w:t>
      </w:r>
    </w:p>
    <w:p w14:paraId="1E65291A" w14:textId="77777777" w:rsidR="00A43CDA" w:rsidRDefault="00A43CDA" w:rsidP="00A43CDA">
      <w:pPr>
        <w:pStyle w:val="List"/>
      </w:pPr>
      <w:r>
        <w:t>(e)</w:t>
      </w:r>
      <w:r>
        <w:tab/>
        <w:t>Invoice Reference Number – a unique number generated by the ERCOT applications for payment tracking purposes;</w:t>
      </w:r>
    </w:p>
    <w:p w14:paraId="29E69873" w14:textId="77777777" w:rsidR="00A43CDA" w:rsidRDefault="00A43CDA" w:rsidP="00A43CDA">
      <w:pPr>
        <w:pStyle w:val="List"/>
      </w:pPr>
      <w:r>
        <w:t>(f)</w:t>
      </w:r>
      <w:r>
        <w:tab/>
        <w:t>Default Uplift Invoice Reference – an identification code used to reference the amount uplifted;</w:t>
      </w:r>
    </w:p>
    <w:p w14:paraId="0E732AA1" w14:textId="77777777" w:rsidR="00A43CDA" w:rsidRDefault="00A43CDA" w:rsidP="00A43CDA">
      <w:pPr>
        <w:pStyle w:val="List"/>
      </w:pPr>
      <w:r>
        <w:t>(g)</w:t>
      </w:r>
      <w:r>
        <w:tab/>
        <w:t>Payment Date and Time – the date and time that Default Uplift Invoice amounts must be paid;</w:t>
      </w:r>
    </w:p>
    <w:p w14:paraId="73371476" w14:textId="77777777" w:rsidR="00A43CDA" w:rsidRDefault="00A43CDA" w:rsidP="00A43CDA">
      <w:pPr>
        <w:pStyle w:val="List"/>
      </w:pPr>
      <w:r>
        <w:lastRenderedPageBreak/>
        <w:t>(h)</w:t>
      </w:r>
      <w:r>
        <w:tab/>
        <w:t>Remittance Information Details – details including the account number, bank name, and electronic transfer instructions of the ERCOT account to which any amounts owed by the Invoice Recipient are to be paid or of the Invoice Recipient’s account from which ERCOT may draw payments due; and</w:t>
      </w:r>
    </w:p>
    <w:p w14:paraId="2318F8FE" w14:textId="77777777" w:rsidR="0014132B" w:rsidRDefault="00A43CDA">
      <w:pPr>
        <w:pStyle w:val="BodyText"/>
        <w:ind w:left="1440" w:hanging="720"/>
      </w:pPr>
      <w:r>
        <w:t>(i)</w:t>
      </w:r>
      <w:r>
        <w:tab/>
        <w:t>Overdue Terms – the terms that would apply if the Market Participant makes a late payment.</w:t>
      </w:r>
    </w:p>
    <w:p w14:paraId="1014E126" w14:textId="77777777" w:rsidR="0014132B" w:rsidRDefault="00A43CDA">
      <w:pPr>
        <w:pStyle w:val="BodyText"/>
        <w:ind w:left="720" w:hanging="720"/>
      </w:pPr>
      <w:r>
        <w:t>(7)</w:t>
      </w:r>
      <w:r>
        <w:tab/>
        <w:t>Each Invoice Recipient shall pay any net debit shown on the Default Uplift Invoice on the payment due date whether or not there is any Settlement and billing dispute regarding the amount of the debit.</w:t>
      </w:r>
    </w:p>
    <w:p w14:paraId="0C0E1D1D" w14:textId="77777777" w:rsidR="00A43CDA" w:rsidRPr="008910B8" w:rsidRDefault="00A43CDA" w:rsidP="00A43CDA">
      <w:pPr>
        <w:pStyle w:val="H3"/>
        <w:rPr>
          <w:b/>
          <w:i/>
        </w:rPr>
      </w:pPr>
      <w:bookmarkStart w:id="530" w:name="_Toc309731113"/>
      <w:bookmarkStart w:id="531" w:name="_Toc405814086"/>
      <w:bookmarkStart w:id="532" w:name="_Toc422207977"/>
      <w:bookmarkStart w:id="533" w:name="_Toc438044888"/>
      <w:bookmarkStart w:id="534" w:name="_Toc447622671"/>
      <w:bookmarkStart w:id="535" w:name="_Toc80175322"/>
      <w:r w:rsidRPr="008910B8">
        <w:rPr>
          <w:b/>
          <w:i/>
        </w:rPr>
        <w:t>9.19.2</w:t>
      </w:r>
      <w:r w:rsidRPr="008910B8">
        <w:rPr>
          <w:b/>
          <w:i/>
        </w:rPr>
        <w:tab/>
        <w:t>Payment Process for Default Uplift Invoices</w:t>
      </w:r>
      <w:bookmarkEnd w:id="530"/>
      <w:bookmarkEnd w:id="531"/>
      <w:bookmarkEnd w:id="532"/>
      <w:bookmarkEnd w:id="533"/>
      <w:bookmarkEnd w:id="534"/>
      <w:bookmarkEnd w:id="535"/>
    </w:p>
    <w:p w14:paraId="147F9EC1" w14:textId="77777777" w:rsidR="00A43CDA" w:rsidRDefault="00A0123C" w:rsidP="00660ED3">
      <w:pPr>
        <w:pStyle w:val="BodyTextNumbered"/>
      </w:pPr>
      <w:r>
        <w:rPr>
          <w:iCs/>
        </w:rPr>
        <w:t>(1)</w:t>
      </w:r>
      <w:r>
        <w:rPr>
          <w:iCs/>
        </w:rPr>
        <w:tab/>
      </w:r>
      <w:r w:rsidR="00A43CDA">
        <w:t>Payments for Default Uplift Invoices are due on a Bank Business Day and Business Day basis in a two-day, two-step process as detailed in this Section 9.19.2.</w:t>
      </w:r>
    </w:p>
    <w:p w14:paraId="7EFA14F2" w14:textId="77777777" w:rsidR="00A43CDA" w:rsidRPr="00B36CF0" w:rsidRDefault="00A43CDA" w:rsidP="00A43CDA">
      <w:pPr>
        <w:pStyle w:val="H4"/>
      </w:pPr>
      <w:bookmarkStart w:id="536" w:name="_Toc309731114"/>
      <w:bookmarkStart w:id="537" w:name="_Toc405814087"/>
      <w:bookmarkStart w:id="538" w:name="_Toc422207978"/>
      <w:bookmarkStart w:id="539" w:name="_Toc438044889"/>
      <w:bookmarkStart w:id="540" w:name="_Toc447622672"/>
      <w:bookmarkStart w:id="541" w:name="_Toc80175323"/>
      <w:r>
        <w:t>9.19.2.1</w:t>
      </w:r>
      <w:r>
        <w:tab/>
        <w:t>Invoice Recipient Payment to ERCOT for Default Uplift</w:t>
      </w:r>
      <w:bookmarkEnd w:id="536"/>
      <w:bookmarkEnd w:id="537"/>
      <w:bookmarkEnd w:id="538"/>
      <w:bookmarkEnd w:id="539"/>
      <w:bookmarkEnd w:id="540"/>
      <w:bookmarkEnd w:id="541"/>
    </w:p>
    <w:p w14:paraId="5B028904" w14:textId="77777777" w:rsidR="00A43CDA" w:rsidRDefault="00A43CDA" w:rsidP="00A43CDA">
      <w:pPr>
        <w:pStyle w:val="BodyTextNumbered"/>
      </w:pPr>
      <w:r>
        <w:t>(1)</w:t>
      </w:r>
      <w:r>
        <w:tab/>
        <w:t>The payment due date and time for the</w:t>
      </w:r>
      <w:r w:rsidRPr="00FF456F">
        <w:t xml:space="preserve"> </w:t>
      </w:r>
      <w:r>
        <w:t>Default</w:t>
      </w:r>
      <w:r w:rsidDel="00FF456F">
        <w:t xml:space="preserve"> </w:t>
      </w:r>
      <w:r>
        <w:t>Uplift Invoice with funds owed by an Invoice Recipient is 1700 on the fifth Bank Business Day after the Default Uplift Invoice date, unless fifth</w:t>
      </w:r>
      <w:r>
        <w:rPr>
          <w:vertAlign w:val="superscript"/>
        </w:rPr>
        <w:t xml:space="preserve"> </w:t>
      </w:r>
      <w:r>
        <w:t>Bank Business Day is not a Business Day.  If the fifth Bank Business Day is not a Business Day, then the payment is due by 1700 on the next Bank Business Day after the fifth Bank Business Day that is also a Business Day.</w:t>
      </w:r>
    </w:p>
    <w:p w14:paraId="0B4F3719" w14:textId="77777777" w:rsidR="0014132B" w:rsidRDefault="00C114BB" w:rsidP="00C114BB">
      <w:pPr>
        <w:pStyle w:val="BodyText"/>
        <w:ind w:left="720" w:hanging="720"/>
      </w:pPr>
      <w:r>
        <w:t>(2)</w:t>
      </w:r>
      <w:r>
        <w:tab/>
        <w:t>All Default Uplift Invoices due, with funds owed by an Invoice Recipient, must be paid to ERCOT in U.S. Dollars (USDs) by Electronic Funds Transfer (EFT) in immediately available or good funds (i.e., not subject to reversal) on or before the payment due date.</w:t>
      </w:r>
    </w:p>
    <w:p w14:paraId="087CDAE6" w14:textId="77777777" w:rsidR="00A43CDA" w:rsidRDefault="00A43CDA" w:rsidP="00F55173">
      <w:pPr>
        <w:pStyle w:val="H4"/>
      </w:pPr>
      <w:bookmarkStart w:id="542" w:name="_Toc309731115"/>
      <w:bookmarkStart w:id="543" w:name="_Toc405814088"/>
      <w:bookmarkStart w:id="544" w:name="_Toc422207979"/>
      <w:bookmarkStart w:id="545" w:name="_Toc438044890"/>
      <w:bookmarkStart w:id="546" w:name="_Toc447622673"/>
      <w:bookmarkStart w:id="547" w:name="_Toc80175324"/>
      <w:r>
        <w:t>9.19.2.2</w:t>
      </w:r>
      <w:r>
        <w:tab/>
        <w:t>ERCOT Payment to Invoice Recipients for Default Uplift</w:t>
      </w:r>
      <w:bookmarkEnd w:id="542"/>
      <w:bookmarkEnd w:id="543"/>
      <w:bookmarkEnd w:id="544"/>
      <w:bookmarkEnd w:id="545"/>
      <w:bookmarkEnd w:id="546"/>
      <w:bookmarkEnd w:id="547"/>
    </w:p>
    <w:p w14:paraId="38E661D4" w14:textId="77777777" w:rsidR="00A43CDA" w:rsidRDefault="00A43CDA" w:rsidP="00A43CDA">
      <w:pPr>
        <w:pStyle w:val="BodyTextNumbered"/>
      </w:pPr>
      <w:r>
        <w:t>(1)</w:t>
      </w:r>
      <w:r>
        <w:tab/>
        <w:t xml:space="preserve">Subject to the availability of funds as discussed in paragraph (2) below, uplifted funds received from Default Uplift Invoices must be paid by ERCOT to short-paid Invoice Recipients by 1700 on the next Bank Business Day after payments are due for that Default Uplift Invoice under Section </w:t>
      </w:r>
      <w:r w:rsidRPr="00AC79F9">
        <w:t>9.19.2.1</w:t>
      </w:r>
      <w:r>
        <w:t xml:space="preserve">, Invoice Recipient Payment to ERCOT for Default Uplift, subject to ERCOT’s right to withhold payments under Section 16, Registration and Qualification of Market Participants, or pursuant to common law unless that next Bank Business Day is not a Business Day.  If that next Bank Business Day is not a Business Day, the payment is due on the next Bank Business Day thereafter that is also a Business Day. </w:t>
      </w:r>
    </w:p>
    <w:p w14:paraId="7943C54C" w14:textId="77777777" w:rsidR="00A43CDA" w:rsidRDefault="00A43CDA" w:rsidP="00A43CDA">
      <w:pPr>
        <w:pStyle w:val="BodyTextNumbered"/>
      </w:pPr>
      <w:r>
        <w:t>(2)</w:t>
      </w:r>
      <w:r>
        <w:tab/>
        <w:t xml:space="preserve">ERCOT shall give irrevocable instructions to the ERCOT financial institution to remit to each short-paid Invoice Recipient for same day value the amounts determined by ERCOT to be available for payment to that short-paid Invoice Recipient under paragraph </w:t>
      </w:r>
      <w:r w:rsidR="00AF146B">
        <w:t>(1)</w:t>
      </w:r>
      <w:r>
        <w:t xml:space="preserve">(d) of </w:t>
      </w:r>
      <w:r w:rsidRPr="00B36CF0">
        <w:rPr>
          <w:iCs/>
        </w:rPr>
        <w:t xml:space="preserve">Section </w:t>
      </w:r>
      <w:r w:rsidRPr="00AC79F9">
        <w:rPr>
          <w:iCs/>
        </w:rPr>
        <w:t>9.19</w:t>
      </w:r>
      <w:r>
        <w:rPr>
          <w:iCs/>
        </w:rPr>
        <w:t>, Partial Payments by Invoice Recipients</w:t>
      </w:r>
      <w:r>
        <w:t xml:space="preserve">. </w:t>
      </w:r>
    </w:p>
    <w:p w14:paraId="638CF81D" w14:textId="77777777" w:rsidR="0014132B" w:rsidRDefault="00350834" w:rsidP="00F55173">
      <w:pPr>
        <w:pStyle w:val="BodyText"/>
        <w:ind w:left="720" w:hanging="720"/>
      </w:pPr>
      <w:r w:rsidRPr="008436F5">
        <w:lastRenderedPageBreak/>
        <w:t>(3)</w:t>
      </w:r>
      <w:r w:rsidRPr="008436F5">
        <w:tab/>
        <w:t>Any short payments of Default Uplift Invoices must be handled under Section 9.19</w:t>
      </w:r>
      <w:r w:rsidR="008C0CC8">
        <w:t xml:space="preserve">, </w:t>
      </w:r>
      <w:r w:rsidR="008C0CC8" w:rsidRPr="008C0CC8">
        <w:t>Partial Payments by Invoice Recipients</w:t>
      </w:r>
      <w:r w:rsidRPr="008436F5">
        <w:t>.</w:t>
      </w:r>
    </w:p>
    <w:p w14:paraId="32175983" w14:textId="77777777" w:rsidR="00326226" w:rsidRPr="00E63934" w:rsidRDefault="00326226" w:rsidP="00326226">
      <w:pPr>
        <w:pStyle w:val="H3"/>
        <w:rPr>
          <w:b/>
          <w:bCs/>
          <w:i/>
        </w:rPr>
      </w:pPr>
      <w:bookmarkStart w:id="548" w:name="_Toc405814089"/>
      <w:bookmarkStart w:id="549" w:name="_Toc422207980"/>
      <w:bookmarkStart w:id="550" w:name="_Toc438044891"/>
      <w:bookmarkStart w:id="551" w:name="_Toc447622674"/>
      <w:bookmarkStart w:id="552" w:name="_Toc80175325"/>
      <w:r w:rsidRPr="00E63934">
        <w:rPr>
          <w:b/>
          <w:bCs/>
          <w:i/>
        </w:rPr>
        <w:t>9.19.3</w:t>
      </w:r>
      <w:r w:rsidRPr="00E63934">
        <w:rPr>
          <w:b/>
          <w:bCs/>
          <w:i/>
        </w:rPr>
        <w:tab/>
      </w:r>
      <w:r w:rsidR="004B0FF9">
        <w:rPr>
          <w:b/>
          <w:bCs/>
          <w:i/>
        </w:rPr>
        <w:t>Default Uplift Supporting Data Reporting</w:t>
      </w:r>
      <w:bookmarkEnd w:id="548"/>
      <w:bookmarkEnd w:id="549"/>
      <w:bookmarkEnd w:id="550"/>
      <w:bookmarkEnd w:id="551"/>
      <w:bookmarkEnd w:id="552"/>
    </w:p>
    <w:p w14:paraId="44D1D36D" w14:textId="77777777" w:rsidR="00A33960" w:rsidRDefault="00A0123C" w:rsidP="004B0FF9">
      <w:pPr>
        <w:pStyle w:val="BodyText"/>
        <w:ind w:left="720" w:hanging="720"/>
      </w:pPr>
      <w:r>
        <w:rPr>
          <w:iCs w:val="0"/>
        </w:rPr>
        <w:t>(1)</w:t>
      </w:r>
      <w:r>
        <w:rPr>
          <w:iCs w:val="0"/>
        </w:rPr>
        <w:tab/>
      </w:r>
      <w:r w:rsidR="004B0FF9" w:rsidRPr="00B163CC">
        <w:t>ERCOT shall post once each month on the MIS Certified Area</w:t>
      </w:r>
      <w:r w:rsidR="004B0FF9" w:rsidRPr="00911B31">
        <w:t xml:space="preserve">, the </w:t>
      </w:r>
      <w:r w:rsidR="004B0FF9" w:rsidRPr="00B163CC">
        <w:t xml:space="preserve">Maximum MWh Activity (MMA), </w:t>
      </w:r>
      <w:r w:rsidR="004B0FF9" w:rsidRPr="00911B31">
        <w:t>Maximum MWh Activity Total (MMATOT)</w:t>
      </w:r>
      <w:r w:rsidR="004B0FF9">
        <w:t>,</w:t>
      </w:r>
      <w:r w:rsidR="004B0FF9" w:rsidRPr="0076216F">
        <w:t xml:space="preserve"> </w:t>
      </w:r>
      <w:r w:rsidR="004B0FF9">
        <w:t xml:space="preserve">Maximum MWh Activity Ratio Share (MMARS), and the Counter-Party level components of MMA calculation as defined in </w:t>
      </w:r>
      <w:r w:rsidR="004B0FF9" w:rsidRPr="00911B31">
        <w:t>paragraph (2) of Section 9.19.1</w:t>
      </w:r>
      <w:r w:rsidR="004B0FF9" w:rsidRPr="00B163CC">
        <w:t>, Default Uplift Invoices</w:t>
      </w:r>
      <w:r w:rsidR="004B0FF9">
        <w:t>.  Each month’s report shall be updated with Final and True-Up Settlement data when ERCOT’s systems contain the necessary information to complete the report with the updated data.</w:t>
      </w:r>
    </w:p>
    <w:p w14:paraId="5499369C" w14:textId="77777777" w:rsidR="00C1366C" w:rsidRDefault="00C1366C" w:rsidP="00C1366C">
      <w:pPr>
        <w:pStyle w:val="H3"/>
        <w:rPr>
          <w:b/>
          <w:i/>
        </w:rPr>
      </w:pPr>
      <w:bookmarkStart w:id="553" w:name="_Toc80175326"/>
      <w:r>
        <w:rPr>
          <w:b/>
          <w:i/>
        </w:rPr>
        <w:t>9.</w:t>
      </w:r>
      <w:r w:rsidRPr="00C1366C">
        <w:rPr>
          <w:b/>
          <w:bCs/>
          <w:i/>
        </w:rPr>
        <w:t>19</w:t>
      </w:r>
      <w:r>
        <w:rPr>
          <w:b/>
          <w:i/>
        </w:rPr>
        <w:t>.4</w:t>
      </w:r>
      <w:r>
        <w:rPr>
          <w:b/>
          <w:i/>
        </w:rPr>
        <w:tab/>
        <w:t>Exemption for Central Counter-Party Clearinghouses Regulated as Derivatives Clearing Organizations</w:t>
      </w:r>
      <w:bookmarkEnd w:id="553"/>
    </w:p>
    <w:p w14:paraId="76E86A76" w14:textId="77777777" w:rsidR="00AB093A" w:rsidRDefault="00C1366C" w:rsidP="00AB093A">
      <w:pPr>
        <w:spacing w:after="240"/>
        <w:ind w:left="720" w:hanging="720"/>
      </w:pPr>
      <w:r>
        <w:t>(1)</w:t>
      </w:r>
      <w:r>
        <w:tab/>
      </w:r>
      <w:r w:rsidR="00AB093A">
        <w:t xml:space="preserve">Notwithstanding any other provision of Section 9.19, Partial Payments by Invoice Recipients, or these Protocols, ERCOT shall not issue a Default Uplift Invoice to, and shall not otherwise collect any short-pay amounts from, any QSE that:  </w:t>
      </w:r>
    </w:p>
    <w:p w14:paraId="4D491F16" w14:textId="77777777" w:rsidR="00AB093A" w:rsidRDefault="00AB093A" w:rsidP="00AB093A">
      <w:pPr>
        <w:spacing w:after="240"/>
        <w:ind w:left="1440" w:hanging="720"/>
      </w:pPr>
      <w:r>
        <w:t xml:space="preserve">(a) </w:t>
      </w:r>
      <w:r>
        <w:tab/>
        <w:t xml:space="preserve">Otherwise would be subject to an uplift charge solely as a result of acting as a central Counter-Party clearinghouse in wholesale market transactions in ERCOT; and </w:t>
      </w:r>
    </w:p>
    <w:p w14:paraId="093A7054" w14:textId="77777777" w:rsidR="00AB093A" w:rsidRPr="00C1366C" w:rsidRDefault="00AB093A" w:rsidP="00AB093A">
      <w:pPr>
        <w:spacing w:after="240"/>
        <w:ind w:left="1440" w:hanging="720"/>
        <w:rPr>
          <w:b/>
          <w:iCs/>
        </w:rPr>
      </w:pPr>
      <w:r>
        <w:t xml:space="preserve">(b) </w:t>
      </w:r>
      <w:r>
        <w:tab/>
        <w:t>Is regulated as a Derivatives Clearing Organization as defined by the Commodity Exchange Act, 7 U.S.C. § 1a.</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214A7" w:rsidRPr="004B32CF" w14:paraId="532220F7" w14:textId="77777777" w:rsidTr="00C643BC">
        <w:trPr>
          <w:trHeight w:val="656"/>
        </w:trPr>
        <w:tc>
          <w:tcPr>
            <w:tcW w:w="9350" w:type="dxa"/>
            <w:shd w:val="pct12" w:color="auto" w:fill="auto"/>
          </w:tcPr>
          <w:p w14:paraId="56E8BC4A" w14:textId="63A7462F" w:rsidR="00B214A7" w:rsidRPr="006D0E4C" w:rsidRDefault="00B214A7" w:rsidP="00C643BC">
            <w:pPr>
              <w:spacing w:after="240"/>
              <w:rPr>
                <w:b/>
                <w:i/>
                <w:iCs/>
              </w:rPr>
            </w:pPr>
            <w:r w:rsidRPr="006D0E4C">
              <w:rPr>
                <w:b/>
                <w:i/>
                <w:iCs/>
              </w:rPr>
              <w:t>[NPRR1</w:t>
            </w:r>
            <w:r>
              <w:rPr>
                <w:b/>
                <w:i/>
                <w:iCs/>
              </w:rPr>
              <w:t>208</w:t>
            </w:r>
            <w:r w:rsidRPr="006D0E4C">
              <w:rPr>
                <w:b/>
                <w:i/>
                <w:iCs/>
              </w:rPr>
              <w:t xml:space="preserve">: </w:t>
            </w:r>
            <w:r>
              <w:rPr>
                <w:b/>
                <w:i/>
                <w:iCs/>
              </w:rPr>
              <w:t xml:space="preserve"> Insert Section 9.20 below</w:t>
            </w:r>
            <w:r w:rsidRPr="006D0E4C">
              <w:rPr>
                <w:b/>
                <w:i/>
                <w:iCs/>
              </w:rPr>
              <w:t xml:space="preserve"> upon system implementation:]</w:t>
            </w:r>
          </w:p>
          <w:p w14:paraId="10540D16" w14:textId="77777777" w:rsidR="00B214A7" w:rsidRDefault="00B214A7" w:rsidP="00B214A7">
            <w:pPr>
              <w:pStyle w:val="H2"/>
              <w:spacing w:before="0"/>
            </w:pPr>
            <w:r w:rsidRPr="004471AB">
              <w:t>9.20</w:t>
            </w:r>
            <w:r>
              <w:tab/>
            </w:r>
            <w:r w:rsidRPr="004471AB">
              <w:t>ERCOT Invoice Report</w:t>
            </w:r>
          </w:p>
          <w:p w14:paraId="0386C3C9" w14:textId="77777777" w:rsidR="00B214A7" w:rsidRDefault="00B214A7" w:rsidP="00B214A7">
            <w:pPr>
              <w:pStyle w:val="BodyText"/>
              <w:ind w:left="720" w:hanging="720"/>
              <w:rPr>
                <w:lang w:eastAsia="x-none"/>
              </w:rPr>
            </w:pPr>
            <w:r>
              <w:rPr>
                <w:lang w:eastAsia="x-none"/>
              </w:rPr>
              <w:t>(1)</w:t>
            </w:r>
            <w:r>
              <w:rPr>
                <w:lang w:eastAsia="x-none"/>
              </w:rPr>
              <w:tab/>
              <w:t>ERCOT will post daily, on the Market Information System (MIS) Certified Area, a Counter-Party report that lists the following Invoices that were issued for the current day and prior day to the Qualified Scheduling Entity(s) (QSE(s)) and Congestion Revenue Right (CRR) Account Holder(s) represented by the Counter-Party:</w:t>
            </w:r>
          </w:p>
          <w:p w14:paraId="6411B1BC" w14:textId="77777777" w:rsidR="00B214A7" w:rsidRDefault="00B214A7" w:rsidP="00B214A7">
            <w:pPr>
              <w:pStyle w:val="BodyText"/>
              <w:ind w:left="1440" w:hanging="720"/>
              <w:rPr>
                <w:lang w:eastAsia="x-none"/>
              </w:rPr>
            </w:pPr>
            <w:r>
              <w:rPr>
                <w:lang w:eastAsia="x-none"/>
              </w:rPr>
              <w:t>(a)</w:t>
            </w:r>
            <w:r>
              <w:rPr>
                <w:lang w:eastAsia="x-none"/>
              </w:rPr>
              <w:tab/>
              <w:t>Settlement Invoice;</w:t>
            </w:r>
          </w:p>
          <w:p w14:paraId="15DC7096" w14:textId="77777777" w:rsidR="00B214A7" w:rsidRDefault="00B214A7" w:rsidP="00B214A7">
            <w:pPr>
              <w:pStyle w:val="BodyText"/>
              <w:ind w:left="1440" w:hanging="720"/>
              <w:rPr>
                <w:lang w:eastAsia="x-none"/>
              </w:rPr>
            </w:pPr>
            <w:r>
              <w:rPr>
                <w:lang w:eastAsia="x-none"/>
              </w:rPr>
              <w:t>(b)</w:t>
            </w:r>
            <w:r>
              <w:rPr>
                <w:lang w:eastAsia="x-none"/>
              </w:rPr>
              <w:tab/>
              <w:t>CRR Auction Invoice;</w:t>
            </w:r>
          </w:p>
          <w:p w14:paraId="44D7E490" w14:textId="77777777" w:rsidR="00B214A7" w:rsidRPr="00875D69" w:rsidRDefault="00B214A7" w:rsidP="00B214A7">
            <w:pPr>
              <w:pStyle w:val="BodyText"/>
              <w:ind w:left="1440" w:hanging="720"/>
              <w:rPr>
                <w:lang w:eastAsia="x-none"/>
              </w:rPr>
            </w:pPr>
            <w:r w:rsidRPr="00875D69">
              <w:rPr>
                <w:lang w:eastAsia="x-none"/>
              </w:rPr>
              <w:t>(c)</w:t>
            </w:r>
            <w:r w:rsidRPr="00875D69">
              <w:rPr>
                <w:lang w:eastAsia="x-none"/>
              </w:rPr>
              <w:tab/>
              <w:t>CRR Auction Revenue Distribution Invoice;</w:t>
            </w:r>
          </w:p>
          <w:p w14:paraId="29683963" w14:textId="77777777" w:rsidR="00B214A7" w:rsidRDefault="00B214A7" w:rsidP="00B214A7">
            <w:pPr>
              <w:pStyle w:val="BodyText"/>
              <w:ind w:left="1440" w:hanging="720"/>
              <w:rPr>
                <w:lang w:eastAsia="x-none"/>
              </w:rPr>
            </w:pPr>
            <w:r>
              <w:rPr>
                <w:lang w:eastAsia="x-none"/>
              </w:rPr>
              <w:t>(d)</w:t>
            </w:r>
            <w:r>
              <w:rPr>
                <w:lang w:eastAsia="x-none"/>
              </w:rPr>
              <w:tab/>
              <w:t>CRR Balancing Account Invoice;</w:t>
            </w:r>
          </w:p>
          <w:p w14:paraId="1E6E52F9" w14:textId="77777777" w:rsidR="00B214A7" w:rsidRDefault="00B214A7" w:rsidP="00B214A7">
            <w:pPr>
              <w:pStyle w:val="BodyText"/>
              <w:ind w:left="1440" w:hanging="720"/>
              <w:rPr>
                <w:lang w:eastAsia="x-none"/>
              </w:rPr>
            </w:pPr>
            <w:r>
              <w:rPr>
                <w:lang w:eastAsia="x-none"/>
              </w:rPr>
              <w:t>(e)</w:t>
            </w:r>
            <w:r>
              <w:rPr>
                <w:lang w:eastAsia="x-none"/>
              </w:rPr>
              <w:tab/>
              <w:t>Miscellaneous Invoice;</w:t>
            </w:r>
          </w:p>
          <w:p w14:paraId="0971E34A" w14:textId="77777777" w:rsidR="00B214A7" w:rsidRDefault="00B214A7" w:rsidP="00B214A7">
            <w:pPr>
              <w:pStyle w:val="BodyText"/>
              <w:ind w:left="1440" w:hanging="720"/>
              <w:rPr>
                <w:lang w:eastAsia="x-none"/>
              </w:rPr>
            </w:pPr>
            <w:r>
              <w:rPr>
                <w:lang w:eastAsia="x-none"/>
              </w:rPr>
              <w:lastRenderedPageBreak/>
              <w:t>(f)</w:t>
            </w:r>
            <w:r>
              <w:rPr>
                <w:lang w:eastAsia="x-none"/>
              </w:rPr>
              <w:tab/>
              <w:t>Default Uplift Invoice;</w:t>
            </w:r>
          </w:p>
          <w:p w14:paraId="712956A3" w14:textId="77777777" w:rsidR="00B214A7" w:rsidRDefault="00B214A7" w:rsidP="00B214A7">
            <w:pPr>
              <w:pStyle w:val="BodyText"/>
              <w:ind w:left="1440" w:hanging="720"/>
              <w:rPr>
                <w:lang w:eastAsia="x-none"/>
              </w:rPr>
            </w:pPr>
            <w:r>
              <w:rPr>
                <w:lang w:eastAsia="x-none"/>
              </w:rPr>
              <w:t>(g)</w:t>
            </w:r>
            <w:r>
              <w:rPr>
                <w:lang w:eastAsia="x-none"/>
              </w:rPr>
              <w:tab/>
              <w:t>Securitization Uplift Charge Initial Invoice;</w:t>
            </w:r>
          </w:p>
          <w:p w14:paraId="59ED935D" w14:textId="77777777" w:rsidR="00B214A7" w:rsidRDefault="00B214A7" w:rsidP="00B214A7">
            <w:pPr>
              <w:pStyle w:val="BodyText"/>
              <w:ind w:left="1440" w:hanging="720"/>
              <w:rPr>
                <w:lang w:eastAsia="x-none"/>
              </w:rPr>
            </w:pPr>
            <w:r>
              <w:rPr>
                <w:lang w:eastAsia="x-none"/>
              </w:rPr>
              <w:t>(h)</w:t>
            </w:r>
            <w:r>
              <w:rPr>
                <w:lang w:eastAsia="x-none"/>
              </w:rPr>
              <w:tab/>
              <w:t>Securitization Uplift Charge Reallocation Invoice;</w:t>
            </w:r>
          </w:p>
          <w:p w14:paraId="0A3B4336" w14:textId="77777777" w:rsidR="00B214A7" w:rsidRDefault="00B214A7" w:rsidP="00B214A7">
            <w:pPr>
              <w:pStyle w:val="BodyText"/>
              <w:ind w:left="1440" w:hanging="720"/>
              <w:rPr>
                <w:lang w:eastAsia="x-none"/>
              </w:rPr>
            </w:pPr>
            <w:r>
              <w:rPr>
                <w:lang w:eastAsia="x-none"/>
              </w:rPr>
              <w:t>(i)</w:t>
            </w:r>
            <w:r>
              <w:rPr>
                <w:lang w:eastAsia="x-none"/>
              </w:rPr>
              <w:tab/>
              <w:t>Securitization Default Charge Invoice;</w:t>
            </w:r>
          </w:p>
          <w:p w14:paraId="1E8E1BBA" w14:textId="77777777" w:rsidR="00B214A7" w:rsidRDefault="00B214A7" w:rsidP="00B214A7">
            <w:pPr>
              <w:pStyle w:val="BodyText"/>
              <w:ind w:left="1440" w:hanging="720"/>
              <w:rPr>
                <w:lang w:eastAsia="x-none"/>
              </w:rPr>
            </w:pPr>
            <w:r>
              <w:rPr>
                <w:lang w:eastAsia="x-none"/>
              </w:rPr>
              <w:t>(j)</w:t>
            </w:r>
            <w:r>
              <w:rPr>
                <w:lang w:eastAsia="x-none"/>
              </w:rPr>
              <w:tab/>
              <w:t>Electric Reliability Organization (ERO) Invoice;</w:t>
            </w:r>
          </w:p>
          <w:p w14:paraId="4CCA6F62" w14:textId="77777777" w:rsidR="00B214A7" w:rsidRDefault="00B214A7" w:rsidP="00B214A7">
            <w:pPr>
              <w:pStyle w:val="BodyText"/>
              <w:ind w:left="1440" w:hanging="720"/>
              <w:rPr>
                <w:lang w:eastAsia="x-none"/>
              </w:rPr>
            </w:pPr>
            <w:r>
              <w:rPr>
                <w:lang w:eastAsia="x-none"/>
              </w:rPr>
              <w:t>(k)</w:t>
            </w:r>
            <w:r>
              <w:rPr>
                <w:lang w:eastAsia="x-none"/>
              </w:rPr>
              <w:tab/>
              <w:t>Wide Area Network (WAN) Invoice; and</w:t>
            </w:r>
          </w:p>
          <w:p w14:paraId="398C36E1" w14:textId="574E5014" w:rsidR="00B214A7" w:rsidRPr="00FA3373" w:rsidRDefault="00B214A7" w:rsidP="00B214A7">
            <w:pPr>
              <w:pStyle w:val="BodyText"/>
              <w:ind w:left="1440" w:hanging="720"/>
              <w:rPr>
                <w:lang w:eastAsia="x-none"/>
              </w:rPr>
            </w:pPr>
            <w:r>
              <w:rPr>
                <w:lang w:eastAsia="x-none"/>
              </w:rPr>
              <w:t>(l)</w:t>
            </w:r>
            <w:r>
              <w:rPr>
                <w:lang w:eastAsia="x-none"/>
              </w:rPr>
              <w:tab/>
              <w:t>Weatherization Inspection Invoice.</w:t>
            </w:r>
          </w:p>
        </w:tc>
      </w:tr>
    </w:tbl>
    <w:p w14:paraId="5326DE48" w14:textId="21F3F81F" w:rsidR="00AD4FFA" w:rsidRPr="00C1366C" w:rsidRDefault="00AD4FFA" w:rsidP="00AB093A">
      <w:pPr>
        <w:spacing w:after="240"/>
        <w:ind w:left="720" w:hanging="720"/>
        <w:rPr>
          <w:b/>
          <w:iCs/>
        </w:rPr>
      </w:pPr>
    </w:p>
    <w:sectPr w:rsidR="00AD4FFA" w:rsidRPr="00C1366C" w:rsidSect="002F5868">
      <w:headerReference w:type="default" r:id="rId26"/>
      <w:footerReference w:type="default" r:id="rId27"/>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B6DB" w14:textId="77777777" w:rsidR="007D681D" w:rsidRDefault="007D681D">
      <w:r>
        <w:separator/>
      </w:r>
    </w:p>
  </w:endnote>
  <w:endnote w:type="continuationSeparator" w:id="0">
    <w:p w14:paraId="0C29E8D7" w14:textId="77777777" w:rsidR="007D681D" w:rsidRDefault="007D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792E0" w14:textId="6E34E6F5" w:rsidR="007D681D" w:rsidRDefault="007D681D">
    <w:pPr>
      <w:pStyle w:val="Footer"/>
      <w:spacing w:before="0" w:after="0"/>
    </w:pPr>
    <w:r>
      <w:t xml:space="preserve">ERCOT Nodal Protocols – </w:t>
    </w:r>
    <w:r w:rsidR="003E0FF7">
      <w:t>Ma</w:t>
    </w:r>
    <w:r w:rsidR="00B214A7">
      <w:t>y</w:t>
    </w:r>
    <w:r w:rsidR="0064455F">
      <w:t xml:space="preserve"> </w:t>
    </w:r>
    <w:r w:rsidR="003026B4">
      <w:t>1</w:t>
    </w:r>
    <w:r>
      <w:t>, 202</w:t>
    </w:r>
    <w:r w:rsidR="003E0FF7">
      <w:t>4</w:t>
    </w:r>
  </w:p>
  <w:p w14:paraId="7AEA6E8B" w14:textId="77777777" w:rsidR="007D681D" w:rsidRDefault="007D681D">
    <w:pPr>
      <w:pStyle w:val="Footer"/>
      <w:spacing w:before="0" w:after="0"/>
      <w:jc w:val="cen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ABA6" w14:textId="77777777" w:rsidR="007D681D" w:rsidRDefault="007D681D">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105C" w14:textId="27F47211" w:rsidR="007D681D" w:rsidRDefault="007D681D">
    <w:pPr>
      <w:pStyle w:val="Footer"/>
      <w:spacing w:before="0" w:after="0"/>
    </w:pPr>
    <w:r>
      <w:t xml:space="preserve">ERCOT Nodal Protocols – </w:t>
    </w:r>
    <w:r w:rsidR="003E0FF7">
      <w:t>Ma</w:t>
    </w:r>
    <w:r w:rsidR="00B214A7">
      <w:t>y</w:t>
    </w:r>
    <w:r w:rsidR="0064455F">
      <w:t xml:space="preserve"> </w:t>
    </w:r>
    <w:r w:rsidR="003026B4">
      <w:t>1</w:t>
    </w:r>
    <w:r>
      <w:t>, 202</w:t>
    </w:r>
    <w:r w:rsidR="003E0FF7">
      <w:t>4</w:t>
    </w:r>
  </w:p>
  <w:p w14:paraId="7415A682" w14:textId="77777777" w:rsidR="007D681D" w:rsidRDefault="007D681D">
    <w:pPr>
      <w:pStyle w:val="Footer"/>
      <w:spacing w:before="0" w:after="0"/>
      <w:jc w:val="center"/>
    </w:pPr>
    <w: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C67C2" w14:textId="2CB84260" w:rsidR="007D681D" w:rsidRDefault="007D681D">
    <w:pPr>
      <w:pStyle w:val="Footer"/>
      <w:spacing w:before="0" w:after="0"/>
      <w:rPr>
        <w:rStyle w:val="PageNumber"/>
      </w:rPr>
    </w:pPr>
    <w:r>
      <w:t xml:space="preserve">ERCOT Nodal Protocols – </w:t>
    </w:r>
    <w:r w:rsidR="003E0FF7">
      <w:t>Ma</w:t>
    </w:r>
    <w:r w:rsidR="00B214A7">
      <w:t>y</w:t>
    </w:r>
    <w:r w:rsidR="0064455F">
      <w:t xml:space="preserve"> </w:t>
    </w:r>
    <w:r w:rsidR="003026B4">
      <w:t>1</w:t>
    </w:r>
    <w:r>
      <w:t xml:space="preserve">, </w:t>
    </w:r>
    <w:proofErr w:type="gramStart"/>
    <w:r>
      <w:t>202</w:t>
    </w:r>
    <w:r w:rsidR="003E0FF7">
      <w:t>4</w:t>
    </w:r>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9-23</w:t>
    </w:r>
    <w:r>
      <w:rPr>
        <w:rStyle w:val="PageNumber"/>
      </w:rPr>
      <w:fldChar w:fldCharType="end"/>
    </w:r>
  </w:p>
  <w:p w14:paraId="59D53380" w14:textId="77777777" w:rsidR="007D681D" w:rsidRDefault="007D681D">
    <w:pPr>
      <w:pStyle w:val="Footer"/>
      <w:spacing w:before="0" w:after="0"/>
      <w:jc w:val="center"/>
    </w:pPr>
    <w:r>
      <w:rPr>
        <w:rStyle w:val="PageNumber"/>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0E31" w14:textId="77777777" w:rsidR="007D681D" w:rsidRDefault="007D681D">
      <w:r>
        <w:separator/>
      </w:r>
    </w:p>
  </w:footnote>
  <w:footnote w:type="continuationSeparator" w:id="0">
    <w:p w14:paraId="1167B0FA" w14:textId="77777777" w:rsidR="007D681D" w:rsidRDefault="007D6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4E7C" w14:textId="77777777" w:rsidR="007D681D" w:rsidRDefault="007D681D">
    <w:pPr>
      <w:pStyle w:val="Header"/>
    </w:pPr>
    <w:r>
      <w:t>Section 9: 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25FDE" w14:textId="77777777" w:rsidR="007D681D" w:rsidRDefault="007D681D">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141D" w14:textId="77777777" w:rsidR="007D681D" w:rsidRDefault="007D681D">
    <w:pPr>
      <w:pStyle w:val="Header"/>
    </w:pPr>
    <w:r>
      <w:t>Section 9:  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50A3" w14:textId="77777777" w:rsidR="007D681D" w:rsidRDefault="007D681D">
    <w:pPr>
      <w:pStyle w:val="Header"/>
    </w:pPr>
    <w:r>
      <w:t>Section 9:  Settlement and Billing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1259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428D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3414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7263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C6CE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F4C3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2239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C6A9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6E03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BCE4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8"/>
    <w:multiLevelType w:val="singleLevel"/>
    <w:tmpl w:val="0BD2B42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A750B"/>
    <w:multiLevelType w:val="multilevel"/>
    <w:tmpl w:val="3F1A4D8E"/>
    <w:lvl w:ilvl="0">
      <w:start w:val="3"/>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4781AB4"/>
    <w:multiLevelType w:val="hybridMultilevel"/>
    <w:tmpl w:val="3AE613B2"/>
    <w:lvl w:ilvl="0" w:tplc="5E706E62">
      <w:start w:val="2"/>
      <w:numFmt w:val="lowerRoman"/>
      <w:lvlText w:val="(%1)"/>
      <w:lvlJc w:val="left"/>
      <w:pPr>
        <w:tabs>
          <w:tab w:val="num" w:pos="2340"/>
        </w:tabs>
        <w:ind w:left="2340" w:hanging="720"/>
      </w:pPr>
      <w:rPr>
        <w:rFonts w:hint="default"/>
        <w:b/>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3" w15:restartNumberingAfterBreak="0">
    <w:nsid w:val="08F9639D"/>
    <w:multiLevelType w:val="hybridMultilevel"/>
    <w:tmpl w:val="53A8CF6C"/>
    <w:lvl w:ilvl="0" w:tplc="DD3AA038">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A9D4757"/>
    <w:multiLevelType w:val="hybridMultilevel"/>
    <w:tmpl w:val="4620BF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16220CD"/>
    <w:multiLevelType w:val="hybridMultilevel"/>
    <w:tmpl w:val="2D707610"/>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8A7E9E"/>
    <w:multiLevelType w:val="hybridMultilevel"/>
    <w:tmpl w:val="9DD68524"/>
    <w:lvl w:ilvl="0" w:tplc="CC428218">
      <w:start w:val="3"/>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993BF6"/>
    <w:multiLevelType w:val="multilevel"/>
    <w:tmpl w:val="3F1A4D8E"/>
    <w:lvl w:ilvl="0">
      <w:start w:val="3"/>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0DF51AB"/>
    <w:multiLevelType w:val="hybridMultilevel"/>
    <w:tmpl w:val="C41A9A32"/>
    <w:lvl w:ilvl="0" w:tplc="AF444E38">
      <w:start w:val="1"/>
      <w:numFmt w:val="bullet"/>
      <w:lvlText w:val=""/>
      <w:lvlJc w:val="left"/>
      <w:pPr>
        <w:tabs>
          <w:tab w:val="num" w:pos="360"/>
        </w:tabs>
        <w:ind w:left="360" w:hanging="360"/>
      </w:pPr>
      <w:rPr>
        <w:rFonts w:ascii="Symbol" w:hAnsi="Symbol" w:hint="default"/>
      </w:rPr>
    </w:lvl>
    <w:lvl w:ilvl="1" w:tplc="21D8C14C" w:tentative="1">
      <w:start w:val="1"/>
      <w:numFmt w:val="bullet"/>
      <w:lvlText w:val="o"/>
      <w:lvlJc w:val="left"/>
      <w:pPr>
        <w:tabs>
          <w:tab w:val="num" w:pos="1440"/>
        </w:tabs>
        <w:ind w:left="1440" w:hanging="360"/>
      </w:pPr>
      <w:rPr>
        <w:rFonts w:ascii="Courier New" w:hAnsi="Courier New" w:cs="Courier New" w:hint="default"/>
      </w:rPr>
    </w:lvl>
    <w:lvl w:ilvl="2" w:tplc="12720ABE" w:tentative="1">
      <w:start w:val="1"/>
      <w:numFmt w:val="bullet"/>
      <w:lvlText w:val=""/>
      <w:lvlJc w:val="left"/>
      <w:pPr>
        <w:tabs>
          <w:tab w:val="num" w:pos="2160"/>
        </w:tabs>
        <w:ind w:left="2160" w:hanging="360"/>
      </w:pPr>
      <w:rPr>
        <w:rFonts w:ascii="Wingdings" w:hAnsi="Wingdings" w:hint="default"/>
      </w:rPr>
    </w:lvl>
    <w:lvl w:ilvl="3" w:tplc="8340C67A" w:tentative="1">
      <w:start w:val="1"/>
      <w:numFmt w:val="bullet"/>
      <w:lvlText w:val=""/>
      <w:lvlJc w:val="left"/>
      <w:pPr>
        <w:tabs>
          <w:tab w:val="num" w:pos="2880"/>
        </w:tabs>
        <w:ind w:left="2880" w:hanging="360"/>
      </w:pPr>
      <w:rPr>
        <w:rFonts w:ascii="Symbol" w:hAnsi="Symbol" w:hint="default"/>
      </w:rPr>
    </w:lvl>
    <w:lvl w:ilvl="4" w:tplc="BC8CCE36" w:tentative="1">
      <w:start w:val="1"/>
      <w:numFmt w:val="bullet"/>
      <w:lvlText w:val="o"/>
      <w:lvlJc w:val="left"/>
      <w:pPr>
        <w:tabs>
          <w:tab w:val="num" w:pos="3600"/>
        </w:tabs>
        <w:ind w:left="3600" w:hanging="360"/>
      </w:pPr>
      <w:rPr>
        <w:rFonts w:ascii="Courier New" w:hAnsi="Courier New" w:cs="Courier New" w:hint="default"/>
      </w:rPr>
    </w:lvl>
    <w:lvl w:ilvl="5" w:tplc="8B70EB5C" w:tentative="1">
      <w:start w:val="1"/>
      <w:numFmt w:val="bullet"/>
      <w:lvlText w:val=""/>
      <w:lvlJc w:val="left"/>
      <w:pPr>
        <w:tabs>
          <w:tab w:val="num" w:pos="4320"/>
        </w:tabs>
        <w:ind w:left="4320" w:hanging="360"/>
      </w:pPr>
      <w:rPr>
        <w:rFonts w:ascii="Wingdings" w:hAnsi="Wingdings" w:hint="default"/>
      </w:rPr>
    </w:lvl>
    <w:lvl w:ilvl="6" w:tplc="A81A79B8" w:tentative="1">
      <w:start w:val="1"/>
      <w:numFmt w:val="bullet"/>
      <w:lvlText w:val=""/>
      <w:lvlJc w:val="left"/>
      <w:pPr>
        <w:tabs>
          <w:tab w:val="num" w:pos="5040"/>
        </w:tabs>
        <w:ind w:left="5040" w:hanging="360"/>
      </w:pPr>
      <w:rPr>
        <w:rFonts w:ascii="Symbol" w:hAnsi="Symbol" w:hint="default"/>
      </w:rPr>
    </w:lvl>
    <w:lvl w:ilvl="7" w:tplc="14488C8C" w:tentative="1">
      <w:start w:val="1"/>
      <w:numFmt w:val="bullet"/>
      <w:lvlText w:val="o"/>
      <w:lvlJc w:val="left"/>
      <w:pPr>
        <w:tabs>
          <w:tab w:val="num" w:pos="5760"/>
        </w:tabs>
        <w:ind w:left="5760" w:hanging="360"/>
      </w:pPr>
      <w:rPr>
        <w:rFonts w:ascii="Courier New" w:hAnsi="Courier New" w:cs="Courier New" w:hint="default"/>
      </w:rPr>
    </w:lvl>
    <w:lvl w:ilvl="8" w:tplc="3DDC87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5FD6"/>
    <w:multiLevelType w:val="hybridMultilevel"/>
    <w:tmpl w:val="9C1EB6B0"/>
    <w:lvl w:ilvl="0" w:tplc="CDF0F1EA">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F87D58"/>
    <w:multiLevelType w:val="hybridMultilevel"/>
    <w:tmpl w:val="F39062F8"/>
    <w:lvl w:ilvl="0" w:tplc="84BA3F04">
      <w:start w:val="1"/>
      <w:numFmt w:val="bullet"/>
      <w:lvlText w:val=""/>
      <w:lvlJc w:val="left"/>
      <w:pPr>
        <w:tabs>
          <w:tab w:val="num" w:pos="2520"/>
        </w:tabs>
        <w:ind w:left="2520" w:hanging="720"/>
      </w:pPr>
      <w:rPr>
        <w:rFonts w:ascii="Symbol" w:hAnsi="Symbol" w:hint="default"/>
      </w:rPr>
    </w:lvl>
    <w:lvl w:ilvl="1" w:tplc="04090019" w:tentative="1">
      <w:start w:val="1"/>
      <w:numFmt w:val="bullet"/>
      <w:lvlText w:val="o"/>
      <w:lvlJc w:val="left"/>
      <w:pPr>
        <w:tabs>
          <w:tab w:val="num" w:pos="3960"/>
        </w:tabs>
        <w:ind w:left="3960" w:hanging="360"/>
      </w:pPr>
      <w:rPr>
        <w:rFonts w:ascii="Courier New" w:hAnsi="Courier New" w:hint="default"/>
      </w:rPr>
    </w:lvl>
    <w:lvl w:ilvl="2" w:tplc="0409001B" w:tentative="1">
      <w:start w:val="1"/>
      <w:numFmt w:val="bullet"/>
      <w:lvlText w:val=""/>
      <w:lvlJc w:val="left"/>
      <w:pPr>
        <w:tabs>
          <w:tab w:val="num" w:pos="4680"/>
        </w:tabs>
        <w:ind w:left="4680" w:hanging="360"/>
      </w:pPr>
      <w:rPr>
        <w:rFonts w:ascii="Wingdings" w:hAnsi="Wingdings" w:hint="default"/>
      </w:rPr>
    </w:lvl>
    <w:lvl w:ilvl="3" w:tplc="0409000F" w:tentative="1">
      <w:start w:val="1"/>
      <w:numFmt w:val="bullet"/>
      <w:lvlText w:val=""/>
      <w:lvlJc w:val="left"/>
      <w:pPr>
        <w:tabs>
          <w:tab w:val="num" w:pos="5400"/>
        </w:tabs>
        <w:ind w:left="5400" w:hanging="360"/>
      </w:pPr>
      <w:rPr>
        <w:rFonts w:ascii="Symbol" w:hAnsi="Symbol" w:hint="default"/>
      </w:rPr>
    </w:lvl>
    <w:lvl w:ilvl="4" w:tplc="04090019" w:tentative="1">
      <w:start w:val="1"/>
      <w:numFmt w:val="bullet"/>
      <w:lvlText w:val="o"/>
      <w:lvlJc w:val="left"/>
      <w:pPr>
        <w:tabs>
          <w:tab w:val="num" w:pos="6120"/>
        </w:tabs>
        <w:ind w:left="6120" w:hanging="360"/>
      </w:pPr>
      <w:rPr>
        <w:rFonts w:ascii="Courier New" w:hAnsi="Courier New" w:hint="default"/>
      </w:rPr>
    </w:lvl>
    <w:lvl w:ilvl="5" w:tplc="0409001B" w:tentative="1">
      <w:start w:val="1"/>
      <w:numFmt w:val="bullet"/>
      <w:lvlText w:val=""/>
      <w:lvlJc w:val="left"/>
      <w:pPr>
        <w:tabs>
          <w:tab w:val="num" w:pos="6840"/>
        </w:tabs>
        <w:ind w:left="6840" w:hanging="360"/>
      </w:pPr>
      <w:rPr>
        <w:rFonts w:ascii="Wingdings" w:hAnsi="Wingdings" w:hint="default"/>
      </w:rPr>
    </w:lvl>
    <w:lvl w:ilvl="6" w:tplc="0409000F" w:tentative="1">
      <w:start w:val="1"/>
      <w:numFmt w:val="bullet"/>
      <w:lvlText w:val=""/>
      <w:lvlJc w:val="left"/>
      <w:pPr>
        <w:tabs>
          <w:tab w:val="num" w:pos="7560"/>
        </w:tabs>
        <w:ind w:left="7560" w:hanging="360"/>
      </w:pPr>
      <w:rPr>
        <w:rFonts w:ascii="Symbol" w:hAnsi="Symbol" w:hint="default"/>
      </w:rPr>
    </w:lvl>
    <w:lvl w:ilvl="7" w:tplc="04090019" w:tentative="1">
      <w:start w:val="1"/>
      <w:numFmt w:val="bullet"/>
      <w:lvlText w:val="o"/>
      <w:lvlJc w:val="left"/>
      <w:pPr>
        <w:tabs>
          <w:tab w:val="num" w:pos="8280"/>
        </w:tabs>
        <w:ind w:left="8280" w:hanging="360"/>
      </w:pPr>
      <w:rPr>
        <w:rFonts w:ascii="Courier New" w:hAnsi="Courier New" w:hint="default"/>
      </w:rPr>
    </w:lvl>
    <w:lvl w:ilvl="8" w:tplc="0409001B" w:tentative="1">
      <w:start w:val="1"/>
      <w:numFmt w:val="bullet"/>
      <w:lvlText w:val=""/>
      <w:lvlJc w:val="left"/>
      <w:pPr>
        <w:tabs>
          <w:tab w:val="num" w:pos="9000"/>
        </w:tabs>
        <w:ind w:left="9000" w:hanging="360"/>
      </w:pPr>
      <w:rPr>
        <w:rFonts w:ascii="Wingdings" w:hAnsi="Wingdings" w:hint="default"/>
      </w:rPr>
    </w:lvl>
  </w:abstractNum>
  <w:abstractNum w:abstractNumId="21" w15:restartNumberingAfterBreak="0">
    <w:nsid w:val="41312BF3"/>
    <w:multiLevelType w:val="hybridMultilevel"/>
    <w:tmpl w:val="D04A38F8"/>
    <w:lvl w:ilvl="0" w:tplc="99A861D6">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08308B9"/>
    <w:multiLevelType w:val="hybridMultilevel"/>
    <w:tmpl w:val="0C1017D0"/>
    <w:lvl w:ilvl="0" w:tplc="5A3C0448">
      <w:start w:val="1"/>
      <w:numFmt w:val="lowerRoman"/>
      <w:lvlText w:val="(%1)"/>
      <w:lvlJc w:val="left"/>
      <w:pPr>
        <w:tabs>
          <w:tab w:val="num" w:pos="2160"/>
        </w:tabs>
        <w:ind w:left="2160" w:hanging="720"/>
      </w:pPr>
      <w:rPr>
        <w:rFonts w:hint="default"/>
      </w:r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15:restartNumberingAfterBreak="0">
    <w:nsid w:val="56E023C9"/>
    <w:multiLevelType w:val="multilevel"/>
    <w:tmpl w:val="3F1A4D8E"/>
    <w:lvl w:ilvl="0">
      <w:start w:val="3"/>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54B2C67"/>
    <w:multiLevelType w:val="hybridMultilevel"/>
    <w:tmpl w:val="6A5CC3FA"/>
    <w:lvl w:ilvl="0" w:tplc="1F0A4492">
      <w:start w:val="1"/>
      <w:numFmt w:val="bullet"/>
      <w:lvlText w:val=""/>
      <w:lvlJc w:val="left"/>
      <w:pPr>
        <w:tabs>
          <w:tab w:val="num" w:pos="720"/>
        </w:tabs>
        <w:ind w:left="720" w:hanging="72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510064"/>
    <w:multiLevelType w:val="multilevel"/>
    <w:tmpl w:val="EF02CFE2"/>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B6437E5"/>
    <w:multiLevelType w:val="multilevel"/>
    <w:tmpl w:val="3F1A4D8E"/>
    <w:lvl w:ilvl="0">
      <w:start w:val="3"/>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6D24EF"/>
    <w:multiLevelType w:val="multilevel"/>
    <w:tmpl w:val="B4F0F0D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742AD4"/>
    <w:multiLevelType w:val="hybridMultilevel"/>
    <w:tmpl w:val="FC2CA9E2"/>
    <w:lvl w:ilvl="0" w:tplc="D6A899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331525"/>
    <w:multiLevelType w:val="singleLevel"/>
    <w:tmpl w:val="C4C65388"/>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EC1182C"/>
    <w:multiLevelType w:val="hybridMultilevel"/>
    <w:tmpl w:val="F3ACD432"/>
    <w:lvl w:ilvl="0" w:tplc="8BB07F14">
      <w:start w:val="1"/>
      <w:numFmt w:val="decimal"/>
      <w:lvlText w:val="%1."/>
      <w:lvlJc w:val="left"/>
      <w:pPr>
        <w:tabs>
          <w:tab w:val="num" w:pos="720"/>
        </w:tabs>
        <w:ind w:left="720" w:hanging="360"/>
      </w:pPr>
    </w:lvl>
    <w:lvl w:ilvl="1" w:tplc="C1987EEA" w:tentative="1">
      <w:start w:val="1"/>
      <w:numFmt w:val="lowerLetter"/>
      <w:lvlText w:val="%2."/>
      <w:lvlJc w:val="left"/>
      <w:pPr>
        <w:tabs>
          <w:tab w:val="num" w:pos="1440"/>
        </w:tabs>
        <w:ind w:left="1440" w:hanging="360"/>
      </w:pPr>
    </w:lvl>
    <w:lvl w:ilvl="2" w:tplc="36D85990" w:tentative="1">
      <w:start w:val="1"/>
      <w:numFmt w:val="lowerRoman"/>
      <w:lvlText w:val="%3."/>
      <w:lvlJc w:val="right"/>
      <w:pPr>
        <w:tabs>
          <w:tab w:val="num" w:pos="2160"/>
        </w:tabs>
        <w:ind w:left="2160" w:hanging="180"/>
      </w:pPr>
    </w:lvl>
    <w:lvl w:ilvl="3" w:tplc="60228B9A" w:tentative="1">
      <w:start w:val="1"/>
      <w:numFmt w:val="decimal"/>
      <w:lvlText w:val="%4."/>
      <w:lvlJc w:val="left"/>
      <w:pPr>
        <w:tabs>
          <w:tab w:val="num" w:pos="2880"/>
        </w:tabs>
        <w:ind w:left="2880" w:hanging="360"/>
      </w:pPr>
    </w:lvl>
    <w:lvl w:ilvl="4" w:tplc="3BE87B8E" w:tentative="1">
      <w:start w:val="1"/>
      <w:numFmt w:val="lowerLetter"/>
      <w:lvlText w:val="%5."/>
      <w:lvlJc w:val="left"/>
      <w:pPr>
        <w:tabs>
          <w:tab w:val="num" w:pos="3600"/>
        </w:tabs>
        <w:ind w:left="3600" w:hanging="360"/>
      </w:pPr>
    </w:lvl>
    <w:lvl w:ilvl="5" w:tplc="52BA3372" w:tentative="1">
      <w:start w:val="1"/>
      <w:numFmt w:val="lowerRoman"/>
      <w:lvlText w:val="%6."/>
      <w:lvlJc w:val="right"/>
      <w:pPr>
        <w:tabs>
          <w:tab w:val="num" w:pos="4320"/>
        </w:tabs>
        <w:ind w:left="4320" w:hanging="180"/>
      </w:pPr>
    </w:lvl>
    <w:lvl w:ilvl="6" w:tplc="F77E5400" w:tentative="1">
      <w:start w:val="1"/>
      <w:numFmt w:val="decimal"/>
      <w:lvlText w:val="%7."/>
      <w:lvlJc w:val="left"/>
      <w:pPr>
        <w:tabs>
          <w:tab w:val="num" w:pos="5040"/>
        </w:tabs>
        <w:ind w:left="5040" w:hanging="360"/>
      </w:pPr>
    </w:lvl>
    <w:lvl w:ilvl="7" w:tplc="02C6AD80" w:tentative="1">
      <w:start w:val="1"/>
      <w:numFmt w:val="lowerLetter"/>
      <w:lvlText w:val="%8."/>
      <w:lvlJc w:val="left"/>
      <w:pPr>
        <w:tabs>
          <w:tab w:val="num" w:pos="5760"/>
        </w:tabs>
        <w:ind w:left="5760" w:hanging="360"/>
      </w:pPr>
    </w:lvl>
    <w:lvl w:ilvl="8" w:tplc="8B304010" w:tentative="1">
      <w:start w:val="1"/>
      <w:numFmt w:val="lowerRoman"/>
      <w:lvlText w:val="%9."/>
      <w:lvlJc w:val="right"/>
      <w:pPr>
        <w:tabs>
          <w:tab w:val="num" w:pos="6480"/>
        </w:tabs>
        <w:ind w:left="6480" w:hanging="180"/>
      </w:pPr>
    </w:lvl>
  </w:abstractNum>
  <w:abstractNum w:abstractNumId="31" w15:restartNumberingAfterBreak="0">
    <w:nsid w:val="7EFF4508"/>
    <w:multiLevelType w:val="hybridMultilevel"/>
    <w:tmpl w:val="A796BF22"/>
    <w:lvl w:ilvl="0" w:tplc="0409000F">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16cid:durableId="573467686">
    <w:abstractNumId w:val="29"/>
  </w:num>
  <w:num w:numId="2" w16cid:durableId="1288002103">
    <w:abstractNumId w:val="10"/>
  </w:num>
  <w:num w:numId="3" w16cid:durableId="1304234771">
    <w:abstractNumId w:val="25"/>
  </w:num>
  <w:num w:numId="4" w16cid:durableId="2106875207">
    <w:abstractNumId w:val="18"/>
  </w:num>
  <w:num w:numId="5" w16cid:durableId="141503427">
    <w:abstractNumId w:val="31"/>
  </w:num>
  <w:num w:numId="6" w16cid:durableId="309677572">
    <w:abstractNumId w:val="14"/>
  </w:num>
  <w:num w:numId="7" w16cid:durableId="1912305347">
    <w:abstractNumId w:val="22"/>
  </w:num>
  <w:num w:numId="8" w16cid:durableId="1832601492">
    <w:abstractNumId w:val="24"/>
  </w:num>
  <w:num w:numId="9" w16cid:durableId="464199930">
    <w:abstractNumId w:val="19"/>
  </w:num>
  <w:num w:numId="10" w16cid:durableId="1567910947">
    <w:abstractNumId w:val="15"/>
  </w:num>
  <w:num w:numId="11" w16cid:durableId="915434783">
    <w:abstractNumId w:val="30"/>
  </w:num>
  <w:num w:numId="12" w16cid:durableId="665284931">
    <w:abstractNumId w:val="9"/>
  </w:num>
  <w:num w:numId="13" w16cid:durableId="365257050">
    <w:abstractNumId w:val="7"/>
  </w:num>
  <w:num w:numId="14" w16cid:durableId="862981098">
    <w:abstractNumId w:val="6"/>
  </w:num>
  <w:num w:numId="15" w16cid:durableId="638993251">
    <w:abstractNumId w:val="5"/>
  </w:num>
  <w:num w:numId="16" w16cid:durableId="718169904">
    <w:abstractNumId w:val="4"/>
  </w:num>
  <w:num w:numId="17" w16cid:durableId="701636814">
    <w:abstractNumId w:val="8"/>
  </w:num>
  <w:num w:numId="18" w16cid:durableId="1928466182">
    <w:abstractNumId w:val="3"/>
  </w:num>
  <w:num w:numId="19" w16cid:durableId="145367291">
    <w:abstractNumId w:val="2"/>
  </w:num>
  <w:num w:numId="20" w16cid:durableId="340009782">
    <w:abstractNumId w:val="1"/>
  </w:num>
  <w:num w:numId="21" w16cid:durableId="1068384732">
    <w:abstractNumId w:val="0"/>
  </w:num>
  <w:num w:numId="22" w16cid:durableId="1578175653">
    <w:abstractNumId w:val="23"/>
  </w:num>
  <w:num w:numId="23" w16cid:durableId="743572768">
    <w:abstractNumId w:val="17"/>
  </w:num>
  <w:num w:numId="24" w16cid:durableId="152383013">
    <w:abstractNumId w:val="11"/>
  </w:num>
  <w:num w:numId="25" w16cid:durableId="1389841854">
    <w:abstractNumId w:val="26"/>
  </w:num>
  <w:num w:numId="26" w16cid:durableId="1442992585">
    <w:abstractNumId w:val="20"/>
  </w:num>
  <w:num w:numId="27" w16cid:durableId="263148068">
    <w:abstractNumId w:val="27"/>
  </w:num>
  <w:num w:numId="28" w16cid:durableId="228612848">
    <w:abstractNumId w:val="16"/>
  </w:num>
  <w:num w:numId="29" w16cid:durableId="525681856">
    <w:abstractNumId w:val="28"/>
  </w:num>
  <w:num w:numId="30" w16cid:durableId="796949283">
    <w:abstractNumId w:val="13"/>
  </w:num>
  <w:num w:numId="31" w16cid:durableId="1033117208">
    <w:abstractNumId w:val="21"/>
  </w:num>
  <w:num w:numId="32" w16cid:durableId="203777857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8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868"/>
    <w:rsid w:val="000000C5"/>
    <w:rsid w:val="000007DC"/>
    <w:rsid w:val="00001F8D"/>
    <w:rsid w:val="000035E6"/>
    <w:rsid w:val="0000544B"/>
    <w:rsid w:val="000056D6"/>
    <w:rsid w:val="00006895"/>
    <w:rsid w:val="000068BD"/>
    <w:rsid w:val="00007792"/>
    <w:rsid w:val="00007947"/>
    <w:rsid w:val="000136C7"/>
    <w:rsid w:val="00023C8A"/>
    <w:rsid w:val="000251BE"/>
    <w:rsid w:val="000253C4"/>
    <w:rsid w:val="000254C0"/>
    <w:rsid w:val="00025C0C"/>
    <w:rsid w:val="0002714F"/>
    <w:rsid w:val="00027150"/>
    <w:rsid w:val="00030273"/>
    <w:rsid w:val="00030C8E"/>
    <w:rsid w:val="000320CD"/>
    <w:rsid w:val="00033C22"/>
    <w:rsid w:val="00033F48"/>
    <w:rsid w:val="0003417E"/>
    <w:rsid w:val="00035E9F"/>
    <w:rsid w:val="00036BB6"/>
    <w:rsid w:val="00037429"/>
    <w:rsid w:val="000409C1"/>
    <w:rsid w:val="0004101E"/>
    <w:rsid w:val="0004403E"/>
    <w:rsid w:val="000460A8"/>
    <w:rsid w:val="000468B0"/>
    <w:rsid w:val="00047280"/>
    <w:rsid w:val="00052258"/>
    <w:rsid w:val="00054A8E"/>
    <w:rsid w:val="00054E2F"/>
    <w:rsid w:val="00056322"/>
    <w:rsid w:val="00056548"/>
    <w:rsid w:val="0006082B"/>
    <w:rsid w:val="00063EF0"/>
    <w:rsid w:val="0006505C"/>
    <w:rsid w:val="00065FFF"/>
    <w:rsid w:val="00066B18"/>
    <w:rsid w:val="00067966"/>
    <w:rsid w:val="00071147"/>
    <w:rsid w:val="00071782"/>
    <w:rsid w:val="000755E1"/>
    <w:rsid w:val="00076E1C"/>
    <w:rsid w:val="00076F66"/>
    <w:rsid w:val="00082CB5"/>
    <w:rsid w:val="00083BFB"/>
    <w:rsid w:val="00085B8E"/>
    <w:rsid w:val="00085EAD"/>
    <w:rsid w:val="0008638A"/>
    <w:rsid w:val="00090D02"/>
    <w:rsid w:val="00090FD2"/>
    <w:rsid w:val="00093653"/>
    <w:rsid w:val="00094D3D"/>
    <w:rsid w:val="000A050F"/>
    <w:rsid w:val="000A0FDB"/>
    <w:rsid w:val="000A1E12"/>
    <w:rsid w:val="000A226C"/>
    <w:rsid w:val="000A2A47"/>
    <w:rsid w:val="000A3652"/>
    <w:rsid w:val="000A384D"/>
    <w:rsid w:val="000A4764"/>
    <w:rsid w:val="000A5460"/>
    <w:rsid w:val="000A55EF"/>
    <w:rsid w:val="000A5E65"/>
    <w:rsid w:val="000A639A"/>
    <w:rsid w:val="000A75FE"/>
    <w:rsid w:val="000A7801"/>
    <w:rsid w:val="000B0996"/>
    <w:rsid w:val="000B1CA3"/>
    <w:rsid w:val="000B38B6"/>
    <w:rsid w:val="000B61FF"/>
    <w:rsid w:val="000B7292"/>
    <w:rsid w:val="000B7C5F"/>
    <w:rsid w:val="000B7DF0"/>
    <w:rsid w:val="000C058D"/>
    <w:rsid w:val="000C2689"/>
    <w:rsid w:val="000C2A50"/>
    <w:rsid w:val="000C2AC0"/>
    <w:rsid w:val="000C37A7"/>
    <w:rsid w:val="000C57A5"/>
    <w:rsid w:val="000C67FC"/>
    <w:rsid w:val="000D12D8"/>
    <w:rsid w:val="000D477E"/>
    <w:rsid w:val="000D4F96"/>
    <w:rsid w:val="000D5D50"/>
    <w:rsid w:val="000E0BA1"/>
    <w:rsid w:val="000E1301"/>
    <w:rsid w:val="000E23F9"/>
    <w:rsid w:val="000E5BA4"/>
    <w:rsid w:val="000E65C3"/>
    <w:rsid w:val="000E6BBB"/>
    <w:rsid w:val="000E7284"/>
    <w:rsid w:val="000F1BF0"/>
    <w:rsid w:val="000F2071"/>
    <w:rsid w:val="000F3178"/>
    <w:rsid w:val="000F6026"/>
    <w:rsid w:val="000F7956"/>
    <w:rsid w:val="000F7AF0"/>
    <w:rsid w:val="000F7C60"/>
    <w:rsid w:val="001009FD"/>
    <w:rsid w:val="001012EA"/>
    <w:rsid w:val="00102381"/>
    <w:rsid w:val="00102BDF"/>
    <w:rsid w:val="0010494F"/>
    <w:rsid w:val="001121BB"/>
    <w:rsid w:val="00113C12"/>
    <w:rsid w:val="00116EF1"/>
    <w:rsid w:val="00117151"/>
    <w:rsid w:val="00117208"/>
    <w:rsid w:val="00117B75"/>
    <w:rsid w:val="0012035F"/>
    <w:rsid w:val="00120CFD"/>
    <w:rsid w:val="00124699"/>
    <w:rsid w:val="0013016F"/>
    <w:rsid w:val="00130281"/>
    <w:rsid w:val="00131D44"/>
    <w:rsid w:val="001322AF"/>
    <w:rsid w:val="00133204"/>
    <w:rsid w:val="00133F0B"/>
    <w:rsid w:val="001343DA"/>
    <w:rsid w:val="001349D5"/>
    <w:rsid w:val="00134D27"/>
    <w:rsid w:val="001364E1"/>
    <w:rsid w:val="00140D6D"/>
    <w:rsid w:val="0014132B"/>
    <w:rsid w:val="001430C8"/>
    <w:rsid w:val="001435D4"/>
    <w:rsid w:val="00145945"/>
    <w:rsid w:val="00147169"/>
    <w:rsid w:val="00147A72"/>
    <w:rsid w:val="00147DBF"/>
    <w:rsid w:val="00150057"/>
    <w:rsid w:val="00152B1F"/>
    <w:rsid w:val="001552F0"/>
    <w:rsid w:val="00160DE6"/>
    <w:rsid w:val="00160F14"/>
    <w:rsid w:val="00163446"/>
    <w:rsid w:val="001648A3"/>
    <w:rsid w:val="00165BDC"/>
    <w:rsid w:val="0016715C"/>
    <w:rsid w:val="00171BE5"/>
    <w:rsid w:val="001741C9"/>
    <w:rsid w:val="001745B7"/>
    <w:rsid w:val="00176EAC"/>
    <w:rsid w:val="00180464"/>
    <w:rsid w:val="00183051"/>
    <w:rsid w:val="001844E7"/>
    <w:rsid w:val="00186525"/>
    <w:rsid w:val="0018761D"/>
    <w:rsid w:val="0018762D"/>
    <w:rsid w:val="001918D1"/>
    <w:rsid w:val="00191A7A"/>
    <w:rsid w:val="0019398C"/>
    <w:rsid w:val="001A0C65"/>
    <w:rsid w:val="001A2B58"/>
    <w:rsid w:val="001A56DD"/>
    <w:rsid w:val="001A5D5B"/>
    <w:rsid w:val="001A6BAA"/>
    <w:rsid w:val="001A72B8"/>
    <w:rsid w:val="001B1100"/>
    <w:rsid w:val="001B2D9D"/>
    <w:rsid w:val="001B5C4D"/>
    <w:rsid w:val="001C0B6C"/>
    <w:rsid w:val="001C33B8"/>
    <w:rsid w:val="001C43A0"/>
    <w:rsid w:val="001C48D1"/>
    <w:rsid w:val="001C5BB4"/>
    <w:rsid w:val="001C6D26"/>
    <w:rsid w:val="001C73A8"/>
    <w:rsid w:val="001D043B"/>
    <w:rsid w:val="001D38FF"/>
    <w:rsid w:val="001D53C0"/>
    <w:rsid w:val="001E0643"/>
    <w:rsid w:val="001E138A"/>
    <w:rsid w:val="001E19BA"/>
    <w:rsid w:val="001E7A6D"/>
    <w:rsid w:val="001F7E25"/>
    <w:rsid w:val="002002D1"/>
    <w:rsid w:val="00201626"/>
    <w:rsid w:val="00201A4C"/>
    <w:rsid w:val="0020251B"/>
    <w:rsid w:val="0020301C"/>
    <w:rsid w:val="00204362"/>
    <w:rsid w:val="00205879"/>
    <w:rsid w:val="00206CF3"/>
    <w:rsid w:val="002071AA"/>
    <w:rsid w:val="00211EBD"/>
    <w:rsid w:val="00214538"/>
    <w:rsid w:val="0021757A"/>
    <w:rsid w:val="002175B0"/>
    <w:rsid w:val="00220EF6"/>
    <w:rsid w:val="002232DC"/>
    <w:rsid w:val="002258DD"/>
    <w:rsid w:val="00226522"/>
    <w:rsid w:val="00226940"/>
    <w:rsid w:val="00226A9A"/>
    <w:rsid w:val="00234841"/>
    <w:rsid w:val="00234DC8"/>
    <w:rsid w:val="00235107"/>
    <w:rsid w:val="00236629"/>
    <w:rsid w:val="0024094E"/>
    <w:rsid w:val="00242528"/>
    <w:rsid w:val="00242B20"/>
    <w:rsid w:val="0024350A"/>
    <w:rsid w:val="002441AB"/>
    <w:rsid w:val="00244D5B"/>
    <w:rsid w:val="00246FD3"/>
    <w:rsid w:val="00250433"/>
    <w:rsid w:val="00250643"/>
    <w:rsid w:val="0025112A"/>
    <w:rsid w:val="00251194"/>
    <w:rsid w:val="00251909"/>
    <w:rsid w:val="00252948"/>
    <w:rsid w:val="00253C93"/>
    <w:rsid w:val="00254725"/>
    <w:rsid w:val="00261EB0"/>
    <w:rsid w:val="0026416B"/>
    <w:rsid w:val="00265942"/>
    <w:rsid w:val="0027128D"/>
    <w:rsid w:val="00271E37"/>
    <w:rsid w:val="0027779A"/>
    <w:rsid w:val="00281166"/>
    <w:rsid w:val="00282FA6"/>
    <w:rsid w:val="00284002"/>
    <w:rsid w:val="00285F2A"/>
    <w:rsid w:val="00290A7B"/>
    <w:rsid w:val="00291EC0"/>
    <w:rsid w:val="00292C62"/>
    <w:rsid w:val="00293B42"/>
    <w:rsid w:val="00293CA4"/>
    <w:rsid w:val="00293E99"/>
    <w:rsid w:val="00294083"/>
    <w:rsid w:val="002951E2"/>
    <w:rsid w:val="002960A1"/>
    <w:rsid w:val="00296824"/>
    <w:rsid w:val="00297FF1"/>
    <w:rsid w:val="002A1127"/>
    <w:rsid w:val="002A13DC"/>
    <w:rsid w:val="002A1D73"/>
    <w:rsid w:val="002A2A80"/>
    <w:rsid w:val="002A3AFB"/>
    <w:rsid w:val="002A4B10"/>
    <w:rsid w:val="002A739E"/>
    <w:rsid w:val="002B138E"/>
    <w:rsid w:val="002B3B59"/>
    <w:rsid w:val="002B4852"/>
    <w:rsid w:val="002B5422"/>
    <w:rsid w:val="002B56CF"/>
    <w:rsid w:val="002B6842"/>
    <w:rsid w:val="002C1500"/>
    <w:rsid w:val="002C23D0"/>
    <w:rsid w:val="002C3780"/>
    <w:rsid w:val="002D002D"/>
    <w:rsid w:val="002D20CF"/>
    <w:rsid w:val="002D2F8E"/>
    <w:rsid w:val="002D4B14"/>
    <w:rsid w:val="002D55E3"/>
    <w:rsid w:val="002D6B9C"/>
    <w:rsid w:val="002D6D19"/>
    <w:rsid w:val="002D6E97"/>
    <w:rsid w:val="002E1299"/>
    <w:rsid w:val="002E18E2"/>
    <w:rsid w:val="002E37E9"/>
    <w:rsid w:val="002E4F8A"/>
    <w:rsid w:val="002E51C0"/>
    <w:rsid w:val="002E5F2C"/>
    <w:rsid w:val="002E6E6E"/>
    <w:rsid w:val="002F265C"/>
    <w:rsid w:val="002F2B12"/>
    <w:rsid w:val="002F5868"/>
    <w:rsid w:val="003026B4"/>
    <w:rsid w:val="0030285A"/>
    <w:rsid w:val="003035B1"/>
    <w:rsid w:val="00303D8F"/>
    <w:rsid w:val="003060F3"/>
    <w:rsid w:val="003061A0"/>
    <w:rsid w:val="00306300"/>
    <w:rsid w:val="00306A37"/>
    <w:rsid w:val="00310475"/>
    <w:rsid w:val="00311602"/>
    <w:rsid w:val="00311E1F"/>
    <w:rsid w:val="003135A1"/>
    <w:rsid w:val="00313E64"/>
    <w:rsid w:val="00314D14"/>
    <w:rsid w:val="00321B52"/>
    <w:rsid w:val="00322069"/>
    <w:rsid w:val="00324EB2"/>
    <w:rsid w:val="00326226"/>
    <w:rsid w:val="00343EDE"/>
    <w:rsid w:val="003459E3"/>
    <w:rsid w:val="003460D2"/>
    <w:rsid w:val="00350834"/>
    <w:rsid w:val="00351268"/>
    <w:rsid w:val="00351A42"/>
    <w:rsid w:val="0035251C"/>
    <w:rsid w:val="00353B99"/>
    <w:rsid w:val="00353E26"/>
    <w:rsid w:val="003562CD"/>
    <w:rsid w:val="00357003"/>
    <w:rsid w:val="00361781"/>
    <w:rsid w:val="0036205D"/>
    <w:rsid w:val="0036242F"/>
    <w:rsid w:val="00364431"/>
    <w:rsid w:val="00364AC0"/>
    <w:rsid w:val="00366583"/>
    <w:rsid w:val="003711CE"/>
    <w:rsid w:val="00371574"/>
    <w:rsid w:val="003720B5"/>
    <w:rsid w:val="00372438"/>
    <w:rsid w:val="00374222"/>
    <w:rsid w:val="003756CB"/>
    <w:rsid w:val="00376976"/>
    <w:rsid w:val="003770A6"/>
    <w:rsid w:val="0038222B"/>
    <w:rsid w:val="0038246D"/>
    <w:rsid w:val="003858AA"/>
    <w:rsid w:val="00390863"/>
    <w:rsid w:val="003919AB"/>
    <w:rsid w:val="00391BDA"/>
    <w:rsid w:val="00394C21"/>
    <w:rsid w:val="0039567D"/>
    <w:rsid w:val="0039611D"/>
    <w:rsid w:val="00396995"/>
    <w:rsid w:val="00397195"/>
    <w:rsid w:val="00397880"/>
    <w:rsid w:val="003A1BE2"/>
    <w:rsid w:val="003A2E31"/>
    <w:rsid w:val="003A4253"/>
    <w:rsid w:val="003A4817"/>
    <w:rsid w:val="003A49A0"/>
    <w:rsid w:val="003A5B80"/>
    <w:rsid w:val="003A5FD2"/>
    <w:rsid w:val="003A7B7F"/>
    <w:rsid w:val="003B1EED"/>
    <w:rsid w:val="003B5154"/>
    <w:rsid w:val="003B64A7"/>
    <w:rsid w:val="003B6C4D"/>
    <w:rsid w:val="003C1D36"/>
    <w:rsid w:val="003C5049"/>
    <w:rsid w:val="003C6682"/>
    <w:rsid w:val="003D26CE"/>
    <w:rsid w:val="003D6DF8"/>
    <w:rsid w:val="003E07D7"/>
    <w:rsid w:val="003E08C1"/>
    <w:rsid w:val="003E0FF7"/>
    <w:rsid w:val="003E1247"/>
    <w:rsid w:val="003E15FE"/>
    <w:rsid w:val="003E66E6"/>
    <w:rsid w:val="003F197D"/>
    <w:rsid w:val="003F391C"/>
    <w:rsid w:val="003F4A82"/>
    <w:rsid w:val="003F65D9"/>
    <w:rsid w:val="00400932"/>
    <w:rsid w:val="00402766"/>
    <w:rsid w:val="00402E00"/>
    <w:rsid w:val="00403125"/>
    <w:rsid w:val="00403487"/>
    <w:rsid w:val="00403ADC"/>
    <w:rsid w:val="0040428D"/>
    <w:rsid w:val="00406205"/>
    <w:rsid w:val="00406DA7"/>
    <w:rsid w:val="004107CF"/>
    <w:rsid w:val="00412101"/>
    <w:rsid w:val="004143F8"/>
    <w:rsid w:val="00415636"/>
    <w:rsid w:val="00417F93"/>
    <w:rsid w:val="00421041"/>
    <w:rsid w:val="00423B63"/>
    <w:rsid w:val="00425AE1"/>
    <w:rsid w:val="00425E3A"/>
    <w:rsid w:val="004270F7"/>
    <w:rsid w:val="004275E0"/>
    <w:rsid w:val="004313A1"/>
    <w:rsid w:val="0043210C"/>
    <w:rsid w:val="00432228"/>
    <w:rsid w:val="00432B04"/>
    <w:rsid w:val="00434F7C"/>
    <w:rsid w:val="004354AA"/>
    <w:rsid w:val="00442074"/>
    <w:rsid w:val="0044569E"/>
    <w:rsid w:val="00445B41"/>
    <w:rsid w:val="00445B98"/>
    <w:rsid w:val="0044617F"/>
    <w:rsid w:val="00446BD6"/>
    <w:rsid w:val="00446EFA"/>
    <w:rsid w:val="00447305"/>
    <w:rsid w:val="00447DED"/>
    <w:rsid w:val="00455407"/>
    <w:rsid w:val="00456467"/>
    <w:rsid w:val="00457513"/>
    <w:rsid w:val="00457834"/>
    <w:rsid w:val="00462F4A"/>
    <w:rsid w:val="00463997"/>
    <w:rsid w:val="00463C16"/>
    <w:rsid w:val="00464C0B"/>
    <w:rsid w:val="004650F4"/>
    <w:rsid w:val="0046574D"/>
    <w:rsid w:val="004658AF"/>
    <w:rsid w:val="00466379"/>
    <w:rsid w:val="00466A21"/>
    <w:rsid w:val="00466EC2"/>
    <w:rsid w:val="00470219"/>
    <w:rsid w:val="0047159D"/>
    <w:rsid w:val="004715D5"/>
    <w:rsid w:val="00472482"/>
    <w:rsid w:val="0047587C"/>
    <w:rsid w:val="00475AF6"/>
    <w:rsid w:val="004762BF"/>
    <w:rsid w:val="00477FF2"/>
    <w:rsid w:val="00482564"/>
    <w:rsid w:val="00484E17"/>
    <w:rsid w:val="00485FED"/>
    <w:rsid w:val="004910D9"/>
    <w:rsid w:val="004935E4"/>
    <w:rsid w:val="0049412E"/>
    <w:rsid w:val="00496044"/>
    <w:rsid w:val="004A11AF"/>
    <w:rsid w:val="004A46F4"/>
    <w:rsid w:val="004A7A0E"/>
    <w:rsid w:val="004A7BAB"/>
    <w:rsid w:val="004B0FF9"/>
    <w:rsid w:val="004B209B"/>
    <w:rsid w:val="004B2A63"/>
    <w:rsid w:val="004B44A5"/>
    <w:rsid w:val="004B5FAB"/>
    <w:rsid w:val="004B66C1"/>
    <w:rsid w:val="004B7604"/>
    <w:rsid w:val="004C2C73"/>
    <w:rsid w:val="004C53DD"/>
    <w:rsid w:val="004C5654"/>
    <w:rsid w:val="004D35E0"/>
    <w:rsid w:val="004D3B1C"/>
    <w:rsid w:val="004D4792"/>
    <w:rsid w:val="004D574D"/>
    <w:rsid w:val="004E080B"/>
    <w:rsid w:val="004E2C89"/>
    <w:rsid w:val="004E366D"/>
    <w:rsid w:val="004E3707"/>
    <w:rsid w:val="004E7C37"/>
    <w:rsid w:val="004F28FF"/>
    <w:rsid w:val="004F3D2C"/>
    <w:rsid w:val="004F48AC"/>
    <w:rsid w:val="004F5535"/>
    <w:rsid w:val="004F602F"/>
    <w:rsid w:val="004F6967"/>
    <w:rsid w:val="005003EA"/>
    <w:rsid w:val="00500A61"/>
    <w:rsid w:val="0050297C"/>
    <w:rsid w:val="0050306A"/>
    <w:rsid w:val="00504253"/>
    <w:rsid w:val="00505105"/>
    <w:rsid w:val="00512504"/>
    <w:rsid w:val="005125D9"/>
    <w:rsid w:val="00513304"/>
    <w:rsid w:val="00515754"/>
    <w:rsid w:val="00517288"/>
    <w:rsid w:val="00517D5E"/>
    <w:rsid w:val="00520303"/>
    <w:rsid w:val="00521229"/>
    <w:rsid w:val="00522B6A"/>
    <w:rsid w:val="00523B63"/>
    <w:rsid w:val="005243C6"/>
    <w:rsid w:val="00524BE3"/>
    <w:rsid w:val="00527F0A"/>
    <w:rsid w:val="00530CDD"/>
    <w:rsid w:val="005317FF"/>
    <w:rsid w:val="00531AB3"/>
    <w:rsid w:val="00532DB6"/>
    <w:rsid w:val="0053522E"/>
    <w:rsid w:val="0053718F"/>
    <w:rsid w:val="0054157C"/>
    <w:rsid w:val="00541972"/>
    <w:rsid w:val="005438B0"/>
    <w:rsid w:val="00544C15"/>
    <w:rsid w:val="0054792C"/>
    <w:rsid w:val="00547BEB"/>
    <w:rsid w:val="00551866"/>
    <w:rsid w:val="00560A5E"/>
    <w:rsid w:val="005627BA"/>
    <w:rsid w:val="005637BA"/>
    <w:rsid w:val="0057112D"/>
    <w:rsid w:val="00574919"/>
    <w:rsid w:val="00575087"/>
    <w:rsid w:val="0058003D"/>
    <w:rsid w:val="00581EC4"/>
    <w:rsid w:val="00582F8A"/>
    <w:rsid w:val="0058580E"/>
    <w:rsid w:val="00585AFA"/>
    <w:rsid w:val="00587BE3"/>
    <w:rsid w:val="005902CB"/>
    <w:rsid w:val="005908C4"/>
    <w:rsid w:val="005938C0"/>
    <w:rsid w:val="00593E66"/>
    <w:rsid w:val="005944AA"/>
    <w:rsid w:val="00595D16"/>
    <w:rsid w:val="0059696A"/>
    <w:rsid w:val="005A6716"/>
    <w:rsid w:val="005B12F9"/>
    <w:rsid w:val="005B4116"/>
    <w:rsid w:val="005B4921"/>
    <w:rsid w:val="005B5951"/>
    <w:rsid w:val="005B6FDB"/>
    <w:rsid w:val="005C29D8"/>
    <w:rsid w:val="005C544C"/>
    <w:rsid w:val="005D281B"/>
    <w:rsid w:val="005D3F0E"/>
    <w:rsid w:val="005D4619"/>
    <w:rsid w:val="005D5E8B"/>
    <w:rsid w:val="005E1A1D"/>
    <w:rsid w:val="005E2D2D"/>
    <w:rsid w:val="005E45CD"/>
    <w:rsid w:val="005E554F"/>
    <w:rsid w:val="005E5E49"/>
    <w:rsid w:val="005E61C3"/>
    <w:rsid w:val="005F19AF"/>
    <w:rsid w:val="005F38B8"/>
    <w:rsid w:val="005F3989"/>
    <w:rsid w:val="005F5141"/>
    <w:rsid w:val="005F69F3"/>
    <w:rsid w:val="005F6DBC"/>
    <w:rsid w:val="005F7F75"/>
    <w:rsid w:val="00600503"/>
    <w:rsid w:val="0060131A"/>
    <w:rsid w:val="00601E1B"/>
    <w:rsid w:val="00602C0F"/>
    <w:rsid w:val="006043B3"/>
    <w:rsid w:val="00605117"/>
    <w:rsid w:val="00610D6D"/>
    <w:rsid w:val="006125F3"/>
    <w:rsid w:val="0061513E"/>
    <w:rsid w:val="006152A0"/>
    <w:rsid w:val="006154BC"/>
    <w:rsid w:val="00616A90"/>
    <w:rsid w:val="0061794E"/>
    <w:rsid w:val="00620036"/>
    <w:rsid w:val="006200C1"/>
    <w:rsid w:val="0062198B"/>
    <w:rsid w:val="00621AD4"/>
    <w:rsid w:val="00622553"/>
    <w:rsid w:val="0062315C"/>
    <w:rsid w:val="00624C4D"/>
    <w:rsid w:val="0062542E"/>
    <w:rsid w:val="00625828"/>
    <w:rsid w:val="00626FE5"/>
    <w:rsid w:val="00627BEB"/>
    <w:rsid w:val="00630156"/>
    <w:rsid w:val="006333BA"/>
    <w:rsid w:val="006358F5"/>
    <w:rsid w:val="00635A74"/>
    <w:rsid w:val="00635D3F"/>
    <w:rsid w:val="00636BAF"/>
    <w:rsid w:val="00642868"/>
    <w:rsid w:val="00642A90"/>
    <w:rsid w:val="006439CE"/>
    <w:rsid w:val="006439F4"/>
    <w:rsid w:val="0064455F"/>
    <w:rsid w:val="00646971"/>
    <w:rsid w:val="006503A0"/>
    <w:rsid w:val="0065052C"/>
    <w:rsid w:val="00651FCB"/>
    <w:rsid w:val="00652EBA"/>
    <w:rsid w:val="00655C6A"/>
    <w:rsid w:val="00656F6C"/>
    <w:rsid w:val="00657D04"/>
    <w:rsid w:val="00660ED3"/>
    <w:rsid w:val="00661B66"/>
    <w:rsid w:val="006639BC"/>
    <w:rsid w:val="00667AE2"/>
    <w:rsid w:val="00672846"/>
    <w:rsid w:val="00673C77"/>
    <w:rsid w:val="0067451A"/>
    <w:rsid w:val="00674B17"/>
    <w:rsid w:val="0067556D"/>
    <w:rsid w:val="006766E6"/>
    <w:rsid w:val="006772EC"/>
    <w:rsid w:val="006804FC"/>
    <w:rsid w:val="00680ED0"/>
    <w:rsid w:val="00681A15"/>
    <w:rsid w:val="006832D2"/>
    <w:rsid w:val="006843C4"/>
    <w:rsid w:val="00684AD0"/>
    <w:rsid w:val="00684E7F"/>
    <w:rsid w:val="00687B58"/>
    <w:rsid w:val="0069541C"/>
    <w:rsid w:val="00697C34"/>
    <w:rsid w:val="006A035C"/>
    <w:rsid w:val="006A0DCD"/>
    <w:rsid w:val="006A172D"/>
    <w:rsid w:val="006A3225"/>
    <w:rsid w:val="006A5B3A"/>
    <w:rsid w:val="006A5EF0"/>
    <w:rsid w:val="006A6713"/>
    <w:rsid w:val="006A68CE"/>
    <w:rsid w:val="006B1969"/>
    <w:rsid w:val="006B2CF0"/>
    <w:rsid w:val="006B2D58"/>
    <w:rsid w:val="006B4446"/>
    <w:rsid w:val="006B44B4"/>
    <w:rsid w:val="006B65B7"/>
    <w:rsid w:val="006C0ADB"/>
    <w:rsid w:val="006C2755"/>
    <w:rsid w:val="006C2837"/>
    <w:rsid w:val="006C296F"/>
    <w:rsid w:val="006C3580"/>
    <w:rsid w:val="006D27AD"/>
    <w:rsid w:val="006D3549"/>
    <w:rsid w:val="006D4C93"/>
    <w:rsid w:val="006D7C6D"/>
    <w:rsid w:val="006E068D"/>
    <w:rsid w:val="006E1956"/>
    <w:rsid w:val="006E32CE"/>
    <w:rsid w:val="006E631F"/>
    <w:rsid w:val="006E76AA"/>
    <w:rsid w:val="006F3394"/>
    <w:rsid w:val="006F4018"/>
    <w:rsid w:val="006F4A24"/>
    <w:rsid w:val="006F4D8C"/>
    <w:rsid w:val="007004AA"/>
    <w:rsid w:val="0070162F"/>
    <w:rsid w:val="0070210E"/>
    <w:rsid w:val="00703204"/>
    <w:rsid w:val="00705090"/>
    <w:rsid w:val="0070570F"/>
    <w:rsid w:val="00705F90"/>
    <w:rsid w:val="00707E5B"/>
    <w:rsid w:val="00710B0D"/>
    <w:rsid w:val="007126D3"/>
    <w:rsid w:val="00713198"/>
    <w:rsid w:val="007135A2"/>
    <w:rsid w:val="00715342"/>
    <w:rsid w:val="0071686C"/>
    <w:rsid w:val="00717EAF"/>
    <w:rsid w:val="00724433"/>
    <w:rsid w:val="00725F3B"/>
    <w:rsid w:val="00727827"/>
    <w:rsid w:val="0072783B"/>
    <w:rsid w:val="00727BFA"/>
    <w:rsid w:val="007331D3"/>
    <w:rsid w:val="0073560B"/>
    <w:rsid w:val="00737C55"/>
    <w:rsid w:val="007400F8"/>
    <w:rsid w:val="00742FDD"/>
    <w:rsid w:val="00743878"/>
    <w:rsid w:val="00745EF5"/>
    <w:rsid w:val="00747607"/>
    <w:rsid w:val="00752EC8"/>
    <w:rsid w:val="0076019C"/>
    <w:rsid w:val="007603E3"/>
    <w:rsid w:val="007616A5"/>
    <w:rsid w:val="00761BFD"/>
    <w:rsid w:val="00761C22"/>
    <w:rsid w:val="00763592"/>
    <w:rsid w:val="00765D7C"/>
    <w:rsid w:val="007672D2"/>
    <w:rsid w:val="007701F7"/>
    <w:rsid w:val="0077177A"/>
    <w:rsid w:val="0077281D"/>
    <w:rsid w:val="00773589"/>
    <w:rsid w:val="00774092"/>
    <w:rsid w:val="00775CFE"/>
    <w:rsid w:val="0078006B"/>
    <w:rsid w:val="007819BD"/>
    <w:rsid w:val="0078270A"/>
    <w:rsid w:val="00783464"/>
    <w:rsid w:val="007905A0"/>
    <w:rsid w:val="00790EE9"/>
    <w:rsid w:val="00791141"/>
    <w:rsid w:val="00792DE7"/>
    <w:rsid w:val="007945B4"/>
    <w:rsid w:val="00796FEE"/>
    <w:rsid w:val="007A089B"/>
    <w:rsid w:val="007A2026"/>
    <w:rsid w:val="007A285B"/>
    <w:rsid w:val="007A43DD"/>
    <w:rsid w:val="007A62DD"/>
    <w:rsid w:val="007A79A2"/>
    <w:rsid w:val="007B033B"/>
    <w:rsid w:val="007B05E5"/>
    <w:rsid w:val="007B06D6"/>
    <w:rsid w:val="007B102B"/>
    <w:rsid w:val="007B1EEB"/>
    <w:rsid w:val="007B2A42"/>
    <w:rsid w:val="007B47A4"/>
    <w:rsid w:val="007B726C"/>
    <w:rsid w:val="007B741F"/>
    <w:rsid w:val="007C0E6C"/>
    <w:rsid w:val="007C25A5"/>
    <w:rsid w:val="007C365C"/>
    <w:rsid w:val="007C6A78"/>
    <w:rsid w:val="007C76AC"/>
    <w:rsid w:val="007C7737"/>
    <w:rsid w:val="007D06AD"/>
    <w:rsid w:val="007D2C11"/>
    <w:rsid w:val="007D5143"/>
    <w:rsid w:val="007D681D"/>
    <w:rsid w:val="007D7CB8"/>
    <w:rsid w:val="007E3C4D"/>
    <w:rsid w:val="007E4F71"/>
    <w:rsid w:val="007E5131"/>
    <w:rsid w:val="007E5195"/>
    <w:rsid w:val="007E5368"/>
    <w:rsid w:val="007F0D31"/>
    <w:rsid w:val="007F130D"/>
    <w:rsid w:val="007F3617"/>
    <w:rsid w:val="007F3DD2"/>
    <w:rsid w:val="008055DB"/>
    <w:rsid w:val="00805BD8"/>
    <w:rsid w:val="00805DC0"/>
    <w:rsid w:val="00806C76"/>
    <w:rsid w:val="00807BAA"/>
    <w:rsid w:val="0081505A"/>
    <w:rsid w:val="00817ABD"/>
    <w:rsid w:val="00821435"/>
    <w:rsid w:val="008233F3"/>
    <w:rsid w:val="00827F8E"/>
    <w:rsid w:val="00830A7A"/>
    <w:rsid w:val="0083340A"/>
    <w:rsid w:val="008335B5"/>
    <w:rsid w:val="00834A5C"/>
    <w:rsid w:val="00834D02"/>
    <w:rsid w:val="00836781"/>
    <w:rsid w:val="00840089"/>
    <w:rsid w:val="008436F5"/>
    <w:rsid w:val="008523DC"/>
    <w:rsid w:val="00861226"/>
    <w:rsid w:val="00862BAE"/>
    <w:rsid w:val="00862F43"/>
    <w:rsid w:val="008657B6"/>
    <w:rsid w:val="00866CD3"/>
    <w:rsid w:val="00867102"/>
    <w:rsid w:val="008673D6"/>
    <w:rsid w:val="00870DFE"/>
    <w:rsid w:val="00873A65"/>
    <w:rsid w:val="00875F58"/>
    <w:rsid w:val="0087738E"/>
    <w:rsid w:val="00881601"/>
    <w:rsid w:val="008828C3"/>
    <w:rsid w:val="00885921"/>
    <w:rsid w:val="00886509"/>
    <w:rsid w:val="00890292"/>
    <w:rsid w:val="008910B8"/>
    <w:rsid w:val="0089634C"/>
    <w:rsid w:val="00897313"/>
    <w:rsid w:val="008A04B3"/>
    <w:rsid w:val="008A04EF"/>
    <w:rsid w:val="008A5E12"/>
    <w:rsid w:val="008A6F94"/>
    <w:rsid w:val="008A7C8A"/>
    <w:rsid w:val="008B009F"/>
    <w:rsid w:val="008B1276"/>
    <w:rsid w:val="008B1A4B"/>
    <w:rsid w:val="008B1FB4"/>
    <w:rsid w:val="008B567A"/>
    <w:rsid w:val="008B56F0"/>
    <w:rsid w:val="008C0CC8"/>
    <w:rsid w:val="008C389A"/>
    <w:rsid w:val="008C5651"/>
    <w:rsid w:val="008C6F03"/>
    <w:rsid w:val="008C7844"/>
    <w:rsid w:val="008D1435"/>
    <w:rsid w:val="008D24E9"/>
    <w:rsid w:val="008D29CB"/>
    <w:rsid w:val="008D4343"/>
    <w:rsid w:val="008D4BED"/>
    <w:rsid w:val="008D5547"/>
    <w:rsid w:val="008D795B"/>
    <w:rsid w:val="008E3212"/>
    <w:rsid w:val="008E4139"/>
    <w:rsid w:val="008E41ED"/>
    <w:rsid w:val="008E54D9"/>
    <w:rsid w:val="008E5C98"/>
    <w:rsid w:val="008E5E2B"/>
    <w:rsid w:val="008E78FC"/>
    <w:rsid w:val="008E7DFD"/>
    <w:rsid w:val="008F0EE9"/>
    <w:rsid w:val="008F4DA5"/>
    <w:rsid w:val="008F5450"/>
    <w:rsid w:val="008F5610"/>
    <w:rsid w:val="008F5C1F"/>
    <w:rsid w:val="00901575"/>
    <w:rsid w:val="0090287B"/>
    <w:rsid w:val="0090521F"/>
    <w:rsid w:val="00906451"/>
    <w:rsid w:val="009070AA"/>
    <w:rsid w:val="00912BF3"/>
    <w:rsid w:val="00914286"/>
    <w:rsid w:val="009144A0"/>
    <w:rsid w:val="0091696B"/>
    <w:rsid w:val="009174A8"/>
    <w:rsid w:val="009247D0"/>
    <w:rsid w:val="00926C4B"/>
    <w:rsid w:val="00927BA7"/>
    <w:rsid w:val="00934DBB"/>
    <w:rsid w:val="0093595F"/>
    <w:rsid w:val="00936295"/>
    <w:rsid w:val="00940731"/>
    <w:rsid w:val="00945E22"/>
    <w:rsid w:val="00950B85"/>
    <w:rsid w:val="009515C2"/>
    <w:rsid w:val="00952A87"/>
    <w:rsid w:val="009541DB"/>
    <w:rsid w:val="00955719"/>
    <w:rsid w:val="00955F72"/>
    <w:rsid w:val="009563DF"/>
    <w:rsid w:val="00957C3D"/>
    <w:rsid w:val="00957C8F"/>
    <w:rsid w:val="009634D0"/>
    <w:rsid w:val="009641F0"/>
    <w:rsid w:val="00965C63"/>
    <w:rsid w:val="00967AB9"/>
    <w:rsid w:val="00970361"/>
    <w:rsid w:val="00971B33"/>
    <w:rsid w:val="00974D32"/>
    <w:rsid w:val="00975D78"/>
    <w:rsid w:val="00980773"/>
    <w:rsid w:val="009810FA"/>
    <w:rsid w:val="009824DC"/>
    <w:rsid w:val="00982EB9"/>
    <w:rsid w:val="0098333C"/>
    <w:rsid w:val="00983E12"/>
    <w:rsid w:val="00984538"/>
    <w:rsid w:val="009868C6"/>
    <w:rsid w:val="00986EAF"/>
    <w:rsid w:val="0099556D"/>
    <w:rsid w:val="00997FBD"/>
    <w:rsid w:val="009A1A1C"/>
    <w:rsid w:val="009A33C2"/>
    <w:rsid w:val="009A7BE2"/>
    <w:rsid w:val="009B0206"/>
    <w:rsid w:val="009B31DD"/>
    <w:rsid w:val="009B64DF"/>
    <w:rsid w:val="009C0FDD"/>
    <w:rsid w:val="009C13B9"/>
    <w:rsid w:val="009C1754"/>
    <w:rsid w:val="009C65F4"/>
    <w:rsid w:val="009C7EAA"/>
    <w:rsid w:val="009D05E9"/>
    <w:rsid w:val="009D1657"/>
    <w:rsid w:val="009D2CFF"/>
    <w:rsid w:val="009D50C7"/>
    <w:rsid w:val="009E0A71"/>
    <w:rsid w:val="009E0ADE"/>
    <w:rsid w:val="009F0903"/>
    <w:rsid w:val="009F09AC"/>
    <w:rsid w:val="009F0B1C"/>
    <w:rsid w:val="009F5B12"/>
    <w:rsid w:val="009F5FB6"/>
    <w:rsid w:val="009F6187"/>
    <w:rsid w:val="009F7EBA"/>
    <w:rsid w:val="00A0123C"/>
    <w:rsid w:val="00A04F41"/>
    <w:rsid w:val="00A06E01"/>
    <w:rsid w:val="00A0709E"/>
    <w:rsid w:val="00A10480"/>
    <w:rsid w:val="00A11307"/>
    <w:rsid w:val="00A11754"/>
    <w:rsid w:val="00A15623"/>
    <w:rsid w:val="00A16DB0"/>
    <w:rsid w:val="00A16DC8"/>
    <w:rsid w:val="00A171AC"/>
    <w:rsid w:val="00A247B5"/>
    <w:rsid w:val="00A26DE0"/>
    <w:rsid w:val="00A27DF3"/>
    <w:rsid w:val="00A30919"/>
    <w:rsid w:val="00A31F5E"/>
    <w:rsid w:val="00A327D9"/>
    <w:rsid w:val="00A335AB"/>
    <w:rsid w:val="00A33960"/>
    <w:rsid w:val="00A35A72"/>
    <w:rsid w:val="00A375E0"/>
    <w:rsid w:val="00A40B11"/>
    <w:rsid w:val="00A40DA5"/>
    <w:rsid w:val="00A41D21"/>
    <w:rsid w:val="00A43CDA"/>
    <w:rsid w:val="00A44C61"/>
    <w:rsid w:val="00A45BD6"/>
    <w:rsid w:val="00A45F4D"/>
    <w:rsid w:val="00A46174"/>
    <w:rsid w:val="00A50ACF"/>
    <w:rsid w:val="00A516B7"/>
    <w:rsid w:val="00A51FF4"/>
    <w:rsid w:val="00A52987"/>
    <w:rsid w:val="00A5439E"/>
    <w:rsid w:val="00A566FB"/>
    <w:rsid w:val="00A57452"/>
    <w:rsid w:val="00A65FFB"/>
    <w:rsid w:val="00A7219F"/>
    <w:rsid w:val="00A739B7"/>
    <w:rsid w:val="00A74809"/>
    <w:rsid w:val="00A75C9C"/>
    <w:rsid w:val="00A8151D"/>
    <w:rsid w:val="00A81766"/>
    <w:rsid w:val="00A81CDE"/>
    <w:rsid w:val="00A827A7"/>
    <w:rsid w:val="00A828AC"/>
    <w:rsid w:val="00A83131"/>
    <w:rsid w:val="00A83E2D"/>
    <w:rsid w:val="00A85410"/>
    <w:rsid w:val="00A85BCD"/>
    <w:rsid w:val="00A86A56"/>
    <w:rsid w:val="00A86BA1"/>
    <w:rsid w:val="00A8785C"/>
    <w:rsid w:val="00A9261D"/>
    <w:rsid w:val="00A927C1"/>
    <w:rsid w:val="00A95999"/>
    <w:rsid w:val="00A959CA"/>
    <w:rsid w:val="00A97D30"/>
    <w:rsid w:val="00AA2B4C"/>
    <w:rsid w:val="00AA3B01"/>
    <w:rsid w:val="00AA4115"/>
    <w:rsid w:val="00AA494E"/>
    <w:rsid w:val="00AA58A1"/>
    <w:rsid w:val="00AA671F"/>
    <w:rsid w:val="00AA729C"/>
    <w:rsid w:val="00AA72D6"/>
    <w:rsid w:val="00AB093A"/>
    <w:rsid w:val="00AB0B54"/>
    <w:rsid w:val="00AB2585"/>
    <w:rsid w:val="00AB4C5C"/>
    <w:rsid w:val="00AB4FCB"/>
    <w:rsid w:val="00AC12CB"/>
    <w:rsid w:val="00AC1974"/>
    <w:rsid w:val="00AC397E"/>
    <w:rsid w:val="00AC45D1"/>
    <w:rsid w:val="00AC498E"/>
    <w:rsid w:val="00AC51AD"/>
    <w:rsid w:val="00AD4FFA"/>
    <w:rsid w:val="00AD62CD"/>
    <w:rsid w:val="00AE3DFF"/>
    <w:rsid w:val="00AE412A"/>
    <w:rsid w:val="00AF0151"/>
    <w:rsid w:val="00AF0364"/>
    <w:rsid w:val="00AF1334"/>
    <w:rsid w:val="00AF146B"/>
    <w:rsid w:val="00AF423B"/>
    <w:rsid w:val="00B02138"/>
    <w:rsid w:val="00B0370F"/>
    <w:rsid w:val="00B04421"/>
    <w:rsid w:val="00B05AB1"/>
    <w:rsid w:val="00B069B6"/>
    <w:rsid w:val="00B070C8"/>
    <w:rsid w:val="00B10197"/>
    <w:rsid w:val="00B104FF"/>
    <w:rsid w:val="00B10807"/>
    <w:rsid w:val="00B12127"/>
    <w:rsid w:val="00B176DE"/>
    <w:rsid w:val="00B17E16"/>
    <w:rsid w:val="00B2075D"/>
    <w:rsid w:val="00B214A7"/>
    <w:rsid w:val="00B23DD9"/>
    <w:rsid w:val="00B260EF"/>
    <w:rsid w:val="00B3110F"/>
    <w:rsid w:val="00B31C4A"/>
    <w:rsid w:val="00B32771"/>
    <w:rsid w:val="00B32A96"/>
    <w:rsid w:val="00B32EC5"/>
    <w:rsid w:val="00B34F9F"/>
    <w:rsid w:val="00B404F7"/>
    <w:rsid w:val="00B41E60"/>
    <w:rsid w:val="00B4348A"/>
    <w:rsid w:val="00B4369A"/>
    <w:rsid w:val="00B436A1"/>
    <w:rsid w:val="00B4510E"/>
    <w:rsid w:val="00B45B18"/>
    <w:rsid w:val="00B46E5F"/>
    <w:rsid w:val="00B4754C"/>
    <w:rsid w:val="00B51A68"/>
    <w:rsid w:val="00B51DBE"/>
    <w:rsid w:val="00B5301D"/>
    <w:rsid w:val="00B54050"/>
    <w:rsid w:val="00B54458"/>
    <w:rsid w:val="00B547D0"/>
    <w:rsid w:val="00B55198"/>
    <w:rsid w:val="00B56B07"/>
    <w:rsid w:val="00B578C1"/>
    <w:rsid w:val="00B60A8A"/>
    <w:rsid w:val="00B60B52"/>
    <w:rsid w:val="00B61678"/>
    <w:rsid w:val="00B61842"/>
    <w:rsid w:val="00B636C5"/>
    <w:rsid w:val="00B637B2"/>
    <w:rsid w:val="00B64340"/>
    <w:rsid w:val="00B64682"/>
    <w:rsid w:val="00B65A32"/>
    <w:rsid w:val="00B67065"/>
    <w:rsid w:val="00B72F60"/>
    <w:rsid w:val="00B7465A"/>
    <w:rsid w:val="00B761A9"/>
    <w:rsid w:val="00B763B4"/>
    <w:rsid w:val="00B7652C"/>
    <w:rsid w:val="00B77406"/>
    <w:rsid w:val="00B80215"/>
    <w:rsid w:val="00B81F1C"/>
    <w:rsid w:val="00B91651"/>
    <w:rsid w:val="00BA2175"/>
    <w:rsid w:val="00BA4639"/>
    <w:rsid w:val="00BB2714"/>
    <w:rsid w:val="00BB34B8"/>
    <w:rsid w:val="00BC0E66"/>
    <w:rsid w:val="00BC11EF"/>
    <w:rsid w:val="00BC51AE"/>
    <w:rsid w:val="00BC66E2"/>
    <w:rsid w:val="00BD15C8"/>
    <w:rsid w:val="00BD2348"/>
    <w:rsid w:val="00BD5CB4"/>
    <w:rsid w:val="00BD66C6"/>
    <w:rsid w:val="00BD69A1"/>
    <w:rsid w:val="00BD6EB4"/>
    <w:rsid w:val="00BD782D"/>
    <w:rsid w:val="00BD7FB8"/>
    <w:rsid w:val="00BE0C71"/>
    <w:rsid w:val="00BE0CCF"/>
    <w:rsid w:val="00BE0EF5"/>
    <w:rsid w:val="00BE2B09"/>
    <w:rsid w:val="00BE2C24"/>
    <w:rsid w:val="00BE428A"/>
    <w:rsid w:val="00BE75B3"/>
    <w:rsid w:val="00BE7C8B"/>
    <w:rsid w:val="00BF0AF2"/>
    <w:rsid w:val="00BF0D89"/>
    <w:rsid w:val="00BF1661"/>
    <w:rsid w:val="00BF1DA3"/>
    <w:rsid w:val="00BF2624"/>
    <w:rsid w:val="00BF308D"/>
    <w:rsid w:val="00BF5A2E"/>
    <w:rsid w:val="00C01026"/>
    <w:rsid w:val="00C027E8"/>
    <w:rsid w:val="00C029BA"/>
    <w:rsid w:val="00C02F2B"/>
    <w:rsid w:val="00C03A0B"/>
    <w:rsid w:val="00C04E6E"/>
    <w:rsid w:val="00C10591"/>
    <w:rsid w:val="00C10D4A"/>
    <w:rsid w:val="00C114BB"/>
    <w:rsid w:val="00C128CE"/>
    <w:rsid w:val="00C12F14"/>
    <w:rsid w:val="00C1366C"/>
    <w:rsid w:val="00C15ABF"/>
    <w:rsid w:val="00C15C18"/>
    <w:rsid w:val="00C15E63"/>
    <w:rsid w:val="00C16E4D"/>
    <w:rsid w:val="00C17663"/>
    <w:rsid w:val="00C20A8B"/>
    <w:rsid w:val="00C22141"/>
    <w:rsid w:val="00C2257A"/>
    <w:rsid w:val="00C260FF"/>
    <w:rsid w:val="00C27DC2"/>
    <w:rsid w:val="00C32638"/>
    <w:rsid w:val="00C339F8"/>
    <w:rsid w:val="00C341B5"/>
    <w:rsid w:val="00C342E1"/>
    <w:rsid w:val="00C376A6"/>
    <w:rsid w:val="00C4046B"/>
    <w:rsid w:val="00C45481"/>
    <w:rsid w:val="00C47FB4"/>
    <w:rsid w:val="00C50831"/>
    <w:rsid w:val="00C51A3E"/>
    <w:rsid w:val="00C562E9"/>
    <w:rsid w:val="00C60453"/>
    <w:rsid w:val="00C6585B"/>
    <w:rsid w:val="00C65B19"/>
    <w:rsid w:val="00C668DB"/>
    <w:rsid w:val="00C66B18"/>
    <w:rsid w:val="00C71179"/>
    <w:rsid w:val="00C715A2"/>
    <w:rsid w:val="00C738D0"/>
    <w:rsid w:val="00C74063"/>
    <w:rsid w:val="00C748BF"/>
    <w:rsid w:val="00C75306"/>
    <w:rsid w:val="00C76E36"/>
    <w:rsid w:val="00C76F59"/>
    <w:rsid w:val="00C80487"/>
    <w:rsid w:val="00C8154C"/>
    <w:rsid w:val="00C82FE1"/>
    <w:rsid w:val="00C83788"/>
    <w:rsid w:val="00C86594"/>
    <w:rsid w:val="00C92C22"/>
    <w:rsid w:val="00CA42CE"/>
    <w:rsid w:val="00CA6168"/>
    <w:rsid w:val="00CB1BFA"/>
    <w:rsid w:val="00CB3F46"/>
    <w:rsid w:val="00CB798B"/>
    <w:rsid w:val="00CC2254"/>
    <w:rsid w:val="00CC2724"/>
    <w:rsid w:val="00CC2C42"/>
    <w:rsid w:val="00CC3A2F"/>
    <w:rsid w:val="00CC3B58"/>
    <w:rsid w:val="00CC5824"/>
    <w:rsid w:val="00CC6D81"/>
    <w:rsid w:val="00CD010C"/>
    <w:rsid w:val="00CD023D"/>
    <w:rsid w:val="00CD02B5"/>
    <w:rsid w:val="00CD0616"/>
    <w:rsid w:val="00CD0AE1"/>
    <w:rsid w:val="00CD11DE"/>
    <w:rsid w:val="00CD12B4"/>
    <w:rsid w:val="00CD2A77"/>
    <w:rsid w:val="00CD356A"/>
    <w:rsid w:val="00CD6D10"/>
    <w:rsid w:val="00CE1AB7"/>
    <w:rsid w:val="00CE1EDD"/>
    <w:rsid w:val="00CF1772"/>
    <w:rsid w:val="00CF51F9"/>
    <w:rsid w:val="00CF5690"/>
    <w:rsid w:val="00D04163"/>
    <w:rsid w:val="00D064CD"/>
    <w:rsid w:val="00D07C9B"/>
    <w:rsid w:val="00D07D1E"/>
    <w:rsid w:val="00D14E88"/>
    <w:rsid w:val="00D163EA"/>
    <w:rsid w:val="00D164B6"/>
    <w:rsid w:val="00D16F66"/>
    <w:rsid w:val="00D211B0"/>
    <w:rsid w:val="00D212C9"/>
    <w:rsid w:val="00D21F33"/>
    <w:rsid w:val="00D2227E"/>
    <w:rsid w:val="00D22854"/>
    <w:rsid w:val="00D22BBF"/>
    <w:rsid w:val="00D26C2F"/>
    <w:rsid w:val="00D311B4"/>
    <w:rsid w:val="00D32259"/>
    <w:rsid w:val="00D33F7C"/>
    <w:rsid w:val="00D3504C"/>
    <w:rsid w:val="00D35C13"/>
    <w:rsid w:val="00D36908"/>
    <w:rsid w:val="00D373CC"/>
    <w:rsid w:val="00D40A3A"/>
    <w:rsid w:val="00D41086"/>
    <w:rsid w:val="00D4135D"/>
    <w:rsid w:val="00D41430"/>
    <w:rsid w:val="00D417F5"/>
    <w:rsid w:val="00D43AB7"/>
    <w:rsid w:val="00D43B8A"/>
    <w:rsid w:val="00D43D04"/>
    <w:rsid w:val="00D4593D"/>
    <w:rsid w:val="00D45A31"/>
    <w:rsid w:val="00D465F5"/>
    <w:rsid w:val="00D518CC"/>
    <w:rsid w:val="00D54B14"/>
    <w:rsid w:val="00D565A4"/>
    <w:rsid w:val="00D56D5C"/>
    <w:rsid w:val="00D573AF"/>
    <w:rsid w:val="00D60C3F"/>
    <w:rsid w:val="00D6200E"/>
    <w:rsid w:val="00D62CC6"/>
    <w:rsid w:val="00D63BBF"/>
    <w:rsid w:val="00D65DA5"/>
    <w:rsid w:val="00D72B65"/>
    <w:rsid w:val="00D76779"/>
    <w:rsid w:val="00D77884"/>
    <w:rsid w:val="00D83091"/>
    <w:rsid w:val="00D83210"/>
    <w:rsid w:val="00D861B4"/>
    <w:rsid w:val="00D86B1D"/>
    <w:rsid w:val="00D87C4F"/>
    <w:rsid w:val="00D90580"/>
    <w:rsid w:val="00D9168F"/>
    <w:rsid w:val="00D923D9"/>
    <w:rsid w:val="00D92915"/>
    <w:rsid w:val="00D94AF2"/>
    <w:rsid w:val="00D96653"/>
    <w:rsid w:val="00DA012B"/>
    <w:rsid w:val="00DA0705"/>
    <w:rsid w:val="00DA3DE5"/>
    <w:rsid w:val="00DA45C6"/>
    <w:rsid w:val="00DA4A4B"/>
    <w:rsid w:val="00DA6ECC"/>
    <w:rsid w:val="00DB050B"/>
    <w:rsid w:val="00DB060E"/>
    <w:rsid w:val="00DB18E6"/>
    <w:rsid w:val="00DB343C"/>
    <w:rsid w:val="00DC154D"/>
    <w:rsid w:val="00DC3C3A"/>
    <w:rsid w:val="00DC76FE"/>
    <w:rsid w:val="00DD1AC6"/>
    <w:rsid w:val="00DD1D08"/>
    <w:rsid w:val="00DD3F92"/>
    <w:rsid w:val="00DD509D"/>
    <w:rsid w:val="00DE328B"/>
    <w:rsid w:val="00DE4372"/>
    <w:rsid w:val="00DE75A1"/>
    <w:rsid w:val="00DF015C"/>
    <w:rsid w:val="00DF1CA0"/>
    <w:rsid w:val="00DF24EE"/>
    <w:rsid w:val="00DF392E"/>
    <w:rsid w:val="00DF5A03"/>
    <w:rsid w:val="00DF6481"/>
    <w:rsid w:val="00DF681F"/>
    <w:rsid w:val="00DF7D9B"/>
    <w:rsid w:val="00E03189"/>
    <w:rsid w:val="00E03C95"/>
    <w:rsid w:val="00E04981"/>
    <w:rsid w:val="00E05A67"/>
    <w:rsid w:val="00E06781"/>
    <w:rsid w:val="00E11944"/>
    <w:rsid w:val="00E12252"/>
    <w:rsid w:val="00E125AB"/>
    <w:rsid w:val="00E1370A"/>
    <w:rsid w:val="00E1441D"/>
    <w:rsid w:val="00E14FD5"/>
    <w:rsid w:val="00E1571F"/>
    <w:rsid w:val="00E162D3"/>
    <w:rsid w:val="00E16A8E"/>
    <w:rsid w:val="00E177D5"/>
    <w:rsid w:val="00E20193"/>
    <w:rsid w:val="00E20BFA"/>
    <w:rsid w:val="00E216F1"/>
    <w:rsid w:val="00E2470C"/>
    <w:rsid w:val="00E2546F"/>
    <w:rsid w:val="00E27569"/>
    <w:rsid w:val="00E27A9C"/>
    <w:rsid w:val="00E3188F"/>
    <w:rsid w:val="00E31B2E"/>
    <w:rsid w:val="00E31BDC"/>
    <w:rsid w:val="00E33977"/>
    <w:rsid w:val="00E350FB"/>
    <w:rsid w:val="00E35938"/>
    <w:rsid w:val="00E370FE"/>
    <w:rsid w:val="00E378CD"/>
    <w:rsid w:val="00E4268D"/>
    <w:rsid w:val="00E42F29"/>
    <w:rsid w:val="00E43EEA"/>
    <w:rsid w:val="00E443A9"/>
    <w:rsid w:val="00E506A6"/>
    <w:rsid w:val="00E51290"/>
    <w:rsid w:val="00E51BF4"/>
    <w:rsid w:val="00E54021"/>
    <w:rsid w:val="00E54189"/>
    <w:rsid w:val="00E559DF"/>
    <w:rsid w:val="00E56166"/>
    <w:rsid w:val="00E575DC"/>
    <w:rsid w:val="00E57970"/>
    <w:rsid w:val="00E60681"/>
    <w:rsid w:val="00E63934"/>
    <w:rsid w:val="00E64F2C"/>
    <w:rsid w:val="00E65F0F"/>
    <w:rsid w:val="00E67D6C"/>
    <w:rsid w:val="00E71F2D"/>
    <w:rsid w:val="00E72980"/>
    <w:rsid w:val="00E74465"/>
    <w:rsid w:val="00E748ED"/>
    <w:rsid w:val="00E75557"/>
    <w:rsid w:val="00E77A0E"/>
    <w:rsid w:val="00E82827"/>
    <w:rsid w:val="00E8338A"/>
    <w:rsid w:val="00E84C24"/>
    <w:rsid w:val="00E86047"/>
    <w:rsid w:val="00E9199F"/>
    <w:rsid w:val="00EA0D20"/>
    <w:rsid w:val="00EA3180"/>
    <w:rsid w:val="00EA4531"/>
    <w:rsid w:val="00EA605F"/>
    <w:rsid w:val="00EA6E15"/>
    <w:rsid w:val="00EB11F5"/>
    <w:rsid w:val="00EB2801"/>
    <w:rsid w:val="00EB307E"/>
    <w:rsid w:val="00EB36D8"/>
    <w:rsid w:val="00EB4EA8"/>
    <w:rsid w:val="00EB54AF"/>
    <w:rsid w:val="00EB7FC3"/>
    <w:rsid w:val="00EC2765"/>
    <w:rsid w:val="00EC276F"/>
    <w:rsid w:val="00EC2B48"/>
    <w:rsid w:val="00EC2E79"/>
    <w:rsid w:val="00EC2F53"/>
    <w:rsid w:val="00EC4423"/>
    <w:rsid w:val="00EC44E0"/>
    <w:rsid w:val="00EC4B88"/>
    <w:rsid w:val="00EC51CE"/>
    <w:rsid w:val="00EC5E8F"/>
    <w:rsid w:val="00EC6F76"/>
    <w:rsid w:val="00ED0038"/>
    <w:rsid w:val="00ED05AB"/>
    <w:rsid w:val="00ED0C03"/>
    <w:rsid w:val="00ED19F9"/>
    <w:rsid w:val="00ED35B9"/>
    <w:rsid w:val="00ED49C8"/>
    <w:rsid w:val="00ED6443"/>
    <w:rsid w:val="00ED6474"/>
    <w:rsid w:val="00ED793D"/>
    <w:rsid w:val="00EE0EA4"/>
    <w:rsid w:val="00EE3099"/>
    <w:rsid w:val="00EE443F"/>
    <w:rsid w:val="00EE4CDF"/>
    <w:rsid w:val="00EE5703"/>
    <w:rsid w:val="00EE5CA0"/>
    <w:rsid w:val="00EE7EC0"/>
    <w:rsid w:val="00EF0C69"/>
    <w:rsid w:val="00EF1CD4"/>
    <w:rsid w:val="00EF1E8A"/>
    <w:rsid w:val="00EF3F35"/>
    <w:rsid w:val="00EF65A8"/>
    <w:rsid w:val="00EF75AB"/>
    <w:rsid w:val="00EF77C2"/>
    <w:rsid w:val="00F01559"/>
    <w:rsid w:val="00F0208D"/>
    <w:rsid w:val="00F0225C"/>
    <w:rsid w:val="00F030CF"/>
    <w:rsid w:val="00F033E3"/>
    <w:rsid w:val="00F05C1E"/>
    <w:rsid w:val="00F06F10"/>
    <w:rsid w:val="00F07C8A"/>
    <w:rsid w:val="00F112AD"/>
    <w:rsid w:val="00F12EDA"/>
    <w:rsid w:val="00F15F9D"/>
    <w:rsid w:val="00F168B9"/>
    <w:rsid w:val="00F17176"/>
    <w:rsid w:val="00F2002A"/>
    <w:rsid w:val="00F20B37"/>
    <w:rsid w:val="00F21F46"/>
    <w:rsid w:val="00F237E5"/>
    <w:rsid w:val="00F24307"/>
    <w:rsid w:val="00F26CD9"/>
    <w:rsid w:val="00F2728A"/>
    <w:rsid w:val="00F30330"/>
    <w:rsid w:val="00F31308"/>
    <w:rsid w:val="00F3293A"/>
    <w:rsid w:val="00F3299B"/>
    <w:rsid w:val="00F37BB1"/>
    <w:rsid w:val="00F40281"/>
    <w:rsid w:val="00F40345"/>
    <w:rsid w:val="00F41621"/>
    <w:rsid w:val="00F41EE8"/>
    <w:rsid w:val="00F44960"/>
    <w:rsid w:val="00F44D5C"/>
    <w:rsid w:val="00F452AF"/>
    <w:rsid w:val="00F47A20"/>
    <w:rsid w:val="00F50B0F"/>
    <w:rsid w:val="00F52B5F"/>
    <w:rsid w:val="00F53B62"/>
    <w:rsid w:val="00F53E4C"/>
    <w:rsid w:val="00F55173"/>
    <w:rsid w:val="00F56172"/>
    <w:rsid w:val="00F6161A"/>
    <w:rsid w:val="00F6394C"/>
    <w:rsid w:val="00F6481F"/>
    <w:rsid w:val="00F67BE0"/>
    <w:rsid w:val="00F70F4F"/>
    <w:rsid w:val="00F73C28"/>
    <w:rsid w:val="00F74D35"/>
    <w:rsid w:val="00F75920"/>
    <w:rsid w:val="00F77B4D"/>
    <w:rsid w:val="00F8063B"/>
    <w:rsid w:val="00F81E15"/>
    <w:rsid w:val="00F81EF4"/>
    <w:rsid w:val="00F8220C"/>
    <w:rsid w:val="00F831D5"/>
    <w:rsid w:val="00F8451F"/>
    <w:rsid w:val="00F91764"/>
    <w:rsid w:val="00F91DF9"/>
    <w:rsid w:val="00F93C7C"/>
    <w:rsid w:val="00F95C3A"/>
    <w:rsid w:val="00F97EA0"/>
    <w:rsid w:val="00FA0C07"/>
    <w:rsid w:val="00FA0F94"/>
    <w:rsid w:val="00FA181F"/>
    <w:rsid w:val="00FA41B9"/>
    <w:rsid w:val="00FA77FA"/>
    <w:rsid w:val="00FB2867"/>
    <w:rsid w:val="00FB42AF"/>
    <w:rsid w:val="00FB4B74"/>
    <w:rsid w:val="00FB5823"/>
    <w:rsid w:val="00FB5C20"/>
    <w:rsid w:val="00FB7D72"/>
    <w:rsid w:val="00FB7D9C"/>
    <w:rsid w:val="00FC76EA"/>
    <w:rsid w:val="00FD073D"/>
    <w:rsid w:val="00FD28C1"/>
    <w:rsid w:val="00FD6EAB"/>
    <w:rsid w:val="00FD720E"/>
    <w:rsid w:val="00FE26F3"/>
    <w:rsid w:val="00FE2CC5"/>
    <w:rsid w:val="00FE5EEF"/>
    <w:rsid w:val="00FE60C8"/>
    <w:rsid w:val="00FE62D1"/>
    <w:rsid w:val="00FE6F67"/>
    <w:rsid w:val="00FF0AAF"/>
    <w:rsid w:val="00FF4D5E"/>
    <w:rsid w:val="00FF55EB"/>
    <w:rsid w:val="00FF6840"/>
    <w:rsid w:val="00FF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ersonName"/>
  <w:smartTagType w:namespaceuri="urn:schemas-microsoft-com:office:smarttags" w:name="stockticker"/>
  <w:shapeDefaults>
    <o:shapedefaults v:ext="edit" spidmax="207873"/>
    <o:shapelayout v:ext="edit">
      <o:idmap v:ext="edit" data="1"/>
    </o:shapelayout>
  </w:shapeDefaults>
  <w:decimalSymbol w:val="."/>
  <w:listSeparator w:val=","/>
  <w14:docId w14:val="000555B9"/>
  <w15:chartTrackingRefBased/>
  <w15:docId w15:val="{B6681ACF-2A97-4843-95D8-58000B83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5868"/>
    <w:rPr>
      <w:sz w:val="24"/>
    </w:rPr>
  </w:style>
  <w:style w:type="paragraph" w:styleId="Heading1">
    <w:name w:val="heading 1"/>
    <w:aliases w:val="h1"/>
    <w:basedOn w:val="Normal"/>
    <w:next w:val="BodyText"/>
    <w:qFormat/>
    <w:rsid w:val="002F5868"/>
    <w:pPr>
      <w:keepNext/>
      <w:numPr>
        <w:numId w:val="3"/>
      </w:numPr>
      <w:spacing w:after="240"/>
      <w:outlineLvl w:val="0"/>
    </w:pPr>
    <w:rPr>
      <w:b/>
      <w:caps/>
    </w:rPr>
  </w:style>
  <w:style w:type="paragraph" w:styleId="Heading2">
    <w:name w:val="heading 2"/>
    <w:aliases w:val="h2"/>
    <w:basedOn w:val="Normal"/>
    <w:next w:val="BodyText"/>
    <w:qFormat/>
    <w:rsid w:val="002F5868"/>
    <w:pPr>
      <w:keepNext/>
      <w:numPr>
        <w:ilvl w:val="1"/>
        <w:numId w:val="3"/>
      </w:numPr>
      <w:tabs>
        <w:tab w:val="left" w:pos="720"/>
      </w:tabs>
      <w:spacing w:before="240" w:after="240"/>
      <w:outlineLvl w:val="1"/>
    </w:pPr>
    <w:rPr>
      <w:b/>
    </w:rPr>
  </w:style>
  <w:style w:type="paragraph" w:styleId="Heading3">
    <w:name w:val="heading 3"/>
    <w:aliases w:val=" Char2 Char,h3"/>
    <w:basedOn w:val="Normal"/>
    <w:next w:val="BodyText"/>
    <w:link w:val="Heading3Char"/>
    <w:qFormat/>
    <w:rsid w:val="002F5868"/>
    <w:pPr>
      <w:keepNext/>
      <w:numPr>
        <w:ilvl w:val="2"/>
        <w:numId w:val="3"/>
      </w:numPr>
      <w:tabs>
        <w:tab w:val="left" w:pos="1008"/>
      </w:tabs>
      <w:spacing w:before="240" w:after="240"/>
      <w:outlineLvl w:val="2"/>
    </w:pPr>
    <w:rPr>
      <w:b/>
      <w:bCs/>
      <w:i/>
    </w:rPr>
  </w:style>
  <w:style w:type="paragraph" w:styleId="Heading4">
    <w:name w:val="heading 4"/>
    <w:aliases w:val="h4"/>
    <w:basedOn w:val="Normal"/>
    <w:next w:val="BodyText"/>
    <w:link w:val="Heading4Char"/>
    <w:qFormat/>
    <w:rsid w:val="002F5868"/>
    <w:pPr>
      <w:keepNext/>
      <w:widowControl w:val="0"/>
      <w:numPr>
        <w:ilvl w:val="3"/>
        <w:numId w:val="3"/>
      </w:numPr>
      <w:tabs>
        <w:tab w:val="left" w:pos="1296"/>
      </w:tabs>
      <w:spacing w:before="240" w:after="240"/>
      <w:outlineLvl w:val="3"/>
    </w:pPr>
    <w:rPr>
      <w:b/>
      <w:bCs/>
      <w:snapToGrid w:val="0"/>
      <w:lang w:val="x-none" w:eastAsia="x-none"/>
    </w:rPr>
  </w:style>
  <w:style w:type="paragraph" w:styleId="Heading5">
    <w:name w:val="heading 5"/>
    <w:aliases w:val="h5"/>
    <w:basedOn w:val="Normal"/>
    <w:next w:val="BodyText"/>
    <w:link w:val="Heading5Char"/>
    <w:qFormat/>
    <w:rsid w:val="002F5868"/>
    <w:pPr>
      <w:keepNext/>
      <w:numPr>
        <w:ilvl w:val="4"/>
        <w:numId w:val="3"/>
      </w:numPr>
      <w:tabs>
        <w:tab w:val="left" w:pos="1440"/>
      </w:tabs>
      <w:spacing w:before="240" w:after="240"/>
      <w:outlineLvl w:val="4"/>
    </w:pPr>
    <w:rPr>
      <w:b/>
      <w:bCs/>
      <w:i/>
      <w:iCs/>
      <w:szCs w:val="26"/>
    </w:rPr>
  </w:style>
  <w:style w:type="paragraph" w:styleId="Heading6">
    <w:name w:val="heading 6"/>
    <w:aliases w:val="h6"/>
    <w:basedOn w:val="Normal"/>
    <w:next w:val="BodyText"/>
    <w:link w:val="Heading6Char"/>
    <w:qFormat/>
    <w:rsid w:val="002F5868"/>
    <w:pPr>
      <w:keepNext/>
      <w:numPr>
        <w:ilvl w:val="5"/>
        <w:numId w:val="3"/>
      </w:numPr>
      <w:tabs>
        <w:tab w:val="left" w:pos="1584"/>
      </w:tabs>
      <w:spacing w:before="240" w:after="240"/>
      <w:outlineLvl w:val="5"/>
    </w:pPr>
    <w:rPr>
      <w:b/>
      <w:bCs/>
      <w:szCs w:val="22"/>
      <w:lang w:val="x-none" w:eastAsia="x-none"/>
    </w:rPr>
  </w:style>
  <w:style w:type="paragraph" w:styleId="Heading7">
    <w:name w:val="heading 7"/>
    <w:basedOn w:val="Normal"/>
    <w:next w:val="BodyText"/>
    <w:qFormat/>
    <w:rsid w:val="002F5868"/>
    <w:pPr>
      <w:keepNext/>
      <w:numPr>
        <w:ilvl w:val="6"/>
        <w:numId w:val="3"/>
      </w:numPr>
      <w:tabs>
        <w:tab w:val="left" w:pos="1728"/>
      </w:tabs>
      <w:spacing w:before="240" w:after="240"/>
      <w:outlineLvl w:val="6"/>
    </w:pPr>
    <w:rPr>
      <w:szCs w:val="24"/>
    </w:rPr>
  </w:style>
  <w:style w:type="paragraph" w:styleId="Heading8">
    <w:name w:val="heading 8"/>
    <w:basedOn w:val="Normal"/>
    <w:next w:val="BodyText"/>
    <w:qFormat/>
    <w:rsid w:val="002F5868"/>
    <w:pPr>
      <w:keepNext/>
      <w:numPr>
        <w:ilvl w:val="7"/>
        <w:numId w:val="3"/>
      </w:numPr>
      <w:tabs>
        <w:tab w:val="left" w:pos="1872"/>
      </w:tabs>
      <w:spacing w:before="240" w:after="240"/>
      <w:outlineLvl w:val="7"/>
    </w:pPr>
    <w:rPr>
      <w:i/>
      <w:iCs/>
      <w:szCs w:val="24"/>
    </w:rPr>
  </w:style>
  <w:style w:type="paragraph" w:styleId="Heading9">
    <w:name w:val="heading 9"/>
    <w:basedOn w:val="Normal"/>
    <w:next w:val="BodyText"/>
    <w:qFormat/>
    <w:rsid w:val="002F5868"/>
    <w:pPr>
      <w:keepNext/>
      <w:numPr>
        <w:ilvl w:val="8"/>
        <w:numId w:val="3"/>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Char Char, Char1,Body Text Char Char, Char Char Char Char Char,Body Text Char2 Char Char,Body Text Char2 Char Char Char Char Char Char Char Char Char Char Char,Body Text Char2 Char,Body Text Char2,Body Text Char1 Char Ch, Char1 Char Char"/>
    <w:basedOn w:val="Normal"/>
    <w:link w:val="BodyTextChar3"/>
    <w:rsid w:val="002F5868"/>
    <w:pPr>
      <w:spacing w:after="240"/>
    </w:pPr>
    <w:rPr>
      <w:iCs/>
    </w:rPr>
  </w:style>
  <w:style w:type="character" w:customStyle="1" w:styleId="BodyTextChar3">
    <w:name w:val="Body Text Char3"/>
    <w:aliases w:val=" Char Char Char Char, Char1 Char1,Body Text Char Char Char, Char Char Char Char Char Char,Body Text Char2 Char Char Char1,Body Text Char2 Char Char Char Char Char Char Char Char Char Char Char Char1,Body Text Char2 Char Char2"/>
    <w:link w:val="BodyText"/>
    <w:rsid w:val="002F5868"/>
    <w:rPr>
      <w:iCs/>
      <w:sz w:val="24"/>
      <w:lang w:val="en-US" w:eastAsia="en-US" w:bidi="ar-SA"/>
    </w:rPr>
  </w:style>
  <w:style w:type="character" w:customStyle="1" w:styleId="Heading3Char">
    <w:name w:val="Heading 3 Char"/>
    <w:aliases w:val=" Char2 Char Char,h3 Char"/>
    <w:link w:val="Heading3"/>
    <w:rsid w:val="002F5868"/>
    <w:rPr>
      <w:b/>
      <w:bCs/>
      <w:i/>
      <w:sz w:val="24"/>
      <w:lang w:val="en-US" w:eastAsia="en-US" w:bidi="ar-SA"/>
    </w:rPr>
  </w:style>
  <w:style w:type="paragraph" w:customStyle="1" w:styleId="Instructions">
    <w:name w:val="Instructions"/>
    <w:basedOn w:val="BodyText"/>
    <w:link w:val="InstructionsChar"/>
    <w:rsid w:val="002F5868"/>
    <w:rPr>
      <w:b/>
      <w:i/>
      <w:szCs w:val="24"/>
      <w:lang w:val="x-none" w:eastAsia="x-none"/>
    </w:rPr>
  </w:style>
  <w:style w:type="paragraph" w:styleId="List">
    <w:name w:val="List"/>
    <w:aliases w:val=" Char2 Char Char Char Char"/>
    <w:basedOn w:val="Normal"/>
    <w:link w:val="ListChar"/>
    <w:rsid w:val="002F5868"/>
    <w:pPr>
      <w:spacing w:after="240"/>
      <w:ind w:left="1440" w:hanging="720"/>
    </w:pPr>
  </w:style>
  <w:style w:type="character" w:customStyle="1" w:styleId="ListChar">
    <w:name w:val="List Char"/>
    <w:aliases w:val=" Char2 Char Char Char Char Char1"/>
    <w:link w:val="List"/>
    <w:rsid w:val="002F5868"/>
    <w:rPr>
      <w:sz w:val="24"/>
      <w:lang w:val="en-US" w:eastAsia="en-US" w:bidi="ar-SA"/>
    </w:rPr>
  </w:style>
  <w:style w:type="paragraph" w:styleId="BodyTextIndent">
    <w:name w:val="Body Text Indent"/>
    <w:basedOn w:val="Normal"/>
    <w:link w:val="BodyTextIndentChar1"/>
    <w:rsid w:val="002F5868"/>
    <w:pPr>
      <w:spacing w:after="240"/>
      <w:ind w:left="720"/>
    </w:pPr>
    <w:rPr>
      <w:iCs/>
      <w:lang w:val="x-none" w:eastAsia="x-none"/>
    </w:rPr>
  </w:style>
  <w:style w:type="paragraph" w:customStyle="1" w:styleId="Bullet">
    <w:name w:val="Bullet"/>
    <w:basedOn w:val="Normal"/>
    <w:link w:val="BulletChar"/>
    <w:rsid w:val="002F5868"/>
    <w:pPr>
      <w:tabs>
        <w:tab w:val="num" w:pos="1440"/>
      </w:tabs>
      <w:spacing w:after="180"/>
      <w:ind w:left="1440" w:hanging="360"/>
    </w:pPr>
    <w:rPr>
      <w:lang w:val="x-none" w:eastAsia="x-none"/>
    </w:rPr>
  </w:style>
  <w:style w:type="paragraph" w:customStyle="1" w:styleId="BulletIndent">
    <w:name w:val="Bullet Indent"/>
    <w:basedOn w:val="Normal"/>
    <w:link w:val="BulletIndentChar"/>
    <w:rsid w:val="002F5868"/>
    <w:pPr>
      <w:spacing w:after="180"/>
      <w:ind w:left="2340" w:hanging="547"/>
    </w:pPr>
  </w:style>
  <w:style w:type="paragraph" w:styleId="Footer">
    <w:name w:val="footer"/>
    <w:basedOn w:val="Normal"/>
    <w:rsid w:val="002F5868"/>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semiHidden/>
    <w:rsid w:val="002F5868"/>
    <w:rPr>
      <w:sz w:val="18"/>
    </w:rPr>
  </w:style>
  <w:style w:type="paragraph" w:styleId="Header">
    <w:name w:val="header"/>
    <w:basedOn w:val="Normal"/>
    <w:link w:val="HeaderChar"/>
    <w:rsid w:val="002F5868"/>
    <w:pPr>
      <w:pBdr>
        <w:bottom w:val="single" w:sz="4" w:space="1" w:color="auto"/>
      </w:pBdr>
      <w:tabs>
        <w:tab w:val="center" w:pos="4680"/>
        <w:tab w:val="right" w:pos="9360"/>
      </w:tabs>
      <w:jc w:val="right"/>
    </w:pPr>
    <w:rPr>
      <w:smallCaps/>
      <w:sz w:val="20"/>
      <w:lang w:val="x-none" w:eastAsia="x-none"/>
    </w:rPr>
  </w:style>
  <w:style w:type="character" w:styleId="Hyperlink">
    <w:name w:val="Hyperlink"/>
    <w:uiPriority w:val="99"/>
    <w:rsid w:val="002F5868"/>
    <w:rPr>
      <w:color w:val="0000FF"/>
      <w:u w:val="single"/>
    </w:rPr>
  </w:style>
  <w:style w:type="paragraph" w:styleId="TOC1">
    <w:name w:val="toc 1"/>
    <w:basedOn w:val="Normal"/>
    <w:next w:val="Normal"/>
    <w:autoRedefine/>
    <w:uiPriority w:val="39"/>
    <w:rsid w:val="002E5F2C"/>
    <w:pPr>
      <w:tabs>
        <w:tab w:val="left" w:pos="540"/>
        <w:tab w:val="right" w:leader="dot" w:pos="9360"/>
      </w:tabs>
      <w:spacing w:before="120" w:after="120"/>
      <w:ind w:left="540" w:right="720" w:hanging="540"/>
    </w:pPr>
    <w:rPr>
      <w:b/>
      <w:bCs/>
      <w:noProof/>
      <w:szCs w:val="24"/>
    </w:rPr>
  </w:style>
  <w:style w:type="paragraph" w:styleId="TOC2">
    <w:name w:val="toc 2"/>
    <w:basedOn w:val="Normal"/>
    <w:next w:val="Normal"/>
    <w:autoRedefine/>
    <w:uiPriority w:val="39"/>
    <w:rsid w:val="002F5868"/>
    <w:pPr>
      <w:tabs>
        <w:tab w:val="left" w:pos="1260"/>
        <w:tab w:val="right" w:leader="dot" w:pos="9360"/>
      </w:tabs>
      <w:ind w:left="1260" w:right="720" w:hanging="720"/>
    </w:pPr>
    <w:rPr>
      <w:sz w:val="20"/>
    </w:rPr>
  </w:style>
  <w:style w:type="paragraph" w:styleId="TOC3">
    <w:name w:val="toc 3"/>
    <w:basedOn w:val="Normal"/>
    <w:next w:val="Normal"/>
    <w:autoRedefine/>
    <w:uiPriority w:val="39"/>
    <w:rsid w:val="002F5868"/>
    <w:pPr>
      <w:tabs>
        <w:tab w:val="left" w:pos="1980"/>
        <w:tab w:val="right" w:leader="dot" w:pos="9360"/>
      </w:tabs>
      <w:ind w:left="1980" w:right="720" w:hanging="900"/>
    </w:pPr>
    <w:rPr>
      <w:i/>
      <w:iCs/>
      <w:sz w:val="20"/>
    </w:rPr>
  </w:style>
  <w:style w:type="character" w:styleId="PageNumber">
    <w:name w:val="page number"/>
    <w:basedOn w:val="DefaultParagraphFont"/>
    <w:rsid w:val="002F5868"/>
  </w:style>
  <w:style w:type="table" w:styleId="TableGrid">
    <w:name w:val="Table Grid"/>
    <w:basedOn w:val="TableNormal"/>
    <w:rsid w:val="002F5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B214A7"/>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rsid w:val="002F5868"/>
    <w:pPr>
      <w:tabs>
        <w:tab w:val="left" w:pos="3600"/>
        <w:tab w:val="right" w:leader="dot" w:pos="9360"/>
      </w:tabs>
      <w:ind w:left="3600" w:right="720" w:hanging="1260"/>
    </w:pPr>
    <w:rPr>
      <w:i/>
      <w:noProof/>
      <w:sz w:val="18"/>
      <w:szCs w:val="18"/>
    </w:rPr>
  </w:style>
  <w:style w:type="paragraph" w:styleId="List2">
    <w:name w:val="List 2"/>
    <w:aliases w:val=" Char2"/>
    <w:basedOn w:val="Normal"/>
    <w:link w:val="List2Char"/>
    <w:rsid w:val="002F5868"/>
    <w:pPr>
      <w:spacing w:after="240"/>
      <w:ind w:left="2160" w:hanging="720"/>
    </w:pPr>
    <w:rPr>
      <w:lang w:val="x-none" w:eastAsia="x-none"/>
    </w:rPr>
  </w:style>
  <w:style w:type="paragraph" w:styleId="List3">
    <w:name w:val="List 3"/>
    <w:basedOn w:val="Normal"/>
    <w:rsid w:val="002F5868"/>
    <w:pPr>
      <w:spacing w:after="240"/>
      <w:ind w:left="2880" w:hanging="720"/>
    </w:pPr>
  </w:style>
  <w:style w:type="paragraph" w:styleId="TOC6">
    <w:name w:val="toc 6"/>
    <w:basedOn w:val="Normal"/>
    <w:next w:val="Normal"/>
    <w:autoRedefine/>
    <w:uiPriority w:val="39"/>
    <w:rsid w:val="002F5868"/>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rsid w:val="002F5868"/>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2F5868"/>
    <w:pPr>
      <w:ind w:left="1680"/>
    </w:pPr>
    <w:rPr>
      <w:sz w:val="18"/>
      <w:szCs w:val="18"/>
    </w:rPr>
  </w:style>
  <w:style w:type="paragraph" w:styleId="TOC9">
    <w:name w:val="toc 9"/>
    <w:basedOn w:val="Normal"/>
    <w:next w:val="Normal"/>
    <w:autoRedefine/>
    <w:uiPriority w:val="39"/>
    <w:rsid w:val="002F5868"/>
    <w:pPr>
      <w:ind w:left="1920"/>
    </w:pPr>
    <w:rPr>
      <w:sz w:val="18"/>
      <w:szCs w:val="18"/>
    </w:rPr>
  </w:style>
  <w:style w:type="paragraph" w:customStyle="1" w:styleId="H5">
    <w:name w:val="H5"/>
    <w:basedOn w:val="Heading5"/>
    <w:next w:val="BodyText"/>
    <w:link w:val="H5Char"/>
    <w:rsid w:val="002F5868"/>
    <w:pPr>
      <w:numPr>
        <w:ilvl w:val="0"/>
        <w:numId w:val="0"/>
      </w:numPr>
      <w:tabs>
        <w:tab w:val="clear" w:pos="1440"/>
        <w:tab w:val="left" w:pos="1620"/>
      </w:tabs>
      <w:ind w:left="1620" w:hanging="1620"/>
    </w:pPr>
  </w:style>
  <w:style w:type="paragraph" w:customStyle="1" w:styleId="H2">
    <w:name w:val="H2"/>
    <w:basedOn w:val="Heading2"/>
    <w:next w:val="BodyText"/>
    <w:link w:val="H2Char"/>
    <w:rsid w:val="002F5868"/>
    <w:pPr>
      <w:numPr>
        <w:ilvl w:val="0"/>
        <w:numId w:val="0"/>
      </w:numPr>
      <w:tabs>
        <w:tab w:val="clear" w:pos="720"/>
        <w:tab w:val="left" w:pos="900"/>
      </w:tabs>
      <w:ind w:left="900" w:hanging="900"/>
    </w:pPr>
    <w:rPr>
      <w:lang w:val="x-none" w:eastAsia="x-none"/>
    </w:rPr>
  </w:style>
  <w:style w:type="paragraph" w:customStyle="1" w:styleId="H3">
    <w:name w:val="H3"/>
    <w:basedOn w:val="Heading3"/>
    <w:next w:val="BodyText"/>
    <w:link w:val="H3Char1"/>
    <w:rsid w:val="002F5868"/>
    <w:pPr>
      <w:numPr>
        <w:ilvl w:val="0"/>
        <w:numId w:val="0"/>
      </w:numPr>
      <w:tabs>
        <w:tab w:val="clear" w:pos="1008"/>
        <w:tab w:val="left" w:pos="1080"/>
      </w:tabs>
      <w:ind w:left="1080" w:hanging="1080"/>
    </w:pPr>
    <w:rPr>
      <w:b w:val="0"/>
      <w:bCs w:val="0"/>
      <w:i w:val="0"/>
    </w:rPr>
  </w:style>
  <w:style w:type="character" w:customStyle="1" w:styleId="H3Char1">
    <w:name w:val="H3 Char1"/>
    <w:link w:val="H3"/>
    <w:rsid w:val="002F5868"/>
    <w:rPr>
      <w:b w:val="0"/>
      <w:bCs w:val="0"/>
      <w:i w:val="0"/>
      <w:sz w:val="24"/>
      <w:lang w:val="en-US" w:eastAsia="en-US" w:bidi="ar-SA"/>
    </w:rPr>
  </w:style>
  <w:style w:type="paragraph" w:customStyle="1" w:styleId="H4">
    <w:name w:val="H4"/>
    <w:basedOn w:val="Heading4"/>
    <w:next w:val="BodyText"/>
    <w:link w:val="H4Char"/>
    <w:rsid w:val="002F5868"/>
    <w:pPr>
      <w:numPr>
        <w:ilvl w:val="0"/>
        <w:numId w:val="0"/>
      </w:numPr>
      <w:tabs>
        <w:tab w:val="clear" w:pos="1296"/>
        <w:tab w:val="left" w:pos="1260"/>
      </w:tabs>
      <w:ind w:left="1260" w:hanging="1260"/>
    </w:pPr>
    <w:rPr>
      <w:lang w:val="en-US" w:eastAsia="en-US"/>
    </w:rPr>
  </w:style>
  <w:style w:type="paragraph" w:customStyle="1" w:styleId="H6">
    <w:name w:val="H6"/>
    <w:basedOn w:val="Heading6"/>
    <w:next w:val="BodyText"/>
    <w:link w:val="H6Char"/>
    <w:rsid w:val="002F5868"/>
    <w:pPr>
      <w:numPr>
        <w:ilvl w:val="0"/>
        <w:numId w:val="0"/>
      </w:numPr>
      <w:tabs>
        <w:tab w:val="clear" w:pos="1584"/>
        <w:tab w:val="left" w:pos="1800"/>
      </w:tabs>
      <w:ind w:left="1800" w:hanging="1800"/>
    </w:pPr>
  </w:style>
  <w:style w:type="paragraph" w:customStyle="1" w:styleId="H7">
    <w:name w:val="H7"/>
    <w:basedOn w:val="Heading7"/>
    <w:next w:val="BodyText"/>
    <w:rsid w:val="002F5868"/>
    <w:pPr>
      <w:numPr>
        <w:ilvl w:val="0"/>
        <w:numId w:val="0"/>
      </w:numPr>
      <w:tabs>
        <w:tab w:val="clear" w:pos="1728"/>
        <w:tab w:val="left" w:pos="1980"/>
      </w:tabs>
      <w:ind w:left="1980" w:hanging="1980"/>
    </w:pPr>
    <w:rPr>
      <w:b/>
      <w:i/>
    </w:rPr>
  </w:style>
  <w:style w:type="paragraph" w:customStyle="1" w:styleId="H8">
    <w:name w:val="H8"/>
    <w:basedOn w:val="Heading8"/>
    <w:next w:val="BodyText"/>
    <w:rsid w:val="002F5868"/>
    <w:pPr>
      <w:numPr>
        <w:ilvl w:val="0"/>
        <w:numId w:val="0"/>
      </w:numPr>
      <w:tabs>
        <w:tab w:val="clear" w:pos="1872"/>
        <w:tab w:val="left" w:pos="2160"/>
      </w:tabs>
      <w:ind w:left="2160" w:hanging="2160"/>
    </w:pPr>
    <w:rPr>
      <w:b/>
      <w:i w:val="0"/>
    </w:rPr>
  </w:style>
  <w:style w:type="paragraph" w:customStyle="1" w:styleId="H9">
    <w:name w:val="H9"/>
    <w:basedOn w:val="Heading9"/>
    <w:next w:val="BodyText"/>
    <w:rsid w:val="002F5868"/>
    <w:pPr>
      <w:numPr>
        <w:ilvl w:val="0"/>
        <w:numId w:val="0"/>
      </w:numPr>
      <w:tabs>
        <w:tab w:val="clear" w:pos="2160"/>
        <w:tab w:val="left" w:pos="2340"/>
      </w:tabs>
      <w:ind w:left="2340" w:hanging="2340"/>
    </w:pPr>
    <w:rPr>
      <w:i/>
    </w:rPr>
  </w:style>
  <w:style w:type="table" w:customStyle="1" w:styleId="BoxedLanguage">
    <w:name w:val="Boxed Language"/>
    <w:basedOn w:val="TableNormal"/>
    <w:rsid w:val="002F5868"/>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2F5868"/>
  </w:style>
  <w:style w:type="paragraph" w:customStyle="1" w:styleId="ListIntroduction">
    <w:name w:val="List Introduction"/>
    <w:basedOn w:val="BodyText"/>
    <w:link w:val="ListIntroductionChar"/>
    <w:rsid w:val="002F5868"/>
    <w:pPr>
      <w:keepNext/>
    </w:pPr>
  </w:style>
  <w:style w:type="character" w:customStyle="1" w:styleId="ListIntroductionChar">
    <w:name w:val="List Introduction Char"/>
    <w:link w:val="ListIntroduction"/>
    <w:rsid w:val="002F5868"/>
    <w:rPr>
      <w:iCs/>
      <w:sz w:val="24"/>
      <w:lang w:val="en-US" w:eastAsia="en-US" w:bidi="ar-SA"/>
    </w:rPr>
  </w:style>
  <w:style w:type="paragraph" w:customStyle="1" w:styleId="VariableDefinition">
    <w:name w:val="Variable Definition"/>
    <w:basedOn w:val="BodyTextIndent"/>
    <w:link w:val="VariableDefinitionChar"/>
    <w:rsid w:val="002F5868"/>
    <w:pPr>
      <w:tabs>
        <w:tab w:val="left" w:pos="2160"/>
      </w:tabs>
      <w:ind w:left="2160" w:hanging="1440"/>
      <w:contextualSpacing/>
    </w:pPr>
  </w:style>
  <w:style w:type="paragraph" w:customStyle="1" w:styleId="FormulaBold">
    <w:name w:val="Formula Bold"/>
    <w:basedOn w:val="Normal"/>
    <w:link w:val="FormulaBoldChar"/>
    <w:autoRedefine/>
    <w:rsid w:val="00D465F5"/>
    <w:pPr>
      <w:tabs>
        <w:tab w:val="left" w:pos="2340"/>
        <w:tab w:val="left" w:pos="3420"/>
      </w:tabs>
      <w:spacing w:before="240" w:after="240"/>
      <w:ind w:left="1440"/>
    </w:pPr>
    <w:rPr>
      <w:b/>
      <w:lang w:val="x-none" w:eastAsia="x-none"/>
    </w:rPr>
  </w:style>
  <w:style w:type="paragraph" w:customStyle="1" w:styleId="Formula">
    <w:name w:val="Formula"/>
    <w:basedOn w:val="Normal"/>
    <w:autoRedefine/>
    <w:rsid w:val="002F5868"/>
    <w:pPr>
      <w:tabs>
        <w:tab w:val="left" w:pos="2340"/>
        <w:tab w:val="left" w:pos="3420"/>
      </w:tabs>
      <w:spacing w:after="240"/>
      <w:ind w:left="3420" w:hanging="2700"/>
    </w:pPr>
    <w:rPr>
      <w:bCs/>
      <w:szCs w:val="24"/>
    </w:rPr>
  </w:style>
  <w:style w:type="paragraph" w:customStyle="1" w:styleId="ListSub">
    <w:name w:val="List Sub"/>
    <w:basedOn w:val="List"/>
    <w:link w:val="ListSubChar"/>
    <w:rsid w:val="002F5868"/>
    <w:pPr>
      <w:ind w:firstLine="0"/>
    </w:pPr>
  </w:style>
  <w:style w:type="table" w:customStyle="1" w:styleId="VariableTable">
    <w:name w:val="Variable Table"/>
    <w:basedOn w:val="TableNormal"/>
    <w:rsid w:val="002F5868"/>
    <w:tblPr/>
  </w:style>
  <w:style w:type="table" w:customStyle="1" w:styleId="FormulaVariableTable">
    <w:name w:val="Formula Variable Table"/>
    <w:basedOn w:val="TableNormal"/>
    <w:rsid w:val="002F5868"/>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2F5868"/>
    <w:pPr>
      <w:keepNext/>
      <w:spacing w:before="240"/>
    </w:pPr>
    <w:rPr>
      <w:b/>
    </w:rPr>
  </w:style>
  <w:style w:type="paragraph" w:customStyle="1" w:styleId="TableBody">
    <w:name w:val="Table Body"/>
    <w:basedOn w:val="BodyText"/>
    <w:uiPriority w:val="99"/>
    <w:rsid w:val="002F5868"/>
    <w:pPr>
      <w:spacing w:after="60"/>
    </w:pPr>
    <w:rPr>
      <w:sz w:val="20"/>
    </w:rPr>
  </w:style>
  <w:style w:type="paragraph" w:customStyle="1" w:styleId="TableHead">
    <w:name w:val="Table Head"/>
    <w:basedOn w:val="BodyText"/>
    <w:rsid w:val="002F5868"/>
    <w:pPr>
      <w:spacing w:after="120"/>
    </w:pPr>
    <w:rPr>
      <w:b/>
      <w:sz w:val="20"/>
    </w:rPr>
  </w:style>
  <w:style w:type="paragraph" w:customStyle="1" w:styleId="TableBullet">
    <w:name w:val="Table Bullet"/>
    <w:basedOn w:val="TableBody"/>
    <w:rsid w:val="002F5868"/>
    <w:pPr>
      <w:tabs>
        <w:tab w:val="num" w:pos="360"/>
      </w:tabs>
      <w:ind w:left="360" w:hanging="360"/>
    </w:pPr>
  </w:style>
  <w:style w:type="paragraph" w:styleId="BodyText2">
    <w:name w:val="Body Text 2"/>
    <w:basedOn w:val="Normal"/>
    <w:rsid w:val="002F5868"/>
    <w:pPr>
      <w:spacing w:after="120" w:line="480" w:lineRule="auto"/>
      <w:ind w:left="1440" w:hanging="720"/>
    </w:pPr>
  </w:style>
  <w:style w:type="paragraph" w:customStyle="1" w:styleId="BodyTextNumbered">
    <w:name w:val="Body Text Numbered"/>
    <w:basedOn w:val="BodyText"/>
    <w:link w:val="BodyTextNumberedChar"/>
    <w:rsid w:val="002F5868"/>
    <w:pPr>
      <w:ind w:left="720" w:hanging="720"/>
    </w:pPr>
    <w:rPr>
      <w:iCs w:val="0"/>
    </w:rPr>
  </w:style>
  <w:style w:type="character" w:customStyle="1" w:styleId="BodyTextNumberedChar">
    <w:name w:val="Body Text Numbered Char"/>
    <w:link w:val="BodyTextNumbered"/>
    <w:rsid w:val="002F5868"/>
    <w:rPr>
      <w:iCs w:val="0"/>
      <w:sz w:val="24"/>
      <w:lang w:val="en-US" w:eastAsia="en-US" w:bidi="ar-SA"/>
    </w:rPr>
  </w:style>
  <w:style w:type="paragraph" w:customStyle="1" w:styleId="H3Char">
    <w:name w:val="H3 Char"/>
    <w:basedOn w:val="Heading3"/>
    <w:next w:val="BodyText"/>
    <w:link w:val="H3CharChar"/>
    <w:rsid w:val="002F5868"/>
    <w:pPr>
      <w:numPr>
        <w:ilvl w:val="0"/>
        <w:numId w:val="0"/>
      </w:numPr>
      <w:tabs>
        <w:tab w:val="clear" w:pos="1008"/>
        <w:tab w:val="left" w:pos="1080"/>
      </w:tabs>
      <w:ind w:left="1080" w:hanging="1080"/>
    </w:pPr>
    <w:rPr>
      <w:b w:val="0"/>
      <w:bCs w:val="0"/>
      <w:i w:val="0"/>
    </w:rPr>
  </w:style>
  <w:style w:type="character" w:customStyle="1" w:styleId="H3CharChar">
    <w:name w:val="H3 Char Char"/>
    <w:link w:val="H3Char"/>
    <w:rsid w:val="002F5868"/>
    <w:rPr>
      <w:b w:val="0"/>
      <w:bCs w:val="0"/>
      <w:i w:val="0"/>
      <w:sz w:val="24"/>
      <w:lang w:val="en-US" w:eastAsia="en-US" w:bidi="ar-SA"/>
    </w:rPr>
  </w:style>
  <w:style w:type="character" w:customStyle="1" w:styleId="Char1CharChar">
    <w:name w:val="Char1 Char Char"/>
    <w:rsid w:val="002F5868"/>
    <w:rPr>
      <w:sz w:val="24"/>
      <w:lang w:val="en-US" w:eastAsia="en-US" w:bidi="ar-SA"/>
    </w:rPr>
  </w:style>
  <w:style w:type="paragraph" w:styleId="Index1">
    <w:name w:val="index 1"/>
    <w:basedOn w:val="Normal"/>
    <w:next w:val="Normal"/>
    <w:autoRedefine/>
    <w:semiHidden/>
    <w:rsid w:val="002F5868"/>
    <w:pPr>
      <w:ind w:left="240" w:hanging="240"/>
    </w:pPr>
    <w:rPr>
      <w:sz w:val="18"/>
      <w:szCs w:val="18"/>
    </w:rPr>
  </w:style>
  <w:style w:type="paragraph" w:styleId="Index2">
    <w:name w:val="index 2"/>
    <w:basedOn w:val="Normal"/>
    <w:next w:val="Normal"/>
    <w:autoRedefine/>
    <w:semiHidden/>
    <w:rsid w:val="002F5868"/>
    <w:pPr>
      <w:ind w:left="480" w:hanging="240"/>
    </w:pPr>
    <w:rPr>
      <w:sz w:val="18"/>
      <w:szCs w:val="18"/>
    </w:rPr>
  </w:style>
  <w:style w:type="paragraph" w:styleId="Index3">
    <w:name w:val="index 3"/>
    <w:basedOn w:val="Normal"/>
    <w:next w:val="Normal"/>
    <w:autoRedefine/>
    <w:semiHidden/>
    <w:rsid w:val="002F5868"/>
    <w:pPr>
      <w:ind w:left="720" w:hanging="240"/>
    </w:pPr>
    <w:rPr>
      <w:sz w:val="18"/>
      <w:szCs w:val="18"/>
    </w:rPr>
  </w:style>
  <w:style w:type="paragraph" w:styleId="Index4">
    <w:name w:val="index 4"/>
    <w:basedOn w:val="Normal"/>
    <w:next w:val="Normal"/>
    <w:autoRedefine/>
    <w:semiHidden/>
    <w:rsid w:val="002F5868"/>
    <w:pPr>
      <w:ind w:left="960" w:hanging="240"/>
    </w:pPr>
    <w:rPr>
      <w:sz w:val="18"/>
      <w:szCs w:val="18"/>
    </w:rPr>
  </w:style>
  <w:style w:type="paragraph" w:styleId="Index5">
    <w:name w:val="index 5"/>
    <w:basedOn w:val="Normal"/>
    <w:next w:val="Normal"/>
    <w:autoRedefine/>
    <w:semiHidden/>
    <w:rsid w:val="002F5868"/>
    <w:pPr>
      <w:ind w:left="1200" w:hanging="240"/>
    </w:pPr>
    <w:rPr>
      <w:sz w:val="18"/>
      <w:szCs w:val="18"/>
    </w:rPr>
  </w:style>
  <w:style w:type="paragraph" w:styleId="Index6">
    <w:name w:val="index 6"/>
    <w:basedOn w:val="Normal"/>
    <w:next w:val="Normal"/>
    <w:autoRedefine/>
    <w:semiHidden/>
    <w:rsid w:val="002F5868"/>
    <w:pPr>
      <w:ind w:left="1440" w:hanging="240"/>
    </w:pPr>
    <w:rPr>
      <w:sz w:val="18"/>
      <w:szCs w:val="18"/>
    </w:rPr>
  </w:style>
  <w:style w:type="paragraph" w:styleId="Index7">
    <w:name w:val="index 7"/>
    <w:basedOn w:val="Normal"/>
    <w:next w:val="Normal"/>
    <w:autoRedefine/>
    <w:semiHidden/>
    <w:rsid w:val="002F5868"/>
    <w:pPr>
      <w:ind w:left="1680" w:hanging="240"/>
    </w:pPr>
    <w:rPr>
      <w:sz w:val="18"/>
      <w:szCs w:val="18"/>
    </w:rPr>
  </w:style>
  <w:style w:type="paragraph" w:styleId="Index8">
    <w:name w:val="index 8"/>
    <w:basedOn w:val="Normal"/>
    <w:next w:val="Normal"/>
    <w:autoRedefine/>
    <w:semiHidden/>
    <w:rsid w:val="002F5868"/>
    <w:pPr>
      <w:ind w:left="1920" w:hanging="240"/>
    </w:pPr>
    <w:rPr>
      <w:sz w:val="18"/>
      <w:szCs w:val="18"/>
    </w:rPr>
  </w:style>
  <w:style w:type="paragraph" w:styleId="Index9">
    <w:name w:val="index 9"/>
    <w:basedOn w:val="Normal"/>
    <w:next w:val="Normal"/>
    <w:autoRedefine/>
    <w:semiHidden/>
    <w:rsid w:val="002F5868"/>
    <w:pPr>
      <w:ind w:left="2160" w:hanging="240"/>
    </w:pPr>
    <w:rPr>
      <w:sz w:val="18"/>
      <w:szCs w:val="18"/>
    </w:rPr>
  </w:style>
  <w:style w:type="paragraph" w:styleId="IndexHeading">
    <w:name w:val="index heading"/>
    <w:basedOn w:val="Normal"/>
    <w:next w:val="Index1"/>
    <w:semiHidden/>
    <w:rsid w:val="002F5868"/>
    <w:pPr>
      <w:spacing w:before="240" w:after="120"/>
      <w:jc w:val="center"/>
    </w:pPr>
    <w:rPr>
      <w:b/>
      <w:bCs/>
      <w:sz w:val="26"/>
      <w:szCs w:val="26"/>
    </w:rPr>
  </w:style>
  <w:style w:type="paragraph" w:styleId="BalloonText">
    <w:name w:val="Balloon Text"/>
    <w:basedOn w:val="Normal"/>
    <w:semiHidden/>
    <w:rsid w:val="002F5868"/>
    <w:rPr>
      <w:rFonts w:ascii="Tahoma" w:hAnsi="Tahoma" w:cs="Tahoma"/>
      <w:sz w:val="16"/>
      <w:szCs w:val="16"/>
    </w:rPr>
  </w:style>
  <w:style w:type="character" w:customStyle="1" w:styleId="FormulaChar">
    <w:name w:val="Formula Char"/>
    <w:rsid w:val="002F5868"/>
    <w:rPr>
      <w:b/>
    </w:rPr>
  </w:style>
  <w:style w:type="character" w:customStyle="1" w:styleId="BodyTextChar1">
    <w:name w:val="Body Text Char1"/>
    <w:rsid w:val="002F5868"/>
    <w:rPr>
      <w:iCs/>
      <w:sz w:val="24"/>
      <w:lang w:val="en-US" w:eastAsia="en-US" w:bidi="ar-SA"/>
    </w:rPr>
  </w:style>
  <w:style w:type="paragraph" w:styleId="CommentText">
    <w:name w:val="annotation text"/>
    <w:basedOn w:val="Normal"/>
    <w:semiHidden/>
    <w:rsid w:val="002F5868"/>
    <w:rPr>
      <w:sz w:val="20"/>
    </w:rPr>
  </w:style>
  <w:style w:type="character" w:customStyle="1" w:styleId="BodyTextChar">
    <w:name w:val="Body Text Char"/>
    <w:aliases w:val="Char Char Char Char Char Char Char,Char Char Char Char Char Char Charh2 Char,... Char, Char Char Char Char Char Char Char1, Char Char Char Char Char Char Char Char,Body Text Char1 Char Char Char"/>
    <w:rsid w:val="002F5868"/>
    <w:rPr>
      <w:iCs/>
      <w:sz w:val="24"/>
      <w:lang w:val="en-US" w:eastAsia="en-US" w:bidi="ar-SA"/>
    </w:rPr>
  </w:style>
  <w:style w:type="character" w:customStyle="1" w:styleId="ListSubChar">
    <w:name w:val="List Sub Char"/>
    <w:link w:val="ListSub"/>
    <w:rsid w:val="002F5868"/>
    <w:rPr>
      <w:sz w:val="24"/>
      <w:lang w:val="en-US" w:eastAsia="en-US" w:bidi="ar-SA"/>
    </w:rPr>
  </w:style>
  <w:style w:type="character" w:customStyle="1" w:styleId="CharCharCharChar">
    <w:name w:val="Char Char Char Char"/>
    <w:aliases w:val=" Char1 Char,Body Text Char Char Char1, Char Char Char Char Char Char1, Char1 Char Char Char1,Body Text Char2 Char Char Char,Body Text Char2 Char Char Char Char Char Char Char Char Char Char Char Char,Body Text Char2 Char Char1"/>
    <w:rsid w:val="002F5868"/>
    <w:rPr>
      <w:iCs/>
      <w:sz w:val="24"/>
      <w:lang w:val="en-US" w:eastAsia="en-US" w:bidi="ar-SA"/>
    </w:rPr>
  </w:style>
  <w:style w:type="character" w:customStyle="1" w:styleId="BodyTextNumberedCharChar">
    <w:name w:val="Body Text Numbered Char Char"/>
    <w:rsid w:val="002F5868"/>
    <w:rPr>
      <w:iCs w:val="0"/>
      <w:sz w:val="24"/>
      <w:lang w:val="en-US" w:eastAsia="en-US" w:bidi="ar-SA"/>
    </w:rPr>
  </w:style>
  <w:style w:type="paragraph" w:customStyle="1" w:styleId="NormalArial">
    <w:name w:val="Normal+Arial"/>
    <w:basedOn w:val="Normal"/>
    <w:link w:val="NormalArialChar"/>
    <w:rsid w:val="002F5868"/>
    <w:rPr>
      <w:rFonts w:ascii="Arial" w:hAnsi="Arial"/>
      <w:szCs w:val="24"/>
    </w:rPr>
  </w:style>
  <w:style w:type="character" w:customStyle="1" w:styleId="ListCharChar1">
    <w:name w:val="List Char Char1"/>
    <w:rsid w:val="002F5868"/>
    <w:rPr>
      <w:sz w:val="24"/>
      <w:lang w:val="en-US" w:eastAsia="en-US" w:bidi="ar-SA"/>
    </w:rPr>
  </w:style>
  <w:style w:type="character" w:customStyle="1" w:styleId="NormalArialChar">
    <w:name w:val="Normal+Arial Char"/>
    <w:link w:val="NormalArial"/>
    <w:rsid w:val="002F5868"/>
    <w:rPr>
      <w:rFonts w:ascii="Arial" w:hAnsi="Arial"/>
      <w:sz w:val="24"/>
      <w:szCs w:val="24"/>
      <w:lang w:val="en-US" w:eastAsia="en-US" w:bidi="ar-SA"/>
    </w:rPr>
  </w:style>
  <w:style w:type="character" w:customStyle="1" w:styleId="BulletIndentChar">
    <w:name w:val="Bullet Indent Char"/>
    <w:link w:val="BulletIndent"/>
    <w:rsid w:val="002F5868"/>
    <w:rPr>
      <w:sz w:val="24"/>
      <w:lang w:val="en-US" w:eastAsia="en-US" w:bidi="ar-SA"/>
    </w:rPr>
  </w:style>
  <w:style w:type="character" w:customStyle="1" w:styleId="CharChar">
    <w:name w:val="Char Char"/>
    <w:rsid w:val="002F5868"/>
    <w:rPr>
      <w:sz w:val="24"/>
      <w:lang w:val="en-US" w:eastAsia="en-US" w:bidi="ar-SA"/>
    </w:rPr>
  </w:style>
  <w:style w:type="paragraph" w:customStyle="1" w:styleId="TXUHeaderForm">
    <w:name w:val="TXUHeaderForm"/>
    <w:basedOn w:val="Normal"/>
    <w:next w:val="Normal"/>
    <w:uiPriority w:val="99"/>
    <w:rsid w:val="002F5868"/>
    <w:pPr>
      <w:tabs>
        <w:tab w:val="right" w:pos="9360"/>
      </w:tabs>
    </w:pPr>
    <w:rPr>
      <w:noProof/>
    </w:rPr>
  </w:style>
  <w:style w:type="paragraph" w:customStyle="1" w:styleId="Char3">
    <w:name w:val="Char3"/>
    <w:basedOn w:val="Normal"/>
    <w:rsid w:val="002F5868"/>
    <w:pPr>
      <w:spacing w:after="160" w:line="240" w:lineRule="exact"/>
    </w:pPr>
    <w:rPr>
      <w:rFonts w:ascii="Verdana" w:hAnsi="Verdana"/>
      <w:sz w:val="16"/>
    </w:rPr>
  </w:style>
  <w:style w:type="character" w:customStyle="1" w:styleId="H4Char">
    <w:name w:val="H4 Char"/>
    <w:link w:val="H4"/>
    <w:rsid w:val="002F5868"/>
    <w:rPr>
      <w:b/>
      <w:bCs/>
      <w:snapToGrid w:val="0"/>
      <w:sz w:val="24"/>
      <w:lang w:val="en-US" w:eastAsia="en-US" w:bidi="ar-SA"/>
    </w:rPr>
  </w:style>
  <w:style w:type="character" w:customStyle="1" w:styleId="H5Char">
    <w:name w:val="H5 Char"/>
    <w:link w:val="H5"/>
    <w:rsid w:val="002F5868"/>
    <w:rPr>
      <w:b/>
      <w:bCs/>
      <w:i/>
      <w:iCs/>
      <w:sz w:val="24"/>
      <w:szCs w:val="26"/>
      <w:lang w:val="en-US" w:eastAsia="en-US" w:bidi="ar-SA"/>
    </w:rPr>
  </w:style>
  <w:style w:type="paragraph" w:styleId="DocumentMap">
    <w:name w:val="Document Map"/>
    <w:basedOn w:val="Normal"/>
    <w:semiHidden/>
    <w:rsid w:val="002F5868"/>
    <w:pPr>
      <w:shd w:val="clear" w:color="auto" w:fill="000080"/>
    </w:pPr>
    <w:rPr>
      <w:rFonts w:ascii="Tahoma" w:hAnsi="Tahoma" w:cs="Tahoma"/>
      <w:sz w:val="20"/>
    </w:rPr>
  </w:style>
  <w:style w:type="character" w:styleId="CommentReference">
    <w:name w:val="annotation reference"/>
    <w:semiHidden/>
    <w:rsid w:val="002F5868"/>
    <w:rPr>
      <w:sz w:val="16"/>
      <w:szCs w:val="16"/>
    </w:rPr>
  </w:style>
  <w:style w:type="paragraph" w:styleId="CommentSubject">
    <w:name w:val="annotation subject"/>
    <w:basedOn w:val="CommentText"/>
    <w:next w:val="CommentText"/>
    <w:semiHidden/>
    <w:rsid w:val="002F5868"/>
    <w:rPr>
      <w:b/>
      <w:bCs/>
    </w:rPr>
  </w:style>
  <w:style w:type="paragraph" w:styleId="Revision">
    <w:name w:val="Revision"/>
    <w:hidden/>
    <w:semiHidden/>
    <w:rsid w:val="002F5868"/>
    <w:rPr>
      <w:sz w:val="24"/>
    </w:rPr>
  </w:style>
  <w:style w:type="character" w:customStyle="1" w:styleId="HeaderChar">
    <w:name w:val="Header Char"/>
    <w:link w:val="Header"/>
    <w:rsid w:val="00A43CDA"/>
    <w:rPr>
      <w:smallCaps/>
    </w:rPr>
  </w:style>
  <w:style w:type="character" w:styleId="FollowedHyperlink">
    <w:name w:val="FollowedHyperlink"/>
    <w:rsid w:val="009C65F4"/>
    <w:rPr>
      <w:color w:val="800080"/>
      <w:u w:val="single"/>
    </w:rPr>
  </w:style>
  <w:style w:type="character" w:customStyle="1" w:styleId="BodyTextNumberedChar1">
    <w:name w:val="Body Text Numbered Char1"/>
    <w:rsid w:val="00983E12"/>
    <w:rPr>
      <w:iCs/>
      <w:sz w:val="24"/>
    </w:rPr>
  </w:style>
  <w:style w:type="character" w:customStyle="1" w:styleId="InstructionsChar">
    <w:name w:val="Instructions Char"/>
    <w:link w:val="Instructions"/>
    <w:rsid w:val="00834D02"/>
    <w:rPr>
      <w:b/>
      <w:i/>
      <w:iCs/>
      <w:sz w:val="24"/>
      <w:szCs w:val="24"/>
    </w:rPr>
  </w:style>
  <w:style w:type="character" w:customStyle="1" w:styleId="FormulaBoldChar">
    <w:name w:val="Formula Bold Char"/>
    <w:link w:val="FormulaBold"/>
    <w:rsid w:val="00D465F5"/>
    <w:rPr>
      <w:b/>
      <w:sz w:val="24"/>
      <w:lang w:val="x-none" w:eastAsia="x-none"/>
    </w:rPr>
  </w:style>
  <w:style w:type="character" w:customStyle="1" w:styleId="Heading4Char">
    <w:name w:val="Heading 4 Char"/>
    <w:aliases w:val="h4 Char"/>
    <w:link w:val="Heading4"/>
    <w:rsid w:val="005E554F"/>
    <w:rPr>
      <w:b/>
      <w:bCs/>
      <w:snapToGrid w:val="0"/>
      <w:sz w:val="24"/>
    </w:rPr>
  </w:style>
  <w:style w:type="character" w:customStyle="1" w:styleId="ListChar1">
    <w:name w:val="List Char1"/>
    <w:aliases w:val=" Char2 Char Char Char Char Char, Char2 Char Char1"/>
    <w:rsid w:val="005E554F"/>
    <w:rPr>
      <w:sz w:val="24"/>
      <w:lang w:val="en-US" w:eastAsia="en-US" w:bidi="ar-SA"/>
    </w:rPr>
  </w:style>
  <w:style w:type="character" w:customStyle="1" w:styleId="List2Char">
    <w:name w:val="List 2 Char"/>
    <w:aliases w:val=" Char2 Char1"/>
    <w:link w:val="List2"/>
    <w:rsid w:val="005E554F"/>
    <w:rPr>
      <w:sz w:val="24"/>
    </w:rPr>
  </w:style>
  <w:style w:type="character" w:customStyle="1" w:styleId="H2Char">
    <w:name w:val="H2 Char"/>
    <w:link w:val="H2"/>
    <w:rsid w:val="005E554F"/>
    <w:rPr>
      <w:b/>
      <w:sz w:val="24"/>
    </w:rPr>
  </w:style>
  <w:style w:type="character" w:customStyle="1" w:styleId="H6Char">
    <w:name w:val="H6 Char"/>
    <w:link w:val="H6"/>
    <w:rsid w:val="005E554F"/>
    <w:rPr>
      <w:b/>
      <w:bCs/>
      <w:sz w:val="24"/>
      <w:szCs w:val="22"/>
    </w:rPr>
  </w:style>
  <w:style w:type="character" w:customStyle="1" w:styleId="CharChar1">
    <w:name w:val="Char Char1"/>
    <w:rsid w:val="005E554F"/>
    <w:rPr>
      <w:b/>
      <w:bCs/>
      <w:i/>
      <w:iCs/>
      <w:sz w:val="24"/>
      <w:szCs w:val="26"/>
      <w:lang w:val="en-US" w:eastAsia="en-US" w:bidi="ar-SA"/>
    </w:rPr>
  </w:style>
  <w:style w:type="character" w:customStyle="1" w:styleId="VariableDefinitionChar">
    <w:name w:val="Variable Definition Char"/>
    <w:link w:val="VariableDefinition"/>
    <w:rsid w:val="005E554F"/>
    <w:rPr>
      <w:iCs/>
      <w:sz w:val="24"/>
    </w:rPr>
  </w:style>
  <w:style w:type="paragraph" w:customStyle="1" w:styleId="note">
    <w:name w:val="note"/>
    <w:basedOn w:val="Normal"/>
    <w:rsid w:val="005E554F"/>
    <w:rPr>
      <w:sz w:val="22"/>
    </w:rPr>
  </w:style>
  <w:style w:type="paragraph" w:customStyle="1" w:styleId="Default">
    <w:name w:val="Default"/>
    <w:rsid w:val="005E554F"/>
    <w:pPr>
      <w:autoSpaceDE w:val="0"/>
      <w:autoSpaceDN w:val="0"/>
      <w:adjustRightInd w:val="0"/>
    </w:pPr>
    <w:rPr>
      <w:rFonts w:ascii="Arial" w:hAnsi="Arial" w:cs="Arial"/>
      <w:color w:val="000000"/>
      <w:sz w:val="24"/>
      <w:szCs w:val="24"/>
    </w:rPr>
  </w:style>
  <w:style w:type="paragraph" w:styleId="BlockText">
    <w:name w:val="Block Text"/>
    <w:basedOn w:val="Normal"/>
    <w:rsid w:val="005E554F"/>
    <w:pPr>
      <w:spacing w:after="120"/>
      <w:ind w:left="1440" w:right="1440"/>
    </w:pPr>
  </w:style>
  <w:style w:type="paragraph" w:styleId="NormalWeb">
    <w:name w:val="Normal (Web)"/>
    <w:basedOn w:val="Normal"/>
    <w:rsid w:val="005E554F"/>
    <w:pPr>
      <w:spacing w:before="100" w:beforeAutospacing="1" w:after="100" w:afterAutospacing="1"/>
    </w:pPr>
    <w:rPr>
      <w:szCs w:val="24"/>
    </w:rPr>
  </w:style>
  <w:style w:type="paragraph" w:customStyle="1" w:styleId="List1">
    <w:name w:val="List1"/>
    <w:basedOn w:val="H4"/>
    <w:rsid w:val="005E554F"/>
    <w:pPr>
      <w:tabs>
        <w:tab w:val="clear" w:pos="1260"/>
      </w:tabs>
      <w:ind w:left="1440" w:hanging="720"/>
    </w:pPr>
    <w:rPr>
      <w:b w:val="0"/>
    </w:rPr>
  </w:style>
  <w:style w:type="paragraph" w:customStyle="1" w:styleId="Char">
    <w:name w:val="Char"/>
    <w:basedOn w:val="Normal"/>
    <w:rsid w:val="005E554F"/>
    <w:pPr>
      <w:spacing w:after="160" w:line="240" w:lineRule="exact"/>
    </w:pPr>
    <w:rPr>
      <w:rFonts w:ascii="Verdana" w:hAnsi="Verdana"/>
      <w:sz w:val="16"/>
    </w:rPr>
  </w:style>
  <w:style w:type="character" w:customStyle="1" w:styleId="DeltaViewInsertion">
    <w:name w:val="DeltaView Insertion"/>
    <w:rsid w:val="005E554F"/>
    <w:rPr>
      <w:color w:val="0000FF"/>
      <w:spacing w:val="0"/>
      <w:u w:val="double"/>
    </w:rPr>
  </w:style>
  <w:style w:type="character" w:customStyle="1" w:styleId="DeltaViewMoveDestination">
    <w:name w:val="DeltaView Move Destination"/>
    <w:rsid w:val="005E554F"/>
    <w:rPr>
      <w:color w:val="00C000"/>
      <w:spacing w:val="0"/>
      <w:u w:val="double"/>
    </w:rPr>
  </w:style>
  <w:style w:type="character" w:customStyle="1" w:styleId="BulletChar">
    <w:name w:val="Bullet Char"/>
    <w:link w:val="Bullet"/>
    <w:rsid w:val="005E554F"/>
    <w:rPr>
      <w:sz w:val="24"/>
    </w:rPr>
  </w:style>
  <w:style w:type="paragraph" w:customStyle="1" w:styleId="Bullet15">
    <w:name w:val="Bullet (1.5)"/>
    <w:basedOn w:val="Normal"/>
    <w:rsid w:val="005E554F"/>
    <w:pPr>
      <w:tabs>
        <w:tab w:val="num" w:pos="2520"/>
      </w:tabs>
      <w:spacing w:after="120"/>
      <w:ind w:left="2520" w:hanging="720"/>
    </w:pPr>
  </w:style>
  <w:style w:type="paragraph" w:customStyle="1" w:styleId="BulletCharChar">
    <w:name w:val="Bullet Char Char"/>
    <w:basedOn w:val="Normal"/>
    <w:link w:val="BulletCharCharChar"/>
    <w:rsid w:val="005E554F"/>
    <w:pPr>
      <w:tabs>
        <w:tab w:val="num" w:pos="450"/>
      </w:tabs>
      <w:spacing w:after="180"/>
      <w:ind w:left="450" w:hanging="360"/>
    </w:pPr>
    <w:rPr>
      <w:lang w:val="x-none" w:eastAsia="x-none"/>
    </w:rPr>
  </w:style>
  <w:style w:type="character" w:customStyle="1" w:styleId="BulletCharCharChar">
    <w:name w:val="Bullet Char Char Char"/>
    <w:link w:val="BulletCharChar"/>
    <w:rsid w:val="005E554F"/>
    <w:rPr>
      <w:sz w:val="24"/>
    </w:rPr>
  </w:style>
  <w:style w:type="character" w:customStyle="1" w:styleId="Char2CharCharCharCharChar">
    <w:name w:val="Char2 Char Char Char Char Char"/>
    <w:aliases w:val=" Char2 Char Char Char"/>
    <w:rsid w:val="005E554F"/>
    <w:rPr>
      <w:sz w:val="24"/>
      <w:lang w:val="en-US" w:eastAsia="en-US" w:bidi="ar-SA"/>
    </w:rPr>
  </w:style>
  <w:style w:type="character" w:customStyle="1" w:styleId="BodyTextIndentChar">
    <w:name w:val="Body Text Indent Char"/>
    <w:rsid w:val="005E554F"/>
    <w:rPr>
      <w:iCs/>
      <w:sz w:val="24"/>
      <w:lang w:val="en-US" w:eastAsia="en-US" w:bidi="ar-SA"/>
    </w:rPr>
  </w:style>
  <w:style w:type="paragraph" w:styleId="BodyText3">
    <w:name w:val="Body Text 3"/>
    <w:basedOn w:val="Normal"/>
    <w:link w:val="BodyText3Char"/>
    <w:rsid w:val="005E554F"/>
    <w:pPr>
      <w:spacing w:after="120"/>
    </w:pPr>
    <w:rPr>
      <w:sz w:val="16"/>
      <w:szCs w:val="16"/>
      <w:lang w:val="x-none" w:eastAsia="x-none"/>
    </w:rPr>
  </w:style>
  <w:style w:type="character" w:customStyle="1" w:styleId="BodyText3Char">
    <w:name w:val="Body Text 3 Char"/>
    <w:link w:val="BodyText3"/>
    <w:rsid w:val="005E554F"/>
    <w:rPr>
      <w:sz w:val="16"/>
      <w:szCs w:val="16"/>
    </w:rPr>
  </w:style>
  <w:style w:type="paragraph" w:styleId="BodyTextFirstIndent">
    <w:name w:val="Body Text First Indent"/>
    <w:basedOn w:val="BodyText"/>
    <w:link w:val="BodyTextFirstIndentChar"/>
    <w:rsid w:val="005E554F"/>
    <w:pPr>
      <w:spacing w:after="120"/>
      <w:ind w:firstLine="210"/>
    </w:pPr>
  </w:style>
  <w:style w:type="character" w:customStyle="1" w:styleId="BodyTextFirstIndentChar">
    <w:name w:val="Body Text First Indent Char"/>
    <w:link w:val="BodyTextFirstIndent"/>
    <w:rsid w:val="005E554F"/>
    <w:rPr>
      <w:iCs/>
      <w:sz w:val="24"/>
      <w:lang w:val="en-US" w:eastAsia="en-US" w:bidi="ar-SA"/>
    </w:rPr>
  </w:style>
  <w:style w:type="paragraph" w:styleId="BodyTextFirstIndent2">
    <w:name w:val="Body Text First Indent 2"/>
    <w:basedOn w:val="BodyTextIndent"/>
    <w:link w:val="BodyTextFirstIndent2Char"/>
    <w:rsid w:val="005E554F"/>
    <w:pPr>
      <w:spacing w:after="120"/>
      <w:ind w:left="360" w:firstLine="210"/>
    </w:pPr>
  </w:style>
  <w:style w:type="character" w:customStyle="1" w:styleId="BodyTextIndentChar1">
    <w:name w:val="Body Text Indent Char1"/>
    <w:link w:val="BodyTextIndent"/>
    <w:rsid w:val="005E554F"/>
    <w:rPr>
      <w:iCs/>
      <w:sz w:val="24"/>
    </w:rPr>
  </w:style>
  <w:style w:type="character" w:customStyle="1" w:styleId="BodyTextFirstIndent2Char">
    <w:name w:val="Body Text First Indent 2 Char"/>
    <w:link w:val="BodyTextFirstIndent2"/>
    <w:rsid w:val="005E554F"/>
    <w:rPr>
      <w:iCs/>
      <w:sz w:val="24"/>
    </w:rPr>
  </w:style>
  <w:style w:type="paragraph" w:styleId="BodyTextIndent2">
    <w:name w:val="Body Text Indent 2"/>
    <w:basedOn w:val="Normal"/>
    <w:link w:val="BodyTextIndent2Char"/>
    <w:rsid w:val="005E554F"/>
    <w:pPr>
      <w:spacing w:after="120" w:line="480" w:lineRule="auto"/>
      <w:ind w:left="360"/>
    </w:pPr>
    <w:rPr>
      <w:lang w:val="x-none" w:eastAsia="x-none"/>
    </w:rPr>
  </w:style>
  <w:style w:type="character" w:customStyle="1" w:styleId="BodyTextIndent2Char">
    <w:name w:val="Body Text Indent 2 Char"/>
    <w:link w:val="BodyTextIndent2"/>
    <w:rsid w:val="005E554F"/>
    <w:rPr>
      <w:sz w:val="24"/>
    </w:rPr>
  </w:style>
  <w:style w:type="paragraph" w:styleId="BodyTextIndent3">
    <w:name w:val="Body Text Indent 3"/>
    <w:basedOn w:val="Normal"/>
    <w:link w:val="BodyTextIndent3Char"/>
    <w:rsid w:val="005E554F"/>
    <w:pPr>
      <w:spacing w:after="120"/>
      <w:ind w:left="360"/>
    </w:pPr>
    <w:rPr>
      <w:sz w:val="16"/>
      <w:szCs w:val="16"/>
      <w:lang w:val="x-none" w:eastAsia="x-none"/>
    </w:rPr>
  </w:style>
  <w:style w:type="character" w:customStyle="1" w:styleId="BodyTextIndent3Char">
    <w:name w:val="Body Text Indent 3 Char"/>
    <w:link w:val="BodyTextIndent3"/>
    <w:rsid w:val="005E554F"/>
    <w:rPr>
      <w:sz w:val="16"/>
      <w:szCs w:val="16"/>
    </w:rPr>
  </w:style>
  <w:style w:type="paragraph" w:styleId="Caption">
    <w:name w:val="caption"/>
    <w:basedOn w:val="Normal"/>
    <w:next w:val="Normal"/>
    <w:qFormat/>
    <w:rsid w:val="005E554F"/>
    <w:rPr>
      <w:b/>
      <w:bCs/>
      <w:sz w:val="20"/>
    </w:rPr>
  </w:style>
  <w:style w:type="paragraph" w:styleId="Closing">
    <w:name w:val="Closing"/>
    <w:basedOn w:val="Normal"/>
    <w:link w:val="ClosingChar"/>
    <w:rsid w:val="005E554F"/>
    <w:pPr>
      <w:ind w:left="4320"/>
    </w:pPr>
    <w:rPr>
      <w:lang w:val="x-none" w:eastAsia="x-none"/>
    </w:rPr>
  </w:style>
  <w:style w:type="character" w:customStyle="1" w:styleId="ClosingChar">
    <w:name w:val="Closing Char"/>
    <w:link w:val="Closing"/>
    <w:rsid w:val="005E554F"/>
    <w:rPr>
      <w:sz w:val="24"/>
    </w:rPr>
  </w:style>
  <w:style w:type="paragraph" w:styleId="Date">
    <w:name w:val="Date"/>
    <w:basedOn w:val="Normal"/>
    <w:next w:val="Normal"/>
    <w:link w:val="DateChar"/>
    <w:rsid w:val="005E554F"/>
    <w:rPr>
      <w:lang w:val="x-none" w:eastAsia="x-none"/>
    </w:rPr>
  </w:style>
  <w:style w:type="character" w:customStyle="1" w:styleId="DateChar">
    <w:name w:val="Date Char"/>
    <w:link w:val="Date"/>
    <w:rsid w:val="005E554F"/>
    <w:rPr>
      <w:sz w:val="24"/>
    </w:rPr>
  </w:style>
  <w:style w:type="paragraph" w:styleId="E-mailSignature">
    <w:name w:val="E-mail Signature"/>
    <w:basedOn w:val="Normal"/>
    <w:link w:val="E-mailSignatureChar"/>
    <w:rsid w:val="005E554F"/>
    <w:rPr>
      <w:lang w:val="x-none" w:eastAsia="x-none"/>
    </w:rPr>
  </w:style>
  <w:style w:type="character" w:customStyle="1" w:styleId="E-mailSignatureChar">
    <w:name w:val="E-mail Signature Char"/>
    <w:link w:val="E-mailSignature"/>
    <w:rsid w:val="005E554F"/>
    <w:rPr>
      <w:sz w:val="24"/>
    </w:rPr>
  </w:style>
  <w:style w:type="paragraph" w:styleId="EndnoteText">
    <w:name w:val="endnote text"/>
    <w:basedOn w:val="Normal"/>
    <w:link w:val="EndnoteTextChar"/>
    <w:rsid w:val="005E554F"/>
    <w:rPr>
      <w:sz w:val="20"/>
    </w:rPr>
  </w:style>
  <w:style w:type="character" w:customStyle="1" w:styleId="EndnoteTextChar">
    <w:name w:val="Endnote Text Char"/>
    <w:basedOn w:val="DefaultParagraphFont"/>
    <w:link w:val="EndnoteText"/>
    <w:rsid w:val="005E554F"/>
  </w:style>
  <w:style w:type="paragraph" w:styleId="EnvelopeAddress">
    <w:name w:val="envelope address"/>
    <w:basedOn w:val="Normal"/>
    <w:rsid w:val="005E554F"/>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5E554F"/>
    <w:rPr>
      <w:rFonts w:ascii="Arial" w:hAnsi="Arial" w:cs="Arial"/>
      <w:sz w:val="20"/>
    </w:rPr>
  </w:style>
  <w:style w:type="paragraph" w:styleId="HTMLAddress">
    <w:name w:val="HTML Address"/>
    <w:basedOn w:val="Normal"/>
    <w:link w:val="HTMLAddressChar"/>
    <w:rsid w:val="005E554F"/>
    <w:rPr>
      <w:i/>
      <w:iCs/>
      <w:lang w:val="x-none" w:eastAsia="x-none"/>
    </w:rPr>
  </w:style>
  <w:style w:type="character" w:customStyle="1" w:styleId="HTMLAddressChar">
    <w:name w:val="HTML Address Char"/>
    <w:link w:val="HTMLAddress"/>
    <w:rsid w:val="005E554F"/>
    <w:rPr>
      <w:i/>
      <w:iCs/>
      <w:sz w:val="24"/>
    </w:rPr>
  </w:style>
  <w:style w:type="paragraph" w:styleId="HTMLPreformatted">
    <w:name w:val="HTML Preformatted"/>
    <w:basedOn w:val="Normal"/>
    <w:link w:val="HTMLPreformattedChar"/>
    <w:rsid w:val="005E554F"/>
    <w:rPr>
      <w:rFonts w:ascii="Courier New" w:hAnsi="Courier New"/>
      <w:sz w:val="20"/>
      <w:lang w:val="x-none" w:eastAsia="x-none"/>
    </w:rPr>
  </w:style>
  <w:style w:type="character" w:customStyle="1" w:styleId="HTMLPreformattedChar">
    <w:name w:val="HTML Preformatted Char"/>
    <w:link w:val="HTMLPreformatted"/>
    <w:rsid w:val="005E554F"/>
    <w:rPr>
      <w:rFonts w:ascii="Courier New" w:hAnsi="Courier New" w:cs="Courier New"/>
    </w:rPr>
  </w:style>
  <w:style w:type="paragraph" w:styleId="List4">
    <w:name w:val="List 4"/>
    <w:basedOn w:val="Normal"/>
    <w:rsid w:val="005E554F"/>
    <w:pPr>
      <w:ind w:left="1440" w:hanging="360"/>
    </w:pPr>
  </w:style>
  <w:style w:type="paragraph" w:styleId="List5">
    <w:name w:val="List 5"/>
    <w:basedOn w:val="Normal"/>
    <w:rsid w:val="005E554F"/>
    <w:pPr>
      <w:ind w:left="1800" w:hanging="360"/>
    </w:pPr>
  </w:style>
  <w:style w:type="paragraph" w:styleId="ListBullet">
    <w:name w:val="List Bullet"/>
    <w:basedOn w:val="Normal"/>
    <w:rsid w:val="005E554F"/>
    <w:pPr>
      <w:numPr>
        <w:numId w:val="12"/>
      </w:numPr>
    </w:pPr>
  </w:style>
  <w:style w:type="paragraph" w:styleId="ListBullet2">
    <w:name w:val="List Bullet 2"/>
    <w:basedOn w:val="Normal"/>
    <w:rsid w:val="005E554F"/>
    <w:pPr>
      <w:numPr>
        <w:numId w:val="13"/>
      </w:numPr>
    </w:pPr>
  </w:style>
  <w:style w:type="paragraph" w:styleId="ListBullet3">
    <w:name w:val="List Bullet 3"/>
    <w:basedOn w:val="Normal"/>
    <w:rsid w:val="005E554F"/>
    <w:pPr>
      <w:numPr>
        <w:numId w:val="14"/>
      </w:numPr>
    </w:pPr>
  </w:style>
  <w:style w:type="paragraph" w:styleId="ListBullet4">
    <w:name w:val="List Bullet 4"/>
    <w:basedOn w:val="Normal"/>
    <w:rsid w:val="005E554F"/>
    <w:pPr>
      <w:numPr>
        <w:numId w:val="15"/>
      </w:numPr>
    </w:pPr>
  </w:style>
  <w:style w:type="paragraph" w:styleId="ListBullet5">
    <w:name w:val="List Bullet 5"/>
    <w:basedOn w:val="Normal"/>
    <w:rsid w:val="005E554F"/>
    <w:pPr>
      <w:numPr>
        <w:numId w:val="16"/>
      </w:numPr>
    </w:pPr>
  </w:style>
  <w:style w:type="paragraph" w:styleId="ListContinue">
    <w:name w:val="List Continue"/>
    <w:basedOn w:val="Normal"/>
    <w:rsid w:val="005E554F"/>
    <w:pPr>
      <w:spacing w:after="120"/>
      <w:ind w:left="360"/>
    </w:pPr>
  </w:style>
  <w:style w:type="paragraph" w:styleId="ListContinue2">
    <w:name w:val="List Continue 2"/>
    <w:basedOn w:val="Normal"/>
    <w:rsid w:val="005E554F"/>
    <w:pPr>
      <w:spacing w:after="120"/>
      <w:ind w:left="720"/>
    </w:pPr>
  </w:style>
  <w:style w:type="paragraph" w:styleId="ListContinue3">
    <w:name w:val="List Continue 3"/>
    <w:basedOn w:val="Normal"/>
    <w:rsid w:val="005E554F"/>
    <w:pPr>
      <w:spacing w:after="120"/>
      <w:ind w:left="1080"/>
    </w:pPr>
  </w:style>
  <w:style w:type="paragraph" w:styleId="ListContinue4">
    <w:name w:val="List Continue 4"/>
    <w:basedOn w:val="Normal"/>
    <w:rsid w:val="005E554F"/>
    <w:pPr>
      <w:spacing w:after="120"/>
      <w:ind w:left="1440"/>
    </w:pPr>
  </w:style>
  <w:style w:type="paragraph" w:styleId="ListContinue5">
    <w:name w:val="List Continue 5"/>
    <w:basedOn w:val="Normal"/>
    <w:rsid w:val="005E554F"/>
    <w:pPr>
      <w:spacing w:after="120"/>
      <w:ind w:left="1800"/>
    </w:pPr>
  </w:style>
  <w:style w:type="paragraph" w:styleId="ListNumber">
    <w:name w:val="List Number"/>
    <w:basedOn w:val="Normal"/>
    <w:rsid w:val="005E554F"/>
    <w:pPr>
      <w:numPr>
        <w:numId w:val="17"/>
      </w:numPr>
    </w:pPr>
  </w:style>
  <w:style w:type="paragraph" w:styleId="ListNumber2">
    <w:name w:val="List Number 2"/>
    <w:basedOn w:val="Normal"/>
    <w:rsid w:val="005E554F"/>
    <w:pPr>
      <w:numPr>
        <w:numId w:val="18"/>
      </w:numPr>
    </w:pPr>
  </w:style>
  <w:style w:type="paragraph" w:styleId="ListNumber3">
    <w:name w:val="List Number 3"/>
    <w:basedOn w:val="Normal"/>
    <w:rsid w:val="005E554F"/>
    <w:pPr>
      <w:numPr>
        <w:numId w:val="19"/>
      </w:numPr>
    </w:pPr>
  </w:style>
  <w:style w:type="paragraph" w:styleId="ListNumber4">
    <w:name w:val="List Number 4"/>
    <w:basedOn w:val="Normal"/>
    <w:rsid w:val="005E554F"/>
    <w:pPr>
      <w:numPr>
        <w:numId w:val="20"/>
      </w:numPr>
    </w:pPr>
  </w:style>
  <w:style w:type="paragraph" w:styleId="ListNumber5">
    <w:name w:val="List Number 5"/>
    <w:basedOn w:val="Normal"/>
    <w:rsid w:val="005E554F"/>
    <w:pPr>
      <w:numPr>
        <w:numId w:val="21"/>
      </w:numPr>
    </w:pPr>
  </w:style>
  <w:style w:type="paragraph" w:styleId="MacroText">
    <w:name w:val="macro"/>
    <w:link w:val="MacroTextChar"/>
    <w:rsid w:val="005E55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E554F"/>
    <w:rPr>
      <w:rFonts w:ascii="Courier New" w:hAnsi="Courier New" w:cs="Courier New"/>
      <w:lang w:val="en-US" w:eastAsia="en-US" w:bidi="ar-SA"/>
    </w:rPr>
  </w:style>
  <w:style w:type="paragraph" w:styleId="MessageHeader">
    <w:name w:val="Message Header"/>
    <w:basedOn w:val="Normal"/>
    <w:link w:val="MessageHeaderChar"/>
    <w:rsid w:val="005E554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lang w:val="x-none" w:eastAsia="x-none"/>
    </w:rPr>
  </w:style>
  <w:style w:type="character" w:customStyle="1" w:styleId="MessageHeaderChar">
    <w:name w:val="Message Header Char"/>
    <w:link w:val="MessageHeader"/>
    <w:rsid w:val="005E554F"/>
    <w:rPr>
      <w:rFonts w:ascii="Arial" w:hAnsi="Arial" w:cs="Arial"/>
      <w:sz w:val="24"/>
      <w:szCs w:val="24"/>
      <w:shd w:val="pct20" w:color="auto" w:fill="auto"/>
    </w:rPr>
  </w:style>
  <w:style w:type="paragraph" w:styleId="NormalIndent">
    <w:name w:val="Normal Indent"/>
    <w:basedOn w:val="Normal"/>
    <w:rsid w:val="005E554F"/>
    <w:pPr>
      <w:ind w:left="720"/>
    </w:pPr>
  </w:style>
  <w:style w:type="paragraph" w:styleId="NoteHeading">
    <w:name w:val="Note Heading"/>
    <w:basedOn w:val="Normal"/>
    <w:next w:val="Normal"/>
    <w:link w:val="NoteHeadingChar"/>
    <w:rsid w:val="005E554F"/>
    <w:rPr>
      <w:lang w:val="x-none" w:eastAsia="x-none"/>
    </w:rPr>
  </w:style>
  <w:style w:type="character" w:customStyle="1" w:styleId="NoteHeadingChar">
    <w:name w:val="Note Heading Char"/>
    <w:link w:val="NoteHeading"/>
    <w:rsid w:val="005E554F"/>
    <w:rPr>
      <w:sz w:val="24"/>
    </w:rPr>
  </w:style>
  <w:style w:type="paragraph" w:styleId="PlainText">
    <w:name w:val="Plain Text"/>
    <w:basedOn w:val="Normal"/>
    <w:link w:val="PlainTextChar"/>
    <w:rsid w:val="005E554F"/>
    <w:rPr>
      <w:rFonts w:ascii="Courier New" w:hAnsi="Courier New"/>
      <w:sz w:val="20"/>
      <w:lang w:val="x-none" w:eastAsia="x-none"/>
    </w:rPr>
  </w:style>
  <w:style w:type="character" w:customStyle="1" w:styleId="PlainTextChar">
    <w:name w:val="Plain Text Char"/>
    <w:link w:val="PlainText"/>
    <w:rsid w:val="005E554F"/>
    <w:rPr>
      <w:rFonts w:ascii="Courier New" w:hAnsi="Courier New" w:cs="Courier New"/>
    </w:rPr>
  </w:style>
  <w:style w:type="paragraph" w:styleId="Salutation">
    <w:name w:val="Salutation"/>
    <w:basedOn w:val="Normal"/>
    <w:next w:val="Normal"/>
    <w:link w:val="SalutationChar"/>
    <w:rsid w:val="005E554F"/>
    <w:rPr>
      <w:lang w:val="x-none" w:eastAsia="x-none"/>
    </w:rPr>
  </w:style>
  <w:style w:type="character" w:customStyle="1" w:styleId="SalutationChar">
    <w:name w:val="Salutation Char"/>
    <w:link w:val="Salutation"/>
    <w:rsid w:val="005E554F"/>
    <w:rPr>
      <w:sz w:val="24"/>
    </w:rPr>
  </w:style>
  <w:style w:type="paragraph" w:styleId="Signature">
    <w:name w:val="Signature"/>
    <w:basedOn w:val="Normal"/>
    <w:link w:val="SignatureChar"/>
    <w:rsid w:val="005E554F"/>
    <w:pPr>
      <w:ind w:left="4320"/>
    </w:pPr>
    <w:rPr>
      <w:lang w:val="x-none" w:eastAsia="x-none"/>
    </w:rPr>
  </w:style>
  <w:style w:type="character" w:customStyle="1" w:styleId="SignatureChar">
    <w:name w:val="Signature Char"/>
    <w:link w:val="Signature"/>
    <w:rsid w:val="005E554F"/>
    <w:rPr>
      <w:sz w:val="24"/>
    </w:rPr>
  </w:style>
  <w:style w:type="paragraph" w:styleId="Subtitle">
    <w:name w:val="Subtitle"/>
    <w:basedOn w:val="Normal"/>
    <w:link w:val="SubtitleChar"/>
    <w:qFormat/>
    <w:rsid w:val="005E554F"/>
    <w:pPr>
      <w:spacing w:after="60"/>
      <w:jc w:val="center"/>
      <w:outlineLvl w:val="1"/>
    </w:pPr>
    <w:rPr>
      <w:rFonts w:ascii="Arial" w:hAnsi="Arial"/>
      <w:szCs w:val="24"/>
      <w:lang w:val="x-none" w:eastAsia="x-none"/>
    </w:rPr>
  </w:style>
  <w:style w:type="character" w:customStyle="1" w:styleId="SubtitleChar">
    <w:name w:val="Subtitle Char"/>
    <w:link w:val="Subtitle"/>
    <w:rsid w:val="005E554F"/>
    <w:rPr>
      <w:rFonts w:ascii="Arial" w:hAnsi="Arial" w:cs="Arial"/>
      <w:sz w:val="24"/>
      <w:szCs w:val="24"/>
    </w:rPr>
  </w:style>
  <w:style w:type="paragraph" w:styleId="TableofAuthorities">
    <w:name w:val="table of authorities"/>
    <w:basedOn w:val="Normal"/>
    <w:next w:val="Normal"/>
    <w:rsid w:val="005E554F"/>
    <w:pPr>
      <w:ind w:left="240" w:hanging="240"/>
    </w:pPr>
  </w:style>
  <w:style w:type="paragraph" w:styleId="TableofFigures">
    <w:name w:val="table of figures"/>
    <w:basedOn w:val="Normal"/>
    <w:next w:val="Normal"/>
    <w:rsid w:val="005E554F"/>
  </w:style>
  <w:style w:type="paragraph" w:styleId="Title">
    <w:name w:val="Title"/>
    <w:basedOn w:val="Normal"/>
    <w:link w:val="TitleChar"/>
    <w:qFormat/>
    <w:rsid w:val="005E554F"/>
    <w:pPr>
      <w:spacing w:before="240" w:after="60"/>
      <w:jc w:val="center"/>
      <w:outlineLvl w:val="0"/>
    </w:pPr>
    <w:rPr>
      <w:rFonts w:ascii="Arial" w:hAnsi="Arial"/>
      <w:b/>
      <w:bCs/>
      <w:kern w:val="28"/>
      <w:sz w:val="32"/>
      <w:szCs w:val="32"/>
      <w:lang w:val="x-none" w:eastAsia="x-none"/>
    </w:rPr>
  </w:style>
  <w:style w:type="character" w:customStyle="1" w:styleId="TitleChar">
    <w:name w:val="Title Char"/>
    <w:link w:val="Title"/>
    <w:rsid w:val="005E554F"/>
    <w:rPr>
      <w:rFonts w:ascii="Arial" w:hAnsi="Arial" w:cs="Arial"/>
      <w:b/>
      <w:bCs/>
      <w:kern w:val="28"/>
      <w:sz w:val="32"/>
      <w:szCs w:val="32"/>
    </w:rPr>
  </w:style>
  <w:style w:type="paragraph" w:styleId="TOAHeading">
    <w:name w:val="toa heading"/>
    <w:basedOn w:val="Normal"/>
    <w:next w:val="Normal"/>
    <w:rsid w:val="005E554F"/>
    <w:pPr>
      <w:spacing w:before="120"/>
    </w:pPr>
    <w:rPr>
      <w:rFonts w:ascii="Arial" w:hAnsi="Arial" w:cs="Arial"/>
      <w:b/>
      <w:bCs/>
      <w:szCs w:val="24"/>
    </w:rPr>
  </w:style>
  <w:style w:type="paragraph" w:customStyle="1" w:styleId="TXUFooterPage">
    <w:name w:val="TXUFooterPage"/>
    <w:basedOn w:val="Normal"/>
    <w:next w:val="Normal"/>
    <w:rsid w:val="005E554F"/>
    <w:pPr>
      <w:pBdr>
        <w:top w:val="single" w:sz="4" w:space="1" w:color="auto"/>
      </w:pBdr>
      <w:tabs>
        <w:tab w:val="center" w:pos="4536"/>
        <w:tab w:val="right" w:pos="9360"/>
      </w:tabs>
    </w:pPr>
    <w:rPr>
      <w:sz w:val="20"/>
    </w:rPr>
  </w:style>
  <w:style w:type="paragraph" w:customStyle="1" w:styleId="Char11">
    <w:name w:val="Char11"/>
    <w:basedOn w:val="Normal"/>
    <w:rsid w:val="005E554F"/>
    <w:pPr>
      <w:spacing w:after="160" w:line="240" w:lineRule="exact"/>
    </w:pPr>
    <w:rPr>
      <w:rFonts w:ascii="Verdana" w:hAnsi="Verdana"/>
      <w:sz w:val="16"/>
    </w:rPr>
  </w:style>
  <w:style w:type="paragraph" w:customStyle="1" w:styleId="Char4">
    <w:name w:val="Char4"/>
    <w:basedOn w:val="Normal"/>
    <w:rsid w:val="005E554F"/>
    <w:pPr>
      <w:spacing w:after="160" w:line="240" w:lineRule="exact"/>
    </w:pPr>
    <w:rPr>
      <w:rFonts w:ascii="Verdana" w:hAnsi="Verdana"/>
      <w:sz w:val="16"/>
    </w:rPr>
  </w:style>
  <w:style w:type="paragraph" w:customStyle="1" w:styleId="TXUFooter">
    <w:name w:val="TXUFooter"/>
    <w:basedOn w:val="Normal"/>
    <w:rsid w:val="005E554F"/>
    <w:pPr>
      <w:pBdr>
        <w:top w:val="single" w:sz="4" w:space="1" w:color="auto"/>
      </w:pBdr>
      <w:tabs>
        <w:tab w:val="center" w:pos="4536"/>
        <w:tab w:val="right" w:pos="9360"/>
      </w:tabs>
    </w:pPr>
    <w:rPr>
      <w:sz w:val="16"/>
    </w:rPr>
  </w:style>
  <w:style w:type="character" w:customStyle="1" w:styleId="Heading6Char">
    <w:name w:val="Heading 6 Char"/>
    <w:aliases w:val="h6 Char"/>
    <w:link w:val="Heading6"/>
    <w:locked/>
    <w:rsid w:val="005E554F"/>
    <w:rPr>
      <w:b/>
      <w:bCs/>
      <w:sz w:val="24"/>
      <w:szCs w:val="22"/>
    </w:rPr>
  </w:style>
  <w:style w:type="paragraph" w:customStyle="1" w:styleId="TXUHeader">
    <w:name w:val="TXUHeader"/>
    <w:basedOn w:val="Normal"/>
    <w:rsid w:val="00975D78"/>
    <w:pPr>
      <w:tabs>
        <w:tab w:val="right" w:pos="9360"/>
      </w:tabs>
    </w:pPr>
    <w:rPr>
      <w:noProof/>
      <w:sz w:val="16"/>
    </w:rPr>
  </w:style>
  <w:style w:type="character" w:customStyle="1" w:styleId="Heading5Char">
    <w:name w:val="Heading 5 Char"/>
    <w:aliases w:val="h5 Char"/>
    <w:link w:val="Heading5"/>
    <w:rsid w:val="00E51290"/>
    <w:rPr>
      <w:b/>
      <w:bCs/>
      <w:i/>
      <w:iCs/>
      <w:sz w:val="24"/>
      <w:szCs w:val="26"/>
    </w:rPr>
  </w:style>
  <w:style w:type="paragraph" w:customStyle="1" w:styleId="tablebody0">
    <w:name w:val="tablebody"/>
    <w:basedOn w:val="Normal"/>
    <w:rsid w:val="004A7A0E"/>
    <w:pPr>
      <w:spacing w:after="60"/>
    </w:pPr>
    <w:rPr>
      <w:sz w:val="20"/>
    </w:rPr>
  </w:style>
  <w:style w:type="character" w:styleId="UnresolvedMention">
    <w:name w:val="Unresolved Mention"/>
    <w:basedOn w:val="DefaultParagraphFont"/>
    <w:uiPriority w:val="99"/>
    <w:semiHidden/>
    <w:unhideWhenUsed/>
    <w:rsid w:val="008F5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5992">
      <w:bodyDiv w:val="1"/>
      <w:marLeft w:val="0"/>
      <w:marRight w:val="0"/>
      <w:marTop w:val="0"/>
      <w:marBottom w:val="0"/>
      <w:divBdr>
        <w:top w:val="none" w:sz="0" w:space="0" w:color="auto"/>
        <w:left w:val="none" w:sz="0" w:space="0" w:color="auto"/>
        <w:bottom w:val="none" w:sz="0" w:space="0" w:color="auto"/>
        <w:right w:val="none" w:sz="0" w:space="0" w:color="auto"/>
      </w:divBdr>
    </w:div>
    <w:div w:id="636960974">
      <w:bodyDiv w:val="1"/>
      <w:marLeft w:val="0"/>
      <w:marRight w:val="0"/>
      <w:marTop w:val="0"/>
      <w:marBottom w:val="0"/>
      <w:divBdr>
        <w:top w:val="none" w:sz="0" w:space="0" w:color="auto"/>
        <w:left w:val="none" w:sz="0" w:space="0" w:color="auto"/>
        <w:bottom w:val="none" w:sz="0" w:space="0" w:color="auto"/>
        <w:right w:val="none" w:sz="0" w:space="0" w:color="auto"/>
      </w:divBdr>
    </w:div>
    <w:div w:id="664673393">
      <w:bodyDiv w:val="1"/>
      <w:marLeft w:val="0"/>
      <w:marRight w:val="0"/>
      <w:marTop w:val="0"/>
      <w:marBottom w:val="0"/>
      <w:divBdr>
        <w:top w:val="none" w:sz="0" w:space="0" w:color="auto"/>
        <w:left w:val="none" w:sz="0" w:space="0" w:color="auto"/>
        <w:bottom w:val="none" w:sz="0" w:space="0" w:color="auto"/>
        <w:right w:val="none" w:sz="0" w:space="0" w:color="auto"/>
      </w:divBdr>
    </w:div>
    <w:div w:id="864828143">
      <w:bodyDiv w:val="1"/>
      <w:marLeft w:val="0"/>
      <w:marRight w:val="0"/>
      <w:marTop w:val="0"/>
      <w:marBottom w:val="0"/>
      <w:divBdr>
        <w:top w:val="none" w:sz="0" w:space="0" w:color="auto"/>
        <w:left w:val="none" w:sz="0" w:space="0" w:color="auto"/>
        <w:bottom w:val="none" w:sz="0" w:space="0" w:color="auto"/>
        <w:right w:val="none" w:sz="0" w:space="0" w:color="auto"/>
      </w:divBdr>
    </w:div>
    <w:div w:id="980690072">
      <w:bodyDiv w:val="1"/>
      <w:marLeft w:val="0"/>
      <w:marRight w:val="0"/>
      <w:marTop w:val="0"/>
      <w:marBottom w:val="0"/>
      <w:divBdr>
        <w:top w:val="none" w:sz="0" w:space="0" w:color="auto"/>
        <w:left w:val="none" w:sz="0" w:space="0" w:color="auto"/>
        <w:bottom w:val="none" w:sz="0" w:space="0" w:color="auto"/>
        <w:right w:val="none" w:sz="0" w:space="0" w:color="auto"/>
      </w:divBdr>
    </w:div>
    <w:div w:id="987514768">
      <w:bodyDiv w:val="1"/>
      <w:marLeft w:val="0"/>
      <w:marRight w:val="0"/>
      <w:marTop w:val="0"/>
      <w:marBottom w:val="0"/>
      <w:divBdr>
        <w:top w:val="none" w:sz="0" w:space="0" w:color="auto"/>
        <w:left w:val="none" w:sz="0" w:space="0" w:color="auto"/>
        <w:bottom w:val="none" w:sz="0" w:space="0" w:color="auto"/>
        <w:right w:val="none" w:sz="0" w:space="0" w:color="auto"/>
      </w:divBdr>
    </w:div>
    <w:div w:id="1203639302">
      <w:bodyDiv w:val="1"/>
      <w:marLeft w:val="0"/>
      <w:marRight w:val="0"/>
      <w:marTop w:val="0"/>
      <w:marBottom w:val="0"/>
      <w:divBdr>
        <w:top w:val="none" w:sz="0" w:space="0" w:color="auto"/>
        <w:left w:val="none" w:sz="0" w:space="0" w:color="auto"/>
        <w:bottom w:val="none" w:sz="0" w:space="0" w:color="auto"/>
        <w:right w:val="none" w:sz="0" w:space="0" w:color="auto"/>
      </w:divBdr>
    </w:div>
    <w:div w:id="1338381841">
      <w:bodyDiv w:val="1"/>
      <w:marLeft w:val="0"/>
      <w:marRight w:val="0"/>
      <w:marTop w:val="0"/>
      <w:marBottom w:val="0"/>
      <w:divBdr>
        <w:top w:val="none" w:sz="0" w:space="0" w:color="auto"/>
        <w:left w:val="none" w:sz="0" w:space="0" w:color="auto"/>
        <w:bottom w:val="none" w:sz="0" w:space="0" w:color="auto"/>
        <w:right w:val="none" w:sz="0" w:space="0" w:color="auto"/>
      </w:divBdr>
    </w:div>
    <w:div w:id="1379475329">
      <w:bodyDiv w:val="1"/>
      <w:marLeft w:val="0"/>
      <w:marRight w:val="0"/>
      <w:marTop w:val="0"/>
      <w:marBottom w:val="0"/>
      <w:divBdr>
        <w:top w:val="none" w:sz="0" w:space="0" w:color="auto"/>
        <w:left w:val="none" w:sz="0" w:space="0" w:color="auto"/>
        <w:bottom w:val="none" w:sz="0" w:space="0" w:color="auto"/>
        <w:right w:val="none" w:sz="0" w:space="0" w:color="auto"/>
      </w:divBdr>
    </w:div>
    <w:div w:id="1412266716">
      <w:bodyDiv w:val="1"/>
      <w:marLeft w:val="0"/>
      <w:marRight w:val="0"/>
      <w:marTop w:val="0"/>
      <w:marBottom w:val="0"/>
      <w:divBdr>
        <w:top w:val="none" w:sz="0" w:space="0" w:color="auto"/>
        <w:left w:val="none" w:sz="0" w:space="0" w:color="auto"/>
        <w:bottom w:val="none" w:sz="0" w:space="0" w:color="auto"/>
        <w:right w:val="none" w:sz="0" w:space="0" w:color="auto"/>
      </w:divBdr>
    </w:div>
    <w:div w:id="1471939231">
      <w:bodyDiv w:val="1"/>
      <w:marLeft w:val="0"/>
      <w:marRight w:val="0"/>
      <w:marTop w:val="0"/>
      <w:marBottom w:val="0"/>
      <w:divBdr>
        <w:top w:val="none" w:sz="0" w:space="0" w:color="auto"/>
        <w:left w:val="none" w:sz="0" w:space="0" w:color="auto"/>
        <w:bottom w:val="none" w:sz="0" w:space="0" w:color="auto"/>
        <w:right w:val="none" w:sz="0" w:space="0" w:color="auto"/>
      </w:divBdr>
    </w:div>
    <w:div w:id="1650865610">
      <w:bodyDiv w:val="1"/>
      <w:marLeft w:val="0"/>
      <w:marRight w:val="0"/>
      <w:marTop w:val="0"/>
      <w:marBottom w:val="0"/>
      <w:divBdr>
        <w:top w:val="none" w:sz="0" w:space="0" w:color="auto"/>
        <w:left w:val="none" w:sz="0" w:space="0" w:color="auto"/>
        <w:bottom w:val="none" w:sz="0" w:space="0" w:color="auto"/>
        <w:right w:val="none" w:sz="0" w:space="0" w:color="auto"/>
      </w:divBdr>
    </w:div>
    <w:div w:id="1680086970">
      <w:bodyDiv w:val="1"/>
      <w:marLeft w:val="0"/>
      <w:marRight w:val="0"/>
      <w:marTop w:val="0"/>
      <w:marBottom w:val="0"/>
      <w:divBdr>
        <w:top w:val="none" w:sz="0" w:space="0" w:color="auto"/>
        <w:left w:val="none" w:sz="0" w:space="0" w:color="auto"/>
        <w:bottom w:val="none" w:sz="0" w:space="0" w:color="auto"/>
        <w:right w:val="none" w:sz="0" w:space="0" w:color="auto"/>
      </w:divBdr>
    </w:div>
    <w:div w:id="1809781796">
      <w:bodyDiv w:val="1"/>
      <w:marLeft w:val="0"/>
      <w:marRight w:val="0"/>
      <w:marTop w:val="0"/>
      <w:marBottom w:val="0"/>
      <w:divBdr>
        <w:top w:val="none" w:sz="0" w:space="0" w:color="auto"/>
        <w:left w:val="none" w:sz="0" w:space="0" w:color="auto"/>
        <w:bottom w:val="none" w:sz="0" w:space="0" w:color="auto"/>
        <w:right w:val="none" w:sz="0" w:space="0" w:color="auto"/>
      </w:divBdr>
    </w:div>
    <w:div w:id="1992176344">
      <w:bodyDiv w:val="1"/>
      <w:marLeft w:val="0"/>
      <w:marRight w:val="0"/>
      <w:marTop w:val="0"/>
      <w:marBottom w:val="0"/>
      <w:divBdr>
        <w:top w:val="none" w:sz="0" w:space="0" w:color="auto"/>
        <w:left w:val="none" w:sz="0" w:space="0" w:color="auto"/>
        <w:bottom w:val="none" w:sz="0" w:space="0" w:color="auto"/>
        <w:right w:val="none" w:sz="0" w:space="0" w:color="auto"/>
      </w:divBdr>
    </w:div>
    <w:div w:id="206263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F50BF-AF38-4143-915A-7995E459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4</TotalTime>
  <Pages>65</Pages>
  <Words>23161</Words>
  <Characters>130321</Characters>
  <Application>Microsoft Office Word</Application>
  <DocSecurity>0</DocSecurity>
  <Lines>1086</Lines>
  <Paragraphs>306</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153176</CharactersWithSpaces>
  <SharedDoc>false</SharedDoc>
  <HLinks>
    <vt:vector size="564" baseType="variant">
      <vt:variant>
        <vt:i4>1769530</vt:i4>
      </vt:variant>
      <vt:variant>
        <vt:i4>555</vt:i4>
      </vt:variant>
      <vt:variant>
        <vt:i4>0</vt:i4>
      </vt:variant>
      <vt:variant>
        <vt:i4>5</vt:i4>
      </vt:variant>
      <vt:variant>
        <vt:lpwstr/>
      </vt:variant>
      <vt:variant>
        <vt:lpwstr>_Toc109528014</vt:lpwstr>
      </vt:variant>
      <vt:variant>
        <vt:i4>1769530</vt:i4>
      </vt:variant>
      <vt:variant>
        <vt:i4>552</vt:i4>
      </vt:variant>
      <vt:variant>
        <vt:i4>0</vt:i4>
      </vt:variant>
      <vt:variant>
        <vt:i4>5</vt:i4>
      </vt:variant>
      <vt:variant>
        <vt:lpwstr/>
      </vt:variant>
      <vt:variant>
        <vt:lpwstr>_Toc109528011</vt:lpwstr>
      </vt:variant>
      <vt:variant>
        <vt:i4>1114175</vt:i4>
      </vt:variant>
      <vt:variant>
        <vt:i4>549</vt:i4>
      </vt:variant>
      <vt:variant>
        <vt:i4>0</vt:i4>
      </vt:variant>
      <vt:variant>
        <vt:i4>5</vt:i4>
      </vt:variant>
      <vt:variant>
        <vt:lpwstr/>
      </vt:variant>
      <vt:variant>
        <vt:lpwstr>_Toc109527549</vt:lpwstr>
      </vt:variant>
      <vt:variant>
        <vt:i4>2359304</vt:i4>
      </vt:variant>
      <vt:variant>
        <vt:i4>542</vt:i4>
      </vt:variant>
      <vt:variant>
        <vt:i4>0</vt:i4>
      </vt:variant>
      <vt:variant>
        <vt:i4>5</vt:i4>
      </vt:variant>
      <vt:variant>
        <vt:lpwstr/>
      </vt:variant>
      <vt:variant>
        <vt:lpwstr>_Toc9590864</vt:lpwstr>
      </vt:variant>
      <vt:variant>
        <vt:i4>2359304</vt:i4>
      </vt:variant>
      <vt:variant>
        <vt:i4>536</vt:i4>
      </vt:variant>
      <vt:variant>
        <vt:i4>0</vt:i4>
      </vt:variant>
      <vt:variant>
        <vt:i4>5</vt:i4>
      </vt:variant>
      <vt:variant>
        <vt:lpwstr/>
      </vt:variant>
      <vt:variant>
        <vt:lpwstr>_Toc9590863</vt:lpwstr>
      </vt:variant>
      <vt:variant>
        <vt:i4>2359304</vt:i4>
      </vt:variant>
      <vt:variant>
        <vt:i4>530</vt:i4>
      </vt:variant>
      <vt:variant>
        <vt:i4>0</vt:i4>
      </vt:variant>
      <vt:variant>
        <vt:i4>5</vt:i4>
      </vt:variant>
      <vt:variant>
        <vt:lpwstr/>
      </vt:variant>
      <vt:variant>
        <vt:lpwstr>_Toc9590862</vt:lpwstr>
      </vt:variant>
      <vt:variant>
        <vt:i4>2359304</vt:i4>
      </vt:variant>
      <vt:variant>
        <vt:i4>524</vt:i4>
      </vt:variant>
      <vt:variant>
        <vt:i4>0</vt:i4>
      </vt:variant>
      <vt:variant>
        <vt:i4>5</vt:i4>
      </vt:variant>
      <vt:variant>
        <vt:lpwstr/>
      </vt:variant>
      <vt:variant>
        <vt:lpwstr>_Toc9590861</vt:lpwstr>
      </vt:variant>
      <vt:variant>
        <vt:i4>2359304</vt:i4>
      </vt:variant>
      <vt:variant>
        <vt:i4>518</vt:i4>
      </vt:variant>
      <vt:variant>
        <vt:i4>0</vt:i4>
      </vt:variant>
      <vt:variant>
        <vt:i4>5</vt:i4>
      </vt:variant>
      <vt:variant>
        <vt:lpwstr/>
      </vt:variant>
      <vt:variant>
        <vt:lpwstr>_Toc9590860</vt:lpwstr>
      </vt:variant>
      <vt:variant>
        <vt:i4>2555912</vt:i4>
      </vt:variant>
      <vt:variant>
        <vt:i4>512</vt:i4>
      </vt:variant>
      <vt:variant>
        <vt:i4>0</vt:i4>
      </vt:variant>
      <vt:variant>
        <vt:i4>5</vt:i4>
      </vt:variant>
      <vt:variant>
        <vt:lpwstr/>
      </vt:variant>
      <vt:variant>
        <vt:lpwstr>_Toc9590859</vt:lpwstr>
      </vt:variant>
      <vt:variant>
        <vt:i4>2555912</vt:i4>
      </vt:variant>
      <vt:variant>
        <vt:i4>506</vt:i4>
      </vt:variant>
      <vt:variant>
        <vt:i4>0</vt:i4>
      </vt:variant>
      <vt:variant>
        <vt:i4>5</vt:i4>
      </vt:variant>
      <vt:variant>
        <vt:lpwstr/>
      </vt:variant>
      <vt:variant>
        <vt:lpwstr>_Toc9590858</vt:lpwstr>
      </vt:variant>
      <vt:variant>
        <vt:i4>2555912</vt:i4>
      </vt:variant>
      <vt:variant>
        <vt:i4>500</vt:i4>
      </vt:variant>
      <vt:variant>
        <vt:i4>0</vt:i4>
      </vt:variant>
      <vt:variant>
        <vt:i4>5</vt:i4>
      </vt:variant>
      <vt:variant>
        <vt:lpwstr/>
      </vt:variant>
      <vt:variant>
        <vt:lpwstr>_Toc9590857</vt:lpwstr>
      </vt:variant>
      <vt:variant>
        <vt:i4>2555912</vt:i4>
      </vt:variant>
      <vt:variant>
        <vt:i4>494</vt:i4>
      </vt:variant>
      <vt:variant>
        <vt:i4>0</vt:i4>
      </vt:variant>
      <vt:variant>
        <vt:i4>5</vt:i4>
      </vt:variant>
      <vt:variant>
        <vt:lpwstr/>
      </vt:variant>
      <vt:variant>
        <vt:lpwstr>_Toc9590856</vt:lpwstr>
      </vt:variant>
      <vt:variant>
        <vt:i4>2555912</vt:i4>
      </vt:variant>
      <vt:variant>
        <vt:i4>488</vt:i4>
      </vt:variant>
      <vt:variant>
        <vt:i4>0</vt:i4>
      </vt:variant>
      <vt:variant>
        <vt:i4>5</vt:i4>
      </vt:variant>
      <vt:variant>
        <vt:lpwstr/>
      </vt:variant>
      <vt:variant>
        <vt:lpwstr>_Toc9590855</vt:lpwstr>
      </vt:variant>
      <vt:variant>
        <vt:i4>2555912</vt:i4>
      </vt:variant>
      <vt:variant>
        <vt:i4>482</vt:i4>
      </vt:variant>
      <vt:variant>
        <vt:i4>0</vt:i4>
      </vt:variant>
      <vt:variant>
        <vt:i4>5</vt:i4>
      </vt:variant>
      <vt:variant>
        <vt:lpwstr/>
      </vt:variant>
      <vt:variant>
        <vt:lpwstr>_Toc9590854</vt:lpwstr>
      </vt:variant>
      <vt:variant>
        <vt:i4>2555912</vt:i4>
      </vt:variant>
      <vt:variant>
        <vt:i4>476</vt:i4>
      </vt:variant>
      <vt:variant>
        <vt:i4>0</vt:i4>
      </vt:variant>
      <vt:variant>
        <vt:i4>5</vt:i4>
      </vt:variant>
      <vt:variant>
        <vt:lpwstr/>
      </vt:variant>
      <vt:variant>
        <vt:lpwstr>_Toc9590853</vt:lpwstr>
      </vt:variant>
      <vt:variant>
        <vt:i4>2555912</vt:i4>
      </vt:variant>
      <vt:variant>
        <vt:i4>470</vt:i4>
      </vt:variant>
      <vt:variant>
        <vt:i4>0</vt:i4>
      </vt:variant>
      <vt:variant>
        <vt:i4>5</vt:i4>
      </vt:variant>
      <vt:variant>
        <vt:lpwstr/>
      </vt:variant>
      <vt:variant>
        <vt:lpwstr>_Toc9590852</vt:lpwstr>
      </vt:variant>
      <vt:variant>
        <vt:i4>2555912</vt:i4>
      </vt:variant>
      <vt:variant>
        <vt:i4>464</vt:i4>
      </vt:variant>
      <vt:variant>
        <vt:i4>0</vt:i4>
      </vt:variant>
      <vt:variant>
        <vt:i4>5</vt:i4>
      </vt:variant>
      <vt:variant>
        <vt:lpwstr/>
      </vt:variant>
      <vt:variant>
        <vt:lpwstr>_Toc9590851</vt:lpwstr>
      </vt:variant>
      <vt:variant>
        <vt:i4>2555912</vt:i4>
      </vt:variant>
      <vt:variant>
        <vt:i4>458</vt:i4>
      </vt:variant>
      <vt:variant>
        <vt:i4>0</vt:i4>
      </vt:variant>
      <vt:variant>
        <vt:i4>5</vt:i4>
      </vt:variant>
      <vt:variant>
        <vt:lpwstr/>
      </vt:variant>
      <vt:variant>
        <vt:lpwstr>_Toc9590850</vt:lpwstr>
      </vt:variant>
      <vt:variant>
        <vt:i4>2490376</vt:i4>
      </vt:variant>
      <vt:variant>
        <vt:i4>452</vt:i4>
      </vt:variant>
      <vt:variant>
        <vt:i4>0</vt:i4>
      </vt:variant>
      <vt:variant>
        <vt:i4>5</vt:i4>
      </vt:variant>
      <vt:variant>
        <vt:lpwstr/>
      </vt:variant>
      <vt:variant>
        <vt:lpwstr>_Toc9590849</vt:lpwstr>
      </vt:variant>
      <vt:variant>
        <vt:i4>2490376</vt:i4>
      </vt:variant>
      <vt:variant>
        <vt:i4>446</vt:i4>
      </vt:variant>
      <vt:variant>
        <vt:i4>0</vt:i4>
      </vt:variant>
      <vt:variant>
        <vt:i4>5</vt:i4>
      </vt:variant>
      <vt:variant>
        <vt:lpwstr/>
      </vt:variant>
      <vt:variant>
        <vt:lpwstr>_Toc9590848</vt:lpwstr>
      </vt:variant>
      <vt:variant>
        <vt:i4>2490376</vt:i4>
      </vt:variant>
      <vt:variant>
        <vt:i4>440</vt:i4>
      </vt:variant>
      <vt:variant>
        <vt:i4>0</vt:i4>
      </vt:variant>
      <vt:variant>
        <vt:i4>5</vt:i4>
      </vt:variant>
      <vt:variant>
        <vt:lpwstr/>
      </vt:variant>
      <vt:variant>
        <vt:lpwstr>_Toc9590846</vt:lpwstr>
      </vt:variant>
      <vt:variant>
        <vt:i4>2490376</vt:i4>
      </vt:variant>
      <vt:variant>
        <vt:i4>434</vt:i4>
      </vt:variant>
      <vt:variant>
        <vt:i4>0</vt:i4>
      </vt:variant>
      <vt:variant>
        <vt:i4>5</vt:i4>
      </vt:variant>
      <vt:variant>
        <vt:lpwstr/>
      </vt:variant>
      <vt:variant>
        <vt:lpwstr>_Toc9590845</vt:lpwstr>
      </vt:variant>
      <vt:variant>
        <vt:i4>2490376</vt:i4>
      </vt:variant>
      <vt:variant>
        <vt:i4>428</vt:i4>
      </vt:variant>
      <vt:variant>
        <vt:i4>0</vt:i4>
      </vt:variant>
      <vt:variant>
        <vt:i4>5</vt:i4>
      </vt:variant>
      <vt:variant>
        <vt:lpwstr/>
      </vt:variant>
      <vt:variant>
        <vt:lpwstr>_Toc9590844</vt:lpwstr>
      </vt:variant>
      <vt:variant>
        <vt:i4>2490376</vt:i4>
      </vt:variant>
      <vt:variant>
        <vt:i4>422</vt:i4>
      </vt:variant>
      <vt:variant>
        <vt:i4>0</vt:i4>
      </vt:variant>
      <vt:variant>
        <vt:i4>5</vt:i4>
      </vt:variant>
      <vt:variant>
        <vt:lpwstr/>
      </vt:variant>
      <vt:variant>
        <vt:lpwstr>_Toc9590843</vt:lpwstr>
      </vt:variant>
      <vt:variant>
        <vt:i4>2490376</vt:i4>
      </vt:variant>
      <vt:variant>
        <vt:i4>416</vt:i4>
      </vt:variant>
      <vt:variant>
        <vt:i4>0</vt:i4>
      </vt:variant>
      <vt:variant>
        <vt:i4>5</vt:i4>
      </vt:variant>
      <vt:variant>
        <vt:lpwstr/>
      </vt:variant>
      <vt:variant>
        <vt:lpwstr>_Toc9590842</vt:lpwstr>
      </vt:variant>
      <vt:variant>
        <vt:i4>2490376</vt:i4>
      </vt:variant>
      <vt:variant>
        <vt:i4>410</vt:i4>
      </vt:variant>
      <vt:variant>
        <vt:i4>0</vt:i4>
      </vt:variant>
      <vt:variant>
        <vt:i4>5</vt:i4>
      </vt:variant>
      <vt:variant>
        <vt:lpwstr/>
      </vt:variant>
      <vt:variant>
        <vt:lpwstr>_Toc9590841</vt:lpwstr>
      </vt:variant>
      <vt:variant>
        <vt:i4>2490376</vt:i4>
      </vt:variant>
      <vt:variant>
        <vt:i4>404</vt:i4>
      </vt:variant>
      <vt:variant>
        <vt:i4>0</vt:i4>
      </vt:variant>
      <vt:variant>
        <vt:i4>5</vt:i4>
      </vt:variant>
      <vt:variant>
        <vt:lpwstr/>
      </vt:variant>
      <vt:variant>
        <vt:lpwstr>_Toc9590840</vt:lpwstr>
      </vt:variant>
      <vt:variant>
        <vt:i4>2162696</vt:i4>
      </vt:variant>
      <vt:variant>
        <vt:i4>398</vt:i4>
      </vt:variant>
      <vt:variant>
        <vt:i4>0</vt:i4>
      </vt:variant>
      <vt:variant>
        <vt:i4>5</vt:i4>
      </vt:variant>
      <vt:variant>
        <vt:lpwstr/>
      </vt:variant>
      <vt:variant>
        <vt:lpwstr>_Toc9590839</vt:lpwstr>
      </vt:variant>
      <vt:variant>
        <vt:i4>2162696</vt:i4>
      </vt:variant>
      <vt:variant>
        <vt:i4>392</vt:i4>
      </vt:variant>
      <vt:variant>
        <vt:i4>0</vt:i4>
      </vt:variant>
      <vt:variant>
        <vt:i4>5</vt:i4>
      </vt:variant>
      <vt:variant>
        <vt:lpwstr/>
      </vt:variant>
      <vt:variant>
        <vt:lpwstr>_Toc9590838</vt:lpwstr>
      </vt:variant>
      <vt:variant>
        <vt:i4>2162696</vt:i4>
      </vt:variant>
      <vt:variant>
        <vt:i4>386</vt:i4>
      </vt:variant>
      <vt:variant>
        <vt:i4>0</vt:i4>
      </vt:variant>
      <vt:variant>
        <vt:i4>5</vt:i4>
      </vt:variant>
      <vt:variant>
        <vt:lpwstr/>
      </vt:variant>
      <vt:variant>
        <vt:lpwstr>_Toc9590837</vt:lpwstr>
      </vt:variant>
      <vt:variant>
        <vt:i4>2162696</vt:i4>
      </vt:variant>
      <vt:variant>
        <vt:i4>380</vt:i4>
      </vt:variant>
      <vt:variant>
        <vt:i4>0</vt:i4>
      </vt:variant>
      <vt:variant>
        <vt:i4>5</vt:i4>
      </vt:variant>
      <vt:variant>
        <vt:lpwstr/>
      </vt:variant>
      <vt:variant>
        <vt:lpwstr>_Toc9590836</vt:lpwstr>
      </vt:variant>
      <vt:variant>
        <vt:i4>2162696</vt:i4>
      </vt:variant>
      <vt:variant>
        <vt:i4>374</vt:i4>
      </vt:variant>
      <vt:variant>
        <vt:i4>0</vt:i4>
      </vt:variant>
      <vt:variant>
        <vt:i4>5</vt:i4>
      </vt:variant>
      <vt:variant>
        <vt:lpwstr/>
      </vt:variant>
      <vt:variant>
        <vt:lpwstr>_Toc9590835</vt:lpwstr>
      </vt:variant>
      <vt:variant>
        <vt:i4>2162696</vt:i4>
      </vt:variant>
      <vt:variant>
        <vt:i4>368</vt:i4>
      </vt:variant>
      <vt:variant>
        <vt:i4>0</vt:i4>
      </vt:variant>
      <vt:variant>
        <vt:i4>5</vt:i4>
      </vt:variant>
      <vt:variant>
        <vt:lpwstr/>
      </vt:variant>
      <vt:variant>
        <vt:lpwstr>_Toc9590834</vt:lpwstr>
      </vt:variant>
      <vt:variant>
        <vt:i4>2162696</vt:i4>
      </vt:variant>
      <vt:variant>
        <vt:i4>362</vt:i4>
      </vt:variant>
      <vt:variant>
        <vt:i4>0</vt:i4>
      </vt:variant>
      <vt:variant>
        <vt:i4>5</vt:i4>
      </vt:variant>
      <vt:variant>
        <vt:lpwstr/>
      </vt:variant>
      <vt:variant>
        <vt:lpwstr>_Toc9590833</vt:lpwstr>
      </vt:variant>
      <vt:variant>
        <vt:i4>2162696</vt:i4>
      </vt:variant>
      <vt:variant>
        <vt:i4>356</vt:i4>
      </vt:variant>
      <vt:variant>
        <vt:i4>0</vt:i4>
      </vt:variant>
      <vt:variant>
        <vt:i4>5</vt:i4>
      </vt:variant>
      <vt:variant>
        <vt:lpwstr/>
      </vt:variant>
      <vt:variant>
        <vt:lpwstr>_Toc9590832</vt:lpwstr>
      </vt:variant>
      <vt:variant>
        <vt:i4>2162696</vt:i4>
      </vt:variant>
      <vt:variant>
        <vt:i4>350</vt:i4>
      </vt:variant>
      <vt:variant>
        <vt:i4>0</vt:i4>
      </vt:variant>
      <vt:variant>
        <vt:i4>5</vt:i4>
      </vt:variant>
      <vt:variant>
        <vt:lpwstr/>
      </vt:variant>
      <vt:variant>
        <vt:lpwstr>_Toc9590831</vt:lpwstr>
      </vt:variant>
      <vt:variant>
        <vt:i4>2162696</vt:i4>
      </vt:variant>
      <vt:variant>
        <vt:i4>344</vt:i4>
      </vt:variant>
      <vt:variant>
        <vt:i4>0</vt:i4>
      </vt:variant>
      <vt:variant>
        <vt:i4>5</vt:i4>
      </vt:variant>
      <vt:variant>
        <vt:lpwstr/>
      </vt:variant>
      <vt:variant>
        <vt:lpwstr>_Toc9590830</vt:lpwstr>
      </vt:variant>
      <vt:variant>
        <vt:i4>2097160</vt:i4>
      </vt:variant>
      <vt:variant>
        <vt:i4>338</vt:i4>
      </vt:variant>
      <vt:variant>
        <vt:i4>0</vt:i4>
      </vt:variant>
      <vt:variant>
        <vt:i4>5</vt:i4>
      </vt:variant>
      <vt:variant>
        <vt:lpwstr/>
      </vt:variant>
      <vt:variant>
        <vt:lpwstr>_Toc9590829</vt:lpwstr>
      </vt:variant>
      <vt:variant>
        <vt:i4>2097160</vt:i4>
      </vt:variant>
      <vt:variant>
        <vt:i4>332</vt:i4>
      </vt:variant>
      <vt:variant>
        <vt:i4>0</vt:i4>
      </vt:variant>
      <vt:variant>
        <vt:i4>5</vt:i4>
      </vt:variant>
      <vt:variant>
        <vt:lpwstr/>
      </vt:variant>
      <vt:variant>
        <vt:lpwstr>_Toc9590828</vt:lpwstr>
      </vt:variant>
      <vt:variant>
        <vt:i4>2097160</vt:i4>
      </vt:variant>
      <vt:variant>
        <vt:i4>326</vt:i4>
      </vt:variant>
      <vt:variant>
        <vt:i4>0</vt:i4>
      </vt:variant>
      <vt:variant>
        <vt:i4>5</vt:i4>
      </vt:variant>
      <vt:variant>
        <vt:lpwstr/>
      </vt:variant>
      <vt:variant>
        <vt:lpwstr>_Toc9590827</vt:lpwstr>
      </vt:variant>
      <vt:variant>
        <vt:i4>2097160</vt:i4>
      </vt:variant>
      <vt:variant>
        <vt:i4>320</vt:i4>
      </vt:variant>
      <vt:variant>
        <vt:i4>0</vt:i4>
      </vt:variant>
      <vt:variant>
        <vt:i4>5</vt:i4>
      </vt:variant>
      <vt:variant>
        <vt:lpwstr/>
      </vt:variant>
      <vt:variant>
        <vt:lpwstr>_Toc9590826</vt:lpwstr>
      </vt:variant>
      <vt:variant>
        <vt:i4>2097160</vt:i4>
      </vt:variant>
      <vt:variant>
        <vt:i4>314</vt:i4>
      </vt:variant>
      <vt:variant>
        <vt:i4>0</vt:i4>
      </vt:variant>
      <vt:variant>
        <vt:i4>5</vt:i4>
      </vt:variant>
      <vt:variant>
        <vt:lpwstr/>
      </vt:variant>
      <vt:variant>
        <vt:lpwstr>_Toc9590825</vt:lpwstr>
      </vt:variant>
      <vt:variant>
        <vt:i4>2097160</vt:i4>
      </vt:variant>
      <vt:variant>
        <vt:i4>308</vt:i4>
      </vt:variant>
      <vt:variant>
        <vt:i4>0</vt:i4>
      </vt:variant>
      <vt:variant>
        <vt:i4>5</vt:i4>
      </vt:variant>
      <vt:variant>
        <vt:lpwstr/>
      </vt:variant>
      <vt:variant>
        <vt:lpwstr>_Toc9590824</vt:lpwstr>
      </vt:variant>
      <vt:variant>
        <vt:i4>2097160</vt:i4>
      </vt:variant>
      <vt:variant>
        <vt:i4>302</vt:i4>
      </vt:variant>
      <vt:variant>
        <vt:i4>0</vt:i4>
      </vt:variant>
      <vt:variant>
        <vt:i4>5</vt:i4>
      </vt:variant>
      <vt:variant>
        <vt:lpwstr/>
      </vt:variant>
      <vt:variant>
        <vt:lpwstr>_Toc9590823</vt:lpwstr>
      </vt:variant>
      <vt:variant>
        <vt:i4>2097160</vt:i4>
      </vt:variant>
      <vt:variant>
        <vt:i4>296</vt:i4>
      </vt:variant>
      <vt:variant>
        <vt:i4>0</vt:i4>
      </vt:variant>
      <vt:variant>
        <vt:i4>5</vt:i4>
      </vt:variant>
      <vt:variant>
        <vt:lpwstr/>
      </vt:variant>
      <vt:variant>
        <vt:lpwstr>_Toc9590822</vt:lpwstr>
      </vt:variant>
      <vt:variant>
        <vt:i4>2097160</vt:i4>
      </vt:variant>
      <vt:variant>
        <vt:i4>290</vt:i4>
      </vt:variant>
      <vt:variant>
        <vt:i4>0</vt:i4>
      </vt:variant>
      <vt:variant>
        <vt:i4>5</vt:i4>
      </vt:variant>
      <vt:variant>
        <vt:lpwstr/>
      </vt:variant>
      <vt:variant>
        <vt:lpwstr>_Toc9590821</vt:lpwstr>
      </vt:variant>
      <vt:variant>
        <vt:i4>2097160</vt:i4>
      </vt:variant>
      <vt:variant>
        <vt:i4>284</vt:i4>
      </vt:variant>
      <vt:variant>
        <vt:i4>0</vt:i4>
      </vt:variant>
      <vt:variant>
        <vt:i4>5</vt:i4>
      </vt:variant>
      <vt:variant>
        <vt:lpwstr/>
      </vt:variant>
      <vt:variant>
        <vt:lpwstr>_Toc9590820</vt:lpwstr>
      </vt:variant>
      <vt:variant>
        <vt:i4>2293768</vt:i4>
      </vt:variant>
      <vt:variant>
        <vt:i4>278</vt:i4>
      </vt:variant>
      <vt:variant>
        <vt:i4>0</vt:i4>
      </vt:variant>
      <vt:variant>
        <vt:i4>5</vt:i4>
      </vt:variant>
      <vt:variant>
        <vt:lpwstr/>
      </vt:variant>
      <vt:variant>
        <vt:lpwstr>_Toc9590819</vt:lpwstr>
      </vt:variant>
      <vt:variant>
        <vt:i4>2293768</vt:i4>
      </vt:variant>
      <vt:variant>
        <vt:i4>272</vt:i4>
      </vt:variant>
      <vt:variant>
        <vt:i4>0</vt:i4>
      </vt:variant>
      <vt:variant>
        <vt:i4>5</vt:i4>
      </vt:variant>
      <vt:variant>
        <vt:lpwstr/>
      </vt:variant>
      <vt:variant>
        <vt:lpwstr>_Toc9590818</vt:lpwstr>
      </vt:variant>
      <vt:variant>
        <vt:i4>2293768</vt:i4>
      </vt:variant>
      <vt:variant>
        <vt:i4>266</vt:i4>
      </vt:variant>
      <vt:variant>
        <vt:i4>0</vt:i4>
      </vt:variant>
      <vt:variant>
        <vt:i4>5</vt:i4>
      </vt:variant>
      <vt:variant>
        <vt:lpwstr/>
      </vt:variant>
      <vt:variant>
        <vt:lpwstr>_Toc9590817</vt:lpwstr>
      </vt:variant>
      <vt:variant>
        <vt:i4>2293768</vt:i4>
      </vt:variant>
      <vt:variant>
        <vt:i4>260</vt:i4>
      </vt:variant>
      <vt:variant>
        <vt:i4>0</vt:i4>
      </vt:variant>
      <vt:variant>
        <vt:i4>5</vt:i4>
      </vt:variant>
      <vt:variant>
        <vt:lpwstr/>
      </vt:variant>
      <vt:variant>
        <vt:lpwstr>_Toc9590816</vt:lpwstr>
      </vt:variant>
      <vt:variant>
        <vt:i4>2293768</vt:i4>
      </vt:variant>
      <vt:variant>
        <vt:i4>254</vt:i4>
      </vt:variant>
      <vt:variant>
        <vt:i4>0</vt:i4>
      </vt:variant>
      <vt:variant>
        <vt:i4>5</vt:i4>
      </vt:variant>
      <vt:variant>
        <vt:lpwstr/>
      </vt:variant>
      <vt:variant>
        <vt:lpwstr>_Toc9590815</vt:lpwstr>
      </vt:variant>
      <vt:variant>
        <vt:i4>2293768</vt:i4>
      </vt:variant>
      <vt:variant>
        <vt:i4>248</vt:i4>
      </vt:variant>
      <vt:variant>
        <vt:i4>0</vt:i4>
      </vt:variant>
      <vt:variant>
        <vt:i4>5</vt:i4>
      </vt:variant>
      <vt:variant>
        <vt:lpwstr/>
      </vt:variant>
      <vt:variant>
        <vt:lpwstr>_Toc9590814</vt:lpwstr>
      </vt:variant>
      <vt:variant>
        <vt:i4>2293768</vt:i4>
      </vt:variant>
      <vt:variant>
        <vt:i4>242</vt:i4>
      </vt:variant>
      <vt:variant>
        <vt:i4>0</vt:i4>
      </vt:variant>
      <vt:variant>
        <vt:i4>5</vt:i4>
      </vt:variant>
      <vt:variant>
        <vt:lpwstr/>
      </vt:variant>
      <vt:variant>
        <vt:lpwstr>_Toc9590813</vt:lpwstr>
      </vt:variant>
      <vt:variant>
        <vt:i4>2293768</vt:i4>
      </vt:variant>
      <vt:variant>
        <vt:i4>236</vt:i4>
      </vt:variant>
      <vt:variant>
        <vt:i4>0</vt:i4>
      </vt:variant>
      <vt:variant>
        <vt:i4>5</vt:i4>
      </vt:variant>
      <vt:variant>
        <vt:lpwstr/>
      </vt:variant>
      <vt:variant>
        <vt:lpwstr>_Toc9590812</vt:lpwstr>
      </vt:variant>
      <vt:variant>
        <vt:i4>2293768</vt:i4>
      </vt:variant>
      <vt:variant>
        <vt:i4>230</vt:i4>
      </vt:variant>
      <vt:variant>
        <vt:i4>0</vt:i4>
      </vt:variant>
      <vt:variant>
        <vt:i4>5</vt:i4>
      </vt:variant>
      <vt:variant>
        <vt:lpwstr/>
      </vt:variant>
      <vt:variant>
        <vt:lpwstr>_Toc9590811</vt:lpwstr>
      </vt:variant>
      <vt:variant>
        <vt:i4>2293768</vt:i4>
      </vt:variant>
      <vt:variant>
        <vt:i4>224</vt:i4>
      </vt:variant>
      <vt:variant>
        <vt:i4>0</vt:i4>
      </vt:variant>
      <vt:variant>
        <vt:i4>5</vt:i4>
      </vt:variant>
      <vt:variant>
        <vt:lpwstr/>
      </vt:variant>
      <vt:variant>
        <vt:lpwstr>_Toc9590810</vt:lpwstr>
      </vt:variant>
      <vt:variant>
        <vt:i4>2228232</vt:i4>
      </vt:variant>
      <vt:variant>
        <vt:i4>218</vt:i4>
      </vt:variant>
      <vt:variant>
        <vt:i4>0</vt:i4>
      </vt:variant>
      <vt:variant>
        <vt:i4>5</vt:i4>
      </vt:variant>
      <vt:variant>
        <vt:lpwstr/>
      </vt:variant>
      <vt:variant>
        <vt:lpwstr>_Toc9590809</vt:lpwstr>
      </vt:variant>
      <vt:variant>
        <vt:i4>2228232</vt:i4>
      </vt:variant>
      <vt:variant>
        <vt:i4>212</vt:i4>
      </vt:variant>
      <vt:variant>
        <vt:i4>0</vt:i4>
      </vt:variant>
      <vt:variant>
        <vt:i4>5</vt:i4>
      </vt:variant>
      <vt:variant>
        <vt:lpwstr/>
      </vt:variant>
      <vt:variant>
        <vt:lpwstr>_Toc9590808</vt:lpwstr>
      </vt:variant>
      <vt:variant>
        <vt:i4>2228232</vt:i4>
      </vt:variant>
      <vt:variant>
        <vt:i4>206</vt:i4>
      </vt:variant>
      <vt:variant>
        <vt:i4>0</vt:i4>
      </vt:variant>
      <vt:variant>
        <vt:i4>5</vt:i4>
      </vt:variant>
      <vt:variant>
        <vt:lpwstr/>
      </vt:variant>
      <vt:variant>
        <vt:lpwstr>_Toc9590807</vt:lpwstr>
      </vt:variant>
      <vt:variant>
        <vt:i4>2228232</vt:i4>
      </vt:variant>
      <vt:variant>
        <vt:i4>200</vt:i4>
      </vt:variant>
      <vt:variant>
        <vt:i4>0</vt:i4>
      </vt:variant>
      <vt:variant>
        <vt:i4>5</vt:i4>
      </vt:variant>
      <vt:variant>
        <vt:lpwstr/>
      </vt:variant>
      <vt:variant>
        <vt:lpwstr>_Toc9590806</vt:lpwstr>
      </vt:variant>
      <vt:variant>
        <vt:i4>2228232</vt:i4>
      </vt:variant>
      <vt:variant>
        <vt:i4>194</vt:i4>
      </vt:variant>
      <vt:variant>
        <vt:i4>0</vt:i4>
      </vt:variant>
      <vt:variant>
        <vt:i4>5</vt:i4>
      </vt:variant>
      <vt:variant>
        <vt:lpwstr/>
      </vt:variant>
      <vt:variant>
        <vt:lpwstr>_Toc9590805</vt:lpwstr>
      </vt:variant>
      <vt:variant>
        <vt:i4>2228232</vt:i4>
      </vt:variant>
      <vt:variant>
        <vt:i4>188</vt:i4>
      </vt:variant>
      <vt:variant>
        <vt:i4>0</vt:i4>
      </vt:variant>
      <vt:variant>
        <vt:i4>5</vt:i4>
      </vt:variant>
      <vt:variant>
        <vt:lpwstr/>
      </vt:variant>
      <vt:variant>
        <vt:lpwstr>_Toc9590804</vt:lpwstr>
      </vt:variant>
      <vt:variant>
        <vt:i4>2228232</vt:i4>
      </vt:variant>
      <vt:variant>
        <vt:i4>182</vt:i4>
      </vt:variant>
      <vt:variant>
        <vt:i4>0</vt:i4>
      </vt:variant>
      <vt:variant>
        <vt:i4>5</vt:i4>
      </vt:variant>
      <vt:variant>
        <vt:lpwstr/>
      </vt:variant>
      <vt:variant>
        <vt:lpwstr>_Toc9590803</vt:lpwstr>
      </vt:variant>
      <vt:variant>
        <vt:i4>2228232</vt:i4>
      </vt:variant>
      <vt:variant>
        <vt:i4>176</vt:i4>
      </vt:variant>
      <vt:variant>
        <vt:i4>0</vt:i4>
      </vt:variant>
      <vt:variant>
        <vt:i4>5</vt:i4>
      </vt:variant>
      <vt:variant>
        <vt:lpwstr/>
      </vt:variant>
      <vt:variant>
        <vt:lpwstr>_Toc9590802</vt:lpwstr>
      </vt:variant>
      <vt:variant>
        <vt:i4>2228232</vt:i4>
      </vt:variant>
      <vt:variant>
        <vt:i4>170</vt:i4>
      </vt:variant>
      <vt:variant>
        <vt:i4>0</vt:i4>
      </vt:variant>
      <vt:variant>
        <vt:i4>5</vt:i4>
      </vt:variant>
      <vt:variant>
        <vt:lpwstr/>
      </vt:variant>
      <vt:variant>
        <vt:lpwstr>_Toc9590801</vt:lpwstr>
      </vt:variant>
      <vt:variant>
        <vt:i4>2228232</vt:i4>
      </vt:variant>
      <vt:variant>
        <vt:i4>164</vt:i4>
      </vt:variant>
      <vt:variant>
        <vt:i4>0</vt:i4>
      </vt:variant>
      <vt:variant>
        <vt:i4>5</vt:i4>
      </vt:variant>
      <vt:variant>
        <vt:lpwstr/>
      </vt:variant>
      <vt:variant>
        <vt:lpwstr>_Toc9590800</vt:lpwstr>
      </vt:variant>
      <vt:variant>
        <vt:i4>2818055</vt:i4>
      </vt:variant>
      <vt:variant>
        <vt:i4>158</vt:i4>
      </vt:variant>
      <vt:variant>
        <vt:i4>0</vt:i4>
      </vt:variant>
      <vt:variant>
        <vt:i4>5</vt:i4>
      </vt:variant>
      <vt:variant>
        <vt:lpwstr/>
      </vt:variant>
      <vt:variant>
        <vt:lpwstr>_Toc9590799</vt:lpwstr>
      </vt:variant>
      <vt:variant>
        <vt:i4>2818055</vt:i4>
      </vt:variant>
      <vt:variant>
        <vt:i4>152</vt:i4>
      </vt:variant>
      <vt:variant>
        <vt:i4>0</vt:i4>
      </vt:variant>
      <vt:variant>
        <vt:i4>5</vt:i4>
      </vt:variant>
      <vt:variant>
        <vt:lpwstr/>
      </vt:variant>
      <vt:variant>
        <vt:lpwstr>_Toc9590798</vt:lpwstr>
      </vt:variant>
      <vt:variant>
        <vt:i4>2818055</vt:i4>
      </vt:variant>
      <vt:variant>
        <vt:i4>146</vt:i4>
      </vt:variant>
      <vt:variant>
        <vt:i4>0</vt:i4>
      </vt:variant>
      <vt:variant>
        <vt:i4>5</vt:i4>
      </vt:variant>
      <vt:variant>
        <vt:lpwstr/>
      </vt:variant>
      <vt:variant>
        <vt:lpwstr>_Toc9590797</vt:lpwstr>
      </vt:variant>
      <vt:variant>
        <vt:i4>2818055</vt:i4>
      </vt:variant>
      <vt:variant>
        <vt:i4>140</vt:i4>
      </vt:variant>
      <vt:variant>
        <vt:i4>0</vt:i4>
      </vt:variant>
      <vt:variant>
        <vt:i4>5</vt:i4>
      </vt:variant>
      <vt:variant>
        <vt:lpwstr/>
      </vt:variant>
      <vt:variant>
        <vt:lpwstr>_Toc9590796</vt:lpwstr>
      </vt:variant>
      <vt:variant>
        <vt:i4>2818055</vt:i4>
      </vt:variant>
      <vt:variant>
        <vt:i4>134</vt:i4>
      </vt:variant>
      <vt:variant>
        <vt:i4>0</vt:i4>
      </vt:variant>
      <vt:variant>
        <vt:i4>5</vt:i4>
      </vt:variant>
      <vt:variant>
        <vt:lpwstr/>
      </vt:variant>
      <vt:variant>
        <vt:lpwstr>_Toc9590795</vt:lpwstr>
      </vt:variant>
      <vt:variant>
        <vt:i4>2818055</vt:i4>
      </vt:variant>
      <vt:variant>
        <vt:i4>128</vt:i4>
      </vt:variant>
      <vt:variant>
        <vt:i4>0</vt:i4>
      </vt:variant>
      <vt:variant>
        <vt:i4>5</vt:i4>
      </vt:variant>
      <vt:variant>
        <vt:lpwstr/>
      </vt:variant>
      <vt:variant>
        <vt:lpwstr>_Toc9590794</vt:lpwstr>
      </vt:variant>
      <vt:variant>
        <vt:i4>2818055</vt:i4>
      </vt:variant>
      <vt:variant>
        <vt:i4>122</vt:i4>
      </vt:variant>
      <vt:variant>
        <vt:i4>0</vt:i4>
      </vt:variant>
      <vt:variant>
        <vt:i4>5</vt:i4>
      </vt:variant>
      <vt:variant>
        <vt:lpwstr/>
      </vt:variant>
      <vt:variant>
        <vt:lpwstr>_Toc9590793</vt:lpwstr>
      </vt:variant>
      <vt:variant>
        <vt:i4>2818055</vt:i4>
      </vt:variant>
      <vt:variant>
        <vt:i4>116</vt:i4>
      </vt:variant>
      <vt:variant>
        <vt:i4>0</vt:i4>
      </vt:variant>
      <vt:variant>
        <vt:i4>5</vt:i4>
      </vt:variant>
      <vt:variant>
        <vt:lpwstr/>
      </vt:variant>
      <vt:variant>
        <vt:lpwstr>_Toc9590792</vt:lpwstr>
      </vt:variant>
      <vt:variant>
        <vt:i4>2818055</vt:i4>
      </vt:variant>
      <vt:variant>
        <vt:i4>110</vt:i4>
      </vt:variant>
      <vt:variant>
        <vt:i4>0</vt:i4>
      </vt:variant>
      <vt:variant>
        <vt:i4>5</vt:i4>
      </vt:variant>
      <vt:variant>
        <vt:lpwstr/>
      </vt:variant>
      <vt:variant>
        <vt:lpwstr>_Toc9590791</vt:lpwstr>
      </vt:variant>
      <vt:variant>
        <vt:i4>2818055</vt:i4>
      </vt:variant>
      <vt:variant>
        <vt:i4>104</vt:i4>
      </vt:variant>
      <vt:variant>
        <vt:i4>0</vt:i4>
      </vt:variant>
      <vt:variant>
        <vt:i4>5</vt:i4>
      </vt:variant>
      <vt:variant>
        <vt:lpwstr/>
      </vt:variant>
      <vt:variant>
        <vt:lpwstr>_Toc9590790</vt:lpwstr>
      </vt:variant>
      <vt:variant>
        <vt:i4>2752519</vt:i4>
      </vt:variant>
      <vt:variant>
        <vt:i4>98</vt:i4>
      </vt:variant>
      <vt:variant>
        <vt:i4>0</vt:i4>
      </vt:variant>
      <vt:variant>
        <vt:i4>5</vt:i4>
      </vt:variant>
      <vt:variant>
        <vt:lpwstr/>
      </vt:variant>
      <vt:variant>
        <vt:lpwstr>_Toc9590789</vt:lpwstr>
      </vt:variant>
      <vt:variant>
        <vt:i4>2752519</vt:i4>
      </vt:variant>
      <vt:variant>
        <vt:i4>92</vt:i4>
      </vt:variant>
      <vt:variant>
        <vt:i4>0</vt:i4>
      </vt:variant>
      <vt:variant>
        <vt:i4>5</vt:i4>
      </vt:variant>
      <vt:variant>
        <vt:lpwstr/>
      </vt:variant>
      <vt:variant>
        <vt:lpwstr>_Toc9590788</vt:lpwstr>
      </vt:variant>
      <vt:variant>
        <vt:i4>2752519</vt:i4>
      </vt:variant>
      <vt:variant>
        <vt:i4>86</vt:i4>
      </vt:variant>
      <vt:variant>
        <vt:i4>0</vt:i4>
      </vt:variant>
      <vt:variant>
        <vt:i4>5</vt:i4>
      </vt:variant>
      <vt:variant>
        <vt:lpwstr/>
      </vt:variant>
      <vt:variant>
        <vt:lpwstr>_Toc9590787</vt:lpwstr>
      </vt:variant>
      <vt:variant>
        <vt:i4>2752519</vt:i4>
      </vt:variant>
      <vt:variant>
        <vt:i4>80</vt:i4>
      </vt:variant>
      <vt:variant>
        <vt:i4>0</vt:i4>
      </vt:variant>
      <vt:variant>
        <vt:i4>5</vt:i4>
      </vt:variant>
      <vt:variant>
        <vt:lpwstr/>
      </vt:variant>
      <vt:variant>
        <vt:lpwstr>_Toc9590786</vt:lpwstr>
      </vt:variant>
      <vt:variant>
        <vt:i4>2752519</vt:i4>
      </vt:variant>
      <vt:variant>
        <vt:i4>74</vt:i4>
      </vt:variant>
      <vt:variant>
        <vt:i4>0</vt:i4>
      </vt:variant>
      <vt:variant>
        <vt:i4>5</vt:i4>
      </vt:variant>
      <vt:variant>
        <vt:lpwstr/>
      </vt:variant>
      <vt:variant>
        <vt:lpwstr>_Toc9590785</vt:lpwstr>
      </vt:variant>
      <vt:variant>
        <vt:i4>2752519</vt:i4>
      </vt:variant>
      <vt:variant>
        <vt:i4>68</vt:i4>
      </vt:variant>
      <vt:variant>
        <vt:i4>0</vt:i4>
      </vt:variant>
      <vt:variant>
        <vt:i4>5</vt:i4>
      </vt:variant>
      <vt:variant>
        <vt:lpwstr/>
      </vt:variant>
      <vt:variant>
        <vt:lpwstr>_Toc9590784</vt:lpwstr>
      </vt:variant>
      <vt:variant>
        <vt:i4>2752519</vt:i4>
      </vt:variant>
      <vt:variant>
        <vt:i4>62</vt:i4>
      </vt:variant>
      <vt:variant>
        <vt:i4>0</vt:i4>
      </vt:variant>
      <vt:variant>
        <vt:i4>5</vt:i4>
      </vt:variant>
      <vt:variant>
        <vt:lpwstr/>
      </vt:variant>
      <vt:variant>
        <vt:lpwstr>_Toc9590783</vt:lpwstr>
      </vt:variant>
      <vt:variant>
        <vt:i4>2752519</vt:i4>
      </vt:variant>
      <vt:variant>
        <vt:i4>56</vt:i4>
      </vt:variant>
      <vt:variant>
        <vt:i4>0</vt:i4>
      </vt:variant>
      <vt:variant>
        <vt:i4>5</vt:i4>
      </vt:variant>
      <vt:variant>
        <vt:lpwstr/>
      </vt:variant>
      <vt:variant>
        <vt:lpwstr>_Toc9590782</vt:lpwstr>
      </vt:variant>
      <vt:variant>
        <vt:i4>2752519</vt:i4>
      </vt:variant>
      <vt:variant>
        <vt:i4>50</vt:i4>
      </vt:variant>
      <vt:variant>
        <vt:i4>0</vt:i4>
      </vt:variant>
      <vt:variant>
        <vt:i4>5</vt:i4>
      </vt:variant>
      <vt:variant>
        <vt:lpwstr/>
      </vt:variant>
      <vt:variant>
        <vt:lpwstr>_Toc9590781</vt:lpwstr>
      </vt:variant>
      <vt:variant>
        <vt:i4>2752519</vt:i4>
      </vt:variant>
      <vt:variant>
        <vt:i4>44</vt:i4>
      </vt:variant>
      <vt:variant>
        <vt:i4>0</vt:i4>
      </vt:variant>
      <vt:variant>
        <vt:i4>5</vt:i4>
      </vt:variant>
      <vt:variant>
        <vt:lpwstr/>
      </vt:variant>
      <vt:variant>
        <vt:lpwstr>_Toc9590780</vt:lpwstr>
      </vt:variant>
      <vt:variant>
        <vt:i4>2424839</vt:i4>
      </vt:variant>
      <vt:variant>
        <vt:i4>38</vt:i4>
      </vt:variant>
      <vt:variant>
        <vt:i4>0</vt:i4>
      </vt:variant>
      <vt:variant>
        <vt:i4>5</vt:i4>
      </vt:variant>
      <vt:variant>
        <vt:lpwstr/>
      </vt:variant>
      <vt:variant>
        <vt:lpwstr>_Toc9590779</vt:lpwstr>
      </vt:variant>
      <vt:variant>
        <vt:i4>2424839</vt:i4>
      </vt:variant>
      <vt:variant>
        <vt:i4>32</vt:i4>
      </vt:variant>
      <vt:variant>
        <vt:i4>0</vt:i4>
      </vt:variant>
      <vt:variant>
        <vt:i4>5</vt:i4>
      </vt:variant>
      <vt:variant>
        <vt:lpwstr/>
      </vt:variant>
      <vt:variant>
        <vt:lpwstr>_Toc9590778</vt:lpwstr>
      </vt:variant>
      <vt:variant>
        <vt:i4>2424839</vt:i4>
      </vt:variant>
      <vt:variant>
        <vt:i4>26</vt:i4>
      </vt:variant>
      <vt:variant>
        <vt:i4>0</vt:i4>
      </vt:variant>
      <vt:variant>
        <vt:i4>5</vt:i4>
      </vt:variant>
      <vt:variant>
        <vt:lpwstr/>
      </vt:variant>
      <vt:variant>
        <vt:lpwstr>_Toc9590777</vt:lpwstr>
      </vt:variant>
      <vt:variant>
        <vt:i4>2424839</vt:i4>
      </vt:variant>
      <vt:variant>
        <vt:i4>20</vt:i4>
      </vt:variant>
      <vt:variant>
        <vt:i4>0</vt:i4>
      </vt:variant>
      <vt:variant>
        <vt:i4>5</vt:i4>
      </vt:variant>
      <vt:variant>
        <vt:lpwstr/>
      </vt:variant>
      <vt:variant>
        <vt:lpwstr>_Toc9590776</vt:lpwstr>
      </vt:variant>
      <vt:variant>
        <vt:i4>2424839</vt:i4>
      </vt:variant>
      <vt:variant>
        <vt:i4>14</vt:i4>
      </vt:variant>
      <vt:variant>
        <vt:i4>0</vt:i4>
      </vt:variant>
      <vt:variant>
        <vt:i4>5</vt:i4>
      </vt:variant>
      <vt:variant>
        <vt:lpwstr/>
      </vt:variant>
      <vt:variant>
        <vt:lpwstr>_Toc9590775</vt:lpwstr>
      </vt:variant>
      <vt:variant>
        <vt:i4>2424839</vt:i4>
      </vt:variant>
      <vt:variant>
        <vt:i4>8</vt:i4>
      </vt:variant>
      <vt:variant>
        <vt:i4>0</vt:i4>
      </vt:variant>
      <vt:variant>
        <vt:i4>5</vt:i4>
      </vt:variant>
      <vt:variant>
        <vt:lpwstr/>
      </vt:variant>
      <vt:variant>
        <vt:lpwstr>_Toc9590774</vt:lpwstr>
      </vt:variant>
      <vt:variant>
        <vt:i4>2424839</vt:i4>
      </vt:variant>
      <vt:variant>
        <vt:i4>2</vt:i4>
      </vt:variant>
      <vt:variant>
        <vt:i4>0</vt:i4>
      </vt:variant>
      <vt:variant>
        <vt:i4>5</vt:i4>
      </vt:variant>
      <vt:variant>
        <vt:lpwstr/>
      </vt:variant>
      <vt:variant>
        <vt:lpwstr>_Toc9590773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Round 1 Homework</dc:creator>
  <cp:keywords/>
  <cp:lastModifiedBy>TCPA 04XX24</cp:lastModifiedBy>
  <cp:revision>2</cp:revision>
  <cp:lastPrinted>2019-04-29T20:58:00Z</cp:lastPrinted>
  <dcterms:created xsi:type="dcterms:W3CDTF">2024-04-22T14:20:00Z</dcterms:created>
  <dcterms:modified xsi:type="dcterms:W3CDTF">2024-04-22T14:20:00Z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2023-07-28T14:17:20Z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b83e49ab-1415-4afe-b2b8-c1a387c14528</vt:lpwstr>
  </property>
  <property fmtid="{D5CDD505-2E9C-101B-9397-08002B2CF9AE}" pid="8" name="MSIP_Label_7084cbda-52b8-46fb-a7b7-cb5bd465ed85_ContentBits">
    <vt:lpwstr>0</vt:lpwstr>
  </property>
</Properties>
</file>