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C82A" w14:textId="77777777" w:rsidR="00473B7A" w:rsidRDefault="00473B7A">
      <w:pPr>
        <w:spacing w:before="2400"/>
        <w:jc w:val="center"/>
        <w:rPr>
          <w:b/>
          <w:sz w:val="36"/>
          <w:szCs w:val="36"/>
        </w:rPr>
      </w:pPr>
      <w:r>
        <w:rPr>
          <w:b/>
          <w:sz w:val="36"/>
        </w:rPr>
        <w:t>ERCOT Nodal Protocols</w:t>
      </w:r>
    </w:p>
    <w:p w14:paraId="21DAAFCD" w14:textId="77777777" w:rsidR="00473B7A" w:rsidRDefault="00473B7A">
      <w:pPr>
        <w:jc w:val="center"/>
        <w:rPr>
          <w:b/>
          <w:sz w:val="36"/>
          <w:szCs w:val="36"/>
        </w:rPr>
      </w:pPr>
    </w:p>
    <w:p w14:paraId="5D971C52" w14:textId="77777777" w:rsidR="00473B7A" w:rsidRDefault="00473B7A">
      <w:pPr>
        <w:jc w:val="center"/>
        <w:rPr>
          <w:b/>
          <w:sz w:val="36"/>
          <w:szCs w:val="36"/>
        </w:rPr>
      </w:pPr>
      <w:r>
        <w:rPr>
          <w:b/>
          <w:sz w:val="36"/>
          <w:szCs w:val="36"/>
        </w:rPr>
        <w:t>Section 13:  Transmission and Distribution Losses</w:t>
      </w:r>
    </w:p>
    <w:p w14:paraId="09265AC2" w14:textId="77777777" w:rsidR="00473B7A" w:rsidRDefault="00473B7A">
      <w:pPr>
        <w:spacing w:before="360"/>
        <w:jc w:val="center"/>
        <w:rPr>
          <w:b/>
        </w:rPr>
      </w:pPr>
    </w:p>
    <w:p w14:paraId="1F7481EC" w14:textId="49297DDD" w:rsidR="00473B7A" w:rsidRDefault="001033C6">
      <w:pPr>
        <w:spacing w:before="360"/>
        <w:jc w:val="center"/>
        <w:rPr>
          <w:b/>
        </w:rPr>
      </w:pPr>
      <w:r>
        <w:rPr>
          <w:b/>
        </w:rPr>
        <w:t>June</w:t>
      </w:r>
      <w:r w:rsidR="00FF0C72">
        <w:rPr>
          <w:b/>
        </w:rPr>
        <w:t xml:space="preserve"> 1, 20</w:t>
      </w:r>
      <w:r w:rsidR="00732059">
        <w:rPr>
          <w:b/>
        </w:rPr>
        <w:t>2</w:t>
      </w:r>
      <w:r>
        <w:rPr>
          <w:b/>
        </w:rPr>
        <w:t>3</w:t>
      </w:r>
    </w:p>
    <w:p w14:paraId="53A8EC1C" w14:textId="77777777" w:rsidR="00473B7A" w:rsidRDefault="00473B7A">
      <w:pPr>
        <w:pBdr>
          <w:top w:val="single" w:sz="4" w:space="1" w:color="auto"/>
        </w:pBdr>
        <w:spacing w:before="960"/>
        <w:rPr>
          <w:b/>
          <w:sz w:val="20"/>
        </w:rPr>
      </w:pPr>
    </w:p>
    <w:p w14:paraId="1276E2EA" w14:textId="77777777" w:rsidR="00473B7A" w:rsidRDefault="00473B7A">
      <w:pPr>
        <w:pStyle w:val="BodyText"/>
        <w:sectPr w:rsidR="00473B7A">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p>
    <w:p w14:paraId="75EBDE55" w14:textId="30EDFC3B" w:rsidR="004E606A" w:rsidRPr="0071406C" w:rsidRDefault="004D0A9A" w:rsidP="0071406C">
      <w:pPr>
        <w:pStyle w:val="TOC1"/>
        <w:rPr>
          <w:sz w:val="20"/>
        </w:rPr>
      </w:pPr>
      <w:r w:rsidRPr="0071406C">
        <w:rPr>
          <w:sz w:val="20"/>
        </w:rPr>
        <w:lastRenderedPageBreak/>
        <w:fldChar w:fldCharType="begin"/>
      </w:r>
      <w:r w:rsidR="00473B7A" w:rsidRPr="0071406C">
        <w:rPr>
          <w:sz w:val="20"/>
        </w:rPr>
        <w:instrText xml:space="preserve"> TOC \o "1-5" \h \z \u </w:instrText>
      </w:r>
      <w:r w:rsidRPr="0071406C">
        <w:rPr>
          <w:sz w:val="20"/>
        </w:rPr>
        <w:fldChar w:fldCharType="separate"/>
      </w:r>
      <w:hyperlink w:anchor="_Toc254096459" w:history="1">
        <w:r w:rsidR="004E606A" w:rsidRPr="0071406C">
          <w:rPr>
            <w:rStyle w:val="Hyperlink"/>
            <w:u w:val="none"/>
          </w:rPr>
          <w:t>13</w:t>
        </w:r>
        <w:r w:rsidR="004E606A" w:rsidRPr="0071406C">
          <w:tab/>
        </w:r>
        <w:r w:rsidR="004E606A" w:rsidRPr="0071406C">
          <w:rPr>
            <w:rStyle w:val="Hyperlink"/>
            <w:rFonts w:ascii="Times New Roman Bold" w:hAnsi="Times New Roman Bold"/>
            <w:szCs w:val="24"/>
          </w:rPr>
          <w:t>Transmission</w:t>
        </w:r>
        <w:r w:rsidR="004E606A" w:rsidRPr="0071406C">
          <w:rPr>
            <w:rStyle w:val="Hyperlink"/>
            <w:u w:val="none"/>
          </w:rPr>
          <w:t xml:space="preserve"> and Distribution Losses</w:t>
        </w:r>
        <w:r w:rsidR="004E606A" w:rsidRPr="0071406C">
          <w:rPr>
            <w:webHidden/>
          </w:rPr>
          <w:tab/>
        </w:r>
        <w:r w:rsidR="0071406C" w:rsidRPr="0071406C">
          <w:rPr>
            <w:webHidden/>
          </w:rPr>
          <w:t>13-</w:t>
        </w:r>
        <w:r w:rsidR="004E606A" w:rsidRPr="0071406C">
          <w:rPr>
            <w:webHidden/>
          </w:rPr>
          <w:fldChar w:fldCharType="begin"/>
        </w:r>
        <w:r w:rsidR="004E606A" w:rsidRPr="0071406C">
          <w:rPr>
            <w:webHidden/>
          </w:rPr>
          <w:instrText xml:space="preserve"> PAGEREF _Toc254096459 \h </w:instrText>
        </w:r>
        <w:r w:rsidR="004E606A" w:rsidRPr="0071406C">
          <w:rPr>
            <w:webHidden/>
          </w:rPr>
        </w:r>
        <w:r w:rsidR="004E606A" w:rsidRPr="0071406C">
          <w:rPr>
            <w:webHidden/>
          </w:rPr>
          <w:fldChar w:fldCharType="separate"/>
        </w:r>
        <w:r w:rsidR="009111CF">
          <w:rPr>
            <w:webHidden/>
          </w:rPr>
          <w:t>1</w:t>
        </w:r>
        <w:r w:rsidR="004E606A" w:rsidRPr="0071406C">
          <w:rPr>
            <w:webHidden/>
          </w:rPr>
          <w:fldChar w:fldCharType="end"/>
        </w:r>
      </w:hyperlink>
    </w:p>
    <w:p w14:paraId="74BD4CF9" w14:textId="54F9CB43" w:rsidR="004E606A" w:rsidRPr="0071406C" w:rsidRDefault="009111CF">
      <w:pPr>
        <w:pStyle w:val="TOC2"/>
        <w:rPr>
          <w:noProof/>
        </w:rPr>
      </w:pPr>
      <w:hyperlink w:anchor="_Toc254096460" w:history="1">
        <w:r w:rsidR="004E606A" w:rsidRPr="0071406C">
          <w:rPr>
            <w:rStyle w:val="Hyperlink"/>
            <w:noProof/>
          </w:rPr>
          <w:t>13.1</w:t>
        </w:r>
        <w:r w:rsidR="004E606A" w:rsidRPr="0071406C">
          <w:rPr>
            <w:noProof/>
          </w:rPr>
          <w:tab/>
        </w:r>
        <w:r w:rsidR="004E606A" w:rsidRPr="0071406C">
          <w:rPr>
            <w:rStyle w:val="Hyperlink"/>
            <w:noProof/>
          </w:rPr>
          <w:t>Overview</w:t>
        </w:r>
        <w:r w:rsidR="004E606A" w:rsidRPr="0071406C">
          <w:rPr>
            <w:noProof/>
            <w:webHidden/>
          </w:rPr>
          <w:tab/>
        </w:r>
        <w:r w:rsidR="0071406C" w:rsidRPr="0071406C">
          <w:rPr>
            <w:noProof/>
            <w:webHidden/>
          </w:rPr>
          <w:t>13-</w:t>
        </w:r>
        <w:r w:rsidR="004E606A" w:rsidRPr="0071406C">
          <w:rPr>
            <w:noProof/>
            <w:webHidden/>
          </w:rPr>
          <w:fldChar w:fldCharType="begin"/>
        </w:r>
        <w:r w:rsidR="004E606A" w:rsidRPr="0071406C">
          <w:rPr>
            <w:noProof/>
            <w:webHidden/>
          </w:rPr>
          <w:instrText xml:space="preserve"> PAGEREF _Toc254096460 \h </w:instrText>
        </w:r>
        <w:r w:rsidR="004E606A" w:rsidRPr="0071406C">
          <w:rPr>
            <w:noProof/>
            <w:webHidden/>
          </w:rPr>
        </w:r>
        <w:r w:rsidR="004E606A" w:rsidRPr="0071406C">
          <w:rPr>
            <w:noProof/>
            <w:webHidden/>
          </w:rPr>
          <w:fldChar w:fldCharType="separate"/>
        </w:r>
        <w:r>
          <w:rPr>
            <w:noProof/>
            <w:webHidden/>
          </w:rPr>
          <w:t>1</w:t>
        </w:r>
        <w:r w:rsidR="004E606A" w:rsidRPr="0071406C">
          <w:rPr>
            <w:noProof/>
            <w:webHidden/>
          </w:rPr>
          <w:fldChar w:fldCharType="end"/>
        </w:r>
      </w:hyperlink>
    </w:p>
    <w:p w14:paraId="1D3EF474" w14:textId="2A562323" w:rsidR="004E606A" w:rsidRPr="0071406C" w:rsidRDefault="009111CF">
      <w:pPr>
        <w:pStyle w:val="TOC3"/>
        <w:tabs>
          <w:tab w:val="left" w:pos="1987"/>
          <w:tab w:val="right" w:leader="dot" w:pos="9350"/>
        </w:tabs>
        <w:rPr>
          <w:i w:val="0"/>
          <w:noProof/>
        </w:rPr>
      </w:pPr>
      <w:hyperlink w:anchor="_Toc254096461" w:history="1">
        <w:r w:rsidR="004E606A" w:rsidRPr="0071406C">
          <w:rPr>
            <w:rStyle w:val="Hyperlink"/>
            <w:i w:val="0"/>
            <w:noProof/>
          </w:rPr>
          <w:t>13.1.1</w:t>
        </w:r>
        <w:r w:rsidR="004E606A" w:rsidRPr="0071406C">
          <w:rPr>
            <w:i w:val="0"/>
            <w:noProof/>
          </w:rPr>
          <w:tab/>
        </w:r>
        <w:r w:rsidR="004E606A" w:rsidRPr="0071406C">
          <w:rPr>
            <w:rStyle w:val="Hyperlink"/>
            <w:i w:val="0"/>
            <w:noProof/>
          </w:rPr>
          <w:t>Responsibility for Transmission and Distribution Losses</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_Toc254096461 \h </w:instrText>
        </w:r>
        <w:r w:rsidR="004E606A" w:rsidRPr="0071406C">
          <w:rPr>
            <w:i w:val="0"/>
            <w:noProof/>
            <w:webHidden/>
          </w:rPr>
        </w:r>
        <w:r w:rsidR="004E606A" w:rsidRPr="0071406C">
          <w:rPr>
            <w:i w:val="0"/>
            <w:noProof/>
            <w:webHidden/>
          </w:rPr>
          <w:fldChar w:fldCharType="separate"/>
        </w:r>
        <w:r>
          <w:rPr>
            <w:i w:val="0"/>
            <w:noProof/>
            <w:webHidden/>
          </w:rPr>
          <w:t>1</w:t>
        </w:r>
        <w:r w:rsidR="004E606A" w:rsidRPr="0071406C">
          <w:rPr>
            <w:i w:val="0"/>
            <w:noProof/>
            <w:webHidden/>
          </w:rPr>
          <w:fldChar w:fldCharType="end"/>
        </w:r>
      </w:hyperlink>
    </w:p>
    <w:p w14:paraId="1334D3B2" w14:textId="039FCDCC" w:rsidR="004E606A" w:rsidRPr="0071406C" w:rsidRDefault="009111CF">
      <w:pPr>
        <w:pStyle w:val="TOC3"/>
        <w:tabs>
          <w:tab w:val="left" w:pos="1987"/>
          <w:tab w:val="right" w:leader="dot" w:pos="9350"/>
        </w:tabs>
        <w:rPr>
          <w:i w:val="0"/>
          <w:noProof/>
        </w:rPr>
      </w:pPr>
      <w:hyperlink w:anchor="_Toc254096462" w:history="1">
        <w:r w:rsidR="004E606A" w:rsidRPr="0071406C">
          <w:rPr>
            <w:rStyle w:val="Hyperlink"/>
            <w:i w:val="0"/>
            <w:noProof/>
          </w:rPr>
          <w:t>13.1.2</w:t>
        </w:r>
        <w:r w:rsidR="004E606A" w:rsidRPr="0071406C">
          <w:rPr>
            <w:i w:val="0"/>
            <w:noProof/>
          </w:rPr>
          <w:tab/>
        </w:r>
        <w:r w:rsidR="004E606A" w:rsidRPr="0071406C">
          <w:rPr>
            <w:rStyle w:val="Hyperlink"/>
            <w:i w:val="0"/>
            <w:noProof/>
          </w:rPr>
          <w:t>Calculation of Losses for Settlement</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_Toc254096462 \h </w:instrText>
        </w:r>
        <w:r w:rsidR="004E606A" w:rsidRPr="0071406C">
          <w:rPr>
            <w:i w:val="0"/>
            <w:noProof/>
            <w:webHidden/>
          </w:rPr>
        </w:r>
        <w:r w:rsidR="004E606A" w:rsidRPr="0071406C">
          <w:rPr>
            <w:i w:val="0"/>
            <w:noProof/>
            <w:webHidden/>
          </w:rPr>
          <w:fldChar w:fldCharType="separate"/>
        </w:r>
        <w:r>
          <w:rPr>
            <w:i w:val="0"/>
            <w:noProof/>
            <w:webHidden/>
          </w:rPr>
          <w:t>2</w:t>
        </w:r>
        <w:r w:rsidR="004E606A" w:rsidRPr="0071406C">
          <w:rPr>
            <w:i w:val="0"/>
            <w:noProof/>
            <w:webHidden/>
          </w:rPr>
          <w:fldChar w:fldCharType="end"/>
        </w:r>
      </w:hyperlink>
    </w:p>
    <w:p w14:paraId="6CAA0710" w14:textId="3BA66FCB" w:rsidR="004E606A" w:rsidRPr="0071406C" w:rsidRDefault="009111CF">
      <w:pPr>
        <w:pStyle w:val="TOC2"/>
        <w:rPr>
          <w:noProof/>
        </w:rPr>
      </w:pPr>
      <w:hyperlink w:anchor="_Toc254096463" w:history="1">
        <w:r w:rsidR="004E606A" w:rsidRPr="0071406C">
          <w:rPr>
            <w:rStyle w:val="Hyperlink"/>
            <w:noProof/>
          </w:rPr>
          <w:t>13.2</w:t>
        </w:r>
        <w:r w:rsidR="004E606A" w:rsidRPr="0071406C">
          <w:rPr>
            <w:noProof/>
          </w:rPr>
          <w:tab/>
        </w:r>
        <w:r w:rsidR="004E606A" w:rsidRPr="0071406C">
          <w:rPr>
            <w:rStyle w:val="Hyperlink"/>
            <w:noProof/>
          </w:rPr>
          <w:t>Transmission Losses</w:t>
        </w:r>
        <w:r w:rsidR="004E606A" w:rsidRPr="0071406C">
          <w:rPr>
            <w:noProof/>
            <w:webHidden/>
          </w:rPr>
          <w:tab/>
        </w:r>
        <w:r w:rsidR="0071406C" w:rsidRPr="0071406C">
          <w:rPr>
            <w:noProof/>
            <w:webHidden/>
          </w:rPr>
          <w:t>13-</w:t>
        </w:r>
        <w:r w:rsidR="004E606A" w:rsidRPr="0071406C">
          <w:rPr>
            <w:noProof/>
            <w:webHidden/>
          </w:rPr>
          <w:fldChar w:fldCharType="begin"/>
        </w:r>
        <w:r w:rsidR="004E606A" w:rsidRPr="0071406C">
          <w:rPr>
            <w:noProof/>
            <w:webHidden/>
          </w:rPr>
          <w:instrText xml:space="preserve"> PAGEREF _Toc254096463 \h </w:instrText>
        </w:r>
        <w:r w:rsidR="004E606A" w:rsidRPr="0071406C">
          <w:rPr>
            <w:noProof/>
            <w:webHidden/>
          </w:rPr>
        </w:r>
        <w:r w:rsidR="004E606A" w:rsidRPr="0071406C">
          <w:rPr>
            <w:noProof/>
            <w:webHidden/>
          </w:rPr>
          <w:fldChar w:fldCharType="separate"/>
        </w:r>
        <w:r>
          <w:rPr>
            <w:noProof/>
            <w:webHidden/>
          </w:rPr>
          <w:t>2</w:t>
        </w:r>
        <w:r w:rsidR="004E606A" w:rsidRPr="0071406C">
          <w:rPr>
            <w:noProof/>
            <w:webHidden/>
          </w:rPr>
          <w:fldChar w:fldCharType="end"/>
        </w:r>
      </w:hyperlink>
    </w:p>
    <w:p w14:paraId="51DDE1E1" w14:textId="47FFB94B" w:rsidR="004E606A" w:rsidRPr="0071406C" w:rsidRDefault="009111CF">
      <w:pPr>
        <w:pStyle w:val="TOC3"/>
        <w:tabs>
          <w:tab w:val="left" w:pos="1987"/>
          <w:tab w:val="right" w:leader="dot" w:pos="9350"/>
        </w:tabs>
        <w:rPr>
          <w:i w:val="0"/>
          <w:noProof/>
        </w:rPr>
      </w:pPr>
      <w:hyperlink w:anchor="_Toc254096464" w:history="1">
        <w:r w:rsidR="004E606A" w:rsidRPr="0071406C">
          <w:rPr>
            <w:rStyle w:val="Hyperlink"/>
            <w:i w:val="0"/>
            <w:noProof/>
          </w:rPr>
          <w:t>13.2.1</w:t>
        </w:r>
        <w:r w:rsidR="004E606A" w:rsidRPr="0071406C">
          <w:rPr>
            <w:i w:val="0"/>
            <w:noProof/>
          </w:rPr>
          <w:tab/>
        </w:r>
        <w:r w:rsidR="004E606A" w:rsidRPr="0071406C">
          <w:rPr>
            <w:rStyle w:val="Hyperlink"/>
            <w:i w:val="0"/>
            <w:noProof/>
          </w:rPr>
          <w:t>Forecasted Transmission Loss Factors</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_Toc254096464 \h </w:instrText>
        </w:r>
        <w:r w:rsidR="004E606A" w:rsidRPr="0071406C">
          <w:rPr>
            <w:i w:val="0"/>
            <w:noProof/>
            <w:webHidden/>
          </w:rPr>
        </w:r>
        <w:r w:rsidR="004E606A" w:rsidRPr="0071406C">
          <w:rPr>
            <w:i w:val="0"/>
            <w:noProof/>
            <w:webHidden/>
          </w:rPr>
          <w:fldChar w:fldCharType="separate"/>
        </w:r>
        <w:r>
          <w:rPr>
            <w:i w:val="0"/>
            <w:noProof/>
            <w:webHidden/>
          </w:rPr>
          <w:t>3</w:t>
        </w:r>
        <w:r w:rsidR="004E606A" w:rsidRPr="0071406C">
          <w:rPr>
            <w:i w:val="0"/>
            <w:noProof/>
            <w:webHidden/>
          </w:rPr>
          <w:fldChar w:fldCharType="end"/>
        </w:r>
      </w:hyperlink>
    </w:p>
    <w:p w14:paraId="482F5253" w14:textId="4D41E662" w:rsidR="004E606A" w:rsidRPr="0071406C" w:rsidRDefault="009111CF">
      <w:pPr>
        <w:pStyle w:val="TOC3"/>
        <w:tabs>
          <w:tab w:val="left" w:pos="1987"/>
          <w:tab w:val="right" w:leader="dot" w:pos="9350"/>
        </w:tabs>
        <w:rPr>
          <w:i w:val="0"/>
          <w:noProof/>
        </w:rPr>
      </w:pPr>
      <w:hyperlink w:anchor="_Toc254096465" w:history="1">
        <w:r w:rsidR="004E606A" w:rsidRPr="0071406C">
          <w:rPr>
            <w:rStyle w:val="Hyperlink"/>
            <w:i w:val="0"/>
            <w:noProof/>
          </w:rPr>
          <w:t>13.2.2</w:t>
        </w:r>
        <w:r w:rsidR="004E606A" w:rsidRPr="0071406C">
          <w:rPr>
            <w:i w:val="0"/>
            <w:noProof/>
          </w:rPr>
          <w:tab/>
        </w:r>
        <w:r w:rsidR="004E606A" w:rsidRPr="0071406C">
          <w:rPr>
            <w:rStyle w:val="Hyperlink"/>
            <w:i w:val="0"/>
            <w:noProof/>
          </w:rPr>
          <w:t>Deemed Actual Transmission Loss Factors</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_Toc254096465 \h </w:instrText>
        </w:r>
        <w:r w:rsidR="004E606A" w:rsidRPr="0071406C">
          <w:rPr>
            <w:i w:val="0"/>
            <w:noProof/>
            <w:webHidden/>
          </w:rPr>
        </w:r>
        <w:r w:rsidR="004E606A" w:rsidRPr="0071406C">
          <w:rPr>
            <w:i w:val="0"/>
            <w:noProof/>
            <w:webHidden/>
          </w:rPr>
          <w:fldChar w:fldCharType="separate"/>
        </w:r>
        <w:r>
          <w:rPr>
            <w:i w:val="0"/>
            <w:noProof/>
            <w:webHidden/>
          </w:rPr>
          <w:t>3</w:t>
        </w:r>
        <w:r w:rsidR="004E606A" w:rsidRPr="0071406C">
          <w:rPr>
            <w:i w:val="0"/>
            <w:noProof/>
            <w:webHidden/>
          </w:rPr>
          <w:fldChar w:fldCharType="end"/>
        </w:r>
      </w:hyperlink>
    </w:p>
    <w:p w14:paraId="5A760EF8" w14:textId="6A371BE0" w:rsidR="004E606A" w:rsidRPr="0071406C" w:rsidRDefault="009111CF">
      <w:pPr>
        <w:pStyle w:val="TOC3"/>
        <w:tabs>
          <w:tab w:val="left" w:pos="1987"/>
          <w:tab w:val="right" w:leader="dot" w:pos="9350"/>
        </w:tabs>
        <w:rPr>
          <w:i w:val="0"/>
          <w:noProof/>
        </w:rPr>
      </w:pPr>
      <w:hyperlink w:anchor="_Toc254096466" w:history="1">
        <w:r w:rsidR="004E606A" w:rsidRPr="0071406C">
          <w:rPr>
            <w:rStyle w:val="Hyperlink"/>
            <w:i w:val="0"/>
            <w:noProof/>
          </w:rPr>
          <w:t>13.2.3</w:t>
        </w:r>
        <w:r w:rsidR="004E606A" w:rsidRPr="0071406C">
          <w:rPr>
            <w:i w:val="0"/>
            <w:noProof/>
          </w:rPr>
          <w:tab/>
        </w:r>
        <w:r w:rsidR="004E606A" w:rsidRPr="0071406C">
          <w:rPr>
            <w:rStyle w:val="Hyperlink"/>
            <w:i w:val="0"/>
            <w:noProof/>
          </w:rPr>
          <w:t>Transmission Loss Factor Calculations</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_Toc254096466 \h </w:instrText>
        </w:r>
        <w:r w:rsidR="004E606A" w:rsidRPr="0071406C">
          <w:rPr>
            <w:i w:val="0"/>
            <w:noProof/>
            <w:webHidden/>
          </w:rPr>
        </w:r>
        <w:r w:rsidR="004E606A" w:rsidRPr="0071406C">
          <w:rPr>
            <w:i w:val="0"/>
            <w:noProof/>
            <w:webHidden/>
          </w:rPr>
          <w:fldChar w:fldCharType="separate"/>
        </w:r>
        <w:r>
          <w:rPr>
            <w:i w:val="0"/>
            <w:noProof/>
            <w:webHidden/>
          </w:rPr>
          <w:t>3</w:t>
        </w:r>
        <w:r w:rsidR="004E606A" w:rsidRPr="0071406C">
          <w:rPr>
            <w:i w:val="0"/>
            <w:noProof/>
            <w:webHidden/>
          </w:rPr>
          <w:fldChar w:fldCharType="end"/>
        </w:r>
      </w:hyperlink>
    </w:p>
    <w:p w14:paraId="7E29319B" w14:textId="63A9F433" w:rsidR="004E606A" w:rsidRPr="0071406C" w:rsidRDefault="009111CF">
      <w:pPr>
        <w:pStyle w:val="TOC3"/>
        <w:tabs>
          <w:tab w:val="left" w:pos="1987"/>
          <w:tab w:val="right" w:leader="dot" w:pos="9350"/>
        </w:tabs>
        <w:rPr>
          <w:i w:val="0"/>
          <w:noProof/>
        </w:rPr>
      </w:pPr>
      <w:hyperlink w:anchor="_Toc254096467" w:history="1">
        <w:r w:rsidR="004E606A" w:rsidRPr="0071406C">
          <w:rPr>
            <w:rStyle w:val="Hyperlink"/>
            <w:i w:val="0"/>
            <w:noProof/>
          </w:rPr>
          <w:t>13.2.4</w:t>
        </w:r>
        <w:r w:rsidR="004E606A" w:rsidRPr="0071406C">
          <w:rPr>
            <w:i w:val="0"/>
            <w:noProof/>
          </w:rPr>
          <w:tab/>
        </w:r>
        <w:r w:rsidR="004E606A" w:rsidRPr="0071406C">
          <w:rPr>
            <w:rStyle w:val="Hyperlink"/>
            <w:i w:val="0"/>
            <w:noProof/>
          </w:rPr>
          <w:t>Seasonal Transmission Loss Factor Calculation</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_Toc254096467 \h </w:instrText>
        </w:r>
        <w:r w:rsidR="004E606A" w:rsidRPr="0071406C">
          <w:rPr>
            <w:i w:val="0"/>
            <w:noProof/>
            <w:webHidden/>
          </w:rPr>
        </w:r>
        <w:r w:rsidR="004E606A" w:rsidRPr="0071406C">
          <w:rPr>
            <w:i w:val="0"/>
            <w:noProof/>
            <w:webHidden/>
          </w:rPr>
          <w:fldChar w:fldCharType="separate"/>
        </w:r>
        <w:r>
          <w:rPr>
            <w:i w:val="0"/>
            <w:noProof/>
            <w:webHidden/>
          </w:rPr>
          <w:t>4</w:t>
        </w:r>
        <w:r w:rsidR="004E606A" w:rsidRPr="0071406C">
          <w:rPr>
            <w:i w:val="0"/>
            <w:noProof/>
            <w:webHidden/>
          </w:rPr>
          <w:fldChar w:fldCharType="end"/>
        </w:r>
      </w:hyperlink>
    </w:p>
    <w:p w14:paraId="0D610EA2" w14:textId="307D2546" w:rsidR="004E606A" w:rsidRPr="0071406C" w:rsidRDefault="009111CF">
      <w:pPr>
        <w:pStyle w:val="TOC3"/>
        <w:tabs>
          <w:tab w:val="left" w:pos="1987"/>
          <w:tab w:val="right" w:leader="dot" w:pos="9350"/>
        </w:tabs>
        <w:rPr>
          <w:i w:val="0"/>
          <w:noProof/>
        </w:rPr>
      </w:pPr>
      <w:hyperlink w:anchor="_Toc254096468" w:history="1">
        <w:r w:rsidR="004E606A" w:rsidRPr="0071406C">
          <w:rPr>
            <w:rStyle w:val="Hyperlink"/>
            <w:i w:val="0"/>
            <w:noProof/>
          </w:rPr>
          <w:t>13.2.5</w:t>
        </w:r>
        <w:r w:rsidR="004E606A" w:rsidRPr="0071406C">
          <w:rPr>
            <w:i w:val="0"/>
            <w:noProof/>
          </w:rPr>
          <w:tab/>
        </w:r>
        <w:r w:rsidR="004E606A" w:rsidRPr="0071406C">
          <w:rPr>
            <w:rStyle w:val="Hyperlink"/>
            <w:i w:val="0"/>
            <w:noProof/>
          </w:rPr>
          <w:t>Loss Monitoring</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_Toc254096468 \h </w:instrText>
        </w:r>
        <w:r w:rsidR="004E606A" w:rsidRPr="0071406C">
          <w:rPr>
            <w:i w:val="0"/>
            <w:noProof/>
            <w:webHidden/>
          </w:rPr>
        </w:r>
        <w:r w:rsidR="004E606A" w:rsidRPr="0071406C">
          <w:rPr>
            <w:i w:val="0"/>
            <w:noProof/>
            <w:webHidden/>
          </w:rPr>
          <w:fldChar w:fldCharType="separate"/>
        </w:r>
        <w:r>
          <w:rPr>
            <w:i w:val="0"/>
            <w:noProof/>
            <w:webHidden/>
          </w:rPr>
          <w:t>5</w:t>
        </w:r>
        <w:r w:rsidR="004E606A" w:rsidRPr="0071406C">
          <w:rPr>
            <w:i w:val="0"/>
            <w:noProof/>
            <w:webHidden/>
          </w:rPr>
          <w:fldChar w:fldCharType="end"/>
        </w:r>
      </w:hyperlink>
    </w:p>
    <w:p w14:paraId="5F7B1220" w14:textId="1A748FE3" w:rsidR="004E606A" w:rsidRPr="0071406C" w:rsidRDefault="009111CF">
      <w:pPr>
        <w:pStyle w:val="TOC2"/>
        <w:rPr>
          <w:noProof/>
        </w:rPr>
      </w:pPr>
      <w:hyperlink w:anchor="_Toc254096469" w:history="1">
        <w:r w:rsidR="004E606A" w:rsidRPr="0071406C">
          <w:rPr>
            <w:rStyle w:val="Hyperlink"/>
            <w:noProof/>
          </w:rPr>
          <w:t>13.3</w:t>
        </w:r>
        <w:r w:rsidR="004E606A" w:rsidRPr="0071406C">
          <w:rPr>
            <w:noProof/>
          </w:rPr>
          <w:tab/>
        </w:r>
        <w:r w:rsidR="004E606A" w:rsidRPr="0071406C">
          <w:rPr>
            <w:rStyle w:val="Hyperlink"/>
            <w:noProof/>
          </w:rPr>
          <w:t>Distribution Losses</w:t>
        </w:r>
        <w:r w:rsidR="004E606A" w:rsidRPr="0071406C">
          <w:rPr>
            <w:noProof/>
            <w:webHidden/>
          </w:rPr>
          <w:tab/>
        </w:r>
        <w:r w:rsidR="0071406C" w:rsidRPr="0071406C">
          <w:rPr>
            <w:noProof/>
            <w:webHidden/>
          </w:rPr>
          <w:t>13-</w:t>
        </w:r>
        <w:r w:rsidR="004E606A" w:rsidRPr="0071406C">
          <w:rPr>
            <w:noProof/>
            <w:webHidden/>
          </w:rPr>
          <w:fldChar w:fldCharType="begin"/>
        </w:r>
        <w:r w:rsidR="004E606A" w:rsidRPr="0071406C">
          <w:rPr>
            <w:noProof/>
            <w:webHidden/>
          </w:rPr>
          <w:instrText xml:space="preserve"> PAGEREF _Toc254096469 \h </w:instrText>
        </w:r>
        <w:r w:rsidR="004E606A" w:rsidRPr="0071406C">
          <w:rPr>
            <w:noProof/>
            <w:webHidden/>
          </w:rPr>
        </w:r>
        <w:r w:rsidR="004E606A" w:rsidRPr="0071406C">
          <w:rPr>
            <w:noProof/>
            <w:webHidden/>
          </w:rPr>
          <w:fldChar w:fldCharType="separate"/>
        </w:r>
        <w:r>
          <w:rPr>
            <w:noProof/>
            <w:webHidden/>
          </w:rPr>
          <w:t>7</w:t>
        </w:r>
        <w:r w:rsidR="004E606A" w:rsidRPr="0071406C">
          <w:rPr>
            <w:noProof/>
            <w:webHidden/>
          </w:rPr>
          <w:fldChar w:fldCharType="end"/>
        </w:r>
      </w:hyperlink>
    </w:p>
    <w:p w14:paraId="0F733516" w14:textId="566E792B" w:rsidR="004E606A" w:rsidRPr="0071406C" w:rsidRDefault="009111CF">
      <w:pPr>
        <w:pStyle w:val="TOC3"/>
        <w:tabs>
          <w:tab w:val="left" w:pos="1987"/>
          <w:tab w:val="right" w:leader="dot" w:pos="9350"/>
        </w:tabs>
        <w:rPr>
          <w:i w:val="0"/>
          <w:noProof/>
        </w:rPr>
      </w:pPr>
      <w:hyperlink w:anchor="_Toc254096470" w:history="1">
        <w:r w:rsidR="004E606A" w:rsidRPr="0071406C">
          <w:rPr>
            <w:rStyle w:val="Hyperlink"/>
            <w:i w:val="0"/>
            <w:noProof/>
          </w:rPr>
          <w:t>13.3.1</w:t>
        </w:r>
        <w:r w:rsidR="004E606A" w:rsidRPr="0071406C">
          <w:rPr>
            <w:i w:val="0"/>
            <w:noProof/>
          </w:rPr>
          <w:tab/>
        </w:r>
        <w:r w:rsidR="004E606A" w:rsidRPr="0071406C">
          <w:rPr>
            <w:rStyle w:val="Hyperlink"/>
            <w:i w:val="0"/>
            <w:noProof/>
          </w:rPr>
          <w:t>Loss Factor Calculation</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_Toc254096470 \h </w:instrText>
        </w:r>
        <w:r w:rsidR="004E606A" w:rsidRPr="0071406C">
          <w:rPr>
            <w:i w:val="0"/>
            <w:noProof/>
            <w:webHidden/>
          </w:rPr>
        </w:r>
        <w:r w:rsidR="004E606A" w:rsidRPr="0071406C">
          <w:rPr>
            <w:i w:val="0"/>
            <w:noProof/>
            <w:webHidden/>
          </w:rPr>
          <w:fldChar w:fldCharType="separate"/>
        </w:r>
        <w:r>
          <w:rPr>
            <w:i w:val="0"/>
            <w:noProof/>
            <w:webHidden/>
          </w:rPr>
          <w:t>8</w:t>
        </w:r>
        <w:r w:rsidR="004E606A" w:rsidRPr="0071406C">
          <w:rPr>
            <w:i w:val="0"/>
            <w:noProof/>
            <w:webHidden/>
          </w:rPr>
          <w:fldChar w:fldCharType="end"/>
        </w:r>
      </w:hyperlink>
    </w:p>
    <w:p w14:paraId="51C85034" w14:textId="24FBECB1" w:rsidR="004E606A" w:rsidRPr="0071406C" w:rsidRDefault="009111CF">
      <w:pPr>
        <w:pStyle w:val="TOC3"/>
        <w:tabs>
          <w:tab w:val="left" w:pos="1987"/>
          <w:tab w:val="right" w:leader="dot" w:pos="9350"/>
        </w:tabs>
        <w:rPr>
          <w:i w:val="0"/>
          <w:noProof/>
        </w:rPr>
      </w:pPr>
      <w:hyperlink w:anchor="_Toc254096471" w:history="1">
        <w:r w:rsidR="004E606A" w:rsidRPr="0071406C">
          <w:rPr>
            <w:rStyle w:val="Hyperlink"/>
            <w:i w:val="0"/>
            <w:noProof/>
          </w:rPr>
          <w:t>13.3.2</w:t>
        </w:r>
        <w:r w:rsidR="004E606A" w:rsidRPr="0071406C">
          <w:rPr>
            <w:i w:val="0"/>
            <w:noProof/>
          </w:rPr>
          <w:tab/>
        </w:r>
        <w:r w:rsidR="004E606A" w:rsidRPr="0071406C">
          <w:rPr>
            <w:rStyle w:val="Hyperlink"/>
            <w:i w:val="0"/>
            <w:noProof/>
          </w:rPr>
          <w:t>Loss Monitoring</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_Toc254096471 \h </w:instrText>
        </w:r>
        <w:r w:rsidR="004E606A" w:rsidRPr="0071406C">
          <w:rPr>
            <w:i w:val="0"/>
            <w:noProof/>
            <w:webHidden/>
          </w:rPr>
        </w:r>
        <w:r w:rsidR="004E606A" w:rsidRPr="0071406C">
          <w:rPr>
            <w:i w:val="0"/>
            <w:noProof/>
            <w:webHidden/>
          </w:rPr>
          <w:fldChar w:fldCharType="separate"/>
        </w:r>
        <w:r>
          <w:rPr>
            <w:i w:val="0"/>
            <w:noProof/>
            <w:webHidden/>
          </w:rPr>
          <w:t>8</w:t>
        </w:r>
        <w:r w:rsidR="004E606A" w:rsidRPr="0071406C">
          <w:rPr>
            <w:i w:val="0"/>
            <w:noProof/>
            <w:webHidden/>
          </w:rPr>
          <w:fldChar w:fldCharType="end"/>
        </w:r>
      </w:hyperlink>
    </w:p>
    <w:p w14:paraId="0CB9B21C" w14:textId="2A96FDF1" w:rsidR="004E606A" w:rsidRPr="0071406C" w:rsidRDefault="009111CF">
      <w:pPr>
        <w:pStyle w:val="TOC2"/>
        <w:rPr>
          <w:noProof/>
        </w:rPr>
      </w:pPr>
      <w:hyperlink w:anchor="_Toc254096472" w:history="1">
        <w:r w:rsidR="004E606A" w:rsidRPr="0071406C">
          <w:rPr>
            <w:rStyle w:val="Hyperlink"/>
            <w:noProof/>
          </w:rPr>
          <w:t>13.4</w:t>
        </w:r>
        <w:r w:rsidR="004E606A" w:rsidRPr="0071406C">
          <w:rPr>
            <w:noProof/>
          </w:rPr>
          <w:tab/>
        </w:r>
        <w:r w:rsidR="004E606A" w:rsidRPr="0071406C">
          <w:rPr>
            <w:rStyle w:val="Hyperlink"/>
            <w:noProof/>
          </w:rPr>
          <w:t>Special Loss Calculations for Settlement and Analysis</w:t>
        </w:r>
        <w:r w:rsidR="004E606A" w:rsidRPr="0071406C">
          <w:rPr>
            <w:noProof/>
            <w:webHidden/>
          </w:rPr>
          <w:tab/>
        </w:r>
        <w:r w:rsidR="0071406C" w:rsidRPr="0071406C">
          <w:rPr>
            <w:noProof/>
            <w:webHidden/>
          </w:rPr>
          <w:t>13-</w:t>
        </w:r>
        <w:r w:rsidR="004E606A" w:rsidRPr="0071406C">
          <w:rPr>
            <w:noProof/>
            <w:webHidden/>
          </w:rPr>
          <w:fldChar w:fldCharType="begin"/>
        </w:r>
        <w:r w:rsidR="004E606A" w:rsidRPr="0071406C">
          <w:rPr>
            <w:noProof/>
            <w:webHidden/>
          </w:rPr>
          <w:instrText xml:space="preserve"> PAGEREF _Toc254096472 \h </w:instrText>
        </w:r>
        <w:r w:rsidR="004E606A" w:rsidRPr="0071406C">
          <w:rPr>
            <w:noProof/>
            <w:webHidden/>
          </w:rPr>
        </w:r>
        <w:r w:rsidR="004E606A" w:rsidRPr="0071406C">
          <w:rPr>
            <w:noProof/>
            <w:webHidden/>
          </w:rPr>
          <w:fldChar w:fldCharType="separate"/>
        </w:r>
        <w:r>
          <w:rPr>
            <w:noProof/>
            <w:webHidden/>
          </w:rPr>
          <w:t>8</w:t>
        </w:r>
        <w:r w:rsidR="004E606A" w:rsidRPr="0071406C">
          <w:rPr>
            <w:noProof/>
            <w:webHidden/>
          </w:rPr>
          <w:fldChar w:fldCharType="end"/>
        </w:r>
      </w:hyperlink>
    </w:p>
    <w:p w14:paraId="4AF2A022" w14:textId="5B4951E6" w:rsidR="004E606A" w:rsidRPr="0071406C" w:rsidRDefault="009111CF">
      <w:pPr>
        <w:pStyle w:val="TOC3"/>
        <w:tabs>
          <w:tab w:val="left" w:pos="1987"/>
          <w:tab w:val="right" w:leader="dot" w:pos="9350"/>
        </w:tabs>
        <w:rPr>
          <w:i w:val="0"/>
          <w:noProof/>
        </w:rPr>
      </w:pPr>
      <w:hyperlink w:anchor="_Toc254096473" w:history="1">
        <w:r w:rsidR="004E606A" w:rsidRPr="0071406C">
          <w:rPr>
            <w:rStyle w:val="Hyperlink"/>
            <w:i w:val="0"/>
            <w:noProof/>
          </w:rPr>
          <w:t>13.4.1</w:t>
        </w:r>
        <w:r w:rsidR="004E606A" w:rsidRPr="0071406C">
          <w:rPr>
            <w:i w:val="0"/>
            <w:noProof/>
          </w:rPr>
          <w:tab/>
        </w:r>
        <w:r w:rsidR="004E606A" w:rsidRPr="0071406C">
          <w:rPr>
            <w:rStyle w:val="Hyperlink"/>
            <w:i w:val="0"/>
            <w:noProof/>
          </w:rPr>
          <w:t>Deemed Actual Transmission Losses for NOIEs</w:t>
        </w:r>
        <w:r w:rsidR="004E606A" w:rsidRPr="0071406C">
          <w:rPr>
            <w:i w:val="0"/>
            <w:noProof/>
            <w:webHidden/>
          </w:rPr>
          <w:tab/>
        </w:r>
        <w:r w:rsidR="0071406C" w:rsidRPr="0071406C">
          <w:rPr>
            <w:i w:val="0"/>
            <w:noProof/>
            <w:webHidden/>
          </w:rPr>
          <w:t>13-</w:t>
        </w:r>
        <w:r w:rsidR="004E606A" w:rsidRPr="0071406C">
          <w:rPr>
            <w:i w:val="0"/>
            <w:noProof/>
            <w:webHidden/>
          </w:rPr>
          <w:fldChar w:fldCharType="begin"/>
        </w:r>
        <w:r w:rsidR="004E606A" w:rsidRPr="0071406C">
          <w:rPr>
            <w:i w:val="0"/>
            <w:noProof/>
            <w:webHidden/>
          </w:rPr>
          <w:instrText xml:space="preserve"> PAGEREF _Toc254096473 \h </w:instrText>
        </w:r>
        <w:r w:rsidR="004E606A" w:rsidRPr="0071406C">
          <w:rPr>
            <w:i w:val="0"/>
            <w:noProof/>
            <w:webHidden/>
          </w:rPr>
        </w:r>
        <w:r w:rsidR="004E606A" w:rsidRPr="0071406C">
          <w:rPr>
            <w:i w:val="0"/>
            <w:noProof/>
            <w:webHidden/>
          </w:rPr>
          <w:fldChar w:fldCharType="separate"/>
        </w:r>
        <w:r>
          <w:rPr>
            <w:i w:val="0"/>
            <w:noProof/>
            <w:webHidden/>
          </w:rPr>
          <w:t>8</w:t>
        </w:r>
        <w:r w:rsidR="004E606A" w:rsidRPr="0071406C">
          <w:rPr>
            <w:i w:val="0"/>
            <w:noProof/>
            <w:webHidden/>
          </w:rPr>
          <w:fldChar w:fldCharType="end"/>
        </w:r>
      </w:hyperlink>
    </w:p>
    <w:p w14:paraId="58F60886" w14:textId="77777777" w:rsidR="00473B7A" w:rsidRDefault="004D0A9A">
      <w:pPr>
        <w:pStyle w:val="BodyText"/>
        <w:sectPr w:rsidR="00473B7A">
          <w:headerReference w:type="default" r:id="rId12"/>
          <w:footerReference w:type="default" r:id="rId13"/>
          <w:pgSz w:w="12240" w:h="15840" w:code="1"/>
          <w:pgMar w:top="1440" w:right="1440" w:bottom="1440" w:left="1440" w:header="720" w:footer="720" w:gutter="0"/>
          <w:pgNumType w:chapStyle="1"/>
          <w:cols w:space="720"/>
        </w:sectPr>
      </w:pPr>
      <w:r w:rsidRPr="0071406C">
        <w:rPr>
          <w:sz w:val="20"/>
        </w:rPr>
        <w:fldChar w:fldCharType="end"/>
      </w:r>
    </w:p>
    <w:p w14:paraId="71B1E427" w14:textId="77777777" w:rsidR="00473B7A" w:rsidRPr="00DD30D7" w:rsidRDefault="00473B7A">
      <w:pPr>
        <w:pStyle w:val="Heading1"/>
        <w:numPr>
          <w:ilvl w:val="0"/>
          <w:numId w:val="9"/>
        </w:numPr>
        <w:ind w:hanging="720"/>
      </w:pPr>
      <w:bookmarkStart w:id="0" w:name="_Toc254096459"/>
      <w:r w:rsidRPr="00DD30D7">
        <w:lastRenderedPageBreak/>
        <w:t xml:space="preserve">Transmission </w:t>
      </w:r>
      <w:smartTag w:uri="urn:schemas-microsoft-com:office:smarttags" w:element="time">
        <w:r w:rsidRPr="00DD30D7">
          <w:t>and</w:t>
        </w:r>
      </w:smartTag>
      <w:r w:rsidRPr="00DD30D7">
        <w:t xml:space="preserve"> Distribution Losses</w:t>
      </w:r>
      <w:bookmarkEnd w:id="0"/>
    </w:p>
    <w:p w14:paraId="508AA673" w14:textId="77777777" w:rsidR="00473B7A" w:rsidRDefault="00473B7A" w:rsidP="00D20EC0">
      <w:pPr>
        <w:pStyle w:val="H2"/>
        <w:spacing w:before="480"/>
      </w:pPr>
      <w:bookmarkStart w:id="1" w:name="_Toc254096460"/>
      <w:r>
        <w:t>13.1</w:t>
      </w:r>
      <w:r>
        <w:tab/>
        <w:t>Overview</w:t>
      </w:r>
      <w:bookmarkEnd w:id="1"/>
    </w:p>
    <w:p w14:paraId="72207466" w14:textId="77777777" w:rsidR="00473B7A" w:rsidRDefault="0071406C" w:rsidP="005023DE">
      <w:pPr>
        <w:pStyle w:val="BodyText"/>
        <w:ind w:left="720" w:hanging="720"/>
      </w:pPr>
      <w:r>
        <w:t>(1)</w:t>
      </w:r>
      <w:r>
        <w:tab/>
      </w:r>
      <w:r w:rsidR="00473B7A">
        <w:t>This section sets forth the method for calculating Transmission and Distribution Losses (T&amp;D Losses) and responsibilities of ERCOT, Qualified Scheduling Entities (QSEs), Transmission Service Providers (TSPs) and Distribution Service Providers (DSPs) with respect to T&amp;D Losses.</w:t>
      </w:r>
    </w:p>
    <w:p w14:paraId="621E5919" w14:textId="77777777" w:rsidR="00473B7A" w:rsidRDefault="00473B7A" w:rsidP="00D20EC0">
      <w:pPr>
        <w:pStyle w:val="H3"/>
        <w:spacing w:before="480"/>
      </w:pPr>
      <w:bookmarkStart w:id="2" w:name="_Toc254096461"/>
      <w:r>
        <w:t>13.1.1</w:t>
      </w:r>
      <w:r>
        <w:tab/>
        <w:t>Responsibility for Transmission and Distribution Losses</w:t>
      </w:r>
      <w:bookmarkEnd w:id="2"/>
    </w:p>
    <w:p w14:paraId="414D1196" w14:textId="77777777" w:rsidR="00473B7A" w:rsidRDefault="00473B7A">
      <w:pPr>
        <w:pStyle w:val="BodyText"/>
        <w:ind w:left="720" w:hanging="720"/>
      </w:pPr>
      <w:r>
        <w:t>(1)</w:t>
      </w:r>
      <w:r>
        <w:tab/>
        <w:t xml:space="preserve">T&amp;D Losses are the responsibility of </w:t>
      </w:r>
      <w:r w:rsidR="00FF0C72">
        <w:t xml:space="preserve">each </w:t>
      </w:r>
      <w:r>
        <w:t>QSE representing Load</w:t>
      </w:r>
      <w:r w:rsidR="00FF0C72">
        <w:t xml:space="preserve">.  </w:t>
      </w:r>
      <w:r>
        <w:t>ERCOT shall allocate T&amp;D Losses to Load at the appropriate aggregate level as part of the data aggregation process to calculate the Load obligation of QSEs for settlement purposes.</w:t>
      </w:r>
    </w:p>
    <w:p w14:paraId="44A88AD9" w14:textId="77777777" w:rsidR="00473B7A" w:rsidRDefault="00473B7A">
      <w:pPr>
        <w:pStyle w:val="BodyText"/>
        <w:ind w:left="720" w:hanging="720"/>
      </w:pPr>
      <w:r>
        <w:t>(2)</w:t>
      </w:r>
      <w:r>
        <w:tab/>
        <w:t xml:space="preserve">ERCOT shall forecast Transmission Loss Factors (TLFs) and post them to the </w:t>
      </w:r>
      <w:r w:rsidR="00732059">
        <w:t>ERCOT website</w:t>
      </w:r>
      <w:r>
        <w:t xml:space="preserve"> by 0600 of the Day</w:t>
      </w:r>
      <w:r w:rsidR="00F10683">
        <w:t>-</w:t>
      </w:r>
      <w:r>
        <w:t xml:space="preserve">Ahead period.  ERCOT shall forecast the ERCOT-wide TLFs as a percentage of Load for each Settlement Interval of the Operating Day.  By the close of business on the day following the Operating Day, ERCOT shall also calculate TLFs for each Settlement Interval using the actual system Load for that Settlement Interval and shall post the resulting deemed actual TLFs to the settlement system and the </w:t>
      </w:r>
      <w:r w:rsidR="00732059">
        <w:t>ERCOT website</w:t>
      </w:r>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682F64" w14:paraId="103F99D2" w14:textId="77777777" w:rsidTr="0056427F">
        <w:tc>
          <w:tcPr>
            <w:tcW w:w="9558" w:type="dxa"/>
            <w:shd w:val="pct12" w:color="auto" w:fill="auto"/>
          </w:tcPr>
          <w:p w14:paraId="502BADDD" w14:textId="2CA6A5C4" w:rsidR="00682F64" w:rsidRPr="0002450E" w:rsidRDefault="00682F64" w:rsidP="0056427F">
            <w:pPr>
              <w:pStyle w:val="Instructions"/>
              <w:spacing w:before="120"/>
              <w:rPr>
                <w:iCs/>
              </w:rPr>
            </w:pPr>
            <w:r>
              <w:rPr>
                <w:iCs/>
              </w:rPr>
              <w:t>[NPRR1145</w:t>
            </w:r>
            <w:r w:rsidRPr="0002450E">
              <w:rPr>
                <w:iCs/>
              </w:rPr>
              <w:t xml:space="preserve">:  Replace </w:t>
            </w:r>
            <w:r>
              <w:rPr>
                <w:iCs/>
              </w:rPr>
              <w:t xml:space="preserve">paragraph (2) </w:t>
            </w:r>
            <w:r w:rsidRPr="0002450E">
              <w:rPr>
                <w:iCs/>
              </w:rPr>
              <w:t xml:space="preserve">above with the following upon system implementation:] </w:t>
            </w:r>
          </w:p>
          <w:p w14:paraId="36B9C822" w14:textId="37642755" w:rsidR="00682F64" w:rsidRPr="00682F64" w:rsidRDefault="00682F64" w:rsidP="00682F64">
            <w:pPr>
              <w:spacing w:after="240"/>
              <w:ind w:left="720" w:hanging="720"/>
              <w:rPr>
                <w:iCs/>
              </w:rPr>
            </w:pPr>
            <w:r w:rsidRPr="00E87C9C">
              <w:rPr>
                <w:iCs/>
              </w:rPr>
              <w:t>(2)</w:t>
            </w:r>
            <w:r w:rsidRPr="00E87C9C">
              <w:rPr>
                <w:iCs/>
              </w:rPr>
              <w:tab/>
              <w:t xml:space="preserve">ERCOT shall forecast Transmission Loss Factors (TLFs) and post them to the ERCOT website by 0600 of the Day-Ahead period.  ERCOT shall forecast the ERCOT-wide TLFs as a percentage of Load for each Settlement Interval of the Operating Day.  By the close of business on the day following the Operating Day, ERCOT shall also calculate </w:t>
            </w:r>
            <w:r>
              <w:rPr>
                <w:iCs/>
              </w:rPr>
              <w:t xml:space="preserve">Actual </w:t>
            </w:r>
            <w:r w:rsidRPr="00E87C9C">
              <w:rPr>
                <w:iCs/>
              </w:rPr>
              <w:t xml:space="preserve">TLFs using the actual system Load and shall post the resulting </w:t>
            </w:r>
            <w:r>
              <w:rPr>
                <w:iCs/>
              </w:rPr>
              <w:t>A</w:t>
            </w:r>
            <w:r w:rsidRPr="00E87C9C">
              <w:rPr>
                <w:iCs/>
              </w:rPr>
              <w:t xml:space="preserve">ctual TLFs to the </w:t>
            </w:r>
            <w:r>
              <w:rPr>
                <w:iCs/>
              </w:rPr>
              <w:t>s</w:t>
            </w:r>
            <w:r w:rsidRPr="00E87C9C">
              <w:rPr>
                <w:iCs/>
              </w:rPr>
              <w:t>ettlement system and the ERCOT website.</w:t>
            </w:r>
          </w:p>
        </w:tc>
      </w:tr>
    </w:tbl>
    <w:p w14:paraId="10E37B21" w14:textId="7B5D4744" w:rsidR="00473B7A" w:rsidRDefault="00473B7A" w:rsidP="00D34009">
      <w:pPr>
        <w:pStyle w:val="BodyText"/>
        <w:spacing w:before="240"/>
        <w:ind w:left="720" w:hanging="720"/>
      </w:pPr>
      <w:r>
        <w:t>(3)</w:t>
      </w:r>
      <w:r>
        <w:tab/>
        <w:t xml:space="preserve">ERCOT shall forecast Settlement Interval Distribution Loss Factors (DLFs) and post them to the </w:t>
      </w:r>
      <w:r w:rsidR="00732059">
        <w:t>ERCOT website</w:t>
      </w:r>
      <w:r>
        <w:t xml:space="preserve"> by 0600 of the Day Ahead period.  ERCOT shall forecast the Settlement Interval DLFs as a percentage of Load for each Settlement Interval of the Operating Day.  On the day following the Operating Day, ERCOT shall also calculate Settlement Interval DLFs using actual system Load for that Settlement Interval and post the resulting deemed actual Settlement Interval DLFs to the settlement system and the </w:t>
      </w:r>
      <w:r w:rsidR="00732059">
        <w:t>ERCOT website</w:t>
      </w:r>
      <w:r>
        <w:t>.</w:t>
      </w:r>
    </w:p>
    <w:p w14:paraId="01F761BB" w14:textId="77777777" w:rsidR="00473B7A" w:rsidRDefault="00473B7A">
      <w:pPr>
        <w:pStyle w:val="BodyText"/>
        <w:ind w:left="720" w:hanging="720"/>
      </w:pPr>
      <w:r>
        <w:t>(4)</w:t>
      </w:r>
      <w:r>
        <w:tab/>
        <w:t>Distribution loss coefficients, and the calculation methodology from which they are derived, will be subject to audit by ERCOT for accurate and consistent application.  Non-Opt-in Entities (NOIE</w:t>
      </w:r>
      <w:r w:rsidR="00FF0C72">
        <w:t>s</w:t>
      </w:r>
      <w:r>
        <w:t>) with Interval Data Recorders</w:t>
      </w:r>
      <w:r w:rsidR="00FF0C72">
        <w:t xml:space="preserve"> (IDRs)</w:t>
      </w:r>
      <w:r>
        <w:t xml:space="preserve"> at the settlement point of </w:t>
      </w:r>
      <w:r>
        <w:lastRenderedPageBreak/>
        <w:t>delivery are not required to provide Distribution loss coefficients and calculation methodology.</w:t>
      </w:r>
    </w:p>
    <w:p w14:paraId="0A6CF404" w14:textId="77777777" w:rsidR="00473B7A" w:rsidRDefault="00473B7A">
      <w:pPr>
        <w:pStyle w:val="BodyText"/>
        <w:ind w:left="720" w:hanging="720"/>
      </w:pPr>
      <w:r>
        <w:t>(5)</w:t>
      </w:r>
      <w:r>
        <w:tab/>
        <w:t xml:space="preserve">In the special case where there are distribution facilities upstream from a wholesale NOIE </w:t>
      </w:r>
      <w:r w:rsidR="00FF0C72">
        <w:t xml:space="preserve">or External Load Serving Entity (ELSE) </w:t>
      </w:r>
      <w:r>
        <w:t xml:space="preserve">settlement </w:t>
      </w:r>
      <w:smartTag w:uri="urn:schemas-microsoft-com:office:smarttags" w:element="time">
        <w:r>
          <w:t>IDR</w:t>
        </w:r>
      </w:smartTag>
      <w:r>
        <w:t xml:space="preserve">, that settlement </w:t>
      </w:r>
      <w:smartTag w:uri="urn:schemas-microsoft-com:office:smarttags" w:element="time">
        <w:r>
          <w:t>IDR</w:t>
        </w:r>
      </w:smartTag>
      <w:r>
        <w:t xml:space="preserve"> will be compensated for line and transformer losses between the </w:t>
      </w:r>
      <w:smartTag w:uri="urn:schemas-microsoft-com:office:smarttags" w:element="time">
        <w:r>
          <w:t>IDR</w:t>
        </w:r>
      </w:smartTag>
      <w:r>
        <w:t xml:space="preserve"> and the ERCOT Transmission Grid to account for the Distribution Losses.  The NOIE</w:t>
      </w:r>
      <w:r w:rsidR="00945D07">
        <w:t xml:space="preserve"> or ELSE</w:t>
      </w:r>
      <w:r>
        <w:t xml:space="preserve"> will be then treated as a transmission level NOIE</w:t>
      </w:r>
      <w:r w:rsidR="00945D07">
        <w:t xml:space="preserve"> or ELSE</w:t>
      </w:r>
      <w:r>
        <w:t xml:space="preserve">.  Calculations are subject to review by ERCOT.  Since loss compensation is included in the wholesale settlement </w:t>
      </w:r>
      <w:smartTag w:uri="urn:schemas-microsoft-com:office:smarttags" w:element="time">
        <w:r>
          <w:t>IDR</w:t>
        </w:r>
      </w:smartTag>
      <w:r>
        <w:t xml:space="preserve">, the </w:t>
      </w:r>
      <w:smartTag w:uri="urn:schemas-microsoft-com:office:smarttags" w:element="time">
        <w:r>
          <w:t>TSP</w:t>
        </w:r>
      </w:smartTag>
      <w:r>
        <w:t xml:space="preserve"> and/or DSP providing upstream wheeling facilities may need to offer wholesale wheeling tariffs excluding the losses that have already been compensated for.</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0C15B4" w14:paraId="3B799B87" w14:textId="77777777" w:rsidTr="0056427F">
        <w:tc>
          <w:tcPr>
            <w:tcW w:w="9558" w:type="dxa"/>
            <w:shd w:val="pct12" w:color="auto" w:fill="auto"/>
          </w:tcPr>
          <w:p w14:paraId="7B600928" w14:textId="6CC40297" w:rsidR="000C15B4" w:rsidRPr="0002450E" w:rsidRDefault="000C15B4" w:rsidP="0056427F">
            <w:pPr>
              <w:pStyle w:val="Instructions"/>
              <w:spacing w:before="120"/>
              <w:rPr>
                <w:iCs/>
              </w:rPr>
            </w:pPr>
            <w:bookmarkStart w:id="3" w:name="_Toc254096462"/>
            <w:r>
              <w:rPr>
                <w:iCs/>
              </w:rPr>
              <w:t>[NPRR1145</w:t>
            </w:r>
            <w:r w:rsidRPr="0002450E">
              <w:rPr>
                <w:iCs/>
              </w:rPr>
              <w:t xml:space="preserve">:  Replace </w:t>
            </w:r>
            <w:r>
              <w:rPr>
                <w:iCs/>
              </w:rPr>
              <w:t xml:space="preserve">paragraph (5) </w:t>
            </w:r>
            <w:r w:rsidRPr="0002450E">
              <w:rPr>
                <w:iCs/>
              </w:rPr>
              <w:t xml:space="preserve">above with the following upon system implementation:] </w:t>
            </w:r>
          </w:p>
          <w:p w14:paraId="2E4C2D7B" w14:textId="01D9EF60" w:rsidR="000C15B4" w:rsidRPr="00682F64" w:rsidRDefault="000C15B4" w:rsidP="000C15B4">
            <w:pPr>
              <w:spacing w:after="240"/>
              <w:ind w:left="720" w:hanging="720"/>
              <w:rPr>
                <w:iCs/>
              </w:rPr>
            </w:pPr>
            <w:r w:rsidRPr="00E87C9C">
              <w:rPr>
                <w:iCs/>
              </w:rPr>
              <w:t>(5)</w:t>
            </w:r>
            <w:r w:rsidRPr="00E87C9C">
              <w:rPr>
                <w:iCs/>
              </w:rPr>
              <w:tab/>
              <w:t xml:space="preserve">In the special case where there are distribution facilities upstream from a wholesale NOIE or External Load Serving Entity (ELSE) settlement </w:t>
            </w:r>
            <w:smartTag w:uri="urn:schemas-microsoft-com:office:smarttags" w:element="time">
              <w:r w:rsidRPr="00E87C9C">
                <w:rPr>
                  <w:iCs/>
                </w:rPr>
                <w:t>IDR</w:t>
              </w:r>
            </w:smartTag>
            <w:r w:rsidRPr="00E87C9C">
              <w:rPr>
                <w:iCs/>
              </w:rPr>
              <w:t xml:space="preserve">, that settlement </w:t>
            </w:r>
            <w:smartTag w:uri="urn:schemas-microsoft-com:office:smarttags" w:element="time">
              <w:r w:rsidRPr="00E87C9C">
                <w:rPr>
                  <w:iCs/>
                </w:rPr>
                <w:t>IDR</w:t>
              </w:r>
            </w:smartTag>
            <w:r w:rsidRPr="00E87C9C">
              <w:rPr>
                <w:iCs/>
              </w:rPr>
              <w:t xml:space="preserve"> will be compensated for line and transformer losses between the </w:t>
            </w:r>
            <w:smartTag w:uri="urn:schemas-microsoft-com:office:smarttags" w:element="time">
              <w:r w:rsidRPr="00E87C9C">
                <w:rPr>
                  <w:iCs/>
                </w:rPr>
                <w:t>IDR</w:t>
              </w:r>
            </w:smartTag>
            <w:r w:rsidRPr="00E87C9C">
              <w:rPr>
                <w:iCs/>
              </w:rPr>
              <w:t xml:space="preserve"> and the ERCOT Transmission Grid to account for the Distribution Losses.  The NOIE or ELSE will then </w:t>
            </w:r>
            <w:r>
              <w:rPr>
                <w:iCs/>
              </w:rPr>
              <w:t xml:space="preserve">be </w:t>
            </w:r>
            <w:r w:rsidRPr="00E87C9C">
              <w:rPr>
                <w:iCs/>
              </w:rPr>
              <w:t xml:space="preserve">treated as a transmission level NOIE or ELSE.  Calculations are subject to review by ERCOT.  Since loss compensation is included in the wholesale settlement </w:t>
            </w:r>
            <w:smartTag w:uri="urn:schemas-microsoft-com:office:smarttags" w:element="time">
              <w:r w:rsidRPr="00E87C9C">
                <w:rPr>
                  <w:iCs/>
                </w:rPr>
                <w:t>IDR</w:t>
              </w:r>
            </w:smartTag>
            <w:r w:rsidRPr="00E87C9C">
              <w:rPr>
                <w:iCs/>
              </w:rPr>
              <w:t xml:space="preserve">, the </w:t>
            </w:r>
            <w:smartTag w:uri="urn:schemas-microsoft-com:office:smarttags" w:element="time">
              <w:r w:rsidRPr="00E87C9C">
                <w:rPr>
                  <w:iCs/>
                </w:rPr>
                <w:t>TSP</w:t>
              </w:r>
            </w:smartTag>
            <w:r w:rsidRPr="00E87C9C">
              <w:rPr>
                <w:iCs/>
              </w:rPr>
              <w:t xml:space="preserve"> and/or DSP providing upstream wheeling facilities may need to offer wholesale wheeling tariffs excluding the losses </w:t>
            </w:r>
            <w:r>
              <w:rPr>
                <w:iCs/>
              </w:rPr>
              <w:t xml:space="preserve">for which compensation has </w:t>
            </w:r>
            <w:r w:rsidRPr="00E87C9C">
              <w:rPr>
                <w:iCs/>
              </w:rPr>
              <w:t xml:space="preserve">already been </w:t>
            </w:r>
            <w:r>
              <w:rPr>
                <w:iCs/>
              </w:rPr>
              <w:t>provided</w:t>
            </w:r>
            <w:r w:rsidRPr="00E87C9C">
              <w:rPr>
                <w:iCs/>
              </w:rPr>
              <w:t>.</w:t>
            </w:r>
          </w:p>
        </w:tc>
      </w:tr>
    </w:tbl>
    <w:p w14:paraId="10D9EFF6" w14:textId="77777777" w:rsidR="00473B7A" w:rsidRDefault="00473B7A" w:rsidP="00D34009">
      <w:pPr>
        <w:pStyle w:val="H3"/>
        <w:spacing w:before="480"/>
      </w:pPr>
      <w:r>
        <w:t>13.1.2</w:t>
      </w:r>
      <w:r>
        <w:tab/>
        <w:t>Calculation of Losses for Settlement</w:t>
      </w:r>
      <w:bookmarkEnd w:id="3"/>
    </w:p>
    <w:p w14:paraId="13D764D0" w14:textId="77777777" w:rsidR="00473B7A" w:rsidRDefault="0071406C" w:rsidP="005023DE">
      <w:pPr>
        <w:pStyle w:val="BodyText"/>
        <w:ind w:left="720" w:hanging="720"/>
      </w:pPr>
      <w:r>
        <w:t>(1)</w:t>
      </w:r>
      <w:r>
        <w:tab/>
      </w:r>
      <w:r w:rsidR="00473B7A">
        <w:t xml:space="preserve">ERCOT shall use the deemed actual Settlement Interval DLFs applicable to each </w:t>
      </w:r>
      <w:smartTag w:uri="urn:schemas-microsoft-com:office:smarttags" w:element="time">
        <w:r w:rsidR="00473B7A">
          <w:t>ESI</w:t>
        </w:r>
      </w:smartTag>
      <w:r w:rsidR="00473B7A">
        <w:t xml:space="preserve"> ID and the deemed actual Settlement Interval TLFs when adjusting aggregated Load for losses to determine the QSE total Load obligations.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0C15B4" w14:paraId="6680EEF0" w14:textId="77777777" w:rsidTr="0056427F">
        <w:tc>
          <w:tcPr>
            <w:tcW w:w="9558" w:type="dxa"/>
            <w:shd w:val="pct12" w:color="auto" w:fill="auto"/>
          </w:tcPr>
          <w:p w14:paraId="6C563245" w14:textId="03B2E322" w:rsidR="000C15B4" w:rsidRPr="0002450E" w:rsidRDefault="000C15B4" w:rsidP="0056427F">
            <w:pPr>
              <w:pStyle w:val="Instructions"/>
              <w:spacing w:before="120"/>
              <w:rPr>
                <w:iCs/>
              </w:rPr>
            </w:pPr>
            <w:bookmarkStart w:id="4" w:name="_Toc254096463"/>
            <w:r>
              <w:rPr>
                <w:iCs/>
              </w:rPr>
              <w:t>[NPRR1145</w:t>
            </w:r>
            <w:r w:rsidRPr="0002450E">
              <w:rPr>
                <w:iCs/>
              </w:rPr>
              <w:t xml:space="preserve">:  Replace </w:t>
            </w:r>
            <w:r>
              <w:rPr>
                <w:iCs/>
              </w:rPr>
              <w:t xml:space="preserve">paragraph (1) </w:t>
            </w:r>
            <w:r w:rsidRPr="0002450E">
              <w:rPr>
                <w:iCs/>
              </w:rPr>
              <w:t xml:space="preserve">above with the following upon system implementation:] </w:t>
            </w:r>
          </w:p>
          <w:p w14:paraId="41D36971" w14:textId="7D20BE4A" w:rsidR="000C15B4" w:rsidRPr="00682F64" w:rsidRDefault="000C15B4" w:rsidP="000C15B4">
            <w:pPr>
              <w:spacing w:after="240"/>
              <w:ind w:left="720" w:hanging="720"/>
              <w:rPr>
                <w:iCs/>
              </w:rPr>
            </w:pPr>
            <w:r w:rsidRPr="00E87C9C">
              <w:rPr>
                <w:iCs/>
              </w:rPr>
              <w:t>(1)</w:t>
            </w:r>
            <w:r w:rsidRPr="00E87C9C">
              <w:rPr>
                <w:iCs/>
              </w:rPr>
              <w:tab/>
              <w:t xml:space="preserve">ERCOT shall use the deemed actual Settlement Interval DLFs applicable to each </w:t>
            </w:r>
            <w:smartTag w:uri="urn:schemas-microsoft-com:office:smarttags" w:element="time">
              <w:r w:rsidRPr="00E87C9C">
                <w:rPr>
                  <w:iCs/>
                </w:rPr>
                <w:t>ESI</w:t>
              </w:r>
            </w:smartTag>
            <w:r w:rsidRPr="00E87C9C">
              <w:rPr>
                <w:iCs/>
              </w:rPr>
              <w:t xml:space="preserve"> ID and the </w:t>
            </w:r>
            <w:r>
              <w:rPr>
                <w:iCs/>
              </w:rPr>
              <w:t>A</w:t>
            </w:r>
            <w:r w:rsidRPr="00E87C9C">
              <w:rPr>
                <w:iCs/>
              </w:rPr>
              <w:t>ctual TLFs when adjusting aggregated Load for losses to determine the QSE total Load obligations.</w:t>
            </w:r>
          </w:p>
        </w:tc>
      </w:tr>
    </w:tbl>
    <w:p w14:paraId="4943297C" w14:textId="77777777" w:rsidR="00473B7A" w:rsidRDefault="00473B7A" w:rsidP="00D20EC0">
      <w:pPr>
        <w:pStyle w:val="H2"/>
        <w:spacing w:before="480"/>
      </w:pPr>
      <w:r>
        <w:lastRenderedPageBreak/>
        <w:t>13.2</w:t>
      </w:r>
      <w:r>
        <w:tab/>
        <w:t>Transmission Losses</w:t>
      </w:r>
      <w:bookmarkEnd w:id="4"/>
    </w:p>
    <w:p w14:paraId="309B58CC" w14:textId="77777777" w:rsidR="00473B7A" w:rsidRDefault="00473B7A" w:rsidP="00D20EC0">
      <w:pPr>
        <w:pStyle w:val="H3"/>
        <w:spacing w:before="480"/>
      </w:pPr>
      <w:bookmarkStart w:id="5" w:name="_Toc254096464"/>
      <w:r>
        <w:t>13.2.1</w:t>
      </w:r>
      <w:r>
        <w:tab/>
        <w:t>Forecasted Transmission Loss Factors</w:t>
      </w:r>
      <w:bookmarkEnd w:id="5"/>
    </w:p>
    <w:p w14:paraId="52AA44B4" w14:textId="77777777" w:rsidR="00473B7A" w:rsidRDefault="00473B7A">
      <w:pPr>
        <w:pStyle w:val="BodyText"/>
        <w:ind w:left="720" w:hanging="720"/>
      </w:pPr>
      <w:r>
        <w:t>(1)</w:t>
      </w:r>
      <w:r>
        <w:tab/>
        <w:t xml:space="preserve">The forecasted </w:t>
      </w:r>
      <w:r w:rsidR="005D6EA9">
        <w:t>Transmission Loss Factor (</w:t>
      </w:r>
      <w:smartTag w:uri="urn:schemas-microsoft-com:office:smarttags" w:element="time">
        <w:r>
          <w:t>TLF</w:t>
        </w:r>
        <w:r w:rsidR="005D6EA9">
          <w:t>)</w:t>
        </w:r>
      </w:smartTag>
      <w:r>
        <w:t xml:space="preserve"> for each interval in the Operating Day shall be a linear interpolation or extrapolation using the on-peak and the off-peak TLFs and the corresponding forecast of ERCOT System Load during the same interval to calculate the loss factors.</w:t>
      </w:r>
    </w:p>
    <w:p w14:paraId="691A88E0" w14:textId="77777777" w:rsidR="00473B7A" w:rsidRDefault="00473B7A">
      <w:pPr>
        <w:pStyle w:val="BodyText"/>
        <w:ind w:left="720" w:hanging="720"/>
      </w:pPr>
      <w:r>
        <w:t>(2)</w:t>
      </w:r>
      <w:r>
        <w:tab/>
        <w:t>At 0600 of the Day</w:t>
      </w:r>
      <w:r w:rsidR="00E1214A">
        <w:t>-</w:t>
      </w:r>
      <w:r>
        <w:t xml:space="preserve">Ahead period, ERCOT shall forecast a </w:t>
      </w:r>
      <w:smartTag w:uri="urn:schemas-microsoft-com:office:smarttags" w:element="time">
        <w:r>
          <w:t>TLF</w:t>
        </w:r>
      </w:smartTag>
      <w:r>
        <w:t xml:space="preserve"> for each Settlement Interval of the Operating Day and post on the </w:t>
      </w:r>
      <w:r w:rsidR="00732059">
        <w:t>ERCOT website</w:t>
      </w:r>
      <w:r>
        <w:t xml:space="preserve"> the forecasted TLFs which correspond to the Operating Day forecast.  The source of the on-peak and off-peak losses are the ERCOT load flow base cases for the applicable </w:t>
      </w:r>
      <w:r w:rsidR="00E1214A">
        <w:t>season</w:t>
      </w:r>
      <w:r>
        <w:t>.</w:t>
      </w:r>
      <w:r w:rsidR="00E1214A">
        <w:t xml:space="preserve">  For the purpose of Section 13.2, Transmission Losses, “season” is defined as those set forth in item (1) of Section 13.2.4, Seasonal Transmission Loss Factor Calculation.</w:t>
      </w:r>
    </w:p>
    <w:p w14:paraId="3A01F143" w14:textId="77777777" w:rsidR="00473B7A" w:rsidRDefault="00473B7A" w:rsidP="00D20EC0">
      <w:pPr>
        <w:pStyle w:val="H3"/>
        <w:spacing w:before="480"/>
      </w:pPr>
      <w:bookmarkStart w:id="6" w:name="_Toc254096465"/>
      <w:r>
        <w:t>13.2.2</w:t>
      </w:r>
      <w:r>
        <w:tab/>
        <w:t>Deemed Actual Transmission Loss Factors</w:t>
      </w:r>
      <w:bookmarkEnd w:id="6"/>
    </w:p>
    <w:p w14:paraId="779162CA" w14:textId="77777777" w:rsidR="00473B7A" w:rsidRDefault="00473B7A">
      <w:pPr>
        <w:pStyle w:val="BodyText"/>
        <w:ind w:left="720" w:hanging="720"/>
      </w:pPr>
      <w:r>
        <w:t>(1)</w:t>
      </w:r>
      <w:r>
        <w:tab/>
        <w:t xml:space="preserve">ERCOT shall determine the deemed actual </w:t>
      </w:r>
      <w:smartTag w:uri="urn:schemas-microsoft-com:office:smarttags" w:element="time">
        <w:r>
          <w:t>TLF</w:t>
        </w:r>
      </w:smartTag>
      <w:r>
        <w:t xml:space="preserve"> for each interval in the Operating Day, by use of a linear interpolation or extrapolation using the on-peak and the off-peak TLFs corresponding to the actual ERCOT System Load during the interval.</w:t>
      </w:r>
    </w:p>
    <w:p w14:paraId="1F87DC37" w14:textId="77777777" w:rsidR="00473B7A" w:rsidRDefault="00473B7A">
      <w:pPr>
        <w:pStyle w:val="BodyText"/>
        <w:ind w:left="720" w:hanging="720"/>
      </w:pPr>
      <w:r>
        <w:t>(2)</w:t>
      </w:r>
      <w:r>
        <w:tab/>
        <w:t xml:space="preserve">The day after the Operating Day, ERCOT shall calculate deemed actual TLFs for each Settlement Interval of the Operating Day and publish the TLFs to be used in </w:t>
      </w:r>
      <w:r w:rsidR="0016283D">
        <w:t>S</w:t>
      </w:r>
      <w:r>
        <w:t>ettlement calculations.</w:t>
      </w:r>
    </w:p>
    <w:p w14:paraId="3A17F522" w14:textId="77777777" w:rsidR="00473B7A" w:rsidRDefault="00473B7A">
      <w:pPr>
        <w:pStyle w:val="BodyText"/>
        <w:ind w:left="720" w:hanging="720"/>
      </w:pPr>
      <w:r>
        <w:t>(3)</w:t>
      </w:r>
      <w:r>
        <w:tab/>
        <w:t xml:space="preserve">ERCOT shall use the TLFs corresponding to the on-peak and off-peak base case ERCOT System Loads during the applicable </w:t>
      </w:r>
      <w:r w:rsidR="0016283D">
        <w:t xml:space="preserve">seasons </w:t>
      </w:r>
      <w:r>
        <w:t xml:space="preserve">as the basis for the ERCOT-wide deemed actual TLFs.  ERCOT will post TLFs to the </w:t>
      </w:r>
      <w:r w:rsidR="00732059">
        <w:t>ERCOT website</w:t>
      </w:r>
      <w:r>
        <w:t xml:space="preserve"> by 0600 two days after the Operating Day.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0C15B4" w14:paraId="6C683C71" w14:textId="77777777" w:rsidTr="0056427F">
        <w:tc>
          <w:tcPr>
            <w:tcW w:w="9558" w:type="dxa"/>
            <w:shd w:val="pct12" w:color="auto" w:fill="auto"/>
          </w:tcPr>
          <w:p w14:paraId="2FC407E5" w14:textId="5023E92F" w:rsidR="000C15B4" w:rsidRPr="0002450E" w:rsidRDefault="000C15B4" w:rsidP="0056427F">
            <w:pPr>
              <w:pStyle w:val="Instructions"/>
              <w:spacing w:before="120"/>
              <w:rPr>
                <w:iCs/>
              </w:rPr>
            </w:pPr>
            <w:bookmarkStart w:id="7" w:name="_Toc254096466"/>
            <w:r>
              <w:rPr>
                <w:iCs/>
              </w:rPr>
              <w:t>[NPRR1145</w:t>
            </w:r>
            <w:r w:rsidRPr="0002450E">
              <w:rPr>
                <w:iCs/>
              </w:rPr>
              <w:t xml:space="preserve">:  Replace </w:t>
            </w:r>
            <w:r>
              <w:rPr>
                <w:iCs/>
              </w:rPr>
              <w:t xml:space="preserve">Section 13.2.2 </w:t>
            </w:r>
            <w:r w:rsidRPr="0002450E">
              <w:rPr>
                <w:iCs/>
              </w:rPr>
              <w:t xml:space="preserve">above with the following upon system implementation:] </w:t>
            </w:r>
          </w:p>
          <w:p w14:paraId="32BB05AC" w14:textId="77777777" w:rsidR="004D3AEB" w:rsidRPr="00E87C9C" w:rsidRDefault="004D3AEB" w:rsidP="004D3AEB">
            <w:pPr>
              <w:keepNext/>
              <w:tabs>
                <w:tab w:val="left" w:pos="1080"/>
              </w:tabs>
              <w:spacing w:after="240"/>
              <w:ind w:left="1080" w:hanging="1080"/>
              <w:outlineLvl w:val="2"/>
              <w:rPr>
                <w:b/>
                <w:bCs/>
                <w:i/>
              </w:rPr>
            </w:pPr>
            <w:r w:rsidRPr="00E87C9C">
              <w:rPr>
                <w:b/>
                <w:bCs/>
                <w:i/>
              </w:rPr>
              <w:t>13.2.2</w:t>
            </w:r>
            <w:r w:rsidRPr="00E87C9C">
              <w:rPr>
                <w:b/>
                <w:bCs/>
                <w:i/>
              </w:rPr>
              <w:tab/>
              <w:t>Actual Transmission Loss Factors</w:t>
            </w:r>
          </w:p>
          <w:p w14:paraId="4BD56B2E" w14:textId="77777777" w:rsidR="004D3AEB" w:rsidRPr="00E87C9C" w:rsidRDefault="004D3AEB" w:rsidP="004D3AEB">
            <w:pPr>
              <w:spacing w:after="240"/>
              <w:ind w:left="720" w:hanging="720"/>
              <w:rPr>
                <w:iCs/>
              </w:rPr>
            </w:pPr>
            <w:r w:rsidRPr="00E87C9C">
              <w:rPr>
                <w:iCs/>
              </w:rPr>
              <w:t>(1)</w:t>
            </w:r>
            <w:r w:rsidRPr="00E87C9C">
              <w:rPr>
                <w:iCs/>
              </w:rPr>
              <w:tab/>
              <w:t xml:space="preserve">ERCOT shall determine the </w:t>
            </w:r>
            <w:r>
              <w:rPr>
                <w:iCs/>
              </w:rPr>
              <w:t>A</w:t>
            </w:r>
            <w:r w:rsidRPr="00E87C9C">
              <w:rPr>
                <w:iCs/>
              </w:rPr>
              <w:t xml:space="preserve">ctual </w:t>
            </w:r>
            <w:smartTag w:uri="urn:schemas-microsoft-com:office:smarttags" w:element="time">
              <w:r w:rsidRPr="00E87C9C">
                <w:rPr>
                  <w:iCs/>
                </w:rPr>
                <w:t>TLF</w:t>
              </w:r>
            </w:smartTag>
            <w:r w:rsidRPr="00E87C9C">
              <w:rPr>
                <w:iCs/>
              </w:rPr>
              <w:t xml:space="preserve"> for each interval in the Operating Day by </w:t>
            </w:r>
            <w:r>
              <w:t xml:space="preserve">dividing the sum of line and transformer MW losses by the total ERCOT Load as determined by the State Estimator in </w:t>
            </w:r>
            <w:r w:rsidRPr="00906B73">
              <w:t>the</w:t>
            </w:r>
            <w:r>
              <w:t xml:space="preserve"> Energy Management System (EMS).</w:t>
            </w:r>
          </w:p>
          <w:p w14:paraId="0E6FA70C" w14:textId="31A77157" w:rsidR="000C15B4" w:rsidRPr="00682F64" w:rsidRDefault="004D3AEB" w:rsidP="004D3AEB">
            <w:pPr>
              <w:spacing w:after="240"/>
              <w:ind w:left="720" w:hanging="720"/>
              <w:rPr>
                <w:iCs/>
              </w:rPr>
            </w:pPr>
            <w:r w:rsidRPr="00E87C9C">
              <w:rPr>
                <w:iCs/>
              </w:rPr>
              <w:t>(2)</w:t>
            </w:r>
            <w:r w:rsidRPr="00E87C9C">
              <w:rPr>
                <w:iCs/>
              </w:rPr>
              <w:tab/>
              <w:t xml:space="preserve">The day after the Operating Day, ERCOT shall </w:t>
            </w:r>
            <w:r>
              <w:rPr>
                <w:iCs/>
              </w:rPr>
              <w:t>publish</w:t>
            </w:r>
            <w:r w:rsidRPr="00E87C9C">
              <w:rPr>
                <w:iCs/>
              </w:rPr>
              <w:t xml:space="preserve"> </w:t>
            </w:r>
            <w:r>
              <w:rPr>
                <w:iCs/>
              </w:rPr>
              <w:t>A</w:t>
            </w:r>
            <w:r w:rsidRPr="00E87C9C">
              <w:rPr>
                <w:iCs/>
              </w:rPr>
              <w:t>ctual TLFs</w:t>
            </w:r>
            <w:r>
              <w:rPr>
                <w:iCs/>
              </w:rPr>
              <w:t xml:space="preserve"> </w:t>
            </w:r>
            <w:r w:rsidRPr="00E87C9C">
              <w:rPr>
                <w:iCs/>
              </w:rPr>
              <w:t>to be used in Settlement calculations.</w:t>
            </w:r>
          </w:p>
        </w:tc>
      </w:tr>
    </w:tbl>
    <w:p w14:paraId="4423FA4F" w14:textId="77777777" w:rsidR="00473B7A" w:rsidRDefault="00473B7A" w:rsidP="00D20EC0">
      <w:pPr>
        <w:pStyle w:val="H3"/>
        <w:spacing w:before="480"/>
      </w:pPr>
      <w:r>
        <w:lastRenderedPageBreak/>
        <w:t>13.2.3</w:t>
      </w:r>
      <w:r>
        <w:tab/>
        <w:t>Transmission Loss Factor Calculations</w:t>
      </w:r>
      <w:bookmarkEnd w:id="7"/>
    </w:p>
    <w:p w14:paraId="33468430" w14:textId="77777777" w:rsidR="00473B7A" w:rsidRDefault="0071406C" w:rsidP="005023DE">
      <w:pPr>
        <w:pStyle w:val="BodyText"/>
        <w:ind w:left="720" w:hanging="720"/>
      </w:pPr>
      <w:r>
        <w:t>(1)</w:t>
      </w:r>
      <w:r>
        <w:tab/>
      </w:r>
      <w:r w:rsidR="00473B7A">
        <w:t xml:space="preserve">The following formulas shall be used to translate the </w:t>
      </w:r>
      <w:r w:rsidR="0016283D">
        <w:t>season</w:t>
      </w:r>
      <w:r w:rsidR="005D6EA9">
        <w:t>al</w:t>
      </w:r>
      <w:r w:rsidR="0016283D">
        <w:t xml:space="preserve"> </w:t>
      </w:r>
      <w:r w:rsidR="00473B7A">
        <w:t>on-peak and off-peak TLFs into Settlement Interval TLFs.</w:t>
      </w:r>
    </w:p>
    <w:p w14:paraId="3349F6F6" w14:textId="3F8DAAF2" w:rsidR="00473B7A" w:rsidRDefault="00473B7A" w:rsidP="00324700">
      <w:pPr>
        <w:pStyle w:val="FormulaBold"/>
      </w:pPr>
      <w:r>
        <w:t>TLF</w:t>
      </w:r>
      <w:r w:rsidR="00D34009">
        <w:rPr>
          <w:vertAlign w:val="subscript"/>
        </w:rPr>
        <w:t xml:space="preserve"> </w:t>
      </w:r>
      <w:r w:rsidR="00D34009" w:rsidRPr="00D34009">
        <w:rPr>
          <w:i/>
          <w:iCs/>
          <w:vertAlign w:val="subscript"/>
        </w:rPr>
        <w:t>i</w:t>
      </w:r>
      <w:r w:rsidR="005D6EA9">
        <w:rPr>
          <w:vertAlign w:val="subscript"/>
        </w:rPr>
        <w:tab/>
      </w:r>
      <w:r>
        <w:t>=</w:t>
      </w:r>
      <w:r>
        <w:tab/>
        <w:t>(</w:t>
      </w:r>
      <w:r w:rsidR="0016283D">
        <w:t>S</w:t>
      </w:r>
      <w:r>
        <w:t>SC * SIEL</w:t>
      </w:r>
      <w:r w:rsidR="00D34009">
        <w:rPr>
          <w:vertAlign w:val="subscript"/>
        </w:rPr>
        <w:t xml:space="preserve"> </w:t>
      </w:r>
      <w:r w:rsidR="00D34009" w:rsidRPr="00D34009">
        <w:rPr>
          <w:i/>
          <w:iCs/>
          <w:vertAlign w:val="subscript"/>
        </w:rPr>
        <w:t>i</w:t>
      </w:r>
      <w:r>
        <w:t xml:space="preserve">) + </w:t>
      </w:r>
      <w:r w:rsidR="0016283D">
        <w:t>S</w:t>
      </w:r>
      <w:r>
        <w:t>IC</w:t>
      </w:r>
    </w:p>
    <w:tbl>
      <w:tblPr>
        <w:tblW w:w="927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95"/>
        <w:gridCol w:w="900"/>
        <w:gridCol w:w="7175"/>
      </w:tblGrid>
      <w:tr w:rsidR="00473B7A" w14:paraId="1A15E6B5" w14:textId="77777777">
        <w:tc>
          <w:tcPr>
            <w:tcW w:w="1195" w:type="dxa"/>
          </w:tcPr>
          <w:p w14:paraId="379406D2" w14:textId="77777777" w:rsidR="00473B7A" w:rsidRDefault="00473B7A">
            <w:pPr>
              <w:pStyle w:val="TableHead"/>
            </w:pPr>
            <w:r>
              <w:t>Variable</w:t>
            </w:r>
          </w:p>
        </w:tc>
        <w:tc>
          <w:tcPr>
            <w:tcW w:w="900" w:type="dxa"/>
          </w:tcPr>
          <w:p w14:paraId="44D67CC2" w14:textId="77777777" w:rsidR="00473B7A" w:rsidRDefault="00473B7A">
            <w:pPr>
              <w:pStyle w:val="TableHead"/>
            </w:pPr>
            <w:r>
              <w:t>Unit</w:t>
            </w:r>
          </w:p>
        </w:tc>
        <w:tc>
          <w:tcPr>
            <w:tcW w:w="7175" w:type="dxa"/>
          </w:tcPr>
          <w:p w14:paraId="737CE97A" w14:textId="77777777" w:rsidR="00473B7A" w:rsidRDefault="00473B7A">
            <w:pPr>
              <w:pStyle w:val="TableHead"/>
            </w:pPr>
            <w:r>
              <w:t>Description</w:t>
            </w:r>
          </w:p>
        </w:tc>
      </w:tr>
      <w:tr w:rsidR="00473B7A" w14:paraId="675F9484" w14:textId="77777777">
        <w:tc>
          <w:tcPr>
            <w:tcW w:w="1195" w:type="dxa"/>
          </w:tcPr>
          <w:p w14:paraId="55406B1F" w14:textId="77777777" w:rsidR="00473B7A" w:rsidRPr="00D34009" w:rsidRDefault="00473B7A">
            <w:pPr>
              <w:pStyle w:val="TableBody"/>
              <w:rPr>
                <w:i/>
                <w:iCs/>
              </w:rPr>
            </w:pPr>
            <w:r w:rsidRPr="00D34009">
              <w:rPr>
                <w:i/>
                <w:iCs/>
              </w:rPr>
              <w:t>i</w:t>
            </w:r>
          </w:p>
        </w:tc>
        <w:tc>
          <w:tcPr>
            <w:tcW w:w="900" w:type="dxa"/>
          </w:tcPr>
          <w:p w14:paraId="235A5509" w14:textId="77777777" w:rsidR="00473B7A" w:rsidRPr="00691136" w:rsidRDefault="00473B7A">
            <w:pPr>
              <w:pStyle w:val="TableBody"/>
            </w:pPr>
            <w:r w:rsidRPr="00691136">
              <w:t>none</w:t>
            </w:r>
          </w:p>
        </w:tc>
        <w:tc>
          <w:tcPr>
            <w:tcW w:w="7175" w:type="dxa"/>
          </w:tcPr>
          <w:p w14:paraId="5B7D0CC4" w14:textId="77777777" w:rsidR="00473B7A" w:rsidRDefault="00473B7A">
            <w:pPr>
              <w:pStyle w:val="TableBody"/>
            </w:pPr>
            <w:r>
              <w:t>Interval</w:t>
            </w:r>
          </w:p>
        </w:tc>
      </w:tr>
      <w:tr w:rsidR="00473B7A" w14:paraId="7ACE862B" w14:textId="77777777">
        <w:tc>
          <w:tcPr>
            <w:tcW w:w="1195" w:type="dxa"/>
          </w:tcPr>
          <w:p w14:paraId="58D17992" w14:textId="16E9995C" w:rsidR="00473B7A" w:rsidRDefault="00473B7A">
            <w:pPr>
              <w:pStyle w:val="TableBody"/>
            </w:pPr>
            <w:r>
              <w:t>TLF</w:t>
            </w:r>
            <w:r w:rsidR="00D34009">
              <w:rPr>
                <w:vertAlign w:val="subscript"/>
              </w:rPr>
              <w:t xml:space="preserve"> </w:t>
            </w:r>
            <w:r w:rsidR="00D34009" w:rsidRPr="00D34009">
              <w:rPr>
                <w:i/>
                <w:iCs/>
                <w:vertAlign w:val="subscript"/>
              </w:rPr>
              <w:t>i</w:t>
            </w:r>
          </w:p>
        </w:tc>
        <w:tc>
          <w:tcPr>
            <w:tcW w:w="900" w:type="dxa"/>
          </w:tcPr>
          <w:p w14:paraId="7731CC46" w14:textId="77777777" w:rsidR="00473B7A" w:rsidRDefault="00473B7A">
            <w:pPr>
              <w:pStyle w:val="TableBody"/>
            </w:pPr>
            <w:r>
              <w:t>none</w:t>
            </w:r>
          </w:p>
        </w:tc>
        <w:tc>
          <w:tcPr>
            <w:tcW w:w="7175" w:type="dxa"/>
          </w:tcPr>
          <w:p w14:paraId="4C768B65" w14:textId="77777777" w:rsidR="00473B7A" w:rsidRDefault="00473B7A">
            <w:pPr>
              <w:pStyle w:val="TableBody"/>
            </w:pPr>
            <w:r>
              <w:t xml:space="preserve">Transmission Loss </w:t>
            </w:r>
            <w:r w:rsidR="004B51C3">
              <w:t>F</w:t>
            </w:r>
            <w:r>
              <w:t xml:space="preserve">actor for a </w:t>
            </w:r>
            <w:r w:rsidR="004B51C3">
              <w:t>S</w:t>
            </w:r>
            <w:r>
              <w:t xml:space="preserve">ettlement </w:t>
            </w:r>
            <w:r w:rsidR="004B51C3">
              <w:t>I</w:t>
            </w:r>
            <w:r>
              <w:t>nterval</w:t>
            </w:r>
          </w:p>
        </w:tc>
      </w:tr>
      <w:tr w:rsidR="00473B7A" w14:paraId="18D25721" w14:textId="77777777">
        <w:tc>
          <w:tcPr>
            <w:tcW w:w="1195" w:type="dxa"/>
          </w:tcPr>
          <w:p w14:paraId="5FFE0FB6" w14:textId="563CD09F" w:rsidR="00473B7A" w:rsidRDefault="00473B7A">
            <w:pPr>
              <w:pStyle w:val="TableBody"/>
            </w:pPr>
            <w:r>
              <w:t>SIEL</w:t>
            </w:r>
            <w:r w:rsidR="00D34009">
              <w:rPr>
                <w:vertAlign w:val="subscript"/>
              </w:rPr>
              <w:t xml:space="preserve"> </w:t>
            </w:r>
            <w:r w:rsidR="00D34009" w:rsidRPr="00D34009">
              <w:rPr>
                <w:i/>
                <w:iCs/>
                <w:vertAlign w:val="subscript"/>
              </w:rPr>
              <w:t>i</w:t>
            </w:r>
          </w:p>
        </w:tc>
        <w:tc>
          <w:tcPr>
            <w:tcW w:w="900" w:type="dxa"/>
          </w:tcPr>
          <w:p w14:paraId="30ADAF21" w14:textId="77777777" w:rsidR="00473B7A" w:rsidRDefault="00473B7A">
            <w:pPr>
              <w:pStyle w:val="TableBody"/>
            </w:pPr>
            <w:r>
              <w:t>MWh</w:t>
            </w:r>
          </w:p>
        </w:tc>
        <w:tc>
          <w:tcPr>
            <w:tcW w:w="7175" w:type="dxa"/>
          </w:tcPr>
          <w:p w14:paraId="1224620D" w14:textId="77777777" w:rsidR="00473B7A" w:rsidRDefault="00473B7A">
            <w:pPr>
              <w:pStyle w:val="TableBody"/>
              <w:rPr>
                <w:i/>
              </w:rPr>
            </w:pPr>
            <w:r>
              <w:t>Settlement Interval ERCOT System Load (forecasted or actual)</w:t>
            </w:r>
          </w:p>
        </w:tc>
      </w:tr>
      <w:tr w:rsidR="00473B7A" w14:paraId="4FF0AC3F" w14:textId="77777777">
        <w:tc>
          <w:tcPr>
            <w:tcW w:w="1195" w:type="dxa"/>
          </w:tcPr>
          <w:p w14:paraId="58654EA0" w14:textId="77777777" w:rsidR="00473B7A" w:rsidRDefault="0016283D">
            <w:pPr>
              <w:pStyle w:val="TableBody"/>
            </w:pPr>
            <w:r>
              <w:t>S</w:t>
            </w:r>
            <w:r w:rsidR="00473B7A">
              <w:t>SC</w:t>
            </w:r>
          </w:p>
        </w:tc>
        <w:tc>
          <w:tcPr>
            <w:tcW w:w="900" w:type="dxa"/>
          </w:tcPr>
          <w:p w14:paraId="41862E76" w14:textId="77777777" w:rsidR="00473B7A" w:rsidRDefault="00473B7A">
            <w:pPr>
              <w:pStyle w:val="TableBody"/>
            </w:pPr>
            <w:r>
              <w:t>none</w:t>
            </w:r>
          </w:p>
        </w:tc>
        <w:tc>
          <w:tcPr>
            <w:tcW w:w="7175" w:type="dxa"/>
          </w:tcPr>
          <w:p w14:paraId="53B132A4" w14:textId="77777777" w:rsidR="00473B7A" w:rsidRDefault="0016283D">
            <w:pPr>
              <w:pStyle w:val="TableBody"/>
            </w:pPr>
            <w:r>
              <w:t xml:space="preserve">Seasonal </w:t>
            </w:r>
            <w:r w:rsidR="00473B7A">
              <w:t>Slope Coefficient</w:t>
            </w:r>
          </w:p>
        </w:tc>
      </w:tr>
      <w:tr w:rsidR="00473B7A" w14:paraId="0E35DAA3" w14:textId="77777777">
        <w:tc>
          <w:tcPr>
            <w:tcW w:w="1195" w:type="dxa"/>
          </w:tcPr>
          <w:p w14:paraId="5F0CD197" w14:textId="77777777" w:rsidR="00473B7A" w:rsidRDefault="0016283D">
            <w:pPr>
              <w:pStyle w:val="TableBody"/>
            </w:pPr>
            <w:r>
              <w:t>S</w:t>
            </w:r>
            <w:r w:rsidR="00473B7A">
              <w:t>IC</w:t>
            </w:r>
          </w:p>
        </w:tc>
        <w:tc>
          <w:tcPr>
            <w:tcW w:w="900" w:type="dxa"/>
          </w:tcPr>
          <w:p w14:paraId="09D16C7E" w14:textId="77777777" w:rsidR="00473B7A" w:rsidRDefault="00473B7A">
            <w:pPr>
              <w:pStyle w:val="TableBody"/>
            </w:pPr>
            <w:r>
              <w:t>none</w:t>
            </w:r>
          </w:p>
        </w:tc>
        <w:tc>
          <w:tcPr>
            <w:tcW w:w="7175" w:type="dxa"/>
          </w:tcPr>
          <w:p w14:paraId="423BE10F" w14:textId="77777777" w:rsidR="00473B7A" w:rsidRDefault="0016283D">
            <w:pPr>
              <w:pStyle w:val="TableBody"/>
            </w:pPr>
            <w:r>
              <w:t xml:space="preserve">Seasonal </w:t>
            </w:r>
            <w:r w:rsidR="00473B7A">
              <w:t>Intercept Coefficient</w:t>
            </w:r>
          </w:p>
        </w:tc>
      </w:tr>
    </w:tbl>
    <w:p w14:paraId="43115F0E" w14:textId="77777777" w:rsidR="007E76CA" w:rsidRDefault="00473B7A" w:rsidP="005023DE">
      <w:pPr>
        <w:pStyle w:val="BodyText"/>
        <w:spacing w:before="240"/>
        <w:ind w:firstLine="720"/>
      </w:pPr>
      <w:r>
        <w:t>And</w:t>
      </w:r>
    </w:p>
    <w:p w14:paraId="0C786CA3" w14:textId="58156A53" w:rsidR="00473B7A" w:rsidRDefault="005D6EA9" w:rsidP="005D7D42">
      <w:pPr>
        <w:pStyle w:val="Formula"/>
      </w:pPr>
      <w:r>
        <w:tab/>
      </w:r>
      <w:r w:rsidR="0016283D">
        <w:t>S</w:t>
      </w:r>
      <w:r w:rsidR="00473B7A">
        <w:t xml:space="preserve">SC </w:t>
      </w:r>
      <w:r w:rsidR="00473B7A">
        <w:tab/>
        <w:t>=</w:t>
      </w:r>
      <w:r w:rsidR="00473B7A">
        <w:tab/>
        <w:t>(</w:t>
      </w:r>
      <w:r w:rsidR="0016283D">
        <w:t>S</w:t>
      </w:r>
      <w:r w:rsidR="00473B7A">
        <w:t xml:space="preserve">ONLF – </w:t>
      </w:r>
      <w:r w:rsidR="0016283D">
        <w:t>S</w:t>
      </w:r>
      <w:r w:rsidR="00473B7A">
        <w:t>OFFLF)</w:t>
      </w:r>
      <w:r w:rsidR="005D7D42">
        <w:t xml:space="preserve"> </w:t>
      </w:r>
      <w:r w:rsidR="00473B7A">
        <w:t>/</w:t>
      </w:r>
      <w:r w:rsidR="005D7D42">
        <w:t xml:space="preserve"> </w:t>
      </w:r>
      <w:r w:rsidR="00473B7A">
        <w:t>(</w:t>
      </w:r>
      <w:r w:rsidR="0016283D">
        <w:t>S</w:t>
      </w:r>
      <w:r w:rsidR="00473B7A">
        <w:t>ONL</w:t>
      </w:r>
      <w:r w:rsidR="005D7D42">
        <w:t xml:space="preserve"> – </w:t>
      </w:r>
      <w:r w:rsidR="0016283D">
        <w:t>S</w:t>
      </w:r>
      <w:r w:rsidR="00473B7A">
        <w:t>OFFL)</w:t>
      </w:r>
    </w:p>
    <w:p w14:paraId="02EC66CF" w14:textId="2D207F11" w:rsidR="00473B7A" w:rsidRDefault="005D6EA9" w:rsidP="005D7D42">
      <w:pPr>
        <w:pStyle w:val="Formula"/>
      </w:pPr>
      <w:r>
        <w:tab/>
      </w:r>
      <w:r w:rsidR="0016283D">
        <w:t>S</w:t>
      </w:r>
      <w:r w:rsidR="00473B7A">
        <w:t>IC</w:t>
      </w:r>
      <w:r w:rsidR="00473B7A">
        <w:tab/>
        <w:t>=</w:t>
      </w:r>
      <w:r w:rsidR="00473B7A">
        <w:tab/>
        <w:t>[(</w:t>
      </w:r>
      <w:r w:rsidR="0016283D">
        <w:t>S</w:t>
      </w:r>
      <w:r w:rsidR="00473B7A">
        <w:t>OFFLF</w:t>
      </w:r>
      <w:r w:rsidR="005D7D42">
        <w:t xml:space="preserve"> </w:t>
      </w:r>
      <w:r w:rsidR="00473B7A">
        <w:t>*</w:t>
      </w:r>
      <w:r w:rsidR="005D7D42">
        <w:t xml:space="preserve"> </w:t>
      </w:r>
      <w:r w:rsidR="0016283D">
        <w:t>S</w:t>
      </w:r>
      <w:r w:rsidR="00473B7A">
        <w:t>ONL)</w:t>
      </w:r>
      <w:r w:rsidR="005D7D42">
        <w:t xml:space="preserve"> – </w:t>
      </w:r>
      <w:r w:rsidR="00473B7A">
        <w:t>(</w:t>
      </w:r>
      <w:r w:rsidR="0016283D">
        <w:t>S</w:t>
      </w:r>
      <w:r w:rsidR="00473B7A">
        <w:t>ONLF</w:t>
      </w:r>
      <w:r w:rsidR="005D7D42">
        <w:t xml:space="preserve"> </w:t>
      </w:r>
      <w:r w:rsidR="00473B7A">
        <w:t>*</w:t>
      </w:r>
      <w:r w:rsidR="005D7D42">
        <w:t xml:space="preserve"> </w:t>
      </w:r>
      <w:r w:rsidR="0016283D">
        <w:t>S</w:t>
      </w:r>
      <w:r w:rsidR="00473B7A">
        <w:t>OFFL)]</w:t>
      </w:r>
      <w:r w:rsidR="005D7D42">
        <w:t xml:space="preserve"> </w:t>
      </w:r>
      <w:r w:rsidR="00473B7A">
        <w:t>/</w:t>
      </w:r>
      <w:r w:rsidR="005D7D42">
        <w:t xml:space="preserve"> </w:t>
      </w:r>
      <w:r w:rsidR="00473B7A">
        <w:t>(</w:t>
      </w:r>
      <w:r w:rsidR="0016283D">
        <w:t>S</w:t>
      </w:r>
      <w:r w:rsidR="00473B7A">
        <w:t>ONL</w:t>
      </w:r>
      <w:r w:rsidR="005D7D42">
        <w:t xml:space="preserve"> – </w:t>
      </w:r>
      <w:r w:rsidR="0016283D">
        <w:t>S</w:t>
      </w:r>
      <w:r w:rsidR="00473B7A">
        <w:t>OFFL)</w:t>
      </w:r>
    </w:p>
    <w:tbl>
      <w:tblPr>
        <w:tblW w:w="927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95"/>
        <w:gridCol w:w="900"/>
        <w:gridCol w:w="7175"/>
      </w:tblGrid>
      <w:tr w:rsidR="00473B7A" w14:paraId="257B3D51" w14:textId="77777777">
        <w:tc>
          <w:tcPr>
            <w:tcW w:w="1195" w:type="dxa"/>
          </w:tcPr>
          <w:p w14:paraId="4230D284" w14:textId="77777777" w:rsidR="00473B7A" w:rsidRDefault="00473B7A">
            <w:pPr>
              <w:pStyle w:val="TableHead"/>
            </w:pPr>
            <w:r>
              <w:t>Variable</w:t>
            </w:r>
          </w:p>
        </w:tc>
        <w:tc>
          <w:tcPr>
            <w:tcW w:w="900" w:type="dxa"/>
          </w:tcPr>
          <w:p w14:paraId="6608D816" w14:textId="77777777" w:rsidR="00473B7A" w:rsidRDefault="00473B7A">
            <w:pPr>
              <w:pStyle w:val="TableHead"/>
            </w:pPr>
            <w:r>
              <w:t>Unit</w:t>
            </w:r>
          </w:p>
        </w:tc>
        <w:tc>
          <w:tcPr>
            <w:tcW w:w="7175" w:type="dxa"/>
          </w:tcPr>
          <w:p w14:paraId="7C56B56E" w14:textId="77777777" w:rsidR="00473B7A" w:rsidRDefault="00473B7A">
            <w:pPr>
              <w:pStyle w:val="TableHead"/>
            </w:pPr>
            <w:r>
              <w:t>Description</w:t>
            </w:r>
          </w:p>
        </w:tc>
      </w:tr>
      <w:tr w:rsidR="00473B7A" w14:paraId="0A5B22EE" w14:textId="77777777">
        <w:tc>
          <w:tcPr>
            <w:tcW w:w="1195" w:type="dxa"/>
          </w:tcPr>
          <w:p w14:paraId="03EC05C0" w14:textId="77777777" w:rsidR="00473B7A" w:rsidRDefault="0016283D">
            <w:pPr>
              <w:pStyle w:val="TableBody"/>
            </w:pPr>
            <w:r>
              <w:t>S</w:t>
            </w:r>
            <w:r w:rsidR="00473B7A">
              <w:t>ONLF</w:t>
            </w:r>
          </w:p>
        </w:tc>
        <w:tc>
          <w:tcPr>
            <w:tcW w:w="900" w:type="dxa"/>
          </w:tcPr>
          <w:p w14:paraId="10A54881" w14:textId="77777777" w:rsidR="00473B7A" w:rsidRPr="00691136" w:rsidRDefault="00473B7A">
            <w:pPr>
              <w:pStyle w:val="TableBody"/>
            </w:pPr>
            <w:r w:rsidRPr="00691136">
              <w:t>none</w:t>
            </w:r>
          </w:p>
        </w:tc>
        <w:tc>
          <w:tcPr>
            <w:tcW w:w="7175" w:type="dxa"/>
          </w:tcPr>
          <w:p w14:paraId="2FDB47B8" w14:textId="77777777" w:rsidR="00473B7A" w:rsidRDefault="0016283D">
            <w:pPr>
              <w:pStyle w:val="TableBody"/>
            </w:pPr>
            <w:r>
              <w:t xml:space="preserve">Seasonal </w:t>
            </w:r>
            <w:r w:rsidR="00473B7A">
              <w:t xml:space="preserve">on-peak percent loss factor </w:t>
            </w:r>
          </w:p>
        </w:tc>
      </w:tr>
      <w:tr w:rsidR="00473B7A" w14:paraId="518B246E" w14:textId="77777777">
        <w:tc>
          <w:tcPr>
            <w:tcW w:w="1195" w:type="dxa"/>
          </w:tcPr>
          <w:p w14:paraId="6557CA11" w14:textId="77777777" w:rsidR="00473B7A" w:rsidRDefault="0016283D">
            <w:pPr>
              <w:pStyle w:val="TableBody"/>
            </w:pPr>
            <w:r>
              <w:t>S</w:t>
            </w:r>
            <w:r w:rsidR="00473B7A">
              <w:t>OFFLF</w:t>
            </w:r>
          </w:p>
        </w:tc>
        <w:tc>
          <w:tcPr>
            <w:tcW w:w="900" w:type="dxa"/>
          </w:tcPr>
          <w:p w14:paraId="73EFE48F" w14:textId="77777777" w:rsidR="00473B7A" w:rsidRDefault="00473B7A">
            <w:pPr>
              <w:pStyle w:val="TableBody"/>
            </w:pPr>
            <w:r>
              <w:t>none</w:t>
            </w:r>
          </w:p>
        </w:tc>
        <w:tc>
          <w:tcPr>
            <w:tcW w:w="7175" w:type="dxa"/>
          </w:tcPr>
          <w:p w14:paraId="552041DA" w14:textId="77777777" w:rsidR="00473B7A" w:rsidRDefault="0016283D">
            <w:pPr>
              <w:pStyle w:val="VariableDefinition"/>
              <w:spacing w:after="0"/>
              <w:ind w:left="0" w:firstLine="0"/>
            </w:pPr>
            <w:r>
              <w:rPr>
                <w:sz w:val="20"/>
              </w:rPr>
              <w:t xml:space="preserve">Seasonal </w:t>
            </w:r>
            <w:r w:rsidR="00473B7A">
              <w:rPr>
                <w:sz w:val="20"/>
              </w:rPr>
              <w:t xml:space="preserve">off-peak percent loss factor </w:t>
            </w:r>
          </w:p>
        </w:tc>
      </w:tr>
      <w:tr w:rsidR="00473B7A" w14:paraId="1F57A2DB" w14:textId="77777777">
        <w:tc>
          <w:tcPr>
            <w:tcW w:w="1195" w:type="dxa"/>
          </w:tcPr>
          <w:p w14:paraId="620180CD" w14:textId="77777777" w:rsidR="00473B7A" w:rsidRDefault="0016283D">
            <w:pPr>
              <w:pStyle w:val="TableBody"/>
            </w:pPr>
            <w:r>
              <w:t>S</w:t>
            </w:r>
            <w:r w:rsidR="00473B7A">
              <w:t>ONL</w:t>
            </w:r>
          </w:p>
        </w:tc>
        <w:tc>
          <w:tcPr>
            <w:tcW w:w="900" w:type="dxa"/>
          </w:tcPr>
          <w:p w14:paraId="6EB72770" w14:textId="77777777" w:rsidR="00473B7A" w:rsidRDefault="00473B7A">
            <w:pPr>
              <w:pStyle w:val="TableBody"/>
            </w:pPr>
            <w:r>
              <w:t>none</w:t>
            </w:r>
          </w:p>
        </w:tc>
        <w:tc>
          <w:tcPr>
            <w:tcW w:w="7175" w:type="dxa"/>
          </w:tcPr>
          <w:p w14:paraId="0370F445" w14:textId="77777777" w:rsidR="00473B7A" w:rsidRPr="003229A6" w:rsidRDefault="0016283D">
            <w:pPr>
              <w:pStyle w:val="VariableDefinition"/>
              <w:spacing w:after="0"/>
              <w:ind w:left="0" w:firstLine="0"/>
            </w:pPr>
            <w:r>
              <w:rPr>
                <w:sz w:val="20"/>
              </w:rPr>
              <w:t xml:space="preserve">Seasonal </w:t>
            </w:r>
            <w:r w:rsidR="00473B7A">
              <w:rPr>
                <w:sz w:val="20"/>
              </w:rPr>
              <w:t>on-peak Load value</w:t>
            </w:r>
          </w:p>
        </w:tc>
      </w:tr>
      <w:tr w:rsidR="00473B7A" w14:paraId="13008B68" w14:textId="77777777">
        <w:tc>
          <w:tcPr>
            <w:tcW w:w="1195" w:type="dxa"/>
          </w:tcPr>
          <w:p w14:paraId="000F7059" w14:textId="77777777" w:rsidR="00473B7A" w:rsidRDefault="0016283D">
            <w:pPr>
              <w:pStyle w:val="TableBody"/>
            </w:pPr>
            <w:r>
              <w:t>S</w:t>
            </w:r>
            <w:r w:rsidR="00473B7A">
              <w:t>OFFL</w:t>
            </w:r>
          </w:p>
        </w:tc>
        <w:tc>
          <w:tcPr>
            <w:tcW w:w="900" w:type="dxa"/>
          </w:tcPr>
          <w:p w14:paraId="6B55B011" w14:textId="77777777" w:rsidR="00473B7A" w:rsidRDefault="00473B7A">
            <w:pPr>
              <w:pStyle w:val="TableBody"/>
            </w:pPr>
            <w:r>
              <w:t>none</w:t>
            </w:r>
          </w:p>
        </w:tc>
        <w:tc>
          <w:tcPr>
            <w:tcW w:w="7175" w:type="dxa"/>
          </w:tcPr>
          <w:p w14:paraId="51505CAF" w14:textId="77777777" w:rsidR="00473B7A" w:rsidRDefault="0016283D">
            <w:pPr>
              <w:pStyle w:val="TableBody"/>
            </w:pPr>
            <w:r>
              <w:t xml:space="preserve">Seasonal </w:t>
            </w:r>
            <w:r w:rsidR="00473B7A">
              <w:t>off-peak Load value</w:t>
            </w:r>
          </w:p>
        </w:tc>
      </w:tr>
    </w:tbl>
    <w:p w14:paraId="16F0C27E" w14:textId="77777777" w:rsidR="007E76CA" w:rsidRDefault="00473B7A">
      <w:pPr>
        <w:pStyle w:val="VariableDefinition"/>
        <w:ind w:left="0" w:firstLine="0"/>
      </w:pPr>
      <w:r>
        <w:tab/>
      </w: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607"/>
      </w:tblGrid>
      <w:tr w:rsidR="004D3AEB" w14:paraId="57813C3A" w14:textId="77777777" w:rsidTr="00D34009">
        <w:trPr>
          <w:trHeight w:val="3770"/>
        </w:trPr>
        <w:tc>
          <w:tcPr>
            <w:tcW w:w="9607" w:type="dxa"/>
            <w:shd w:val="pct12" w:color="auto" w:fill="auto"/>
          </w:tcPr>
          <w:p w14:paraId="0884C604" w14:textId="6C7F04A6" w:rsidR="004D3AEB" w:rsidRPr="0002450E" w:rsidRDefault="004D3AEB" w:rsidP="0056427F">
            <w:pPr>
              <w:pStyle w:val="Instructions"/>
              <w:spacing w:before="120"/>
              <w:rPr>
                <w:iCs/>
              </w:rPr>
            </w:pPr>
            <w:bookmarkStart w:id="8" w:name="_Toc254096467"/>
            <w:r>
              <w:rPr>
                <w:iCs/>
              </w:rPr>
              <w:t>[NPRR1145</w:t>
            </w:r>
            <w:r w:rsidRPr="0002450E">
              <w:rPr>
                <w:iCs/>
              </w:rPr>
              <w:t xml:space="preserve">:  Replace </w:t>
            </w:r>
            <w:r>
              <w:rPr>
                <w:iCs/>
              </w:rPr>
              <w:t xml:space="preserve">Section 13.2.3 </w:t>
            </w:r>
            <w:r w:rsidRPr="0002450E">
              <w:rPr>
                <w:iCs/>
              </w:rPr>
              <w:t xml:space="preserve">above with the following upon system implementation:] </w:t>
            </w:r>
          </w:p>
          <w:p w14:paraId="17E66B46" w14:textId="77777777" w:rsidR="004D3AEB" w:rsidRPr="00E87C9C" w:rsidRDefault="004D3AEB" w:rsidP="004D3AEB">
            <w:pPr>
              <w:keepNext/>
              <w:tabs>
                <w:tab w:val="left" w:pos="1080"/>
              </w:tabs>
              <w:spacing w:after="240"/>
              <w:ind w:left="1080" w:hanging="1080"/>
              <w:outlineLvl w:val="2"/>
              <w:rPr>
                <w:b/>
                <w:bCs/>
                <w:i/>
              </w:rPr>
            </w:pPr>
            <w:bookmarkStart w:id="9" w:name="_Hlk108091504"/>
            <w:r w:rsidRPr="00E87C9C">
              <w:rPr>
                <w:b/>
                <w:bCs/>
                <w:i/>
              </w:rPr>
              <w:t>13.2.3</w:t>
            </w:r>
            <w:r w:rsidRPr="00E87C9C">
              <w:rPr>
                <w:b/>
                <w:bCs/>
                <w:i/>
              </w:rPr>
              <w:tab/>
            </w:r>
            <w:r>
              <w:rPr>
                <w:b/>
                <w:bCs/>
                <w:i/>
              </w:rPr>
              <w:t xml:space="preserve">Forecasted </w:t>
            </w:r>
            <w:r w:rsidRPr="00E87C9C">
              <w:rPr>
                <w:b/>
                <w:bCs/>
                <w:i/>
              </w:rPr>
              <w:t>Transmission Loss Factor Calculations</w:t>
            </w:r>
          </w:p>
          <w:p w14:paraId="7DAE1A8B" w14:textId="77777777" w:rsidR="004D3AEB" w:rsidRPr="00E87C9C" w:rsidRDefault="004D3AEB" w:rsidP="004D3AEB">
            <w:pPr>
              <w:spacing w:after="240"/>
              <w:ind w:left="720" w:hanging="720"/>
              <w:rPr>
                <w:iCs/>
              </w:rPr>
            </w:pPr>
            <w:r w:rsidRPr="00E87C9C">
              <w:rPr>
                <w:iCs/>
              </w:rPr>
              <w:t>(1)</w:t>
            </w:r>
            <w:r w:rsidRPr="00E87C9C">
              <w:rPr>
                <w:iCs/>
              </w:rPr>
              <w:tab/>
            </w:r>
            <w:bookmarkStart w:id="10" w:name="_Hlk108108682"/>
            <w:r w:rsidRPr="00E87C9C">
              <w:rPr>
                <w:iCs/>
              </w:rPr>
              <w:t xml:space="preserve">The following formulas shall be used to translate the </w:t>
            </w:r>
            <w:r>
              <w:rPr>
                <w:iCs/>
              </w:rPr>
              <w:t>S</w:t>
            </w:r>
            <w:r w:rsidRPr="00E87C9C">
              <w:rPr>
                <w:iCs/>
              </w:rPr>
              <w:t xml:space="preserve">easonal </w:t>
            </w:r>
            <w:r>
              <w:rPr>
                <w:iCs/>
              </w:rPr>
              <w:t>O</w:t>
            </w:r>
            <w:r w:rsidRPr="00E87C9C">
              <w:rPr>
                <w:iCs/>
              </w:rPr>
              <w:t>n-</w:t>
            </w:r>
            <w:r>
              <w:rPr>
                <w:iCs/>
              </w:rPr>
              <w:t>P</w:t>
            </w:r>
            <w:r w:rsidRPr="00E87C9C">
              <w:rPr>
                <w:iCs/>
              </w:rPr>
              <w:t xml:space="preserve">eak and </w:t>
            </w:r>
            <w:r>
              <w:rPr>
                <w:iCs/>
              </w:rPr>
              <w:t>O</w:t>
            </w:r>
            <w:r w:rsidRPr="00E87C9C">
              <w:rPr>
                <w:iCs/>
              </w:rPr>
              <w:t>ff-</w:t>
            </w:r>
            <w:r>
              <w:rPr>
                <w:iCs/>
              </w:rPr>
              <w:t>P</w:t>
            </w:r>
            <w:r w:rsidRPr="00E87C9C">
              <w:rPr>
                <w:iCs/>
              </w:rPr>
              <w:t xml:space="preserve">eak TLFs into </w:t>
            </w:r>
            <w:r>
              <w:rPr>
                <w:iCs/>
              </w:rPr>
              <w:t xml:space="preserve">forecasted </w:t>
            </w:r>
            <w:r w:rsidRPr="00E87C9C">
              <w:rPr>
                <w:iCs/>
              </w:rPr>
              <w:t>Settlement Interval TLFs.</w:t>
            </w:r>
          </w:p>
          <w:bookmarkEnd w:id="9"/>
          <w:p w14:paraId="1B3D3697" w14:textId="188B79AE" w:rsidR="004D3AEB" w:rsidRPr="00E87C9C" w:rsidRDefault="004D3AEB" w:rsidP="004D3AEB">
            <w:pPr>
              <w:tabs>
                <w:tab w:val="left" w:pos="2340"/>
                <w:tab w:val="left" w:pos="2880"/>
              </w:tabs>
              <w:spacing w:after="240"/>
              <w:ind w:left="1440" w:hanging="720"/>
              <w:rPr>
                <w:bCs/>
              </w:rPr>
            </w:pPr>
            <w:r w:rsidRPr="00E87C9C">
              <w:rPr>
                <w:bCs/>
              </w:rPr>
              <w:t>TLF</w:t>
            </w:r>
            <w:r w:rsidR="009111CF">
              <w:rPr>
                <w:vertAlign w:val="subscript"/>
              </w:rPr>
              <w:t xml:space="preserve"> </w:t>
            </w:r>
            <w:r w:rsidR="009111CF" w:rsidRPr="00D34009">
              <w:rPr>
                <w:i/>
                <w:iCs/>
                <w:vertAlign w:val="subscript"/>
              </w:rPr>
              <w:t>i</w:t>
            </w:r>
            <w:r w:rsidRPr="00E87C9C">
              <w:rPr>
                <w:bCs/>
                <w:vertAlign w:val="subscript"/>
              </w:rPr>
              <w:tab/>
            </w:r>
            <w:r w:rsidRPr="00E87C9C">
              <w:rPr>
                <w:bCs/>
              </w:rPr>
              <w:t>=</w:t>
            </w:r>
            <w:r w:rsidRPr="00E87C9C">
              <w:rPr>
                <w:bCs/>
              </w:rPr>
              <w:tab/>
              <w:t>(SSC * SIEL</w:t>
            </w:r>
            <w:r w:rsidR="009111CF">
              <w:rPr>
                <w:vertAlign w:val="subscript"/>
              </w:rPr>
              <w:t xml:space="preserve"> </w:t>
            </w:r>
            <w:r w:rsidR="009111CF" w:rsidRPr="00D34009">
              <w:rPr>
                <w:i/>
                <w:iCs/>
                <w:vertAlign w:val="subscript"/>
              </w:rPr>
              <w:t>i</w:t>
            </w:r>
            <w:r w:rsidRPr="00E87C9C">
              <w:rPr>
                <w:bCs/>
              </w:rPr>
              <w:t>) + SIC</w:t>
            </w:r>
          </w:p>
          <w:tbl>
            <w:tblPr>
              <w:tblW w:w="904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95"/>
              <w:gridCol w:w="900"/>
              <w:gridCol w:w="6950"/>
            </w:tblGrid>
            <w:tr w:rsidR="004D3AEB" w:rsidRPr="00E87C9C" w14:paraId="6B982B80" w14:textId="77777777" w:rsidTr="004D3AEB">
              <w:tc>
                <w:tcPr>
                  <w:tcW w:w="1195" w:type="dxa"/>
                </w:tcPr>
                <w:p w14:paraId="16640E82" w14:textId="77777777" w:rsidR="004D3AEB" w:rsidRPr="00E87C9C" w:rsidRDefault="004D3AEB" w:rsidP="004D3AEB">
                  <w:pPr>
                    <w:spacing w:after="240"/>
                    <w:rPr>
                      <w:b/>
                      <w:sz w:val="20"/>
                    </w:rPr>
                  </w:pPr>
                  <w:r w:rsidRPr="00E87C9C">
                    <w:rPr>
                      <w:b/>
                      <w:sz w:val="20"/>
                    </w:rPr>
                    <w:t>Variable</w:t>
                  </w:r>
                </w:p>
              </w:tc>
              <w:tc>
                <w:tcPr>
                  <w:tcW w:w="900" w:type="dxa"/>
                </w:tcPr>
                <w:p w14:paraId="178D47ED" w14:textId="77777777" w:rsidR="004D3AEB" w:rsidRPr="00E87C9C" w:rsidRDefault="004D3AEB" w:rsidP="004D3AEB">
                  <w:pPr>
                    <w:spacing w:after="240"/>
                    <w:rPr>
                      <w:b/>
                      <w:sz w:val="20"/>
                    </w:rPr>
                  </w:pPr>
                  <w:r w:rsidRPr="00E87C9C">
                    <w:rPr>
                      <w:b/>
                      <w:sz w:val="20"/>
                    </w:rPr>
                    <w:t>Unit</w:t>
                  </w:r>
                </w:p>
              </w:tc>
              <w:tc>
                <w:tcPr>
                  <w:tcW w:w="6950" w:type="dxa"/>
                </w:tcPr>
                <w:p w14:paraId="220D1981" w14:textId="77777777" w:rsidR="004D3AEB" w:rsidRPr="00E87C9C" w:rsidRDefault="004D3AEB" w:rsidP="004D3AEB">
                  <w:pPr>
                    <w:spacing w:after="240"/>
                    <w:rPr>
                      <w:b/>
                      <w:sz w:val="20"/>
                    </w:rPr>
                  </w:pPr>
                  <w:r w:rsidRPr="00E87C9C">
                    <w:rPr>
                      <w:b/>
                      <w:sz w:val="20"/>
                    </w:rPr>
                    <w:t>Description</w:t>
                  </w:r>
                </w:p>
              </w:tc>
            </w:tr>
            <w:tr w:rsidR="004D3AEB" w:rsidRPr="00E87C9C" w14:paraId="7CB7AE5A" w14:textId="77777777" w:rsidTr="004D3AEB">
              <w:tc>
                <w:tcPr>
                  <w:tcW w:w="1195" w:type="dxa"/>
                </w:tcPr>
                <w:p w14:paraId="47C9ABD6" w14:textId="77777777" w:rsidR="004D3AEB" w:rsidRPr="00D34009" w:rsidRDefault="004D3AEB" w:rsidP="004D3AEB">
                  <w:pPr>
                    <w:spacing w:after="60"/>
                    <w:rPr>
                      <w:i/>
                      <w:iCs/>
                      <w:sz w:val="20"/>
                    </w:rPr>
                  </w:pPr>
                  <w:r w:rsidRPr="00D34009">
                    <w:rPr>
                      <w:i/>
                      <w:iCs/>
                      <w:sz w:val="20"/>
                    </w:rPr>
                    <w:t>i</w:t>
                  </w:r>
                </w:p>
              </w:tc>
              <w:tc>
                <w:tcPr>
                  <w:tcW w:w="900" w:type="dxa"/>
                </w:tcPr>
                <w:p w14:paraId="1ED1FE98" w14:textId="77777777" w:rsidR="004D3AEB" w:rsidRPr="00E87C9C" w:rsidRDefault="004D3AEB" w:rsidP="004D3AEB">
                  <w:pPr>
                    <w:spacing w:after="60"/>
                    <w:rPr>
                      <w:sz w:val="20"/>
                    </w:rPr>
                  </w:pPr>
                  <w:r w:rsidRPr="00E87C9C">
                    <w:rPr>
                      <w:sz w:val="20"/>
                    </w:rPr>
                    <w:t>none</w:t>
                  </w:r>
                </w:p>
              </w:tc>
              <w:tc>
                <w:tcPr>
                  <w:tcW w:w="6950" w:type="dxa"/>
                </w:tcPr>
                <w:p w14:paraId="7920DC7D" w14:textId="77777777" w:rsidR="004D3AEB" w:rsidRPr="00E87C9C" w:rsidRDefault="004D3AEB" w:rsidP="004D3AEB">
                  <w:pPr>
                    <w:spacing w:after="60"/>
                    <w:rPr>
                      <w:sz w:val="20"/>
                    </w:rPr>
                  </w:pPr>
                  <w:r w:rsidRPr="00E87C9C">
                    <w:rPr>
                      <w:sz w:val="20"/>
                    </w:rPr>
                    <w:t>Interval</w:t>
                  </w:r>
                </w:p>
              </w:tc>
            </w:tr>
            <w:tr w:rsidR="004D3AEB" w:rsidRPr="00E87C9C" w14:paraId="16F2C22E" w14:textId="77777777" w:rsidTr="004D3AEB">
              <w:tc>
                <w:tcPr>
                  <w:tcW w:w="1195" w:type="dxa"/>
                </w:tcPr>
                <w:p w14:paraId="2DA8B825" w14:textId="40806934" w:rsidR="004D3AEB" w:rsidRPr="00E87C9C" w:rsidRDefault="004D3AEB" w:rsidP="004D3AEB">
                  <w:pPr>
                    <w:spacing w:after="60"/>
                    <w:rPr>
                      <w:sz w:val="20"/>
                    </w:rPr>
                  </w:pPr>
                  <w:r w:rsidRPr="00E87C9C">
                    <w:rPr>
                      <w:sz w:val="20"/>
                    </w:rPr>
                    <w:t>TLF</w:t>
                  </w:r>
                  <w:r w:rsidR="009111CF">
                    <w:rPr>
                      <w:vertAlign w:val="subscript"/>
                    </w:rPr>
                    <w:t xml:space="preserve"> </w:t>
                  </w:r>
                  <w:r w:rsidR="009111CF" w:rsidRPr="00D34009">
                    <w:rPr>
                      <w:i/>
                      <w:iCs/>
                      <w:vertAlign w:val="subscript"/>
                    </w:rPr>
                    <w:t>i</w:t>
                  </w:r>
                </w:p>
              </w:tc>
              <w:tc>
                <w:tcPr>
                  <w:tcW w:w="900" w:type="dxa"/>
                </w:tcPr>
                <w:p w14:paraId="3CAD2A40" w14:textId="77777777" w:rsidR="004D3AEB" w:rsidRPr="00E87C9C" w:rsidRDefault="004D3AEB" w:rsidP="004D3AEB">
                  <w:pPr>
                    <w:spacing w:after="60"/>
                    <w:rPr>
                      <w:sz w:val="20"/>
                    </w:rPr>
                  </w:pPr>
                  <w:r w:rsidRPr="00E87C9C">
                    <w:rPr>
                      <w:sz w:val="20"/>
                    </w:rPr>
                    <w:t>none</w:t>
                  </w:r>
                </w:p>
              </w:tc>
              <w:tc>
                <w:tcPr>
                  <w:tcW w:w="6950" w:type="dxa"/>
                </w:tcPr>
                <w:p w14:paraId="5A3AA5AD" w14:textId="77777777" w:rsidR="004D3AEB" w:rsidRPr="00E87C9C" w:rsidRDefault="004D3AEB" w:rsidP="004D3AEB">
                  <w:pPr>
                    <w:spacing w:after="60"/>
                    <w:rPr>
                      <w:sz w:val="20"/>
                    </w:rPr>
                  </w:pPr>
                  <w:r w:rsidRPr="00E87C9C">
                    <w:rPr>
                      <w:sz w:val="20"/>
                    </w:rPr>
                    <w:t>Transmission Loss Factor for a Settlement Interval</w:t>
                  </w:r>
                </w:p>
              </w:tc>
            </w:tr>
            <w:tr w:rsidR="004D3AEB" w:rsidRPr="00E87C9C" w14:paraId="725CBCEA" w14:textId="77777777" w:rsidTr="004D3AEB">
              <w:tc>
                <w:tcPr>
                  <w:tcW w:w="1195" w:type="dxa"/>
                </w:tcPr>
                <w:p w14:paraId="7A101A80" w14:textId="48BA1ABD" w:rsidR="004D3AEB" w:rsidRPr="00E87C9C" w:rsidRDefault="004D3AEB" w:rsidP="004D3AEB">
                  <w:pPr>
                    <w:spacing w:after="60"/>
                    <w:rPr>
                      <w:sz w:val="20"/>
                    </w:rPr>
                  </w:pPr>
                  <w:r w:rsidRPr="00E87C9C">
                    <w:rPr>
                      <w:sz w:val="20"/>
                    </w:rPr>
                    <w:t>SIEL</w:t>
                  </w:r>
                  <w:r w:rsidR="009111CF">
                    <w:rPr>
                      <w:vertAlign w:val="subscript"/>
                    </w:rPr>
                    <w:t xml:space="preserve"> </w:t>
                  </w:r>
                  <w:r w:rsidR="009111CF" w:rsidRPr="00D34009">
                    <w:rPr>
                      <w:i/>
                      <w:iCs/>
                      <w:vertAlign w:val="subscript"/>
                    </w:rPr>
                    <w:t>i</w:t>
                  </w:r>
                </w:p>
              </w:tc>
              <w:tc>
                <w:tcPr>
                  <w:tcW w:w="900" w:type="dxa"/>
                </w:tcPr>
                <w:p w14:paraId="56D59EC1" w14:textId="77777777" w:rsidR="004D3AEB" w:rsidRPr="00E87C9C" w:rsidRDefault="004D3AEB" w:rsidP="004D3AEB">
                  <w:pPr>
                    <w:spacing w:after="60"/>
                    <w:rPr>
                      <w:sz w:val="20"/>
                    </w:rPr>
                  </w:pPr>
                  <w:r w:rsidRPr="00E87C9C">
                    <w:rPr>
                      <w:sz w:val="20"/>
                    </w:rPr>
                    <w:t>MWh</w:t>
                  </w:r>
                </w:p>
              </w:tc>
              <w:tc>
                <w:tcPr>
                  <w:tcW w:w="6950" w:type="dxa"/>
                </w:tcPr>
                <w:p w14:paraId="5C382E80" w14:textId="77777777" w:rsidR="004D3AEB" w:rsidRPr="00E87C9C" w:rsidRDefault="004D3AEB" w:rsidP="004D3AEB">
                  <w:pPr>
                    <w:spacing w:after="60"/>
                    <w:rPr>
                      <w:i/>
                      <w:sz w:val="20"/>
                    </w:rPr>
                  </w:pPr>
                  <w:r w:rsidRPr="00E87C9C">
                    <w:rPr>
                      <w:sz w:val="20"/>
                    </w:rPr>
                    <w:t>Settlement Interval ERCOT System Load (forecasted)</w:t>
                  </w:r>
                </w:p>
              </w:tc>
            </w:tr>
            <w:tr w:rsidR="004D3AEB" w:rsidRPr="00E87C9C" w14:paraId="5D5A0279" w14:textId="77777777" w:rsidTr="004D3AEB">
              <w:tc>
                <w:tcPr>
                  <w:tcW w:w="1195" w:type="dxa"/>
                </w:tcPr>
                <w:p w14:paraId="6AC843BB" w14:textId="77777777" w:rsidR="004D3AEB" w:rsidRPr="00E87C9C" w:rsidRDefault="004D3AEB" w:rsidP="004D3AEB">
                  <w:pPr>
                    <w:spacing w:after="60"/>
                    <w:rPr>
                      <w:sz w:val="20"/>
                    </w:rPr>
                  </w:pPr>
                  <w:r w:rsidRPr="00E87C9C">
                    <w:rPr>
                      <w:sz w:val="20"/>
                    </w:rPr>
                    <w:t>SSC</w:t>
                  </w:r>
                </w:p>
              </w:tc>
              <w:tc>
                <w:tcPr>
                  <w:tcW w:w="900" w:type="dxa"/>
                </w:tcPr>
                <w:p w14:paraId="1FDB5E56" w14:textId="77777777" w:rsidR="004D3AEB" w:rsidRPr="00E87C9C" w:rsidRDefault="004D3AEB" w:rsidP="004D3AEB">
                  <w:pPr>
                    <w:spacing w:after="60"/>
                    <w:rPr>
                      <w:sz w:val="20"/>
                    </w:rPr>
                  </w:pPr>
                  <w:r w:rsidRPr="00E87C9C">
                    <w:rPr>
                      <w:sz w:val="20"/>
                    </w:rPr>
                    <w:t>none</w:t>
                  </w:r>
                </w:p>
              </w:tc>
              <w:tc>
                <w:tcPr>
                  <w:tcW w:w="6950" w:type="dxa"/>
                </w:tcPr>
                <w:p w14:paraId="3DBED765" w14:textId="77777777" w:rsidR="004D3AEB" w:rsidRPr="00E87C9C" w:rsidRDefault="004D3AEB" w:rsidP="004D3AEB">
                  <w:pPr>
                    <w:spacing w:after="60"/>
                    <w:rPr>
                      <w:sz w:val="20"/>
                    </w:rPr>
                  </w:pPr>
                  <w:r w:rsidRPr="00E87C9C">
                    <w:rPr>
                      <w:sz w:val="20"/>
                    </w:rPr>
                    <w:t>Seasonal Slope Coefficient</w:t>
                  </w:r>
                </w:p>
              </w:tc>
            </w:tr>
            <w:tr w:rsidR="004D3AEB" w:rsidRPr="00E87C9C" w14:paraId="44CCD60B" w14:textId="77777777" w:rsidTr="004D3AEB">
              <w:tc>
                <w:tcPr>
                  <w:tcW w:w="1195" w:type="dxa"/>
                </w:tcPr>
                <w:p w14:paraId="611DD26B" w14:textId="77777777" w:rsidR="004D3AEB" w:rsidRPr="00E87C9C" w:rsidRDefault="004D3AEB" w:rsidP="004D3AEB">
                  <w:pPr>
                    <w:spacing w:after="60"/>
                    <w:rPr>
                      <w:sz w:val="20"/>
                    </w:rPr>
                  </w:pPr>
                  <w:r w:rsidRPr="00E87C9C">
                    <w:rPr>
                      <w:sz w:val="20"/>
                    </w:rPr>
                    <w:t>SIC</w:t>
                  </w:r>
                </w:p>
              </w:tc>
              <w:tc>
                <w:tcPr>
                  <w:tcW w:w="900" w:type="dxa"/>
                </w:tcPr>
                <w:p w14:paraId="501E3361" w14:textId="77777777" w:rsidR="004D3AEB" w:rsidRPr="00E87C9C" w:rsidRDefault="004D3AEB" w:rsidP="004D3AEB">
                  <w:pPr>
                    <w:spacing w:after="60"/>
                    <w:rPr>
                      <w:sz w:val="20"/>
                    </w:rPr>
                  </w:pPr>
                  <w:r w:rsidRPr="00E87C9C">
                    <w:rPr>
                      <w:sz w:val="20"/>
                    </w:rPr>
                    <w:t>none</w:t>
                  </w:r>
                </w:p>
              </w:tc>
              <w:tc>
                <w:tcPr>
                  <w:tcW w:w="6950" w:type="dxa"/>
                </w:tcPr>
                <w:p w14:paraId="31A5E848" w14:textId="77777777" w:rsidR="004D3AEB" w:rsidRPr="00E87C9C" w:rsidRDefault="004D3AEB" w:rsidP="004D3AEB">
                  <w:pPr>
                    <w:spacing w:after="60"/>
                    <w:rPr>
                      <w:sz w:val="20"/>
                    </w:rPr>
                  </w:pPr>
                  <w:r w:rsidRPr="00E87C9C">
                    <w:rPr>
                      <w:sz w:val="20"/>
                    </w:rPr>
                    <w:t>Seasonal Intercept Coefficient</w:t>
                  </w:r>
                </w:p>
              </w:tc>
            </w:tr>
          </w:tbl>
          <w:p w14:paraId="013C2D35" w14:textId="77777777" w:rsidR="004D3AEB" w:rsidRPr="00E87C9C" w:rsidRDefault="004D3AEB" w:rsidP="004D3AEB">
            <w:pPr>
              <w:spacing w:before="240" w:after="240"/>
              <w:ind w:firstLine="720"/>
              <w:rPr>
                <w:iCs/>
              </w:rPr>
            </w:pPr>
            <w:r>
              <w:rPr>
                <w:iCs/>
              </w:rPr>
              <w:lastRenderedPageBreak/>
              <w:t>Where</w:t>
            </w:r>
          </w:p>
          <w:p w14:paraId="7C9EE91F" w14:textId="4A862FB8" w:rsidR="004D3AEB" w:rsidRPr="00E87C9C" w:rsidRDefault="004D3AEB" w:rsidP="004D3AEB">
            <w:pPr>
              <w:tabs>
                <w:tab w:val="left" w:pos="1440"/>
                <w:tab w:val="left" w:pos="2340"/>
              </w:tabs>
              <w:spacing w:after="240"/>
              <w:ind w:left="720" w:hanging="720"/>
              <w:rPr>
                <w:bCs/>
              </w:rPr>
            </w:pPr>
            <w:r w:rsidRPr="00E87C9C">
              <w:rPr>
                <w:bCs/>
              </w:rPr>
              <w:tab/>
              <w:t xml:space="preserve">SSC </w:t>
            </w:r>
            <w:r w:rsidRPr="00E87C9C">
              <w:rPr>
                <w:bCs/>
              </w:rPr>
              <w:tab/>
              <w:t>=</w:t>
            </w:r>
            <w:r w:rsidRPr="00E87C9C">
              <w:rPr>
                <w:bCs/>
              </w:rPr>
              <w:tab/>
              <w:t>(SONLF – SOFFLF)</w:t>
            </w:r>
            <w:r w:rsidR="006A4D8B">
              <w:rPr>
                <w:bCs/>
              </w:rPr>
              <w:t xml:space="preserve"> </w:t>
            </w:r>
            <w:r w:rsidRPr="00E87C9C">
              <w:rPr>
                <w:bCs/>
              </w:rPr>
              <w:t>/</w:t>
            </w:r>
            <w:r w:rsidR="006A4D8B">
              <w:rPr>
                <w:bCs/>
              </w:rPr>
              <w:t xml:space="preserve"> </w:t>
            </w:r>
            <w:r w:rsidRPr="00E87C9C">
              <w:rPr>
                <w:bCs/>
              </w:rPr>
              <w:t>(SONL</w:t>
            </w:r>
            <w:r w:rsidR="00663EB7">
              <w:rPr>
                <w:bCs/>
              </w:rPr>
              <w:t xml:space="preserve"> </w:t>
            </w:r>
            <w:r w:rsidR="00663EB7" w:rsidRPr="00E87C9C">
              <w:rPr>
                <w:bCs/>
              </w:rPr>
              <w:t>–</w:t>
            </w:r>
            <w:r w:rsidR="00663EB7">
              <w:rPr>
                <w:bCs/>
              </w:rPr>
              <w:t xml:space="preserve"> </w:t>
            </w:r>
            <w:r w:rsidRPr="00E87C9C">
              <w:rPr>
                <w:bCs/>
              </w:rPr>
              <w:t>SOFFL)</w:t>
            </w:r>
          </w:p>
          <w:p w14:paraId="7762442B" w14:textId="3BD61258" w:rsidR="004D3AEB" w:rsidRPr="00E87C9C" w:rsidRDefault="004D3AEB" w:rsidP="004D3AEB">
            <w:pPr>
              <w:tabs>
                <w:tab w:val="left" w:pos="1440"/>
                <w:tab w:val="left" w:pos="2340"/>
              </w:tabs>
              <w:spacing w:after="240"/>
              <w:ind w:left="720" w:hanging="720"/>
              <w:rPr>
                <w:bCs/>
              </w:rPr>
            </w:pPr>
            <w:r w:rsidRPr="00E87C9C">
              <w:rPr>
                <w:bCs/>
              </w:rPr>
              <w:tab/>
              <w:t>SIC</w:t>
            </w:r>
            <w:r w:rsidRPr="00E87C9C">
              <w:rPr>
                <w:bCs/>
              </w:rPr>
              <w:tab/>
              <w:t>=</w:t>
            </w:r>
            <w:r w:rsidRPr="00E87C9C">
              <w:rPr>
                <w:bCs/>
              </w:rPr>
              <w:tab/>
              <w:t>[(SOFFLF</w:t>
            </w:r>
            <w:r w:rsidR="006A4D8B">
              <w:rPr>
                <w:bCs/>
              </w:rPr>
              <w:t xml:space="preserve"> </w:t>
            </w:r>
            <w:r w:rsidRPr="00E87C9C">
              <w:rPr>
                <w:bCs/>
              </w:rPr>
              <w:t>*</w:t>
            </w:r>
            <w:r w:rsidR="006A4D8B">
              <w:rPr>
                <w:bCs/>
              </w:rPr>
              <w:t xml:space="preserve"> </w:t>
            </w:r>
            <w:r w:rsidRPr="00E87C9C">
              <w:rPr>
                <w:bCs/>
              </w:rPr>
              <w:t>SONL)</w:t>
            </w:r>
            <w:r w:rsidR="006A4D8B">
              <w:rPr>
                <w:bCs/>
              </w:rPr>
              <w:t xml:space="preserve"> </w:t>
            </w:r>
            <w:r w:rsidR="006A4D8B">
              <w:t>–</w:t>
            </w:r>
            <w:r w:rsidR="006A4D8B">
              <w:rPr>
                <w:bCs/>
              </w:rPr>
              <w:t xml:space="preserve"> </w:t>
            </w:r>
            <w:r w:rsidRPr="00E87C9C">
              <w:rPr>
                <w:bCs/>
              </w:rPr>
              <w:t>(SONLF</w:t>
            </w:r>
            <w:r w:rsidR="006A4D8B">
              <w:rPr>
                <w:bCs/>
              </w:rPr>
              <w:t xml:space="preserve"> </w:t>
            </w:r>
            <w:r w:rsidRPr="00E87C9C">
              <w:rPr>
                <w:bCs/>
              </w:rPr>
              <w:t>*</w:t>
            </w:r>
            <w:r w:rsidR="006A4D8B">
              <w:rPr>
                <w:bCs/>
              </w:rPr>
              <w:t xml:space="preserve"> </w:t>
            </w:r>
            <w:r w:rsidRPr="00E87C9C">
              <w:rPr>
                <w:bCs/>
              </w:rPr>
              <w:t>SOFFL)]</w:t>
            </w:r>
            <w:r w:rsidR="006A4D8B">
              <w:rPr>
                <w:bCs/>
              </w:rPr>
              <w:t xml:space="preserve"> </w:t>
            </w:r>
            <w:r w:rsidRPr="00E87C9C">
              <w:rPr>
                <w:bCs/>
              </w:rPr>
              <w:t>/</w:t>
            </w:r>
            <w:r w:rsidR="006A4D8B">
              <w:rPr>
                <w:bCs/>
              </w:rPr>
              <w:t xml:space="preserve"> </w:t>
            </w:r>
            <w:r w:rsidRPr="00E87C9C">
              <w:rPr>
                <w:bCs/>
              </w:rPr>
              <w:t>(SONL</w:t>
            </w:r>
            <w:r w:rsidR="00663EB7">
              <w:rPr>
                <w:bCs/>
              </w:rPr>
              <w:t xml:space="preserve"> </w:t>
            </w:r>
            <w:r w:rsidR="00663EB7" w:rsidRPr="00E87C9C">
              <w:rPr>
                <w:bCs/>
              </w:rPr>
              <w:t>–</w:t>
            </w:r>
            <w:r w:rsidR="00663EB7">
              <w:rPr>
                <w:bCs/>
              </w:rPr>
              <w:t xml:space="preserve"> </w:t>
            </w:r>
            <w:r w:rsidRPr="00E87C9C">
              <w:rPr>
                <w:bCs/>
              </w:rPr>
              <w:t>SOFFL)</w:t>
            </w:r>
          </w:p>
          <w:tbl>
            <w:tblPr>
              <w:tblW w:w="904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95"/>
              <w:gridCol w:w="900"/>
              <w:gridCol w:w="6950"/>
            </w:tblGrid>
            <w:tr w:rsidR="004D3AEB" w:rsidRPr="00E87C9C" w14:paraId="169D492D" w14:textId="77777777" w:rsidTr="004D3AEB">
              <w:tc>
                <w:tcPr>
                  <w:tcW w:w="1195" w:type="dxa"/>
                </w:tcPr>
                <w:p w14:paraId="0FDE1F62" w14:textId="77777777" w:rsidR="004D3AEB" w:rsidRPr="00E87C9C" w:rsidRDefault="004D3AEB" w:rsidP="004D3AEB">
                  <w:pPr>
                    <w:spacing w:after="240"/>
                    <w:rPr>
                      <w:b/>
                      <w:sz w:val="20"/>
                    </w:rPr>
                  </w:pPr>
                  <w:r w:rsidRPr="00E87C9C">
                    <w:rPr>
                      <w:b/>
                      <w:sz w:val="20"/>
                    </w:rPr>
                    <w:t>Variable</w:t>
                  </w:r>
                </w:p>
              </w:tc>
              <w:tc>
                <w:tcPr>
                  <w:tcW w:w="900" w:type="dxa"/>
                </w:tcPr>
                <w:p w14:paraId="5766AC85" w14:textId="77777777" w:rsidR="004D3AEB" w:rsidRPr="00E87C9C" w:rsidRDefault="004D3AEB" w:rsidP="004D3AEB">
                  <w:pPr>
                    <w:spacing w:after="240"/>
                    <w:rPr>
                      <w:b/>
                      <w:sz w:val="20"/>
                    </w:rPr>
                  </w:pPr>
                  <w:r w:rsidRPr="00E87C9C">
                    <w:rPr>
                      <w:b/>
                      <w:sz w:val="20"/>
                    </w:rPr>
                    <w:t>Unit</w:t>
                  </w:r>
                </w:p>
              </w:tc>
              <w:tc>
                <w:tcPr>
                  <w:tcW w:w="6950" w:type="dxa"/>
                </w:tcPr>
                <w:p w14:paraId="18F553D1" w14:textId="77777777" w:rsidR="004D3AEB" w:rsidRPr="00E87C9C" w:rsidRDefault="004D3AEB" w:rsidP="004D3AEB">
                  <w:pPr>
                    <w:spacing w:after="240"/>
                    <w:rPr>
                      <w:b/>
                      <w:sz w:val="20"/>
                    </w:rPr>
                  </w:pPr>
                  <w:r w:rsidRPr="00E87C9C">
                    <w:rPr>
                      <w:b/>
                      <w:sz w:val="20"/>
                    </w:rPr>
                    <w:t>Description</w:t>
                  </w:r>
                </w:p>
              </w:tc>
            </w:tr>
            <w:tr w:rsidR="004D3AEB" w:rsidRPr="00E87C9C" w14:paraId="2D260D7C" w14:textId="77777777" w:rsidTr="004D3AEB">
              <w:tc>
                <w:tcPr>
                  <w:tcW w:w="1195" w:type="dxa"/>
                </w:tcPr>
                <w:p w14:paraId="2B0D0B6E" w14:textId="77777777" w:rsidR="004D3AEB" w:rsidRPr="00E87C9C" w:rsidRDefault="004D3AEB" w:rsidP="004D3AEB">
                  <w:pPr>
                    <w:spacing w:after="60"/>
                    <w:rPr>
                      <w:sz w:val="20"/>
                    </w:rPr>
                  </w:pPr>
                  <w:r w:rsidRPr="00E87C9C">
                    <w:rPr>
                      <w:sz w:val="20"/>
                    </w:rPr>
                    <w:t>SONLF</w:t>
                  </w:r>
                </w:p>
              </w:tc>
              <w:tc>
                <w:tcPr>
                  <w:tcW w:w="900" w:type="dxa"/>
                </w:tcPr>
                <w:p w14:paraId="2E7C4AC3" w14:textId="77777777" w:rsidR="004D3AEB" w:rsidRPr="00E87C9C" w:rsidRDefault="004D3AEB" w:rsidP="004D3AEB">
                  <w:pPr>
                    <w:spacing w:after="60"/>
                    <w:rPr>
                      <w:sz w:val="20"/>
                    </w:rPr>
                  </w:pPr>
                  <w:r w:rsidRPr="00E87C9C">
                    <w:rPr>
                      <w:sz w:val="20"/>
                    </w:rPr>
                    <w:t>none</w:t>
                  </w:r>
                </w:p>
              </w:tc>
              <w:tc>
                <w:tcPr>
                  <w:tcW w:w="6950" w:type="dxa"/>
                </w:tcPr>
                <w:p w14:paraId="714CDF79" w14:textId="77777777" w:rsidR="004D3AEB" w:rsidRPr="00E87C9C" w:rsidRDefault="004D3AEB" w:rsidP="004D3AEB">
                  <w:pPr>
                    <w:spacing w:after="60"/>
                    <w:rPr>
                      <w:sz w:val="20"/>
                    </w:rPr>
                  </w:pPr>
                  <w:r w:rsidRPr="00E87C9C">
                    <w:rPr>
                      <w:sz w:val="20"/>
                    </w:rPr>
                    <w:t xml:space="preserve">Seasonal on-peak percent loss factor </w:t>
                  </w:r>
                </w:p>
              </w:tc>
            </w:tr>
            <w:tr w:rsidR="004D3AEB" w:rsidRPr="00E87C9C" w14:paraId="3BCE9BC5" w14:textId="77777777" w:rsidTr="004D3AEB">
              <w:tc>
                <w:tcPr>
                  <w:tcW w:w="1195" w:type="dxa"/>
                </w:tcPr>
                <w:p w14:paraId="27E01083" w14:textId="77777777" w:rsidR="004D3AEB" w:rsidRPr="00E87C9C" w:rsidRDefault="004D3AEB" w:rsidP="004D3AEB">
                  <w:pPr>
                    <w:spacing w:after="60"/>
                    <w:rPr>
                      <w:sz w:val="20"/>
                    </w:rPr>
                  </w:pPr>
                  <w:r w:rsidRPr="00E87C9C">
                    <w:rPr>
                      <w:sz w:val="20"/>
                    </w:rPr>
                    <w:t>SOFFLF</w:t>
                  </w:r>
                </w:p>
              </w:tc>
              <w:tc>
                <w:tcPr>
                  <w:tcW w:w="900" w:type="dxa"/>
                </w:tcPr>
                <w:p w14:paraId="59E6297C" w14:textId="77777777" w:rsidR="004D3AEB" w:rsidRPr="00E87C9C" w:rsidRDefault="004D3AEB" w:rsidP="004D3AEB">
                  <w:pPr>
                    <w:spacing w:after="60"/>
                    <w:rPr>
                      <w:sz w:val="20"/>
                    </w:rPr>
                  </w:pPr>
                  <w:r w:rsidRPr="00E87C9C">
                    <w:rPr>
                      <w:sz w:val="20"/>
                    </w:rPr>
                    <w:t>none</w:t>
                  </w:r>
                </w:p>
              </w:tc>
              <w:tc>
                <w:tcPr>
                  <w:tcW w:w="6950" w:type="dxa"/>
                </w:tcPr>
                <w:p w14:paraId="6DD26737" w14:textId="77777777" w:rsidR="004D3AEB" w:rsidRPr="00E87C9C" w:rsidRDefault="004D3AEB" w:rsidP="004D3AEB">
                  <w:pPr>
                    <w:tabs>
                      <w:tab w:val="left" w:pos="2160"/>
                    </w:tabs>
                    <w:contextualSpacing/>
                  </w:pPr>
                  <w:r w:rsidRPr="00E87C9C">
                    <w:rPr>
                      <w:sz w:val="20"/>
                    </w:rPr>
                    <w:t xml:space="preserve">Seasonal off-peak percent loss factor </w:t>
                  </w:r>
                </w:p>
              </w:tc>
            </w:tr>
            <w:tr w:rsidR="004D3AEB" w:rsidRPr="00E87C9C" w14:paraId="1D07CE68" w14:textId="77777777" w:rsidTr="004D3AEB">
              <w:tc>
                <w:tcPr>
                  <w:tcW w:w="1195" w:type="dxa"/>
                </w:tcPr>
                <w:p w14:paraId="003AB8E6" w14:textId="77777777" w:rsidR="004D3AEB" w:rsidRPr="00E87C9C" w:rsidRDefault="004D3AEB" w:rsidP="004D3AEB">
                  <w:pPr>
                    <w:spacing w:after="60"/>
                    <w:rPr>
                      <w:sz w:val="20"/>
                    </w:rPr>
                  </w:pPr>
                  <w:r w:rsidRPr="00E87C9C">
                    <w:rPr>
                      <w:sz w:val="20"/>
                    </w:rPr>
                    <w:t>SONL</w:t>
                  </w:r>
                </w:p>
              </w:tc>
              <w:tc>
                <w:tcPr>
                  <w:tcW w:w="900" w:type="dxa"/>
                </w:tcPr>
                <w:p w14:paraId="67D40B58" w14:textId="77777777" w:rsidR="004D3AEB" w:rsidRPr="00E87C9C" w:rsidRDefault="004D3AEB" w:rsidP="004D3AEB">
                  <w:pPr>
                    <w:spacing w:after="60"/>
                    <w:rPr>
                      <w:sz w:val="20"/>
                    </w:rPr>
                  </w:pPr>
                  <w:r w:rsidRPr="00E87C9C">
                    <w:rPr>
                      <w:sz w:val="20"/>
                    </w:rPr>
                    <w:t>none</w:t>
                  </w:r>
                </w:p>
              </w:tc>
              <w:tc>
                <w:tcPr>
                  <w:tcW w:w="6950" w:type="dxa"/>
                </w:tcPr>
                <w:p w14:paraId="4CC42D39" w14:textId="77777777" w:rsidR="004D3AEB" w:rsidRPr="00E87C9C" w:rsidRDefault="004D3AEB" w:rsidP="004D3AEB">
                  <w:pPr>
                    <w:tabs>
                      <w:tab w:val="left" w:pos="2160"/>
                    </w:tabs>
                    <w:contextualSpacing/>
                  </w:pPr>
                  <w:r w:rsidRPr="00E87C9C">
                    <w:rPr>
                      <w:sz w:val="20"/>
                    </w:rPr>
                    <w:t>Seasonal on-peak Load value</w:t>
                  </w:r>
                </w:p>
              </w:tc>
            </w:tr>
            <w:tr w:rsidR="004D3AEB" w:rsidRPr="00E87C9C" w14:paraId="5BC6AC18" w14:textId="77777777" w:rsidTr="004D3AEB">
              <w:tc>
                <w:tcPr>
                  <w:tcW w:w="1195" w:type="dxa"/>
                </w:tcPr>
                <w:p w14:paraId="4F86386F" w14:textId="77777777" w:rsidR="004D3AEB" w:rsidRPr="00E87C9C" w:rsidRDefault="004D3AEB" w:rsidP="004D3AEB">
                  <w:pPr>
                    <w:spacing w:after="60"/>
                    <w:rPr>
                      <w:sz w:val="20"/>
                    </w:rPr>
                  </w:pPr>
                  <w:r w:rsidRPr="00E87C9C">
                    <w:rPr>
                      <w:sz w:val="20"/>
                    </w:rPr>
                    <w:t>SOFFL</w:t>
                  </w:r>
                </w:p>
              </w:tc>
              <w:tc>
                <w:tcPr>
                  <w:tcW w:w="900" w:type="dxa"/>
                </w:tcPr>
                <w:p w14:paraId="6B2FCD31" w14:textId="77777777" w:rsidR="004D3AEB" w:rsidRPr="00E87C9C" w:rsidRDefault="004D3AEB" w:rsidP="004D3AEB">
                  <w:pPr>
                    <w:spacing w:after="60"/>
                    <w:rPr>
                      <w:sz w:val="20"/>
                    </w:rPr>
                  </w:pPr>
                  <w:r w:rsidRPr="00E87C9C">
                    <w:rPr>
                      <w:sz w:val="20"/>
                    </w:rPr>
                    <w:t>none</w:t>
                  </w:r>
                </w:p>
              </w:tc>
              <w:tc>
                <w:tcPr>
                  <w:tcW w:w="6950" w:type="dxa"/>
                </w:tcPr>
                <w:p w14:paraId="23DFCCF6" w14:textId="77777777" w:rsidR="004D3AEB" w:rsidRPr="00E87C9C" w:rsidRDefault="004D3AEB" w:rsidP="004D3AEB">
                  <w:pPr>
                    <w:spacing w:after="60"/>
                    <w:rPr>
                      <w:sz w:val="20"/>
                    </w:rPr>
                  </w:pPr>
                  <w:r w:rsidRPr="00E87C9C">
                    <w:rPr>
                      <w:sz w:val="20"/>
                    </w:rPr>
                    <w:t>Seasonal off-peak Load value</w:t>
                  </w:r>
                </w:p>
              </w:tc>
            </w:tr>
            <w:bookmarkEnd w:id="10"/>
          </w:tbl>
          <w:p w14:paraId="68AD32C2" w14:textId="44915E96" w:rsidR="004D3AEB" w:rsidRPr="00682F64" w:rsidRDefault="004D3AEB" w:rsidP="00D34009">
            <w:pPr>
              <w:ind w:left="720" w:hanging="720"/>
              <w:rPr>
                <w:iCs/>
              </w:rPr>
            </w:pPr>
          </w:p>
        </w:tc>
      </w:tr>
    </w:tbl>
    <w:p w14:paraId="2D62079C" w14:textId="77777777" w:rsidR="00473B7A" w:rsidRDefault="00473B7A" w:rsidP="00D34009">
      <w:pPr>
        <w:pStyle w:val="H3"/>
        <w:spacing w:before="480"/>
      </w:pPr>
      <w:r>
        <w:lastRenderedPageBreak/>
        <w:t>13.2.4</w:t>
      </w:r>
      <w:r>
        <w:tab/>
      </w:r>
      <w:r w:rsidR="0016283D">
        <w:t xml:space="preserve">Seasonal </w:t>
      </w:r>
      <w:r>
        <w:t>Transmission Loss Factor Calculation</w:t>
      </w:r>
      <w:bookmarkEnd w:id="8"/>
    </w:p>
    <w:p w14:paraId="24CAA91D" w14:textId="77777777" w:rsidR="00D2427A" w:rsidRDefault="00473B7A">
      <w:pPr>
        <w:pStyle w:val="List2"/>
        <w:ind w:left="720"/>
      </w:pPr>
      <w:r>
        <w:t>(1)</w:t>
      </w:r>
      <w:r>
        <w:tab/>
      </w:r>
      <w:r w:rsidR="00D2427A">
        <w:t xml:space="preserve">Seasonal </w:t>
      </w:r>
      <w:r>
        <w:t xml:space="preserve">on-peak and off-peak TLFs are derived from the </w:t>
      </w:r>
      <w:r w:rsidR="00D2427A">
        <w:t xml:space="preserve">annually </w:t>
      </w:r>
      <w:r>
        <w:t xml:space="preserve">updated ERCOT on-peak and off-peak load flow base cases analysis by ERCOT.  Base cases reflect the most current data on the transmission system and Generation Resource </w:t>
      </w:r>
      <w:r w:rsidR="0071406C">
        <w:t>D</w:t>
      </w:r>
      <w:r>
        <w:t xml:space="preserve">ispatch.  The ERCOT Transmission Grid topology and related Generation Resource </w:t>
      </w:r>
      <w:r w:rsidR="0071406C">
        <w:t>D</w:t>
      </w:r>
      <w:r>
        <w:t>ispatch in the base cases are the critical factors in calculating losses.</w:t>
      </w:r>
      <w:r w:rsidR="00D2427A">
        <w:t xml:space="preserve">  Seasonal time periods are defined as follows:</w:t>
      </w:r>
    </w:p>
    <w:p w14:paraId="0DC69548" w14:textId="77777777" w:rsidR="007E76CA" w:rsidRDefault="00D2427A">
      <w:pPr>
        <w:pStyle w:val="List2"/>
      </w:pPr>
      <w:r>
        <w:t>(a)</w:t>
      </w:r>
      <w:r>
        <w:tab/>
        <w:t>Spring (March – May)</w:t>
      </w:r>
    </w:p>
    <w:p w14:paraId="1659932C" w14:textId="77777777" w:rsidR="007E76CA" w:rsidRDefault="00D2427A">
      <w:pPr>
        <w:pStyle w:val="List2"/>
      </w:pPr>
      <w:r>
        <w:t>(b)</w:t>
      </w:r>
      <w:r>
        <w:tab/>
        <w:t>Summer (June – September)</w:t>
      </w:r>
    </w:p>
    <w:p w14:paraId="056FB250" w14:textId="77777777" w:rsidR="007E76CA" w:rsidRDefault="00D2427A">
      <w:pPr>
        <w:pStyle w:val="List2"/>
      </w:pPr>
      <w:r>
        <w:t>(c)</w:t>
      </w:r>
      <w:r>
        <w:tab/>
        <w:t>Fall (October – November)</w:t>
      </w:r>
    </w:p>
    <w:p w14:paraId="29186ACD" w14:textId="77777777" w:rsidR="007E76CA" w:rsidRDefault="00D2427A">
      <w:pPr>
        <w:pStyle w:val="List2"/>
      </w:pPr>
      <w:r>
        <w:t>(d)</w:t>
      </w:r>
      <w:r>
        <w:tab/>
        <w:t>Winter (December – February)</w:t>
      </w:r>
      <w:r w:rsidR="00473B7A">
        <w:t xml:space="preserve">  </w:t>
      </w:r>
    </w:p>
    <w:p w14:paraId="28C5F5BE" w14:textId="77777777" w:rsidR="00473B7A" w:rsidRDefault="00473B7A">
      <w:pPr>
        <w:pStyle w:val="BodyText"/>
        <w:ind w:left="720" w:hanging="720"/>
      </w:pPr>
      <w:r>
        <w:t>(2)</w:t>
      </w:r>
      <w:r>
        <w:tab/>
        <w:t xml:space="preserve">ERCOT shall calculate </w:t>
      </w:r>
      <w:r w:rsidR="00D2427A">
        <w:t xml:space="preserve">seasonal </w:t>
      </w:r>
      <w:r>
        <w:t xml:space="preserve">TLFs by dividing ERCOT </w:t>
      </w:r>
      <w:r w:rsidR="00D2427A">
        <w:t xml:space="preserve">seasonal </w:t>
      </w:r>
      <w:r>
        <w:t xml:space="preserve">case </w:t>
      </w:r>
      <w:r w:rsidR="0071406C">
        <w:t>T</w:t>
      </w:r>
      <w:r>
        <w:t xml:space="preserve">ransmission </w:t>
      </w:r>
      <w:r w:rsidR="0071406C">
        <w:t>L</w:t>
      </w:r>
      <w:r>
        <w:t xml:space="preserve">osses (60 kV system and higher) by the ERCOT </w:t>
      </w:r>
      <w:r w:rsidR="00D2427A">
        <w:t xml:space="preserve">seasonal </w:t>
      </w:r>
      <w:r>
        <w:t>base Load adjusted (reduced) for self</w:t>
      </w:r>
      <w:r w:rsidR="00272639">
        <w:t>-</w:t>
      </w:r>
      <w:r>
        <w:t xml:space="preserve">serve Load modeled in the case.  The resulting </w:t>
      </w:r>
      <w:r w:rsidR="00272639">
        <w:t>TLFs</w:t>
      </w:r>
      <w:r>
        <w:t xml:space="preserve"> are expressed as a percentage of Load.</w:t>
      </w:r>
    </w:p>
    <w:p w14:paraId="4D714780" w14:textId="77777777" w:rsidR="00473B7A" w:rsidRDefault="00473B7A">
      <w:pPr>
        <w:pStyle w:val="BodyText"/>
        <w:ind w:left="720" w:hanging="720"/>
      </w:pPr>
      <w:r>
        <w:t>(3)</w:t>
      </w:r>
      <w:r>
        <w:tab/>
        <w:t xml:space="preserve">ERCOT shall post </w:t>
      </w:r>
      <w:r w:rsidR="00D2427A">
        <w:t xml:space="preserve">the seasonal TLFs </w:t>
      </w:r>
      <w:r>
        <w:t xml:space="preserve">to the </w:t>
      </w:r>
      <w:r w:rsidR="00732059">
        <w:t>ERCOT website</w:t>
      </w:r>
      <w:r>
        <w:t xml:space="preserve"> prior to the start of the </w:t>
      </w:r>
      <w:r w:rsidR="00D2427A">
        <w:t>year</w:t>
      </w:r>
      <w:r w:rsidR="00AA6765">
        <w:t xml:space="preserve"> for the next four seasons beginning with the Spring season</w:t>
      </w:r>
      <w:r>
        <w:t xml:space="preserve">.  </w:t>
      </w: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607"/>
      </w:tblGrid>
      <w:tr w:rsidR="004D3AEB" w14:paraId="2B4FF7E1" w14:textId="77777777" w:rsidTr="00D34009">
        <w:tc>
          <w:tcPr>
            <w:tcW w:w="9607" w:type="dxa"/>
            <w:shd w:val="pct12" w:color="auto" w:fill="auto"/>
          </w:tcPr>
          <w:p w14:paraId="6AAAA0F4" w14:textId="0AC10CC5" w:rsidR="004D3AEB" w:rsidRPr="0002450E" w:rsidRDefault="004D3AEB" w:rsidP="0056427F">
            <w:pPr>
              <w:pStyle w:val="Instructions"/>
              <w:spacing w:before="120"/>
              <w:rPr>
                <w:iCs/>
              </w:rPr>
            </w:pPr>
            <w:bookmarkStart w:id="11" w:name="_Toc254096468"/>
            <w:r>
              <w:rPr>
                <w:iCs/>
              </w:rPr>
              <w:t>[NPRR1145</w:t>
            </w:r>
            <w:r w:rsidRPr="0002450E">
              <w:rPr>
                <w:iCs/>
              </w:rPr>
              <w:t xml:space="preserve">:  Replace </w:t>
            </w:r>
            <w:r>
              <w:rPr>
                <w:iCs/>
              </w:rPr>
              <w:t xml:space="preserve">Section 13.2.4 </w:t>
            </w:r>
            <w:r w:rsidRPr="0002450E">
              <w:rPr>
                <w:iCs/>
              </w:rPr>
              <w:t xml:space="preserve">above with the following upon system implementation:] </w:t>
            </w:r>
          </w:p>
          <w:p w14:paraId="3FAF186C" w14:textId="77777777" w:rsidR="004D3AEB" w:rsidRPr="00E87C9C" w:rsidRDefault="004D3AEB" w:rsidP="004D3AEB">
            <w:pPr>
              <w:keepNext/>
              <w:tabs>
                <w:tab w:val="left" w:pos="1080"/>
              </w:tabs>
              <w:spacing w:before="240" w:after="240"/>
              <w:ind w:left="1080" w:hanging="1080"/>
              <w:outlineLvl w:val="2"/>
              <w:rPr>
                <w:b/>
                <w:bCs/>
                <w:i/>
              </w:rPr>
            </w:pPr>
            <w:r w:rsidRPr="00E87C9C">
              <w:rPr>
                <w:b/>
                <w:bCs/>
                <w:i/>
              </w:rPr>
              <w:t>13.2.4</w:t>
            </w:r>
            <w:r w:rsidRPr="00E87C9C">
              <w:rPr>
                <w:b/>
                <w:bCs/>
                <w:i/>
              </w:rPr>
              <w:tab/>
              <w:t xml:space="preserve">Seasonal </w:t>
            </w:r>
            <w:r>
              <w:rPr>
                <w:b/>
                <w:bCs/>
                <w:i/>
              </w:rPr>
              <w:t xml:space="preserve">On-Peak and Off-Peak </w:t>
            </w:r>
            <w:r w:rsidRPr="00E87C9C">
              <w:rPr>
                <w:b/>
                <w:bCs/>
                <w:i/>
              </w:rPr>
              <w:t>Transmission Loss Factor Calculation</w:t>
            </w:r>
          </w:p>
          <w:p w14:paraId="3B48C27F" w14:textId="77777777" w:rsidR="004D3AEB" w:rsidRPr="00E87C9C" w:rsidRDefault="004D3AEB" w:rsidP="004D3AEB">
            <w:pPr>
              <w:spacing w:after="240"/>
              <w:ind w:left="720" w:hanging="720"/>
            </w:pPr>
            <w:r w:rsidRPr="00E87C9C">
              <w:t>(1)</w:t>
            </w:r>
            <w:r w:rsidRPr="00E87C9C">
              <w:tab/>
              <w:t xml:space="preserve">Seasonal </w:t>
            </w:r>
            <w:r>
              <w:t>O</w:t>
            </w:r>
            <w:r w:rsidRPr="00E87C9C">
              <w:t>n-</w:t>
            </w:r>
            <w:r>
              <w:t>P</w:t>
            </w:r>
            <w:r w:rsidRPr="00E87C9C">
              <w:t xml:space="preserve">eak and </w:t>
            </w:r>
            <w:r>
              <w:t>O</w:t>
            </w:r>
            <w:r w:rsidRPr="00E87C9C">
              <w:t>ff-</w:t>
            </w:r>
            <w:r>
              <w:t>P</w:t>
            </w:r>
            <w:r w:rsidRPr="00E87C9C">
              <w:t xml:space="preserve">eak TLFs are derived from the annually updated ERCOT on-peak and off-peak load flow base cases analysis by ERCOT.  Base cases reflect the most current data on the transmission system and Generation Resource Dispatch.  The ERCOT </w:t>
            </w:r>
            <w:r w:rsidRPr="00E87C9C">
              <w:lastRenderedPageBreak/>
              <w:t>Transmission Grid topology and related Generation Resource Dispatch in the base cases are the critical factors in calculating losses.  Seasonal time periods are defined as follows:</w:t>
            </w:r>
          </w:p>
          <w:p w14:paraId="715A651D" w14:textId="77777777" w:rsidR="004D3AEB" w:rsidRPr="00E87C9C" w:rsidRDefault="004D3AEB" w:rsidP="004D3AEB">
            <w:pPr>
              <w:spacing w:after="240"/>
              <w:ind w:left="1440" w:hanging="720"/>
            </w:pPr>
            <w:r w:rsidRPr="00E87C9C">
              <w:t>(a)</w:t>
            </w:r>
            <w:r w:rsidRPr="00E87C9C">
              <w:tab/>
              <w:t>Spring (March – May)</w:t>
            </w:r>
          </w:p>
          <w:p w14:paraId="33E607B7" w14:textId="77777777" w:rsidR="004D3AEB" w:rsidRPr="00E87C9C" w:rsidRDefault="004D3AEB" w:rsidP="004D3AEB">
            <w:pPr>
              <w:spacing w:after="240"/>
              <w:ind w:left="1440" w:hanging="720"/>
            </w:pPr>
            <w:r w:rsidRPr="00E87C9C">
              <w:t>(b)</w:t>
            </w:r>
            <w:r w:rsidRPr="00E87C9C">
              <w:tab/>
              <w:t>Summer (June – September)</w:t>
            </w:r>
          </w:p>
          <w:p w14:paraId="1AC2CCD4" w14:textId="77777777" w:rsidR="004D3AEB" w:rsidRPr="00E87C9C" w:rsidRDefault="004D3AEB" w:rsidP="004D3AEB">
            <w:pPr>
              <w:spacing w:after="240"/>
              <w:ind w:left="1440" w:hanging="720"/>
            </w:pPr>
            <w:r w:rsidRPr="00E87C9C">
              <w:t>(c)</w:t>
            </w:r>
            <w:r w:rsidRPr="00E87C9C">
              <w:tab/>
              <w:t>Fall (October – November)</w:t>
            </w:r>
          </w:p>
          <w:p w14:paraId="3E389039" w14:textId="77777777" w:rsidR="004D3AEB" w:rsidRPr="00E87C9C" w:rsidRDefault="004D3AEB" w:rsidP="004D3AEB">
            <w:pPr>
              <w:spacing w:after="240"/>
              <w:ind w:left="1440" w:hanging="720"/>
            </w:pPr>
            <w:r w:rsidRPr="00E87C9C">
              <w:t>(d)</w:t>
            </w:r>
            <w:r w:rsidRPr="00E87C9C">
              <w:tab/>
              <w:t xml:space="preserve">Winter (December – February)  </w:t>
            </w:r>
          </w:p>
          <w:p w14:paraId="1B019ED2" w14:textId="77777777" w:rsidR="004D3AEB" w:rsidRPr="00E87C9C" w:rsidRDefault="004D3AEB" w:rsidP="004D3AEB">
            <w:pPr>
              <w:spacing w:after="240"/>
              <w:ind w:left="720" w:hanging="720"/>
              <w:rPr>
                <w:iCs/>
              </w:rPr>
            </w:pPr>
            <w:r w:rsidRPr="00E87C9C">
              <w:rPr>
                <w:iCs/>
              </w:rPr>
              <w:t>(2)</w:t>
            </w:r>
            <w:r w:rsidRPr="00E87C9C">
              <w:rPr>
                <w:iCs/>
              </w:rPr>
              <w:tab/>
              <w:t>ERCOT shall calculate seasonal TLFs by dividing ERCOT seasonal case Transmission Losses (60 kV system and higher) by the ERCOT seasonal base Load adjusted (reduced) for self-serve Load modeled in the case.  The resulting TLFs are expressed as a percentage of Load.</w:t>
            </w:r>
          </w:p>
          <w:p w14:paraId="763A07F3" w14:textId="12935345" w:rsidR="004D3AEB" w:rsidRPr="00682F64" w:rsidRDefault="004D3AEB" w:rsidP="004D3AEB">
            <w:pPr>
              <w:spacing w:after="240"/>
              <w:ind w:left="720" w:hanging="720"/>
              <w:rPr>
                <w:iCs/>
              </w:rPr>
            </w:pPr>
            <w:r w:rsidRPr="00E87C9C">
              <w:rPr>
                <w:iCs/>
              </w:rPr>
              <w:t>(3)</w:t>
            </w:r>
            <w:r w:rsidRPr="00E87C9C">
              <w:rPr>
                <w:iCs/>
              </w:rPr>
              <w:tab/>
              <w:t>ERCOT shall post the seasonal TLFs to the ERCOT website prior to the start of the year for the next four seasons beginning with the Spring season.</w:t>
            </w:r>
          </w:p>
        </w:tc>
      </w:tr>
    </w:tbl>
    <w:p w14:paraId="77C5C17E" w14:textId="77777777" w:rsidR="004D3AEB" w:rsidRPr="004D3AEB" w:rsidRDefault="004D3AEB" w:rsidP="004D3AEB">
      <w:pPr>
        <w:pStyle w:val="BodyText"/>
        <w:spacing w:after="0"/>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607"/>
      </w:tblGrid>
      <w:tr w:rsidR="004D3AEB" w14:paraId="3277D1D7" w14:textId="77777777" w:rsidTr="00D34009">
        <w:tc>
          <w:tcPr>
            <w:tcW w:w="9607" w:type="dxa"/>
            <w:shd w:val="pct12" w:color="auto" w:fill="auto"/>
          </w:tcPr>
          <w:p w14:paraId="64DCEAC4" w14:textId="0D668D75" w:rsidR="004D3AEB" w:rsidRPr="0002450E" w:rsidRDefault="004D3AEB" w:rsidP="0056427F">
            <w:pPr>
              <w:pStyle w:val="Instructions"/>
              <w:spacing w:before="120"/>
              <w:rPr>
                <w:iCs/>
              </w:rPr>
            </w:pPr>
            <w:r>
              <w:rPr>
                <w:iCs/>
              </w:rPr>
              <w:t>[NPRR1145</w:t>
            </w:r>
            <w:r w:rsidRPr="0002450E">
              <w:rPr>
                <w:iCs/>
              </w:rPr>
              <w:t xml:space="preserve">:  </w:t>
            </w:r>
            <w:r>
              <w:rPr>
                <w:iCs/>
              </w:rPr>
              <w:t>Insert</w:t>
            </w:r>
            <w:r w:rsidRPr="0002450E">
              <w:rPr>
                <w:iCs/>
              </w:rPr>
              <w:t xml:space="preserve"> </w:t>
            </w:r>
            <w:r>
              <w:rPr>
                <w:iCs/>
              </w:rPr>
              <w:t xml:space="preserve">Section 13.2.5 below </w:t>
            </w:r>
            <w:r w:rsidRPr="0002450E">
              <w:rPr>
                <w:iCs/>
              </w:rPr>
              <w:t>upon system implementation</w:t>
            </w:r>
            <w:r>
              <w:rPr>
                <w:iCs/>
              </w:rPr>
              <w:t xml:space="preserve"> and renumber accordingly</w:t>
            </w:r>
            <w:r w:rsidRPr="0002450E">
              <w:rPr>
                <w:iCs/>
              </w:rPr>
              <w:t xml:space="preserve">:] </w:t>
            </w:r>
          </w:p>
          <w:p w14:paraId="1DEB5C66" w14:textId="77777777" w:rsidR="004D3AEB" w:rsidRPr="00E87C9C" w:rsidRDefault="004D3AEB" w:rsidP="004D3AEB">
            <w:pPr>
              <w:keepNext/>
              <w:tabs>
                <w:tab w:val="left" w:pos="1080"/>
              </w:tabs>
              <w:spacing w:after="240"/>
              <w:ind w:left="1080" w:hanging="1080"/>
              <w:outlineLvl w:val="2"/>
              <w:rPr>
                <w:b/>
                <w:bCs/>
                <w:i/>
              </w:rPr>
            </w:pPr>
            <w:r w:rsidRPr="00E87C9C">
              <w:rPr>
                <w:b/>
                <w:bCs/>
                <w:i/>
              </w:rPr>
              <w:t>13.2.</w:t>
            </w:r>
            <w:r>
              <w:rPr>
                <w:b/>
                <w:bCs/>
                <w:i/>
              </w:rPr>
              <w:t>5</w:t>
            </w:r>
            <w:r w:rsidRPr="00E87C9C">
              <w:rPr>
                <w:b/>
                <w:bCs/>
                <w:i/>
              </w:rPr>
              <w:tab/>
            </w:r>
            <w:r>
              <w:rPr>
                <w:b/>
                <w:bCs/>
                <w:i/>
              </w:rPr>
              <w:t xml:space="preserve">Actual </w:t>
            </w:r>
            <w:r w:rsidRPr="00E87C9C">
              <w:rPr>
                <w:b/>
                <w:bCs/>
                <w:i/>
              </w:rPr>
              <w:t>Transmission Loss Factor Calculation</w:t>
            </w:r>
          </w:p>
          <w:p w14:paraId="6944660E" w14:textId="77777777" w:rsidR="004D3AEB" w:rsidRDefault="004D3AEB" w:rsidP="004D3AEB">
            <w:pPr>
              <w:spacing w:after="240"/>
              <w:ind w:left="720" w:hanging="720"/>
              <w:rPr>
                <w:iCs/>
              </w:rPr>
            </w:pPr>
            <w:r w:rsidRPr="00E87C9C">
              <w:rPr>
                <w:iCs/>
              </w:rPr>
              <w:t>(1)</w:t>
            </w:r>
            <w:r w:rsidRPr="00E87C9C">
              <w:rPr>
                <w:iCs/>
              </w:rPr>
              <w:tab/>
              <w:t xml:space="preserve">The following formula shall be used </w:t>
            </w:r>
            <w:r>
              <w:rPr>
                <w:iCs/>
              </w:rPr>
              <w:t xml:space="preserve">by ERCOT’s State Estimator process </w:t>
            </w:r>
            <w:r w:rsidRPr="00E87C9C">
              <w:rPr>
                <w:iCs/>
              </w:rPr>
              <w:t xml:space="preserve">to </w:t>
            </w:r>
            <w:r>
              <w:rPr>
                <w:iCs/>
              </w:rPr>
              <w:t>determine</w:t>
            </w:r>
            <w:r w:rsidRPr="00E87C9C">
              <w:rPr>
                <w:iCs/>
              </w:rPr>
              <w:t xml:space="preserve"> </w:t>
            </w:r>
            <w:r>
              <w:rPr>
                <w:iCs/>
              </w:rPr>
              <w:t xml:space="preserve">Actual </w:t>
            </w:r>
            <w:r w:rsidRPr="00E87C9C">
              <w:rPr>
                <w:iCs/>
              </w:rPr>
              <w:t>TLFs.</w:t>
            </w:r>
          </w:p>
          <w:p w14:paraId="000C1F5A" w14:textId="06000B6B" w:rsidR="004D3AEB" w:rsidRPr="00D43FF8" w:rsidRDefault="004D3AEB" w:rsidP="004D3AEB">
            <w:pPr>
              <w:tabs>
                <w:tab w:val="left" w:pos="2340"/>
                <w:tab w:val="left" w:pos="2880"/>
              </w:tabs>
              <w:ind w:left="1440" w:hanging="720"/>
              <w:rPr>
                <w:bCs/>
                <w:u w:val="single"/>
              </w:rPr>
            </w:pPr>
            <w:r>
              <w:rPr>
                <w:iCs/>
              </w:rPr>
              <w:tab/>
            </w:r>
            <w:r w:rsidRPr="00E87C9C">
              <w:rPr>
                <w:bCs/>
              </w:rPr>
              <w:t>TLF</w:t>
            </w:r>
            <w:r w:rsidR="009111CF">
              <w:rPr>
                <w:vertAlign w:val="subscript"/>
              </w:rPr>
              <w:t xml:space="preserve"> </w:t>
            </w:r>
            <w:r w:rsidR="009111CF" w:rsidRPr="00D34009">
              <w:rPr>
                <w:i/>
                <w:iCs/>
                <w:vertAlign w:val="subscript"/>
              </w:rPr>
              <w:t>i</w:t>
            </w:r>
            <w:r w:rsidRPr="00E87C9C">
              <w:rPr>
                <w:bCs/>
                <w:vertAlign w:val="subscript"/>
              </w:rPr>
              <w:tab/>
            </w:r>
            <w:r w:rsidRPr="00E87C9C">
              <w:rPr>
                <w:bCs/>
              </w:rPr>
              <w:t>=</w:t>
            </w:r>
            <w:r w:rsidRPr="00E87C9C">
              <w:rPr>
                <w:bCs/>
              </w:rPr>
              <w:tab/>
            </w:r>
            <w:r>
              <w:rPr>
                <w:bCs/>
              </w:rPr>
              <w:t>(</w:t>
            </w:r>
            <w:r w:rsidRPr="00D34009">
              <w:rPr>
                <w:bCs/>
                <w:sz w:val="32"/>
                <w:szCs w:val="32"/>
              </w:rPr>
              <w:t>Σ</w:t>
            </w:r>
            <w:r w:rsidRPr="00810B7A">
              <w:rPr>
                <w:bCs/>
              </w:rPr>
              <w:t>LINE_LOSSES</w:t>
            </w:r>
            <w:r w:rsidR="009111CF">
              <w:rPr>
                <w:vertAlign w:val="subscript"/>
              </w:rPr>
              <w:t xml:space="preserve"> </w:t>
            </w:r>
            <w:r w:rsidR="009111CF" w:rsidRPr="00D34009">
              <w:rPr>
                <w:i/>
                <w:iCs/>
                <w:vertAlign w:val="subscript"/>
              </w:rPr>
              <w:t>i</w:t>
            </w:r>
            <w:r w:rsidRPr="00810B7A">
              <w:rPr>
                <w:bCs/>
              </w:rPr>
              <w:t>)</w:t>
            </w:r>
            <w:r>
              <w:rPr>
                <w:bCs/>
              </w:rPr>
              <w:t xml:space="preserve"> </w:t>
            </w:r>
            <w:r w:rsidRPr="00810B7A">
              <w:rPr>
                <w:bCs/>
              </w:rPr>
              <w:t>+ (</w:t>
            </w:r>
            <w:r w:rsidRPr="00D34009">
              <w:rPr>
                <w:bCs/>
                <w:sz w:val="32"/>
                <w:szCs w:val="32"/>
              </w:rPr>
              <w:t>Σ</w:t>
            </w:r>
            <w:r w:rsidRPr="00180961">
              <w:rPr>
                <w:bCs/>
              </w:rPr>
              <w:t>T</w:t>
            </w:r>
            <w:r>
              <w:rPr>
                <w:bCs/>
              </w:rPr>
              <w:t>RANSFORMER</w:t>
            </w:r>
            <w:r w:rsidRPr="00810B7A">
              <w:rPr>
                <w:bCs/>
              </w:rPr>
              <w:t>_LOSSES</w:t>
            </w:r>
            <w:r w:rsidR="009111CF">
              <w:rPr>
                <w:vertAlign w:val="subscript"/>
              </w:rPr>
              <w:t xml:space="preserve"> </w:t>
            </w:r>
            <w:r w:rsidR="009111CF" w:rsidRPr="00D34009">
              <w:rPr>
                <w:i/>
                <w:iCs/>
                <w:vertAlign w:val="subscript"/>
              </w:rPr>
              <w:t>i</w:t>
            </w:r>
            <w:r w:rsidRPr="00810B7A">
              <w:rPr>
                <w:bCs/>
              </w:rPr>
              <w:t>)</w:t>
            </w:r>
            <w:r>
              <w:rPr>
                <w:bCs/>
              </w:rPr>
              <w:t xml:space="preserve"> / ESL</w:t>
            </w:r>
            <w:r w:rsidR="009111CF">
              <w:rPr>
                <w:vertAlign w:val="subscript"/>
              </w:rPr>
              <w:t xml:space="preserve"> </w:t>
            </w:r>
            <w:r w:rsidR="009111CF" w:rsidRPr="00D34009">
              <w:rPr>
                <w:i/>
                <w:iCs/>
                <w:vertAlign w:val="subscript"/>
              </w:rPr>
              <w:t>i</w:t>
            </w:r>
          </w:p>
          <w:p w14:paraId="6C1B6143" w14:textId="77777777" w:rsidR="004D3AEB" w:rsidRPr="00E87C9C" w:rsidRDefault="004D3AEB" w:rsidP="004D3AEB">
            <w:pPr>
              <w:tabs>
                <w:tab w:val="left" w:pos="2340"/>
                <w:tab w:val="left" w:pos="2880"/>
              </w:tabs>
              <w:ind w:left="1440" w:hanging="720"/>
              <w:rPr>
                <w:bCs/>
              </w:rPr>
            </w:pPr>
          </w:p>
          <w:tbl>
            <w:tblPr>
              <w:tblW w:w="904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10"/>
              <w:gridCol w:w="619"/>
              <w:gridCol w:w="5716"/>
            </w:tblGrid>
            <w:tr w:rsidR="004D3AEB" w:rsidRPr="00E87C9C" w14:paraId="2DC38A4B" w14:textId="77777777" w:rsidTr="009111CF">
              <w:tc>
                <w:tcPr>
                  <w:tcW w:w="2715" w:type="dxa"/>
                </w:tcPr>
                <w:p w14:paraId="716F2F90" w14:textId="77777777" w:rsidR="004D3AEB" w:rsidRPr="00E87C9C" w:rsidRDefault="004D3AEB" w:rsidP="004D3AEB">
                  <w:pPr>
                    <w:spacing w:after="240"/>
                    <w:rPr>
                      <w:b/>
                      <w:sz w:val="20"/>
                    </w:rPr>
                  </w:pPr>
                  <w:r w:rsidRPr="00E87C9C">
                    <w:rPr>
                      <w:b/>
                      <w:sz w:val="20"/>
                    </w:rPr>
                    <w:t>Variable</w:t>
                  </w:r>
                </w:p>
              </w:tc>
              <w:tc>
                <w:tcPr>
                  <w:tcW w:w="480" w:type="dxa"/>
                </w:tcPr>
                <w:p w14:paraId="5180A843" w14:textId="77777777" w:rsidR="004D3AEB" w:rsidRPr="00E87C9C" w:rsidRDefault="004D3AEB" w:rsidP="004D3AEB">
                  <w:pPr>
                    <w:spacing w:after="240"/>
                    <w:rPr>
                      <w:b/>
                      <w:sz w:val="20"/>
                    </w:rPr>
                  </w:pPr>
                  <w:r w:rsidRPr="00E87C9C">
                    <w:rPr>
                      <w:b/>
                      <w:sz w:val="20"/>
                    </w:rPr>
                    <w:t>Unit</w:t>
                  </w:r>
                </w:p>
              </w:tc>
              <w:tc>
                <w:tcPr>
                  <w:tcW w:w="5850" w:type="dxa"/>
                </w:tcPr>
                <w:p w14:paraId="4FC40368" w14:textId="77777777" w:rsidR="004D3AEB" w:rsidRPr="00E87C9C" w:rsidRDefault="004D3AEB" w:rsidP="004D3AEB">
                  <w:pPr>
                    <w:spacing w:after="240"/>
                    <w:rPr>
                      <w:b/>
                      <w:sz w:val="20"/>
                    </w:rPr>
                  </w:pPr>
                  <w:r w:rsidRPr="00E87C9C">
                    <w:rPr>
                      <w:b/>
                      <w:sz w:val="20"/>
                    </w:rPr>
                    <w:t>Description</w:t>
                  </w:r>
                </w:p>
              </w:tc>
            </w:tr>
            <w:tr w:rsidR="004D3AEB" w:rsidRPr="00E87C9C" w14:paraId="78486896" w14:textId="77777777" w:rsidTr="009111CF">
              <w:tc>
                <w:tcPr>
                  <w:tcW w:w="2715" w:type="dxa"/>
                </w:tcPr>
                <w:p w14:paraId="419D2D19" w14:textId="77777777" w:rsidR="004D3AEB" w:rsidRPr="00D34009" w:rsidRDefault="004D3AEB" w:rsidP="004D3AEB">
                  <w:pPr>
                    <w:spacing w:after="60"/>
                    <w:rPr>
                      <w:i/>
                      <w:iCs/>
                      <w:sz w:val="20"/>
                    </w:rPr>
                  </w:pPr>
                  <w:r w:rsidRPr="00D34009">
                    <w:rPr>
                      <w:i/>
                      <w:iCs/>
                      <w:sz w:val="20"/>
                    </w:rPr>
                    <w:t>i</w:t>
                  </w:r>
                </w:p>
              </w:tc>
              <w:tc>
                <w:tcPr>
                  <w:tcW w:w="480" w:type="dxa"/>
                </w:tcPr>
                <w:p w14:paraId="45D7E75B" w14:textId="77777777" w:rsidR="004D3AEB" w:rsidRPr="00E87C9C" w:rsidRDefault="004D3AEB" w:rsidP="004D3AEB">
                  <w:pPr>
                    <w:spacing w:after="60"/>
                    <w:rPr>
                      <w:sz w:val="20"/>
                    </w:rPr>
                  </w:pPr>
                  <w:r w:rsidRPr="00E87C9C">
                    <w:rPr>
                      <w:sz w:val="20"/>
                    </w:rPr>
                    <w:t>none</w:t>
                  </w:r>
                </w:p>
              </w:tc>
              <w:tc>
                <w:tcPr>
                  <w:tcW w:w="5850" w:type="dxa"/>
                </w:tcPr>
                <w:p w14:paraId="06D36EA5" w14:textId="77777777" w:rsidR="004D3AEB" w:rsidRPr="00E87C9C" w:rsidRDefault="004D3AEB" w:rsidP="004D3AEB">
                  <w:pPr>
                    <w:spacing w:after="60"/>
                    <w:rPr>
                      <w:sz w:val="20"/>
                    </w:rPr>
                  </w:pPr>
                  <w:r>
                    <w:rPr>
                      <w:sz w:val="20"/>
                    </w:rPr>
                    <w:t xml:space="preserve">15-Minute </w:t>
                  </w:r>
                  <w:r w:rsidRPr="00E87C9C">
                    <w:rPr>
                      <w:sz w:val="20"/>
                    </w:rPr>
                    <w:t>Interval</w:t>
                  </w:r>
                </w:p>
              </w:tc>
            </w:tr>
            <w:tr w:rsidR="004D3AEB" w:rsidRPr="00E87C9C" w14:paraId="55EDFC67" w14:textId="77777777" w:rsidTr="009111CF">
              <w:tc>
                <w:tcPr>
                  <w:tcW w:w="2715" w:type="dxa"/>
                </w:tcPr>
                <w:p w14:paraId="0CE1289F" w14:textId="2B74B8B0" w:rsidR="004D3AEB" w:rsidRPr="00E87C9C" w:rsidRDefault="004D3AEB" w:rsidP="004D3AEB">
                  <w:pPr>
                    <w:spacing w:after="60"/>
                    <w:rPr>
                      <w:sz w:val="20"/>
                    </w:rPr>
                  </w:pPr>
                  <w:r w:rsidRPr="00E87C9C">
                    <w:rPr>
                      <w:sz w:val="20"/>
                    </w:rPr>
                    <w:t>TLF</w:t>
                  </w:r>
                  <w:r w:rsidR="009111CF">
                    <w:rPr>
                      <w:vertAlign w:val="subscript"/>
                    </w:rPr>
                    <w:t xml:space="preserve"> </w:t>
                  </w:r>
                  <w:r w:rsidR="009111CF" w:rsidRPr="00D34009">
                    <w:rPr>
                      <w:i/>
                      <w:iCs/>
                      <w:vertAlign w:val="subscript"/>
                    </w:rPr>
                    <w:t>i</w:t>
                  </w:r>
                </w:p>
              </w:tc>
              <w:tc>
                <w:tcPr>
                  <w:tcW w:w="480" w:type="dxa"/>
                </w:tcPr>
                <w:p w14:paraId="34E0256B" w14:textId="77777777" w:rsidR="004D3AEB" w:rsidRPr="00E87C9C" w:rsidRDefault="004D3AEB" w:rsidP="004D3AEB">
                  <w:pPr>
                    <w:spacing w:after="60"/>
                    <w:rPr>
                      <w:sz w:val="20"/>
                    </w:rPr>
                  </w:pPr>
                  <w:r w:rsidRPr="00E87C9C">
                    <w:rPr>
                      <w:sz w:val="20"/>
                    </w:rPr>
                    <w:t>none</w:t>
                  </w:r>
                </w:p>
              </w:tc>
              <w:tc>
                <w:tcPr>
                  <w:tcW w:w="5850" w:type="dxa"/>
                </w:tcPr>
                <w:p w14:paraId="1608428E" w14:textId="77777777" w:rsidR="004D3AEB" w:rsidRPr="00E87C9C" w:rsidRDefault="004D3AEB" w:rsidP="004D3AEB">
                  <w:pPr>
                    <w:spacing w:after="60"/>
                    <w:rPr>
                      <w:sz w:val="20"/>
                    </w:rPr>
                  </w:pPr>
                  <w:r w:rsidRPr="00E87C9C">
                    <w:rPr>
                      <w:sz w:val="20"/>
                    </w:rPr>
                    <w:t xml:space="preserve">Transmission Loss Factor for </w:t>
                  </w:r>
                  <w:r>
                    <w:rPr>
                      <w:sz w:val="20"/>
                    </w:rPr>
                    <w:t>the</w:t>
                  </w:r>
                  <w:r w:rsidRPr="00E87C9C">
                    <w:rPr>
                      <w:sz w:val="20"/>
                    </w:rPr>
                    <w:t xml:space="preserve"> </w:t>
                  </w:r>
                  <w:r>
                    <w:rPr>
                      <w:sz w:val="20"/>
                    </w:rPr>
                    <w:t xml:space="preserve">15-Minute </w:t>
                  </w:r>
                  <w:r w:rsidRPr="00E87C9C">
                    <w:rPr>
                      <w:sz w:val="20"/>
                    </w:rPr>
                    <w:t>Settlement Interval</w:t>
                  </w:r>
                </w:p>
              </w:tc>
            </w:tr>
            <w:tr w:rsidR="004D3AEB" w:rsidRPr="00E87C9C" w14:paraId="38C542EC" w14:textId="77777777" w:rsidTr="009111CF">
              <w:tc>
                <w:tcPr>
                  <w:tcW w:w="2715" w:type="dxa"/>
                </w:tcPr>
                <w:p w14:paraId="25F8EBD0" w14:textId="59D359B4" w:rsidR="004D3AEB" w:rsidRPr="00E87C9C" w:rsidRDefault="004D3AEB" w:rsidP="004D3AEB">
                  <w:pPr>
                    <w:spacing w:after="60"/>
                    <w:rPr>
                      <w:sz w:val="20"/>
                    </w:rPr>
                  </w:pPr>
                  <w:r>
                    <w:rPr>
                      <w:sz w:val="20"/>
                    </w:rPr>
                    <w:t>ES</w:t>
                  </w:r>
                  <w:r w:rsidRPr="00E87C9C">
                    <w:rPr>
                      <w:sz w:val="20"/>
                    </w:rPr>
                    <w:t>L</w:t>
                  </w:r>
                  <w:r w:rsidR="009111CF">
                    <w:rPr>
                      <w:vertAlign w:val="subscript"/>
                    </w:rPr>
                    <w:t xml:space="preserve"> </w:t>
                  </w:r>
                  <w:r w:rsidR="009111CF" w:rsidRPr="00D34009">
                    <w:rPr>
                      <w:i/>
                      <w:iCs/>
                      <w:vertAlign w:val="subscript"/>
                    </w:rPr>
                    <w:t>i</w:t>
                  </w:r>
                </w:p>
              </w:tc>
              <w:tc>
                <w:tcPr>
                  <w:tcW w:w="480" w:type="dxa"/>
                </w:tcPr>
                <w:p w14:paraId="597B4FB8" w14:textId="77777777" w:rsidR="004D3AEB" w:rsidRPr="00E87C9C" w:rsidRDefault="004D3AEB" w:rsidP="004D3AEB">
                  <w:pPr>
                    <w:spacing w:after="60"/>
                    <w:rPr>
                      <w:sz w:val="20"/>
                    </w:rPr>
                  </w:pPr>
                  <w:r w:rsidRPr="00E87C9C">
                    <w:rPr>
                      <w:sz w:val="20"/>
                    </w:rPr>
                    <w:t>MW</w:t>
                  </w:r>
                </w:p>
              </w:tc>
              <w:tc>
                <w:tcPr>
                  <w:tcW w:w="5850" w:type="dxa"/>
                </w:tcPr>
                <w:p w14:paraId="6AAE38C8" w14:textId="77777777" w:rsidR="004D3AEB" w:rsidRPr="00E87C9C" w:rsidRDefault="004D3AEB" w:rsidP="004D3AEB">
                  <w:pPr>
                    <w:spacing w:after="60"/>
                    <w:rPr>
                      <w:i/>
                      <w:sz w:val="20"/>
                    </w:rPr>
                  </w:pPr>
                  <w:r w:rsidRPr="00E87C9C">
                    <w:rPr>
                      <w:sz w:val="20"/>
                    </w:rPr>
                    <w:t>ERCOT System Load</w:t>
                  </w:r>
                  <w:r>
                    <w:rPr>
                      <w:sz w:val="20"/>
                    </w:rPr>
                    <w:t xml:space="preserve"> for the 15-Minute Interval</w:t>
                  </w:r>
                </w:p>
              </w:tc>
            </w:tr>
            <w:tr w:rsidR="004D3AEB" w:rsidRPr="00E87C9C" w14:paraId="359772AE" w14:textId="77777777" w:rsidTr="009111CF">
              <w:tc>
                <w:tcPr>
                  <w:tcW w:w="2715" w:type="dxa"/>
                </w:tcPr>
                <w:p w14:paraId="02A531A7" w14:textId="57855C9D" w:rsidR="004D3AEB" w:rsidRPr="00E87C9C" w:rsidRDefault="004D3AEB" w:rsidP="004D3AEB">
                  <w:pPr>
                    <w:spacing w:after="60"/>
                    <w:rPr>
                      <w:sz w:val="20"/>
                    </w:rPr>
                  </w:pPr>
                  <w:r>
                    <w:rPr>
                      <w:sz w:val="20"/>
                    </w:rPr>
                    <w:t>LINE_LOSSES</w:t>
                  </w:r>
                  <w:r w:rsidR="009111CF">
                    <w:rPr>
                      <w:vertAlign w:val="subscript"/>
                    </w:rPr>
                    <w:t xml:space="preserve"> </w:t>
                  </w:r>
                  <w:r w:rsidR="009111CF" w:rsidRPr="00D34009">
                    <w:rPr>
                      <w:i/>
                      <w:iCs/>
                      <w:vertAlign w:val="subscript"/>
                    </w:rPr>
                    <w:t>i</w:t>
                  </w:r>
                </w:p>
              </w:tc>
              <w:tc>
                <w:tcPr>
                  <w:tcW w:w="480" w:type="dxa"/>
                </w:tcPr>
                <w:p w14:paraId="166E85F3" w14:textId="77777777" w:rsidR="004D3AEB" w:rsidRPr="00E87C9C" w:rsidRDefault="004D3AEB" w:rsidP="004D3AEB">
                  <w:pPr>
                    <w:spacing w:after="60"/>
                    <w:rPr>
                      <w:sz w:val="20"/>
                    </w:rPr>
                  </w:pPr>
                  <w:r w:rsidRPr="00E87C9C">
                    <w:rPr>
                      <w:sz w:val="20"/>
                    </w:rPr>
                    <w:t>MW</w:t>
                  </w:r>
                </w:p>
              </w:tc>
              <w:tc>
                <w:tcPr>
                  <w:tcW w:w="5850" w:type="dxa"/>
                </w:tcPr>
                <w:p w14:paraId="29156A30" w14:textId="77777777" w:rsidR="004D3AEB" w:rsidRPr="00E87C9C" w:rsidRDefault="004D3AEB" w:rsidP="004D3AEB">
                  <w:pPr>
                    <w:spacing w:after="60"/>
                    <w:rPr>
                      <w:sz w:val="20"/>
                    </w:rPr>
                  </w:pPr>
                  <w:r>
                    <w:rPr>
                      <w:sz w:val="20"/>
                    </w:rPr>
                    <w:t>Line Losses for the 15-Minute Interval</w:t>
                  </w:r>
                </w:p>
              </w:tc>
            </w:tr>
            <w:tr w:rsidR="004D3AEB" w:rsidRPr="00E87C9C" w14:paraId="1E3B8EAC" w14:textId="77777777" w:rsidTr="009111CF">
              <w:tc>
                <w:tcPr>
                  <w:tcW w:w="2715" w:type="dxa"/>
                </w:tcPr>
                <w:p w14:paraId="0E173C61" w14:textId="316E3AB5" w:rsidR="004D3AEB" w:rsidRPr="00E87C9C" w:rsidRDefault="004D3AEB" w:rsidP="004D3AEB">
                  <w:pPr>
                    <w:spacing w:after="60"/>
                    <w:rPr>
                      <w:sz w:val="20"/>
                    </w:rPr>
                  </w:pPr>
                  <w:r>
                    <w:rPr>
                      <w:sz w:val="20"/>
                    </w:rPr>
                    <w:t>TRANSFORMER_LOSSES</w:t>
                  </w:r>
                  <w:r w:rsidR="009111CF">
                    <w:rPr>
                      <w:vertAlign w:val="subscript"/>
                    </w:rPr>
                    <w:t xml:space="preserve"> </w:t>
                  </w:r>
                  <w:r w:rsidR="009111CF" w:rsidRPr="00D34009">
                    <w:rPr>
                      <w:i/>
                      <w:iCs/>
                      <w:vertAlign w:val="subscript"/>
                    </w:rPr>
                    <w:t>i</w:t>
                  </w:r>
                </w:p>
              </w:tc>
              <w:tc>
                <w:tcPr>
                  <w:tcW w:w="480" w:type="dxa"/>
                </w:tcPr>
                <w:p w14:paraId="2C740D70" w14:textId="77777777" w:rsidR="004D3AEB" w:rsidRPr="00E87C9C" w:rsidRDefault="004D3AEB" w:rsidP="004D3AEB">
                  <w:pPr>
                    <w:spacing w:after="60"/>
                    <w:rPr>
                      <w:sz w:val="20"/>
                    </w:rPr>
                  </w:pPr>
                  <w:r w:rsidRPr="00E87C9C">
                    <w:rPr>
                      <w:sz w:val="20"/>
                    </w:rPr>
                    <w:t>MW</w:t>
                  </w:r>
                </w:p>
              </w:tc>
              <w:tc>
                <w:tcPr>
                  <w:tcW w:w="5850" w:type="dxa"/>
                </w:tcPr>
                <w:p w14:paraId="7B343E00" w14:textId="77777777" w:rsidR="004D3AEB" w:rsidRPr="00E87C9C" w:rsidRDefault="004D3AEB" w:rsidP="004D3AEB">
                  <w:pPr>
                    <w:spacing w:after="60"/>
                    <w:rPr>
                      <w:sz w:val="20"/>
                    </w:rPr>
                  </w:pPr>
                  <w:r>
                    <w:rPr>
                      <w:sz w:val="20"/>
                    </w:rPr>
                    <w:t>Transformer Losses for the 15-Minute Interval</w:t>
                  </w:r>
                </w:p>
              </w:tc>
            </w:tr>
          </w:tbl>
          <w:p w14:paraId="11DEFC0A" w14:textId="0EE90ED9" w:rsidR="004D3AEB" w:rsidRPr="00682F64" w:rsidRDefault="004D3AEB" w:rsidP="00D34009">
            <w:pPr>
              <w:ind w:left="720" w:hanging="720"/>
              <w:rPr>
                <w:iCs/>
              </w:rPr>
            </w:pPr>
          </w:p>
        </w:tc>
      </w:tr>
    </w:tbl>
    <w:p w14:paraId="0DD0CC4D" w14:textId="25AE507B" w:rsidR="00473B7A" w:rsidRDefault="00473B7A" w:rsidP="00D20EC0">
      <w:pPr>
        <w:pStyle w:val="H3"/>
        <w:spacing w:before="480"/>
      </w:pPr>
      <w:r>
        <w:t>13.2.5</w:t>
      </w:r>
      <w:r>
        <w:tab/>
        <w:t>Loss Monitoring</w:t>
      </w:r>
      <w:bookmarkEnd w:id="11"/>
    </w:p>
    <w:p w14:paraId="1E3A4E70" w14:textId="77777777" w:rsidR="00473B7A" w:rsidRDefault="0071406C" w:rsidP="005023DE">
      <w:pPr>
        <w:spacing w:after="240"/>
        <w:ind w:left="720" w:hanging="720"/>
      </w:pPr>
      <w:r>
        <w:t>(1)</w:t>
      </w:r>
      <w:r>
        <w:tab/>
      </w:r>
      <w:r w:rsidR="00473B7A">
        <w:t>ERCOT shall monitor Transmission Losses annually and will investigate any abnormal loss factors.  ERCOT and TSPs shall use the cost of losses as one criterion in evaluating the need for transmission additions.</w:t>
      </w:r>
    </w:p>
    <w:p w14:paraId="3DDFD576" w14:textId="77777777" w:rsidR="00473B7A" w:rsidRDefault="00473B7A" w:rsidP="00D20EC0">
      <w:pPr>
        <w:pStyle w:val="H2"/>
        <w:spacing w:before="480"/>
      </w:pPr>
      <w:bookmarkStart w:id="12" w:name="_Toc254096469"/>
      <w:r>
        <w:lastRenderedPageBreak/>
        <w:t>13.3</w:t>
      </w:r>
      <w:r>
        <w:tab/>
        <w:t>Distribution Losses</w:t>
      </w:r>
      <w:bookmarkEnd w:id="12"/>
    </w:p>
    <w:p w14:paraId="4F0CE13D" w14:textId="77777777" w:rsidR="00473B7A" w:rsidRDefault="00473B7A">
      <w:pPr>
        <w:spacing w:after="240"/>
        <w:ind w:left="720" w:hanging="720"/>
      </w:pPr>
      <w:r>
        <w:t>(1)</w:t>
      </w:r>
      <w:r>
        <w:tab/>
        <w:t>By October 30</w:t>
      </w:r>
      <w:r>
        <w:rPr>
          <w:vertAlign w:val="superscript"/>
        </w:rPr>
        <w:t>th</w:t>
      </w:r>
      <w:r>
        <w:t xml:space="preserve"> of each year for the next calendar year, or two months prior to the posting of any update to the approved Distribution loss coefficients</w:t>
      </w:r>
      <w:r>
        <w:rPr>
          <w:szCs w:val="24"/>
        </w:rPr>
        <w:t xml:space="preserve">, </w:t>
      </w:r>
      <w:r>
        <w:t xml:space="preserve">codes, or calculation, each Distribution Service Provider (DSP), except </w:t>
      </w:r>
      <w:r w:rsidR="00320746">
        <w:t>Non-Opt-In Entities (</w:t>
      </w:r>
      <w:r>
        <w:t>NOIEs</w:t>
      </w:r>
      <w:r w:rsidR="00320746">
        <w:t>)</w:t>
      </w:r>
      <w:r>
        <w:t xml:space="preserve">, shall calculate and provide ERCOT the </w:t>
      </w:r>
      <w:r w:rsidR="00CD4ADB">
        <w:t>a</w:t>
      </w:r>
      <w:r>
        <w:t xml:space="preserve">nnual Distribution loss coefficients to be applied to distribution voltage level Loads in its area of certification.  ERCOT shall review and approve the </w:t>
      </w:r>
      <w:r w:rsidR="00320746">
        <w:t>Distribution Loss Factor (</w:t>
      </w:r>
      <w:r>
        <w:t>DLF</w:t>
      </w:r>
      <w:r w:rsidR="00320746">
        <w:t>)</w:t>
      </w:r>
      <w:r>
        <w:t xml:space="preserve"> calculation methodology used by each DSP prior to use of the loss coefficients for settlement purposes.  If the DLF calculation methodology does not conform with ERCOT’s interpretation of the Protocol criteria in this subsection, ERCOT will work with the </w:t>
      </w:r>
      <w:r w:rsidR="00320746">
        <w:t>DSP</w:t>
      </w:r>
      <w:r>
        <w:t xml:space="preserve"> to correct the deficiency.  Until deficiencies are resolved, the last approved Distribution loss coefficients and the calculation methodology will be posted, and the last approved Distribution loss coefficients shall be used for settlement.  A DSP may only submit a change to the DLF calculation methodology annually or when a change in a DSP service area warrants an update to the approved DLF methodology based on the DSP internal evaluation.</w:t>
      </w:r>
    </w:p>
    <w:p w14:paraId="3C29C50A" w14:textId="77777777" w:rsidR="00473B7A" w:rsidRDefault="00473B7A">
      <w:pPr>
        <w:pStyle w:val="BodyText"/>
        <w:ind w:left="720" w:hanging="720"/>
      </w:pPr>
      <w:r>
        <w:t>(2)</w:t>
      </w:r>
      <w:r>
        <w:tab/>
        <w:t xml:space="preserve">The DSP shall assign a Distribution loss code to each </w:t>
      </w:r>
      <w:r w:rsidR="00320746">
        <w:t>Electric Service Identifier (</w:t>
      </w:r>
      <w:smartTag w:uri="urn:schemas-microsoft-com:office:smarttags" w:element="time">
        <w:r>
          <w:t>ESI</w:t>
        </w:r>
      </w:smartTag>
      <w:r>
        <w:t xml:space="preserve"> ID</w:t>
      </w:r>
      <w:r w:rsidR="00320746">
        <w:t>)</w:t>
      </w:r>
      <w:r>
        <w:t>.  A maximum of five Distribution loss codes may be submitted for each DSP based upon ERCOT approved parameters, such as service voltages or number of transformations.</w:t>
      </w:r>
    </w:p>
    <w:p w14:paraId="2978EF58" w14:textId="77777777" w:rsidR="00473B7A" w:rsidRDefault="00473B7A">
      <w:pPr>
        <w:pStyle w:val="BodyText"/>
        <w:ind w:left="720" w:hanging="720"/>
      </w:pPr>
      <w:r>
        <w:t>(3)</w:t>
      </w:r>
      <w:r>
        <w:tab/>
        <w:t xml:space="preserve">The following standards will be used to identify the Distribution loss code applicable to each </w:t>
      </w:r>
      <w:smartTag w:uri="urn:schemas-microsoft-com:office:smarttags" w:element="time">
        <w:r>
          <w:t>ESI</w:t>
        </w:r>
      </w:smartTag>
      <w:r>
        <w:t xml:space="preserve"> ID:</w:t>
      </w:r>
    </w:p>
    <w:p w14:paraId="1F82CD3A" w14:textId="77777777" w:rsidR="00473B7A" w:rsidRDefault="00473B7A">
      <w:pPr>
        <w:pStyle w:val="Bullet"/>
      </w:pPr>
      <w:r>
        <w:t>T = Transmission connected Customers (no Settlement Interval DLF applied)</w:t>
      </w:r>
    </w:p>
    <w:p w14:paraId="7807DDC5" w14:textId="77777777" w:rsidR="00473B7A" w:rsidRDefault="00473B7A">
      <w:pPr>
        <w:pStyle w:val="Bullet"/>
      </w:pPr>
      <w:r>
        <w:t xml:space="preserve">A through E = </w:t>
      </w:r>
      <w:r w:rsidR="00320746">
        <w:t xml:space="preserve">Transmission </w:t>
      </w:r>
      <w:r w:rsidR="00CD4ADB">
        <w:t xml:space="preserve">and/or </w:t>
      </w:r>
      <w:r w:rsidR="00320746">
        <w:t>Distribution Service Provider (</w:t>
      </w:r>
      <w:r>
        <w:t>TDSP</w:t>
      </w:r>
      <w:r w:rsidR="00320746">
        <w:t>)</w:t>
      </w:r>
      <w:r>
        <w:t xml:space="preserve"> defined Customer segment(s)</w:t>
      </w:r>
    </w:p>
    <w:p w14:paraId="60D3B524" w14:textId="77777777" w:rsidR="00473B7A" w:rsidRDefault="00473B7A">
      <w:pPr>
        <w:pStyle w:val="BodyText"/>
        <w:ind w:left="720" w:hanging="720"/>
      </w:pPr>
      <w:r>
        <w:t>(4)</w:t>
      </w:r>
      <w:r>
        <w:tab/>
        <w:t>The DSPs, except NOIEs, are obligated to provide Distribution loss coefficients to ERCOT.  ERCOT will post the Distribution loss coefficients and calculation methodology, for each DSP.</w:t>
      </w:r>
    </w:p>
    <w:p w14:paraId="34D9198B" w14:textId="77777777" w:rsidR="00473B7A" w:rsidRDefault="00473B7A">
      <w:pPr>
        <w:pStyle w:val="ListIntroduction"/>
      </w:pPr>
      <w:r>
        <w:t>(5)</w:t>
      </w:r>
      <w:r>
        <w:tab/>
        <w:t>Distribution loss information submitted by the DSP shall include:</w:t>
      </w:r>
    </w:p>
    <w:p w14:paraId="07B5BFD1" w14:textId="77777777" w:rsidR="00473B7A" w:rsidRDefault="00473B7A">
      <w:pPr>
        <w:pStyle w:val="List"/>
        <w:ind w:left="1440" w:hanging="720"/>
      </w:pPr>
      <w:r>
        <w:t>(a)</w:t>
      </w:r>
      <w:r>
        <w:tab/>
        <w:t>The annual Distribution loss coefficients (</w:t>
      </w:r>
      <w:r>
        <w:rPr>
          <w:szCs w:val="24"/>
        </w:rPr>
        <w:t>F</w:t>
      </w:r>
      <w:r>
        <w:rPr>
          <w:szCs w:val="24"/>
          <w:vertAlign w:val="subscript"/>
        </w:rPr>
        <w:t>1</w:t>
      </w:r>
      <w:r>
        <w:rPr>
          <w:szCs w:val="24"/>
        </w:rPr>
        <w:t>, F</w:t>
      </w:r>
      <w:r>
        <w:rPr>
          <w:szCs w:val="24"/>
          <w:vertAlign w:val="subscript"/>
        </w:rPr>
        <w:t>2</w:t>
      </w:r>
      <w:r>
        <w:rPr>
          <w:szCs w:val="24"/>
        </w:rPr>
        <w:t>, and F</w:t>
      </w:r>
      <w:r>
        <w:rPr>
          <w:szCs w:val="24"/>
          <w:vertAlign w:val="subscript"/>
        </w:rPr>
        <w:t>3</w:t>
      </w:r>
      <w:r>
        <w:rPr>
          <w:szCs w:val="24"/>
        </w:rPr>
        <w:t xml:space="preserve">) </w:t>
      </w:r>
      <w:r>
        <w:t>for each Distribution loss code; and</w:t>
      </w:r>
    </w:p>
    <w:p w14:paraId="628C71FE" w14:textId="77777777" w:rsidR="00473B7A" w:rsidRDefault="00473B7A">
      <w:pPr>
        <w:pStyle w:val="List"/>
        <w:ind w:left="1440" w:hanging="720"/>
      </w:pPr>
      <w:r>
        <w:t>(b)</w:t>
      </w:r>
      <w:r>
        <w:tab/>
        <w:t xml:space="preserve">The methodology upon which the calculation </w:t>
      </w:r>
      <w:r w:rsidRPr="003229A6">
        <w:t>of the coefficients (</w:t>
      </w:r>
      <w:r w:rsidRPr="003229A6">
        <w:rPr>
          <w:szCs w:val="24"/>
        </w:rPr>
        <w:t>F</w:t>
      </w:r>
      <w:r w:rsidRPr="003229A6">
        <w:rPr>
          <w:szCs w:val="24"/>
          <w:vertAlign w:val="subscript"/>
        </w:rPr>
        <w:t>1</w:t>
      </w:r>
      <w:r w:rsidRPr="003229A6">
        <w:rPr>
          <w:szCs w:val="24"/>
        </w:rPr>
        <w:t>, F</w:t>
      </w:r>
      <w:r w:rsidRPr="003229A6">
        <w:rPr>
          <w:szCs w:val="24"/>
          <w:vertAlign w:val="subscript"/>
        </w:rPr>
        <w:t>2</w:t>
      </w:r>
      <w:r w:rsidRPr="003229A6">
        <w:rPr>
          <w:szCs w:val="24"/>
        </w:rPr>
        <w:t>, and F</w:t>
      </w:r>
      <w:r w:rsidRPr="003229A6">
        <w:rPr>
          <w:szCs w:val="24"/>
          <w:vertAlign w:val="subscript"/>
        </w:rPr>
        <w:t>3</w:t>
      </w:r>
      <w:r w:rsidRPr="003229A6">
        <w:rPr>
          <w:szCs w:val="24"/>
        </w:rPr>
        <w:t>)</w:t>
      </w:r>
      <w:r>
        <w:rPr>
          <w:b/>
          <w:i/>
          <w:szCs w:val="24"/>
        </w:rPr>
        <w:t xml:space="preserve"> </w:t>
      </w:r>
      <w:r>
        <w:t>was made.</w:t>
      </w:r>
    </w:p>
    <w:p w14:paraId="40FDF889" w14:textId="77777777" w:rsidR="00320746" w:rsidRDefault="00320746" w:rsidP="00984121">
      <w:pPr>
        <w:pStyle w:val="List"/>
        <w:ind w:left="720" w:hanging="720"/>
      </w:pPr>
      <w:r w:rsidRPr="00124935">
        <w:t>(6)</w:t>
      </w:r>
      <w:r>
        <w:tab/>
      </w:r>
      <w:r w:rsidRPr="00124935">
        <w:t xml:space="preserve">A NOIE may provide ERCOT with </w:t>
      </w:r>
      <w:r>
        <w:t xml:space="preserve">the </w:t>
      </w:r>
      <w:r w:rsidRPr="00124935">
        <w:t xml:space="preserve">information detailed in </w:t>
      </w:r>
      <w:r>
        <w:t>paragraph</w:t>
      </w:r>
      <w:r w:rsidRPr="00124935">
        <w:t xml:space="preserve"> (5)</w:t>
      </w:r>
      <w:r>
        <w:t xml:space="preserve"> above</w:t>
      </w:r>
      <w:r w:rsidRPr="00124935">
        <w:t>.  If such information is provided, ERCOT shall calculate and post NOIE DSP DLFs using the same processes for the calculation and posting of competitive DSP DLFs.</w:t>
      </w:r>
    </w:p>
    <w:p w14:paraId="6A3482BF" w14:textId="77777777" w:rsidR="00473B7A" w:rsidRDefault="00473B7A" w:rsidP="00D20EC0">
      <w:pPr>
        <w:pStyle w:val="H3"/>
        <w:spacing w:before="480"/>
      </w:pPr>
      <w:bookmarkStart w:id="13" w:name="_Toc254096470"/>
      <w:r>
        <w:lastRenderedPageBreak/>
        <w:t>13.3.1</w:t>
      </w:r>
      <w:r>
        <w:tab/>
        <w:t>Loss Factor Calculation</w:t>
      </w:r>
      <w:bookmarkEnd w:id="13"/>
    </w:p>
    <w:p w14:paraId="7B88D790" w14:textId="77777777" w:rsidR="00473B7A" w:rsidRDefault="00473B7A">
      <w:pPr>
        <w:pStyle w:val="BodyText"/>
        <w:ind w:left="720" w:hanging="720"/>
      </w:pPr>
      <w:r>
        <w:t>(1)</w:t>
      </w:r>
      <w:r>
        <w:tab/>
        <w:t>ERCOT shall use the Distribution loss coefficients submitted by the DSP to calculate the Settlement Interval DLFs.  Settlement Interval DLFs will be calculated from the data provided by DSPs as follows using the following equation:</w:t>
      </w:r>
    </w:p>
    <w:p w14:paraId="4BC2AB05" w14:textId="33E2F13A" w:rsidR="007E76CA" w:rsidRDefault="00473B7A" w:rsidP="00324700">
      <w:pPr>
        <w:pStyle w:val="FormulaBold"/>
      </w:pPr>
      <w:r>
        <w:t>SILF</w:t>
      </w:r>
      <w:r w:rsidR="00D34009">
        <w:rPr>
          <w:i/>
          <w:iCs/>
          <w:vertAlign w:val="subscript"/>
        </w:rPr>
        <w:t xml:space="preserve"> i</w:t>
      </w:r>
      <w:r>
        <w:t xml:space="preserve"> = F</w:t>
      </w:r>
      <w:r w:rsidRPr="00D34009">
        <w:rPr>
          <w:i/>
          <w:iCs/>
          <w:vertAlign w:val="subscript"/>
        </w:rPr>
        <w:t>1</w:t>
      </w:r>
      <w:r>
        <w:t xml:space="preserve"> * (SIEL</w:t>
      </w:r>
      <w:r w:rsidR="00D34009">
        <w:rPr>
          <w:i/>
          <w:iCs/>
          <w:vertAlign w:val="subscript"/>
        </w:rPr>
        <w:t xml:space="preserve"> i </w:t>
      </w:r>
      <w:r>
        <w:t>/</w:t>
      </w:r>
      <w:r w:rsidR="00D34009">
        <w:t xml:space="preserve"> </w:t>
      </w:r>
      <w:r>
        <w:t>AAL) + F</w:t>
      </w:r>
      <w:r w:rsidRPr="00D34009">
        <w:rPr>
          <w:i/>
          <w:iCs/>
          <w:vertAlign w:val="subscript"/>
        </w:rPr>
        <w:t>2</w:t>
      </w:r>
      <w:r>
        <w:t xml:space="preserve"> + F</w:t>
      </w:r>
      <w:r w:rsidRPr="00D34009">
        <w:rPr>
          <w:i/>
          <w:iCs/>
          <w:vertAlign w:val="subscript"/>
        </w:rPr>
        <w:t>3</w:t>
      </w:r>
      <w:r>
        <w:t xml:space="preserve"> / (SIEL</w:t>
      </w:r>
      <w:r w:rsidR="00D34009">
        <w:rPr>
          <w:i/>
          <w:iCs/>
          <w:vertAlign w:val="subscript"/>
        </w:rPr>
        <w:t xml:space="preserve"> i </w:t>
      </w:r>
      <w:r>
        <w:rPr>
          <w:rFonts w:ascii="Times New Roman Bold" w:hAnsi="Times New Roman Bold"/>
        </w:rPr>
        <w:t>/</w:t>
      </w:r>
      <w:r w:rsidR="00D34009">
        <w:rPr>
          <w:rFonts w:ascii="Times New Roman Bold" w:hAnsi="Times New Roman Bold"/>
        </w:rPr>
        <w:t xml:space="preserve"> </w:t>
      </w:r>
      <w:r w:rsidRPr="0010678A">
        <w:t>AAL</w:t>
      </w:r>
      <w:r w:rsidRPr="004B51C3">
        <w:rPr>
          <w:rFonts w:ascii="Times New Roman Bold" w:hAnsi="Times New Roman Bold"/>
        </w:rPr>
        <w:t>)</w:t>
      </w:r>
    </w:p>
    <w:tbl>
      <w:tblPr>
        <w:tblW w:w="927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95"/>
        <w:gridCol w:w="900"/>
        <w:gridCol w:w="7175"/>
      </w:tblGrid>
      <w:tr w:rsidR="00473B7A" w14:paraId="56FD8B87" w14:textId="77777777">
        <w:tc>
          <w:tcPr>
            <w:tcW w:w="1195" w:type="dxa"/>
          </w:tcPr>
          <w:p w14:paraId="0627B477" w14:textId="77777777" w:rsidR="00473B7A" w:rsidRPr="0010678A" w:rsidRDefault="00473B7A">
            <w:pPr>
              <w:pStyle w:val="TableHead"/>
              <w:rPr>
                <w:rStyle w:val="BodyTextChar1"/>
                <w:sz w:val="20"/>
              </w:rPr>
            </w:pPr>
            <w:r w:rsidRPr="0010678A">
              <w:rPr>
                <w:rStyle w:val="BodyTextChar1"/>
                <w:sz w:val="20"/>
              </w:rPr>
              <w:t>Variable</w:t>
            </w:r>
          </w:p>
        </w:tc>
        <w:tc>
          <w:tcPr>
            <w:tcW w:w="900" w:type="dxa"/>
          </w:tcPr>
          <w:p w14:paraId="3C42DDF2" w14:textId="77777777" w:rsidR="00473B7A" w:rsidRPr="0010678A" w:rsidRDefault="00473B7A">
            <w:pPr>
              <w:pStyle w:val="TableHead"/>
              <w:rPr>
                <w:rStyle w:val="BodyTextChar1"/>
                <w:sz w:val="20"/>
              </w:rPr>
            </w:pPr>
            <w:r w:rsidRPr="0010678A">
              <w:rPr>
                <w:rStyle w:val="BodyTextChar1"/>
                <w:sz w:val="20"/>
              </w:rPr>
              <w:t>Unit</w:t>
            </w:r>
          </w:p>
        </w:tc>
        <w:tc>
          <w:tcPr>
            <w:tcW w:w="7175" w:type="dxa"/>
          </w:tcPr>
          <w:p w14:paraId="6C4966E7" w14:textId="77777777" w:rsidR="00473B7A" w:rsidRPr="0010678A" w:rsidRDefault="00473B7A">
            <w:pPr>
              <w:pStyle w:val="TableHead"/>
              <w:rPr>
                <w:rStyle w:val="BodyTextChar1"/>
                <w:sz w:val="20"/>
              </w:rPr>
            </w:pPr>
            <w:r w:rsidRPr="0010678A">
              <w:rPr>
                <w:rStyle w:val="BodyTextChar1"/>
                <w:sz w:val="20"/>
              </w:rPr>
              <w:t>Description</w:t>
            </w:r>
          </w:p>
        </w:tc>
      </w:tr>
      <w:tr w:rsidR="00473B7A" w14:paraId="6DC0577E" w14:textId="77777777">
        <w:tc>
          <w:tcPr>
            <w:tcW w:w="1195" w:type="dxa"/>
          </w:tcPr>
          <w:p w14:paraId="57DE8B30" w14:textId="77777777" w:rsidR="00473B7A" w:rsidRPr="00D34009" w:rsidRDefault="00473B7A">
            <w:pPr>
              <w:pStyle w:val="TableBody"/>
              <w:rPr>
                <w:rStyle w:val="BodyTextChar1"/>
                <w:i/>
                <w:iCs w:val="0"/>
                <w:sz w:val="20"/>
              </w:rPr>
            </w:pPr>
            <w:r w:rsidRPr="00D34009">
              <w:rPr>
                <w:rStyle w:val="BodyTextChar1"/>
                <w:i/>
                <w:iCs w:val="0"/>
                <w:sz w:val="20"/>
              </w:rPr>
              <w:t>i</w:t>
            </w:r>
          </w:p>
        </w:tc>
        <w:tc>
          <w:tcPr>
            <w:tcW w:w="900" w:type="dxa"/>
          </w:tcPr>
          <w:p w14:paraId="0F8EA5C7" w14:textId="77777777" w:rsidR="00473B7A" w:rsidRPr="00691136" w:rsidRDefault="00473B7A">
            <w:pPr>
              <w:pStyle w:val="TableBody"/>
              <w:rPr>
                <w:rStyle w:val="BodyTextChar1"/>
                <w:sz w:val="20"/>
              </w:rPr>
            </w:pPr>
          </w:p>
        </w:tc>
        <w:tc>
          <w:tcPr>
            <w:tcW w:w="7175" w:type="dxa"/>
          </w:tcPr>
          <w:p w14:paraId="6E7A8800" w14:textId="77777777" w:rsidR="00473B7A" w:rsidRPr="00691136" w:rsidRDefault="00473B7A">
            <w:pPr>
              <w:pStyle w:val="TableBody"/>
              <w:rPr>
                <w:rStyle w:val="BodyTextChar1"/>
                <w:sz w:val="20"/>
              </w:rPr>
            </w:pPr>
            <w:r w:rsidRPr="00691136">
              <w:rPr>
                <w:rStyle w:val="BodyTextChar1"/>
                <w:sz w:val="20"/>
              </w:rPr>
              <w:t>interval</w:t>
            </w:r>
          </w:p>
        </w:tc>
      </w:tr>
      <w:tr w:rsidR="00473B7A" w14:paraId="4D011BC1" w14:textId="77777777">
        <w:tc>
          <w:tcPr>
            <w:tcW w:w="1195" w:type="dxa"/>
          </w:tcPr>
          <w:p w14:paraId="06E96168" w14:textId="77777777" w:rsidR="00473B7A" w:rsidRPr="00691136" w:rsidRDefault="00473B7A">
            <w:pPr>
              <w:pStyle w:val="TableBody"/>
              <w:rPr>
                <w:rStyle w:val="BodyTextChar1"/>
                <w:sz w:val="20"/>
              </w:rPr>
            </w:pPr>
            <w:r w:rsidRPr="00691136">
              <w:rPr>
                <w:rStyle w:val="BodyTextChar1"/>
                <w:sz w:val="20"/>
              </w:rPr>
              <w:t>SILF</w:t>
            </w:r>
            <w:r w:rsidRPr="00D34009">
              <w:rPr>
                <w:rStyle w:val="BodyTextChar1"/>
                <w:i/>
                <w:iCs w:val="0"/>
                <w:sz w:val="20"/>
                <w:vertAlign w:val="subscript"/>
              </w:rPr>
              <w:t>i</w:t>
            </w:r>
          </w:p>
        </w:tc>
        <w:tc>
          <w:tcPr>
            <w:tcW w:w="900" w:type="dxa"/>
          </w:tcPr>
          <w:p w14:paraId="424A8429" w14:textId="77777777" w:rsidR="00473B7A" w:rsidRPr="00691136" w:rsidRDefault="00473B7A">
            <w:pPr>
              <w:pStyle w:val="TableBody"/>
              <w:keepNext/>
              <w:numPr>
                <w:ilvl w:val="8"/>
                <w:numId w:val="0"/>
              </w:numPr>
              <w:tabs>
                <w:tab w:val="num" w:pos="1584"/>
                <w:tab w:val="left" w:pos="2160"/>
              </w:tabs>
              <w:spacing w:before="240"/>
              <w:ind w:left="1584" w:hanging="1584"/>
              <w:outlineLvl w:val="8"/>
              <w:rPr>
                <w:rStyle w:val="BodyTextChar1"/>
                <w:sz w:val="20"/>
              </w:rPr>
            </w:pPr>
          </w:p>
        </w:tc>
        <w:tc>
          <w:tcPr>
            <w:tcW w:w="7175" w:type="dxa"/>
          </w:tcPr>
          <w:p w14:paraId="3FBCE745" w14:textId="77777777" w:rsidR="00473B7A" w:rsidRPr="00691136" w:rsidRDefault="00473B7A">
            <w:pPr>
              <w:pStyle w:val="VariableDefinition"/>
              <w:spacing w:after="0"/>
              <w:ind w:left="0" w:firstLine="0"/>
              <w:rPr>
                <w:rStyle w:val="BodyTextChar1"/>
                <w:sz w:val="20"/>
              </w:rPr>
            </w:pPr>
            <w:r w:rsidRPr="00691136">
              <w:rPr>
                <w:rStyle w:val="BodyTextChar1"/>
                <w:sz w:val="20"/>
              </w:rPr>
              <w:t>Settlement Interval DLF</w:t>
            </w:r>
          </w:p>
        </w:tc>
      </w:tr>
      <w:tr w:rsidR="00473B7A" w14:paraId="1434C05E" w14:textId="77777777">
        <w:tc>
          <w:tcPr>
            <w:tcW w:w="1195" w:type="dxa"/>
          </w:tcPr>
          <w:p w14:paraId="3E92A536" w14:textId="77777777" w:rsidR="00473B7A" w:rsidRPr="00691136" w:rsidRDefault="00473B7A">
            <w:pPr>
              <w:pStyle w:val="TableBody"/>
              <w:rPr>
                <w:rStyle w:val="BodyTextChar1"/>
                <w:sz w:val="20"/>
              </w:rPr>
            </w:pPr>
            <w:proofErr w:type="spellStart"/>
            <w:r w:rsidRPr="00691136">
              <w:rPr>
                <w:rStyle w:val="BodyTextChar1"/>
                <w:iCs w:val="0"/>
                <w:sz w:val="20"/>
              </w:rPr>
              <w:t>SIEL</w:t>
            </w:r>
            <w:r w:rsidRPr="00D34009">
              <w:rPr>
                <w:rStyle w:val="BodyTextChar1"/>
                <w:i/>
                <w:sz w:val="20"/>
                <w:vertAlign w:val="subscript"/>
              </w:rPr>
              <w:t>i</w:t>
            </w:r>
            <w:proofErr w:type="spellEnd"/>
          </w:p>
        </w:tc>
        <w:tc>
          <w:tcPr>
            <w:tcW w:w="900" w:type="dxa"/>
          </w:tcPr>
          <w:p w14:paraId="1AD8EA40" w14:textId="77777777" w:rsidR="00473B7A" w:rsidRPr="00691136" w:rsidRDefault="00473B7A">
            <w:pPr>
              <w:pStyle w:val="TableBody"/>
              <w:keepNext/>
              <w:numPr>
                <w:ilvl w:val="8"/>
                <w:numId w:val="0"/>
              </w:numPr>
              <w:tabs>
                <w:tab w:val="num" w:pos="1584"/>
                <w:tab w:val="left" w:pos="2160"/>
              </w:tabs>
              <w:spacing w:before="240"/>
              <w:ind w:left="1584" w:hanging="1584"/>
              <w:outlineLvl w:val="8"/>
              <w:rPr>
                <w:rStyle w:val="BodyTextChar1"/>
                <w:sz w:val="20"/>
              </w:rPr>
            </w:pPr>
          </w:p>
        </w:tc>
        <w:tc>
          <w:tcPr>
            <w:tcW w:w="7175" w:type="dxa"/>
          </w:tcPr>
          <w:p w14:paraId="0E9F66BB" w14:textId="77777777" w:rsidR="00473B7A" w:rsidRPr="00691136" w:rsidRDefault="00473B7A">
            <w:pPr>
              <w:pStyle w:val="TableBody"/>
              <w:spacing w:after="0"/>
              <w:rPr>
                <w:rStyle w:val="BodyTextChar1"/>
                <w:sz w:val="20"/>
              </w:rPr>
            </w:pPr>
            <w:r w:rsidRPr="00691136">
              <w:rPr>
                <w:rStyle w:val="BodyTextChar1"/>
                <w:iCs w:val="0"/>
                <w:sz w:val="20"/>
              </w:rPr>
              <w:t>Settlement Interval ERCOT System Load (forecasted or actual)</w:t>
            </w:r>
          </w:p>
        </w:tc>
      </w:tr>
      <w:tr w:rsidR="00473B7A" w14:paraId="663745BC" w14:textId="77777777">
        <w:tc>
          <w:tcPr>
            <w:tcW w:w="1195" w:type="dxa"/>
          </w:tcPr>
          <w:p w14:paraId="46C4A4F9" w14:textId="77777777" w:rsidR="00473B7A" w:rsidRPr="00691136" w:rsidRDefault="00473B7A">
            <w:pPr>
              <w:pStyle w:val="TableBody"/>
              <w:rPr>
                <w:rStyle w:val="BodyTextChar1"/>
                <w:sz w:val="20"/>
              </w:rPr>
            </w:pPr>
            <w:r w:rsidRPr="00691136">
              <w:rPr>
                <w:rStyle w:val="BodyTextChar1"/>
                <w:iCs w:val="0"/>
                <w:sz w:val="20"/>
              </w:rPr>
              <w:t>AAL</w:t>
            </w:r>
          </w:p>
        </w:tc>
        <w:tc>
          <w:tcPr>
            <w:tcW w:w="900" w:type="dxa"/>
          </w:tcPr>
          <w:p w14:paraId="00F9C199" w14:textId="77777777" w:rsidR="00473B7A" w:rsidRPr="00691136" w:rsidRDefault="00473B7A">
            <w:pPr>
              <w:pStyle w:val="TableBody"/>
              <w:rPr>
                <w:rStyle w:val="BodyTextChar1"/>
                <w:sz w:val="20"/>
              </w:rPr>
            </w:pPr>
          </w:p>
        </w:tc>
        <w:tc>
          <w:tcPr>
            <w:tcW w:w="7175" w:type="dxa"/>
          </w:tcPr>
          <w:p w14:paraId="0884B598" w14:textId="77777777" w:rsidR="00473B7A" w:rsidRPr="00691136" w:rsidRDefault="00473B7A">
            <w:pPr>
              <w:pStyle w:val="VariableDefinition"/>
              <w:spacing w:after="0"/>
              <w:ind w:left="0" w:firstLine="0"/>
              <w:rPr>
                <w:rStyle w:val="BodyTextChar1"/>
                <w:sz w:val="20"/>
              </w:rPr>
            </w:pPr>
            <w:r w:rsidRPr="00691136">
              <w:rPr>
                <w:rStyle w:val="BodyTextChar1"/>
                <w:iCs w:val="0"/>
                <w:sz w:val="20"/>
              </w:rPr>
              <w:t>Annual Interval Average ERCOT System Load</w:t>
            </w:r>
            <w:r w:rsidRPr="00691136">
              <w:rPr>
                <w:sz w:val="20"/>
              </w:rPr>
              <w:t xml:space="preserve">.   The AAL is calculated using the total ERCOT Load stated in the most recent settlement during the period beginning on September 1 and ending August 31.  </w:t>
            </w:r>
            <w:r w:rsidRPr="0010678A">
              <w:rPr>
                <w:sz w:val="20"/>
              </w:rPr>
              <w:t>ERCOT will provide the AAL to DSPs that are obligated to provide Distribution loss coefficients and calculation methodology to ERCOT, by September 15</w:t>
            </w:r>
            <w:r w:rsidRPr="0010678A">
              <w:rPr>
                <w:sz w:val="20"/>
                <w:vertAlign w:val="superscript"/>
              </w:rPr>
              <w:t>th</w:t>
            </w:r>
            <w:r w:rsidRPr="0010678A">
              <w:rPr>
                <w:sz w:val="20"/>
              </w:rPr>
              <w:t xml:space="preserve"> of each year.</w:t>
            </w:r>
          </w:p>
        </w:tc>
      </w:tr>
      <w:tr w:rsidR="00473B7A" w14:paraId="47060662" w14:textId="77777777">
        <w:trPr>
          <w:trHeight w:val="70"/>
        </w:trPr>
        <w:tc>
          <w:tcPr>
            <w:tcW w:w="1195" w:type="dxa"/>
          </w:tcPr>
          <w:p w14:paraId="717B2781" w14:textId="77777777" w:rsidR="00473B7A" w:rsidRPr="00691136" w:rsidRDefault="00473B7A">
            <w:pPr>
              <w:pStyle w:val="TableBody"/>
              <w:rPr>
                <w:rStyle w:val="BodyTextChar1"/>
                <w:sz w:val="20"/>
              </w:rPr>
            </w:pPr>
            <w:r w:rsidRPr="00691136">
              <w:t>F</w:t>
            </w:r>
            <w:r w:rsidRPr="00691136">
              <w:rPr>
                <w:vertAlign w:val="subscript"/>
              </w:rPr>
              <w:t xml:space="preserve">1 , </w:t>
            </w:r>
            <w:r w:rsidRPr="00691136">
              <w:t>F</w:t>
            </w:r>
            <w:r w:rsidRPr="00691136">
              <w:rPr>
                <w:vertAlign w:val="subscript"/>
              </w:rPr>
              <w:t xml:space="preserve">2 , </w:t>
            </w:r>
            <w:r w:rsidRPr="00691136">
              <w:t>F</w:t>
            </w:r>
            <w:r w:rsidRPr="00691136">
              <w:rPr>
                <w:vertAlign w:val="subscript"/>
              </w:rPr>
              <w:t>3</w:t>
            </w:r>
          </w:p>
        </w:tc>
        <w:tc>
          <w:tcPr>
            <w:tcW w:w="900" w:type="dxa"/>
          </w:tcPr>
          <w:p w14:paraId="1CA77F18" w14:textId="77777777" w:rsidR="00473B7A" w:rsidRPr="00691136" w:rsidRDefault="00473B7A">
            <w:pPr>
              <w:pStyle w:val="TableBody"/>
              <w:rPr>
                <w:rStyle w:val="BodyTextChar1"/>
                <w:sz w:val="20"/>
              </w:rPr>
            </w:pPr>
          </w:p>
        </w:tc>
        <w:tc>
          <w:tcPr>
            <w:tcW w:w="7175" w:type="dxa"/>
          </w:tcPr>
          <w:p w14:paraId="60C37FAD" w14:textId="77777777" w:rsidR="00473B7A" w:rsidRPr="00691136" w:rsidRDefault="00473B7A">
            <w:pPr>
              <w:pStyle w:val="VariableDefinition"/>
              <w:spacing w:after="0"/>
              <w:ind w:left="0" w:firstLine="0"/>
              <w:rPr>
                <w:rStyle w:val="BodyTextChar1"/>
                <w:sz w:val="20"/>
              </w:rPr>
            </w:pPr>
            <w:r w:rsidRPr="00691136">
              <w:rPr>
                <w:sz w:val="20"/>
              </w:rPr>
              <w:t>Distribution Loss coefficients determined by the Distribution Service Provider to allow calculation of its SILF from ERCOT System Load</w:t>
            </w:r>
          </w:p>
        </w:tc>
      </w:tr>
    </w:tbl>
    <w:p w14:paraId="4D2FC514" w14:textId="77777777" w:rsidR="00473B7A" w:rsidRDefault="00473B7A" w:rsidP="00D34009">
      <w:pPr>
        <w:pStyle w:val="BodyText"/>
        <w:spacing w:after="0"/>
      </w:pPr>
      <w:r>
        <w:tab/>
      </w:r>
      <w:r>
        <w:tab/>
      </w:r>
    </w:p>
    <w:p w14:paraId="3CA86430" w14:textId="77777777" w:rsidR="00473B7A" w:rsidRDefault="00473B7A">
      <w:pPr>
        <w:pStyle w:val="BodyText"/>
        <w:ind w:left="720" w:hanging="720"/>
      </w:pPr>
      <w:r>
        <w:t xml:space="preserve"> (2)</w:t>
      </w:r>
      <w:r>
        <w:tab/>
        <w:t>ERCOT shall use the deemed actual Settlement Interval DLFs calculated for each Settlement Interval of the Operating Day for settlement purposes.</w:t>
      </w:r>
    </w:p>
    <w:p w14:paraId="231849B3" w14:textId="77777777" w:rsidR="00473B7A" w:rsidRDefault="00473B7A" w:rsidP="00D20EC0">
      <w:pPr>
        <w:pStyle w:val="H3"/>
        <w:spacing w:before="480"/>
      </w:pPr>
      <w:bookmarkStart w:id="14" w:name="_Toc254096471"/>
      <w:r>
        <w:t>13.3.2</w:t>
      </w:r>
      <w:r>
        <w:tab/>
        <w:t>Loss Monitoring</w:t>
      </w:r>
      <w:bookmarkEnd w:id="14"/>
    </w:p>
    <w:p w14:paraId="75D01DB5" w14:textId="77777777" w:rsidR="00473B7A" w:rsidRDefault="0071406C" w:rsidP="005023DE">
      <w:pPr>
        <w:pStyle w:val="BodyText"/>
        <w:ind w:left="720" w:hanging="720"/>
      </w:pPr>
      <w:r>
        <w:t>(1)</w:t>
      </w:r>
      <w:r>
        <w:tab/>
      </w:r>
      <w:r w:rsidR="00473B7A">
        <w:t>Distribution loss coefficients and the calculation methodology from which they are derived for all DSPs, except for NOIEs, will be submitted to ERCOT and will be subject to audit for accuracy and consistency of application.</w:t>
      </w:r>
    </w:p>
    <w:p w14:paraId="4C10A61C" w14:textId="77777777" w:rsidR="00473B7A" w:rsidRDefault="00473B7A" w:rsidP="00D20EC0">
      <w:pPr>
        <w:pStyle w:val="H2"/>
        <w:spacing w:before="480"/>
      </w:pPr>
      <w:bookmarkStart w:id="15" w:name="_Toc254096472"/>
      <w:r>
        <w:t>13.4</w:t>
      </w:r>
      <w:r>
        <w:tab/>
        <w:t>Special Loss Calculations for Settlement and Analysis</w:t>
      </w:r>
      <w:bookmarkEnd w:id="15"/>
    </w:p>
    <w:p w14:paraId="35C155AA" w14:textId="77777777" w:rsidR="00473B7A" w:rsidRDefault="00473B7A" w:rsidP="00D20EC0">
      <w:pPr>
        <w:pStyle w:val="H3"/>
        <w:spacing w:before="480"/>
      </w:pPr>
      <w:bookmarkStart w:id="16" w:name="_Toc254096473"/>
      <w:r>
        <w:t>13.4.1</w:t>
      </w:r>
      <w:r>
        <w:tab/>
        <w:t>Deemed Actual Transmission Losses for NOIEs</w:t>
      </w:r>
      <w:bookmarkEnd w:id="16"/>
    </w:p>
    <w:p w14:paraId="55003E43" w14:textId="77777777" w:rsidR="00473B7A" w:rsidRDefault="00473B7A">
      <w:pPr>
        <w:pStyle w:val="BodyText"/>
        <w:ind w:left="720" w:hanging="720"/>
      </w:pPr>
      <w:r>
        <w:t>(1)</w:t>
      </w:r>
      <w:r>
        <w:tab/>
        <w:t xml:space="preserve">All </w:t>
      </w:r>
      <w:r w:rsidR="005D6EA9">
        <w:t>Qualified Scheduling Entities (</w:t>
      </w:r>
      <w:r>
        <w:t>QSEs</w:t>
      </w:r>
      <w:r w:rsidR="005D6EA9">
        <w:t>)</w:t>
      </w:r>
      <w:r>
        <w:t xml:space="preserve"> representing Load, including </w:t>
      </w:r>
      <w:r w:rsidR="005D6EA9">
        <w:t>Non-Opt-In Entities (</w:t>
      </w:r>
      <w:r>
        <w:t>NOIEs</w:t>
      </w:r>
      <w:r w:rsidR="005D6EA9">
        <w:t>)</w:t>
      </w:r>
      <w:r>
        <w:t xml:space="preserve">, will be responsible for Transmission Losses allocated in the manner described in these Protocols.  Those Entities using transmission tie line meters to determine Load will adjust the net meter readings to remove calculated Transmission Losses behind the meter in order to determine the Load responsibility of the Entity.  ERCOT will provide to </w:t>
      </w:r>
      <w:r w:rsidR="00D2427A">
        <w:t>S</w:t>
      </w:r>
      <w:r>
        <w:t>ettlement the calculation of the losses behind the meters, for each interval, using actual system conditions for that interval.</w:t>
      </w:r>
    </w:p>
    <w:p w14:paraId="4CE3AE60" w14:textId="77777777" w:rsidR="004D3AEB" w:rsidRDefault="00473B7A" w:rsidP="0071406C">
      <w:pPr>
        <w:pStyle w:val="BodyText"/>
        <w:ind w:left="720" w:hanging="720"/>
      </w:pPr>
      <w:r>
        <w:t>(2)</w:t>
      </w:r>
      <w:r>
        <w:tab/>
        <w:t xml:space="preserve">The deemed actual Transmission Losses for NOIEs shall be a linear interpolation or extrapolation between the </w:t>
      </w:r>
      <w:r w:rsidR="004B51C3">
        <w:t xml:space="preserve">seasonal </w:t>
      </w:r>
      <w:r>
        <w:t xml:space="preserve">on-peak and the </w:t>
      </w:r>
      <w:r w:rsidR="004B51C3">
        <w:t xml:space="preserve">seasonal </w:t>
      </w:r>
      <w:r>
        <w:t xml:space="preserve">off-peak NOIE </w:t>
      </w:r>
      <w:r w:rsidR="005D6EA9">
        <w:lastRenderedPageBreak/>
        <w:t>Transmission Loss Factors (</w:t>
      </w:r>
      <w:r>
        <w:t>TLFs</w:t>
      </w:r>
      <w:r w:rsidR="005D6EA9">
        <w:t>)</w:t>
      </w:r>
      <w:r>
        <w:t xml:space="preserve"> </w:t>
      </w:r>
      <w:r w:rsidR="0071406C">
        <w:rPr>
          <w:iCs w:val="0"/>
        </w:rPr>
        <w:t xml:space="preserve">posted pursuant to paragraph (3) of Section 13.2.4, </w:t>
      </w:r>
      <w:r w:rsidR="0071406C" w:rsidRPr="00BA07B6">
        <w:rPr>
          <w:iCs w:val="0"/>
        </w:rPr>
        <w:t>Seasonal Transmission Loss Factor Calculation</w:t>
      </w:r>
      <w:r w:rsidR="0071406C">
        <w:rPr>
          <w:iCs w:val="0"/>
        </w:rPr>
        <w:t>,</w:t>
      </w:r>
      <w:r w:rsidR="0071406C" w:rsidRPr="00BA07B6">
        <w:rPr>
          <w:iCs w:val="0"/>
        </w:rPr>
        <w:t xml:space="preserve"> </w:t>
      </w:r>
      <w:r>
        <w:t>corresponding to the actual NOIE metered Load in the interval.</w:t>
      </w: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607"/>
      </w:tblGrid>
      <w:tr w:rsidR="004D3AEB" w14:paraId="0C8A3BCC" w14:textId="77777777" w:rsidTr="00D34009">
        <w:tc>
          <w:tcPr>
            <w:tcW w:w="9607" w:type="dxa"/>
            <w:shd w:val="pct12" w:color="auto" w:fill="auto"/>
          </w:tcPr>
          <w:p w14:paraId="55A56899" w14:textId="6286841B" w:rsidR="004D3AEB" w:rsidRPr="0002450E" w:rsidRDefault="004D3AEB" w:rsidP="0056427F">
            <w:pPr>
              <w:pStyle w:val="Instructions"/>
              <w:spacing w:before="120"/>
              <w:rPr>
                <w:iCs/>
              </w:rPr>
            </w:pPr>
            <w:r>
              <w:rPr>
                <w:iCs/>
              </w:rPr>
              <w:t>[NPRR1145</w:t>
            </w:r>
            <w:r w:rsidRPr="0002450E">
              <w:rPr>
                <w:iCs/>
              </w:rPr>
              <w:t xml:space="preserve">:  Replace </w:t>
            </w:r>
            <w:r>
              <w:rPr>
                <w:iCs/>
              </w:rPr>
              <w:t xml:space="preserve">Sections 13.4 and 13.4.1 </w:t>
            </w:r>
            <w:r w:rsidRPr="0002450E">
              <w:rPr>
                <w:iCs/>
              </w:rPr>
              <w:t xml:space="preserve">above with the following upon system implementation:] </w:t>
            </w:r>
          </w:p>
          <w:p w14:paraId="3146FD63" w14:textId="77777777" w:rsidR="004D3AEB" w:rsidRPr="00E87C9C" w:rsidRDefault="004D3AEB" w:rsidP="004D3AEB">
            <w:pPr>
              <w:spacing w:after="240"/>
              <w:ind w:left="720" w:hanging="720"/>
              <w:rPr>
                <w:b/>
              </w:rPr>
            </w:pPr>
            <w:r w:rsidRPr="00E87C9C">
              <w:rPr>
                <w:b/>
              </w:rPr>
              <w:t>13.4</w:t>
            </w:r>
            <w:r w:rsidRPr="00E87C9C">
              <w:rPr>
                <w:b/>
              </w:rPr>
              <w:tab/>
              <w:t xml:space="preserve">Special Loss Calculations for </w:t>
            </w:r>
            <w:r w:rsidRPr="00E930EA">
              <w:rPr>
                <w:b/>
                <w:bCs/>
                <w:iCs/>
              </w:rPr>
              <w:t>NOIEs with Behind-the-Meter Transmission</w:t>
            </w:r>
            <w:r>
              <w:rPr>
                <w:b/>
                <w:bCs/>
                <w:iCs/>
              </w:rPr>
              <w:t xml:space="preserve"> </w:t>
            </w:r>
            <w:r w:rsidRPr="00E930EA">
              <w:rPr>
                <w:b/>
                <w:bCs/>
                <w:iCs/>
              </w:rPr>
              <w:t>Losses</w:t>
            </w:r>
          </w:p>
          <w:p w14:paraId="0B737EE2" w14:textId="77777777" w:rsidR="004D3AEB" w:rsidRPr="00E87C9C" w:rsidRDefault="004D3AEB" w:rsidP="004D3AEB">
            <w:pPr>
              <w:keepNext/>
              <w:tabs>
                <w:tab w:val="left" w:pos="1080"/>
              </w:tabs>
              <w:spacing w:before="240" w:after="240"/>
              <w:ind w:left="1080" w:hanging="1080"/>
              <w:outlineLvl w:val="2"/>
              <w:rPr>
                <w:b/>
                <w:bCs/>
                <w:i/>
              </w:rPr>
            </w:pPr>
            <w:r w:rsidRPr="00E87C9C">
              <w:rPr>
                <w:b/>
                <w:bCs/>
                <w:i/>
              </w:rPr>
              <w:t>13.4.1</w:t>
            </w:r>
            <w:r w:rsidRPr="00E87C9C">
              <w:rPr>
                <w:b/>
                <w:bCs/>
                <w:i/>
              </w:rPr>
              <w:tab/>
              <w:t>Deemed Actual Transmission Losses for NOIEs</w:t>
            </w:r>
          </w:p>
          <w:p w14:paraId="68D75541" w14:textId="77777777" w:rsidR="004D3AEB" w:rsidRPr="00E87C9C" w:rsidRDefault="004D3AEB" w:rsidP="004D3AEB">
            <w:pPr>
              <w:spacing w:after="240"/>
              <w:ind w:left="720" w:hanging="720"/>
              <w:rPr>
                <w:iCs/>
              </w:rPr>
            </w:pPr>
            <w:r w:rsidRPr="00E87C9C">
              <w:rPr>
                <w:iCs/>
              </w:rPr>
              <w:t>(1)</w:t>
            </w:r>
            <w:r w:rsidRPr="00E87C9C">
              <w:rPr>
                <w:iCs/>
              </w:rPr>
              <w:tab/>
              <w:t xml:space="preserve">All Qualified Scheduling Entities (QSEs) representing Load, including Non-Opt-In Entities (NOIEs), will be responsible for Transmission Losses allocated in the manner described in these Protocols.  </w:t>
            </w:r>
            <w:r>
              <w:rPr>
                <w:iCs/>
              </w:rPr>
              <w:t>For</w:t>
            </w:r>
            <w:r w:rsidRPr="00E87C9C">
              <w:rPr>
                <w:iCs/>
              </w:rPr>
              <w:t xml:space="preserve"> </w:t>
            </w:r>
            <w:r>
              <w:rPr>
                <w:iCs/>
              </w:rPr>
              <w:t xml:space="preserve">NOIE </w:t>
            </w:r>
            <w:r w:rsidRPr="00E87C9C">
              <w:rPr>
                <w:iCs/>
              </w:rPr>
              <w:t>Entities using transmission tie line meters to determine Load</w:t>
            </w:r>
            <w:r>
              <w:rPr>
                <w:iCs/>
              </w:rPr>
              <w:t>, ERCOT</w:t>
            </w:r>
            <w:r w:rsidRPr="00E87C9C">
              <w:rPr>
                <w:iCs/>
              </w:rPr>
              <w:t xml:space="preserve"> will adjust the net meter readings to remove calculated Transmission Losses behind the meter </w:t>
            </w:r>
            <w:r>
              <w:rPr>
                <w:iCs/>
              </w:rPr>
              <w:t>prior to applying ERCOT-wide Actual TLFs.</w:t>
            </w:r>
            <w:r w:rsidRPr="00E87C9C">
              <w:rPr>
                <w:iCs/>
              </w:rPr>
              <w:t xml:space="preserve">  </w:t>
            </w:r>
          </w:p>
          <w:p w14:paraId="27EE7E73" w14:textId="77777777" w:rsidR="004D3AEB" w:rsidRDefault="004D3AEB" w:rsidP="004D3AEB">
            <w:pPr>
              <w:spacing w:after="240"/>
              <w:ind w:left="720" w:hanging="720"/>
              <w:rPr>
                <w:iCs/>
              </w:rPr>
            </w:pPr>
            <w:r w:rsidRPr="00E87C9C">
              <w:rPr>
                <w:iCs/>
              </w:rPr>
              <w:t>(2)</w:t>
            </w:r>
            <w:r w:rsidRPr="00E87C9C">
              <w:rPr>
                <w:iCs/>
              </w:rPr>
              <w:tab/>
              <w:t xml:space="preserve">The deemed actual Transmission Losses for NOIEs shall be a linear interpolation or extrapolation between the seasonal on-peak and the seasonal off-peak NOIE Transmission Loss Factors (TLFs) </w:t>
            </w:r>
            <w:r w:rsidRPr="00E87C9C">
              <w:t xml:space="preserve">posted pursuant to paragraph (3) of Section 13.2.4, Seasonal </w:t>
            </w:r>
            <w:r>
              <w:t xml:space="preserve">On-Peak and Off-Peak </w:t>
            </w:r>
            <w:r w:rsidRPr="00E87C9C">
              <w:t xml:space="preserve">Transmission Loss Factor Calculation, </w:t>
            </w:r>
            <w:r w:rsidRPr="00E87C9C">
              <w:rPr>
                <w:iCs/>
              </w:rPr>
              <w:t>corresponding to the actual NOIE metered Load in the interval.</w:t>
            </w:r>
          </w:p>
          <w:p w14:paraId="0375C178" w14:textId="77777777" w:rsidR="004D3AEB" w:rsidRPr="00E87C9C" w:rsidRDefault="004D3AEB" w:rsidP="004D3AEB">
            <w:pPr>
              <w:spacing w:after="240"/>
              <w:ind w:left="720" w:hanging="720"/>
              <w:rPr>
                <w:iCs/>
              </w:rPr>
            </w:pPr>
            <w:r w:rsidRPr="00E87C9C">
              <w:rPr>
                <w:iCs/>
              </w:rPr>
              <w:t>(</w:t>
            </w:r>
            <w:r>
              <w:rPr>
                <w:iCs/>
              </w:rPr>
              <w:t>3</w:t>
            </w:r>
            <w:r w:rsidRPr="00E87C9C">
              <w:rPr>
                <w:iCs/>
              </w:rPr>
              <w:t>)</w:t>
            </w:r>
            <w:r w:rsidRPr="00E87C9C">
              <w:rPr>
                <w:iCs/>
              </w:rPr>
              <w:tab/>
              <w:t xml:space="preserve">The following formulas shall be used to translate the </w:t>
            </w:r>
            <w:r>
              <w:rPr>
                <w:iCs/>
              </w:rPr>
              <w:t>S</w:t>
            </w:r>
            <w:r w:rsidRPr="00E87C9C">
              <w:rPr>
                <w:iCs/>
              </w:rPr>
              <w:t xml:space="preserve">easonal </w:t>
            </w:r>
            <w:r>
              <w:rPr>
                <w:iCs/>
              </w:rPr>
              <w:t>O</w:t>
            </w:r>
            <w:r w:rsidRPr="00E87C9C">
              <w:rPr>
                <w:iCs/>
              </w:rPr>
              <w:t>n-</w:t>
            </w:r>
            <w:r>
              <w:rPr>
                <w:iCs/>
              </w:rPr>
              <w:t>P</w:t>
            </w:r>
            <w:r w:rsidRPr="00E87C9C">
              <w:rPr>
                <w:iCs/>
              </w:rPr>
              <w:t xml:space="preserve">eak and </w:t>
            </w:r>
            <w:r>
              <w:rPr>
                <w:iCs/>
              </w:rPr>
              <w:t>O</w:t>
            </w:r>
            <w:r w:rsidRPr="00E87C9C">
              <w:rPr>
                <w:iCs/>
              </w:rPr>
              <w:t>ff-</w:t>
            </w:r>
            <w:r>
              <w:rPr>
                <w:iCs/>
              </w:rPr>
              <w:t>P</w:t>
            </w:r>
            <w:r w:rsidRPr="00E87C9C">
              <w:rPr>
                <w:iCs/>
              </w:rPr>
              <w:t xml:space="preserve">eak TLFs into </w:t>
            </w:r>
            <w:r>
              <w:rPr>
                <w:iCs/>
              </w:rPr>
              <w:t xml:space="preserve">NOIE deemed actual </w:t>
            </w:r>
            <w:r w:rsidRPr="00E87C9C">
              <w:rPr>
                <w:iCs/>
              </w:rPr>
              <w:t>Settlement Interval TLFs.</w:t>
            </w:r>
          </w:p>
          <w:p w14:paraId="578BDB34" w14:textId="77777777" w:rsidR="004D3AEB" w:rsidRPr="00E87C9C" w:rsidRDefault="004D3AEB" w:rsidP="004D3AEB">
            <w:pPr>
              <w:tabs>
                <w:tab w:val="left" w:pos="2340"/>
                <w:tab w:val="left" w:pos="2880"/>
              </w:tabs>
              <w:spacing w:after="240"/>
              <w:ind w:left="1440" w:hanging="720"/>
              <w:rPr>
                <w:bCs/>
              </w:rPr>
            </w:pPr>
            <w:r w:rsidRPr="00E87C9C">
              <w:rPr>
                <w:bCs/>
              </w:rPr>
              <w:t>TLF</w:t>
            </w:r>
            <w:r w:rsidRPr="00D34009">
              <w:rPr>
                <w:bCs/>
                <w:i/>
                <w:iCs/>
                <w:vertAlign w:val="subscript"/>
              </w:rPr>
              <w:t>i</w:t>
            </w:r>
            <w:r w:rsidRPr="00E87C9C">
              <w:rPr>
                <w:bCs/>
                <w:vertAlign w:val="subscript"/>
              </w:rPr>
              <w:tab/>
            </w:r>
            <w:r w:rsidRPr="00E87C9C">
              <w:rPr>
                <w:bCs/>
              </w:rPr>
              <w:t>=</w:t>
            </w:r>
            <w:r w:rsidRPr="00E87C9C">
              <w:rPr>
                <w:bCs/>
              </w:rPr>
              <w:tab/>
              <w:t>(SSC * SIEL</w:t>
            </w:r>
            <w:r w:rsidRPr="00D34009">
              <w:rPr>
                <w:bCs/>
                <w:i/>
                <w:iCs/>
                <w:vertAlign w:val="subscript"/>
              </w:rPr>
              <w:t>i</w:t>
            </w:r>
            <w:r w:rsidRPr="00E87C9C">
              <w:rPr>
                <w:bCs/>
              </w:rPr>
              <w:t>) + SIC</w:t>
            </w:r>
          </w:p>
          <w:tbl>
            <w:tblPr>
              <w:tblW w:w="904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95"/>
              <w:gridCol w:w="900"/>
              <w:gridCol w:w="6950"/>
            </w:tblGrid>
            <w:tr w:rsidR="004D3AEB" w:rsidRPr="00E87C9C" w14:paraId="4EBB17EE" w14:textId="77777777" w:rsidTr="004D3AEB">
              <w:tc>
                <w:tcPr>
                  <w:tcW w:w="1195" w:type="dxa"/>
                </w:tcPr>
                <w:p w14:paraId="2B654617" w14:textId="77777777" w:rsidR="004D3AEB" w:rsidRPr="00E87C9C" w:rsidRDefault="004D3AEB" w:rsidP="004D3AEB">
                  <w:pPr>
                    <w:spacing w:after="240"/>
                    <w:rPr>
                      <w:b/>
                      <w:sz w:val="20"/>
                    </w:rPr>
                  </w:pPr>
                  <w:r w:rsidRPr="00E87C9C">
                    <w:rPr>
                      <w:b/>
                      <w:sz w:val="20"/>
                    </w:rPr>
                    <w:t>Variable</w:t>
                  </w:r>
                </w:p>
              </w:tc>
              <w:tc>
                <w:tcPr>
                  <w:tcW w:w="900" w:type="dxa"/>
                </w:tcPr>
                <w:p w14:paraId="673E9EEB" w14:textId="77777777" w:rsidR="004D3AEB" w:rsidRPr="00E87C9C" w:rsidRDefault="004D3AEB" w:rsidP="004D3AEB">
                  <w:pPr>
                    <w:spacing w:after="240"/>
                    <w:rPr>
                      <w:b/>
                      <w:sz w:val="20"/>
                    </w:rPr>
                  </w:pPr>
                  <w:r w:rsidRPr="00E87C9C">
                    <w:rPr>
                      <w:b/>
                      <w:sz w:val="20"/>
                    </w:rPr>
                    <w:t>Unit</w:t>
                  </w:r>
                </w:p>
              </w:tc>
              <w:tc>
                <w:tcPr>
                  <w:tcW w:w="6950" w:type="dxa"/>
                </w:tcPr>
                <w:p w14:paraId="686390E9" w14:textId="77777777" w:rsidR="004D3AEB" w:rsidRPr="00E87C9C" w:rsidRDefault="004D3AEB" w:rsidP="004D3AEB">
                  <w:pPr>
                    <w:spacing w:after="240"/>
                    <w:rPr>
                      <w:b/>
                      <w:sz w:val="20"/>
                    </w:rPr>
                  </w:pPr>
                  <w:r w:rsidRPr="00E87C9C">
                    <w:rPr>
                      <w:b/>
                      <w:sz w:val="20"/>
                    </w:rPr>
                    <w:t>Description</w:t>
                  </w:r>
                </w:p>
              </w:tc>
            </w:tr>
            <w:tr w:rsidR="004D3AEB" w:rsidRPr="00E87C9C" w14:paraId="4AB77EC7" w14:textId="77777777" w:rsidTr="004D3AEB">
              <w:tc>
                <w:tcPr>
                  <w:tcW w:w="1195" w:type="dxa"/>
                </w:tcPr>
                <w:p w14:paraId="7A91E4C4" w14:textId="77777777" w:rsidR="004D3AEB" w:rsidRPr="00D34009" w:rsidRDefault="004D3AEB" w:rsidP="004D3AEB">
                  <w:pPr>
                    <w:spacing w:after="60"/>
                    <w:rPr>
                      <w:i/>
                      <w:iCs/>
                      <w:sz w:val="20"/>
                    </w:rPr>
                  </w:pPr>
                  <w:r w:rsidRPr="00D34009">
                    <w:rPr>
                      <w:i/>
                      <w:iCs/>
                      <w:sz w:val="20"/>
                    </w:rPr>
                    <w:t>i</w:t>
                  </w:r>
                </w:p>
              </w:tc>
              <w:tc>
                <w:tcPr>
                  <w:tcW w:w="900" w:type="dxa"/>
                </w:tcPr>
                <w:p w14:paraId="4A023534" w14:textId="77777777" w:rsidR="004D3AEB" w:rsidRPr="00E87C9C" w:rsidRDefault="004D3AEB" w:rsidP="004D3AEB">
                  <w:pPr>
                    <w:spacing w:after="60"/>
                    <w:rPr>
                      <w:sz w:val="20"/>
                    </w:rPr>
                  </w:pPr>
                  <w:r w:rsidRPr="00E87C9C">
                    <w:rPr>
                      <w:sz w:val="20"/>
                    </w:rPr>
                    <w:t>none</w:t>
                  </w:r>
                </w:p>
              </w:tc>
              <w:tc>
                <w:tcPr>
                  <w:tcW w:w="6950" w:type="dxa"/>
                </w:tcPr>
                <w:p w14:paraId="51BFEB6C" w14:textId="77777777" w:rsidR="004D3AEB" w:rsidRPr="00E87C9C" w:rsidRDefault="004D3AEB" w:rsidP="004D3AEB">
                  <w:pPr>
                    <w:spacing w:after="60"/>
                    <w:rPr>
                      <w:sz w:val="20"/>
                    </w:rPr>
                  </w:pPr>
                  <w:r w:rsidRPr="00E87C9C">
                    <w:rPr>
                      <w:sz w:val="20"/>
                    </w:rPr>
                    <w:t>Interval</w:t>
                  </w:r>
                </w:p>
              </w:tc>
            </w:tr>
            <w:tr w:rsidR="004D3AEB" w:rsidRPr="00E87C9C" w14:paraId="172ED418" w14:textId="77777777" w:rsidTr="004D3AEB">
              <w:tc>
                <w:tcPr>
                  <w:tcW w:w="1195" w:type="dxa"/>
                </w:tcPr>
                <w:p w14:paraId="7C876B63" w14:textId="77777777" w:rsidR="004D3AEB" w:rsidRPr="00E87C9C" w:rsidRDefault="004D3AEB" w:rsidP="004D3AEB">
                  <w:pPr>
                    <w:spacing w:after="60"/>
                    <w:rPr>
                      <w:sz w:val="20"/>
                    </w:rPr>
                  </w:pPr>
                  <w:r w:rsidRPr="00E87C9C">
                    <w:rPr>
                      <w:sz w:val="20"/>
                    </w:rPr>
                    <w:t>TLF</w:t>
                  </w:r>
                  <w:r w:rsidRPr="00D34009">
                    <w:rPr>
                      <w:i/>
                      <w:iCs/>
                      <w:sz w:val="20"/>
                      <w:vertAlign w:val="subscript"/>
                    </w:rPr>
                    <w:t>i</w:t>
                  </w:r>
                </w:p>
              </w:tc>
              <w:tc>
                <w:tcPr>
                  <w:tcW w:w="900" w:type="dxa"/>
                </w:tcPr>
                <w:p w14:paraId="722F9FA9" w14:textId="77777777" w:rsidR="004D3AEB" w:rsidRPr="00E87C9C" w:rsidRDefault="004D3AEB" w:rsidP="004D3AEB">
                  <w:pPr>
                    <w:spacing w:after="60"/>
                    <w:rPr>
                      <w:sz w:val="20"/>
                    </w:rPr>
                  </w:pPr>
                  <w:r w:rsidRPr="00E87C9C">
                    <w:rPr>
                      <w:sz w:val="20"/>
                    </w:rPr>
                    <w:t>none</w:t>
                  </w:r>
                </w:p>
              </w:tc>
              <w:tc>
                <w:tcPr>
                  <w:tcW w:w="6950" w:type="dxa"/>
                </w:tcPr>
                <w:p w14:paraId="280D0969" w14:textId="77777777" w:rsidR="004D3AEB" w:rsidRPr="00E87C9C" w:rsidRDefault="004D3AEB" w:rsidP="004D3AEB">
                  <w:pPr>
                    <w:spacing w:after="60"/>
                    <w:rPr>
                      <w:sz w:val="20"/>
                    </w:rPr>
                  </w:pPr>
                  <w:r w:rsidRPr="00E87C9C">
                    <w:rPr>
                      <w:sz w:val="20"/>
                    </w:rPr>
                    <w:t>Transmission Loss Factor for a Settlement Interval</w:t>
                  </w:r>
                </w:p>
              </w:tc>
            </w:tr>
            <w:tr w:rsidR="004D3AEB" w:rsidRPr="00E87C9C" w14:paraId="0365F45C" w14:textId="77777777" w:rsidTr="004D3AEB">
              <w:tc>
                <w:tcPr>
                  <w:tcW w:w="1195" w:type="dxa"/>
                </w:tcPr>
                <w:p w14:paraId="7A8B531D" w14:textId="77777777" w:rsidR="004D3AEB" w:rsidRPr="00E87C9C" w:rsidRDefault="004D3AEB" w:rsidP="004D3AEB">
                  <w:pPr>
                    <w:spacing w:after="60"/>
                    <w:rPr>
                      <w:sz w:val="20"/>
                    </w:rPr>
                  </w:pPr>
                  <w:r w:rsidRPr="00E87C9C">
                    <w:rPr>
                      <w:sz w:val="20"/>
                    </w:rPr>
                    <w:t>SIEL</w:t>
                  </w:r>
                  <w:r w:rsidRPr="00D34009">
                    <w:rPr>
                      <w:i/>
                      <w:iCs/>
                      <w:sz w:val="20"/>
                      <w:vertAlign w:val="subscript"/>
                    </w:rPr>
                    <w:t>i</w:t>
                  </w:r>
                </w:p>
              </w:tc>
              <w:tc>
                <w:tcPr>
                  <w:tcW w:w="900" w:type="dxa"/>
                </w:tcPr>
                <w:p w14:paraId="4E007ACB" w14:textId="77777777" w:rsidR="004D3AEB" w:rsidRPr="00E87C9C" w:rsidRDefault="004D3AEB" w:rsidP="004D3AEB">
                  <w:pPr>
                    <w:spacing w:after="60"/>
                    <w:rPr>
                      <w:sz w:val="20"/>
                    </w:rPr>
                  </w:pPr>
                  <w:r w:rsidRPr="00E87C9C">
                    <w:rPr>
                      <w:sz w:val="20"/>
                    </w:rPr>
                    <w:t>MWh</w:t>
                  </w:r>
                </w:p>
              </w:tc>
              <w:tc>
                <w:tcPr>
                  <w:tcW w:w="6950" w:type="dxa"/>
                </w:tcPr>
                <w:p w14:paraId="03738FF2" w14:textId="77777777" w:rsidR="004D3AEB" w:rsidRPr="00E87C9C" w:rsidRDefault="004D3AEB" w:rsidP="004D3AEB">
                  <w:pPr>
                    <w:spacing w:after="60"/>
                    <w:rPr>
                      <w:i/>
                      <w:sz w:val="20"/>
                    </w:rPr>
                  </w:pPr>
                  <w:r w:rsidRPr="00E87C9C">
                    <w:rPr>
                      <w:sz w:val="20"/>
                    </w:rPr>
                    <w:t xml:space="preserve">Settlement Interval </w:t>
                  </w:r>
                  <w:r>
                    <w:rPr>
                      <w:sz w:val="20"/>
                    </w:rPr>
                    <w:t>NOIE</w:t>
                  </w:r>
                  <w:r w:rsidRPr="00E87C9C">
                    <w:rPr>
                      <w:sz w:val="20"/>
                    </w:rPr>
                    <w:t xml:space="preserve"> System Load (</w:t>
                  </w:r>
                  <w:r>
                    <w:rPr>
                      <w:sz w:val="20"/>
                    </w:rPr>
                    <w:t>actual</w:t>
                  </w:r>
                  <w:r w:rsidRPr="00E87C9C">
                    <w:rPr>
                      <w:sz w:val="20"/>
                    </w:rPr>
                    <w:t>)</w:t>
                  </w:r>
                </w:p>
              </w:tc>
            </w:tr>
            <w:tr w:rsidR="004D3AEB" w:rsidRPr="00E87C9C" w14:paraId="37EC8A28" w14:textId="77777777" w:rsidTr="004D3AEB">
              <w:tc>
                <w:tcPr>
                  <w:tcW w:w="1195" w:type="dxa"/>
                </w:tcPr>
                <w:p w14:paraId="795C1ECC" w14:textId="77777777" w:rsidR="004D3AEB" w:rsidRPr="00E87C9C" w:rsidRDefault="004D3AEB" w:rsidP="004D3AEB">
                  <w:pPr>
                    <w:spacing w:after="60"/>
                    <w:rPr>
                      <w:sz w:val="20"/>
                    </w:rPr>
                  </w:pPr>
                  <w:r w:rsidRPr="00E87C9C">
                    <w:rPr>
                      <w:sz w:val="20"/>
                    </w:rPr>
                    <w:t>SSC</w:t>
                  </w:r>
                </w:p>
              </w:tc>
              <w:tc>
                <w:tcPr>
                  <w:tcW w:w="900" w:type="dxa"/>
                </w:tcPr>
                <w:p w14:paraId="5E166CD9" w14:textId="77777777" w:rsidR="004D3AEB" w:rsidRPr="00E87C9C" w:rsidRDefault="004D3AEB" w:rsidP="004D3AEB">
                  <w:pPr>
                    <w:spacing w:after="60"/>
                    <w:rPr>
                      <w:sz w:val="20"/>
                    </w:rPr>
                  </w:pPr>
                  <w:r w:rsidRPr="00E87C9C">
                    <w:rPr>
                      <w:sz w:val="20"/>
                    </w:rPr>
                    <w:t>none</w:t>
                  </w:r>
                </w:p>
              </w:tc>
              <w:tc>
                <w:tcPr>
                  <w:tcW w:w="6950" w:type="dxa"/>
                </w:tcPr>
                <w:p w14:paraId="1D5A9AAC" w14:textId="77777777" w:rsidR="004D3AEB" w:rsidRPr="00E87C9C" w:rsidRDefault="004D3AEB" w:rsidP="004D3AEB">
                  <w:pPr>
                    <w:spacing w:after="60"/>
                    <w:rPr>
                      <w:sz w:val="20"/>
                    </w:rPr>
                  </w:pPr>
                  <w:r w:rsidRPr="00E87C9C">
                    <w:rPr>
                      <w:sz w:val="20"/>
                    </w:rPr>
                    <w:t>Seasonal Slope Coefficient</w:t>
                  </w:r>
                </w:p>
              </w:tc>
            </w:tr>
            <w:tr w:rsidR="004D3AEB" w:rsidRPr="00E87C9C" w14:paraId="60BB763D" w14:textId="77777777" w:rsidTr="004D3AEB">
              <w:tc>
                <w:tcPr>
                  <w:tcW w:w="1195" w:type="dxa"/>
                </w:tcPr>
                <w:p w14:paraId="087CF9ED" w14:textId="77777777" w:rsidR="004D3AEB" w:rsidRPr="00E87C9C" w:rsidRDefault="004D3AEB" w:rsidP="004D3AEB">
                  <w:pPr>
                    <w:spacing w:after="60"/>
                    <w:rPr>
                      <w:sz w:val="20"/>
                    </w:rPr>
                  </w:pPr>
                  <w:r w:rsidRPr="00E87C9C">
                    <w:rPr>
                      <w:sz w:val="20"/>
                    </w:rPr>
                    <w:t>SIC</w:t>
                  </w:r>
                </w:p>
              </w:tc>
              <w:tc>
                <w:tcPr>
                  <w:tcW w:w="900" w:type="dxa"/>
                </w:tcPr>
                <w:p w14:paraId="3D8CA0F6" w14:textId="77777777" w:rsidR="004D3AEB" w:rsidRPr="00E87C9C" w:rsidRDefault="004D3AEB" w:rsidP="004D3AEB">
                  <w:pPr>
                    <w:spacing w:after="60"/>
                    <w:rPr>
                      <w:sz w:val="20"/>
                    </w:rPr>
                  </w:pPr>
                  <w:r w:rsidRPr="00E87C9C">
                    <w:rPr>
                      <w:sz w:val="20"/>
                    </w:rPr>
                    <w:t>none</w:t>
                  </w:r>
                </w:p>
              </w:tc>
              <w:tc>
                <w:tcPr>
                  <w:tcW w:w="6950" w:type="dxa"/>
                </w:tcPr>
                <w:p w14:paraId="5707C91E" w14:textId="77777777" w:rsidR="004D3AEB" w:rsidRPr="00E87C9C" w:rsidRDefault="004D3AEB" w:rsidP="004D3AEB">
                  <w:pPr>
                    <w:spacing w:after="60"/>
                    <w:rPr>
                      <w:sz w:val="20"/>
                    </w:rPr>
                  </w:pPr>
                  <w:r w:rsidRPr="00E87C9C">
                    <w:rPr>
                      <w:sz w:val="20"/>
                    </w:rPr>
                    <w:t>Seasonal Intercept Coefficient</w:t>
                  </w:r>
                </w:p>
              </w:tc>
            </w:tr>
          </w:tbl>
          <w:p w14:paraId="12B3E30C" w14:textId="77777777" w:rsidR="004D3AEB" w:rsidRDefault="004D3AEB" w:rsidP="004D3AEB">
            <w:pPr>
              <w:tabs>
                <w:tab w:val="left" w:pos="1440"/>
                <w:tab w:val="left" w:pos="2340"/>
              </w:tabs>
              <w:spacing w:before="240" w:after="240"/>
              <w:ind w:left="720" w:hanging="720"/>
              <w:rPr>
                <w:bCs/>
              </w:rPr>
            </w:pPr>
            <w:r>
              <w:rPr>
                <w:bCs/>
              </w:rPr>
              <w:tab/>
              <w:t>Where</w:t>
            </w:r>
          </w:p>
          <w:p w14:paraId="1A19F185" w14:textId="367CF0F8" w:rsidR="004D3AEB" w:rsidRPr="00E87C9C" w:rsidRDefault="004D3AEB" w:rsidP="004D3AEB">
            <w:pPr>
              <w:tabs>
                <w:tab w:val="left" w:pos="1440"/>
                <w:tab w:val="left" w:pos="2340"/>
              </w:tabs>
              <w:spacing w:after="240"/>
              <w:ind w:left="720" w:hanging="720"/>
              <w:rPr>
                <w:bCs/>
              </w:rPr>
            </w:pPr>
            <w:r w:rsidRPr="00E87C9C">
              <w:rPr>
                <w:bCs/>
              </w:rPr>
              <w:tab/>
              <w:t xml:space="preserve">SSC </w:t>
            </w:r>
            <w:r w:rsidRPr="00E87C9C">
              <w:rPr>
                <w:bCs/>
              </w:rPr>
              <w:tab/>
              <w:t>=</w:t>
            </w:r>
            <w:r w:rsidRPr="00E87C9C">
              <w:rPr>
                <w:bCs/>
              </w:rPr>
              <w:tab/>
              <w:t xml:space="preserve">(SONLF </w:t>
            </w:r>
            <w:r w:rsidR="00F8525E">
              <w:t>–</w:t>
            </w:r>
            <w:r w:rsidRPr="00E87C9C">
              <w:rPr>
                <w:bCs/>
              </w:rPr>
              <w:t xml:space="preserve"> SOFFLF)</w:t>
            </w:r>
            <w:r>
              <w:rPr>
                <w:bCs/>
              </w:rPr>
              <w:t xml:space="preserve"> </w:t>
            </w:r>
            <w:r w:rsidRPr="00E87C9C">
              <w:rPr>
                <w:bCs/>
              </w:rPr>
              <w:t>/</w:t>
            </w:r>
            <w:r>
              <w:rPr>
                <w:bCs/>
              </w:rPr>
              <w:t xml:space="preserve"> </w:t>
            </w:r>
            <w:r w:rsidRPr="00E87C9C">
              <w:rPr>
                <w:bCs/>
              </w:rPr>
              <w:t>(SONL</w:t>
            </w:r>
            <w:r>
              <w:rPr>
                <w:bCs/>
              </w:rPr>
              <w:t xml:space="preserve"> </w:t>
            </w:r>
            <w:r w:rsidR="00F8525E">
              <w:t>–</w:t>
            </w:r>
            <w:r>
              <w:rPr>
                <w:bCs/>
              </w:rPr>
              <w:t xml:space="preserve"> </w:t>
            </w:r>
            <w:r w:rsidRPr="00E87C9C">
              <w:rPr>
                <w:bCs/>
              </w:rPr>
              <w:t>SOFFL)</w:t>
            </w:r>
          </w:p>
          <w:p w14:paraId="70532A98" w14:textId="2C63283B" w:rsidR="004D3AEB" w:rsidRPr="00E87C9C" w:rsidRDefault="004D3AEB" w:rsidP="004D3AEB">
            <w:pPr>
              <w:tabs>
                <w:tab w:val="left" w:pos="1440"/>
                <w:tab w:val="left" w:pos="2340"/>
              </w:tabs>
              <w:spacing w:after="240"/>
              <w:ind w:left="720" w:hanging="720"/>
              <w:rPr>
                <w:bCs/>
              </w:rPr>
            </w:pPr>
            <w:r w:rsidRPr="00E87C9C">
              <w:rPr>
                <w:bCs/>
              </w:rPr>
              <w:tab/>
              <w:t>SIC</w:t>
            </w:r>
            <w:r w:rsidRPr="00E87C9C">
              <w:rPr>
                <w:bCs/>
              </w:rPr>
              <w:tab/>
              <w:t>=</w:t>
            </w:r>
            <w:r w:rsidRPr="00E87C9C">
              <w:rPr>
                <w:bCs/>
              </w:rPr>
              <w:tab/>
              <w:t>[(SOFFLF</w:t>
            </w:r>
            <w:r>
              <w:rPr>
                <w:bCs/>
              </w:rPr>
              <w:t xml:space="preserve"> </w:t>
            </w:r>
            <w:r w:rsidRPr="00E87C9C">
              <w:rPr>
                <w:bCs/>
              </w:rPr>
              <w:t>*</w:t>
            </w:r>
            <w:r>
              <w:rPr>
                <w:bCs/>
              </w:rPr>
              <w:t xml:space="preserve"> </w:t>
            </w:r>
            <w:r w:rsidRPr="00E87C9C">
              <w:rPr>
                <w:bCs/>
              </w:rPr>
              <w:t>SONL)</w:t>
            </w:r>
            <w:r>
              <w:rPr>
                <w:bCs/>
              </w:rPr>
              <w:t xml:space="preserve"> </w:t>
            </w:r>
            <w:r w:rsidR="00F8525E">
              <w:t>–</w:t>
            </w:r>
            <w:r>
              <w:rPr>
                <w:bCs/>
              </w:rPr>
              <w:t xml:space="preserve"> </w:t>
            </w:r>
            <w:r w:rsidRPr="00E87C9C">
              <w:rPr>
                <w:bCs/>
              </w:rPr>
              <w:t>(SONLF</w:t>
            </w:r>
            <w:r>
              <w:rPr>
                <w:bCs/>
              </w:rPr>
              <w:t xml:space="preserve"> </w:t>
            </w:r>
            <w:r w:rsidRPr="00E87C9C">
              <w:rPr>
                <w:bCs/>
              </w:rPr>
              <w:t>*</w:t>
            </w:r>
            <w:r>
              <w:rPr>
                <w:bCs/>
              </w:rPr>
              <w:t xml:space="preserve"> </w:t>
            </w:r>
            <w:r w:rsidRPr="00E87C9C">
              <w:rPr>
                <w:bCs/>
              </w:rPr>
              <w:t>SOFFL)]</w:t>
            </w:r>
            <w:r>
              <w:rPr>
                <w:bCs/>
              </w:rPr>
              <w:t xml:space="preserve"> </w:t>
            </w:r>
            <w:r w:rsidRPr="00E87C9C">
              <w:rPr>
                <w:bCs/>
              </w:rPr>
              <w:t>/</w:t>
            </w:r>
            <w:r>
              <w:rPr>
                <w:bCs/>
              </w:rPr>
              <w:t xml:space="preserve"> </w:t>
            </w:r>
            <w:r w:rsidRPr="00E87C9C">
              <w:rPr>
                <w:bCs/>
              </w:rPr>
              <w:t>(SONL</w:t>
            </w:r>
            <w:r>
              <w:rPr>
                <w:bCs/>
              </w:rPr>
              <w:t xml:space="preserve"> </w:t>
            </w:r>
            <w:r w:rsidR="00F8525E">
              <w:t>–</w:t>
            </w:r>
            <w:r>
              <w:rPr>
                <w:bCs/>
              </w:rPr>
              <w:t xml:space="preserve"> </w:t>
            </w:r>
            <w:r w:rsidRPr="00E87C9C">
              <w:rPr>
                <w:bCs/>
              </w:rPr>
              <w:t>SOFFL)</w:t>
            </w:r>
          </w:p>
          <w:tbl>
            <w:tblPr>
              <w:tblW w:w="904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95"/>
              <w:gridCol w:w="900"/>
              <w:gridCol w:w="6950"/>
            </w:tblGrid>
            <w:tr w:rsidR="004D3AEB" w:rsidRPr="00E87C9C" w14:paraId="7C4EE68B" w14:textId="77777777" w:rsidTr="004D3AEB">
              <w:tc>
                <w:tcPr>
                  <w:tcW w:w="1195" w:type="dxa"/>
                </w:tcPr>
                <w:p w14:paraId="4195FAA9" w14:textId="77777777" w:rsidR="004D3AEB" w:rsidRPr="00E87C9C" w:rsidRDefault="004D3AEB" w:rsidP="004D3AEB">
                  <w:pPr>
                    <w:spacing w:after="240"/>
                    <w:rPr>
                      <w:b/>
                      <w:sz w:val="20"/>
                    </w:rPr>
                  </w:pPr>
                  <w:r w:rsidRPr="00E87C9C">
                    <w:rPr>
                      <w:b/>
                      <w:sz w:val="20"/>
                    </w:rPr>
                    <w:t>Variable</w:t>
                  </w:r>
                </w:p>
              </w:tc>
              <w:tc>
                <w:tcPr>
                  <w:tcW w:w="900" w:type="dxa"/>
                </w:tcPr>
                <w:p w14:paraId="31BDFF89" w14:textId="77777777" w:rsidR="004D3AEB" w:rsidRPr="00E87C9C" w:rsidRDefault="004D3AEB" w:rsidP="004D3AEB">
                  <w:pPr>
                    <w:spacing w:after="240"/>
                    <w:rPr>
                      <w:b/>
                      <w:sz w:val="20"/>
                    </w:rPr>
                  </w:pPr>
                  <w:r w:rsidRPr="00E87C9C">
                    <w:rPr>
                      <w:b/>
                      <w:sz w:val="20"/>
                    </w:rPr>
                    <w:t>Unit</w:t>
                  </w:r>
                </w:p>
              </w:tc>
              <w:tc>
                <w:tcPr>
                  <w:tcW w:w="6950" w:type="dxa"/>
                </w:tcPr>
                <w:p w14:paraId="6100F1F3" w14:textId="77777777" w:rsidR="004D3AEB" w:rsidRPr="00E87C9C" w:rsidRDefault="004D3AEB" w:rsidP="004D3AEB">
                  <w:pPr>
                    <w:spacing w:after="240"/>
                    <w:rPr>
                      <w:b/>
                      <w:sz w:val="20"/>
                    </w:rPr>
                  </w:pPr>
                  <w:r w:rsidRPr="00E87C9C">
                    <w:rPr>
                      <w:b/>
                      <w:sz w:val="20"/>
                    </w:rPr>
                    <w:t>Description</w:t>
                  </w:r>
                </w:p>
              </w:tc>
            </w:tr>
            <w:tr w:rsidR="004D3AEB" w:rsidRPr="00E87C9C" w14:paraId="3D4395AB" w14:textId="77777777" w:rsidTr="004D3AEB">
              <w:tc>
                <w:tcPr>
                  <w:tcW w:w="1195" w:type="dxa"/>
                </w:tcPr>
                <w:p w14:paraId="79EF5894" w14:textId="77777777" w:rsidR="004D3AEB" w:rsidRPr="00E87C9C" w:rsidRDefault="004D3AEB" w:rsidP="004D3AEB">
                  <w:pPr>
                    <w:spacing w:after="60"/>
                    <w:rPr>
                      <w:sz w:val="20"/>
                    </w:rPr>
                  </w:pPr>
                  <w:r w:rsidRPr="00E87C9C">
                    <w:rPr>
                      <w:sz w:val="20"/>
                    </w:rPr>
                    <w:t>SONLF</w:t>
                  </w:r>
                </w:p>
              </w:tc>
              <w:tc>
                <w:tcPr>
                  <w:tcW w:w="900" w:type="dxa"/>
                </w:tcPr>
                <w:p w14:paraId="6E263028" w14:textId="77777777" w:rsidR="004D3AEB" w:rsidRPr="00E87C9C" w:rsidRDefault="004D3AEB" w:rsidP="004D3AEB">
                  <w:pPr>
                    <w:spacing w:after="60"/>
                    <w:rPr>
                      <w:sz w:val="20"/>
                    </w:rPr>
                  </w:pPr>
                  <w:r w:rsidRPr="00E87C9C">
                    <w:rPr>
                      <w:sz w:val="20"/>
                    </w:rPr>
                    <w:t>none</w:t>
                  </w:r>
                </w:p>
              </w:tc>
              <w:tc>
                <w:tcPr>
                  <w:tcW w:w="6950" w:type="dxa"/>
                </w:tcPr>
                <w:p w14:paraId="4A125B40" w14:textId="77777777" w:rsidR="004D3AEB" w:rsidRPr="00E87C9C" w:rsidRDefault="004D3AEB" w:rsidP="004D3AEB">
                  <w:pPr>
                    <w:spacing w:after="60"/>
                    <w:rPr>
                      <w:sz w:val="20"/>
                    </w:rPr>
                  </w:pPr>
                  <w:r w:rsidRPr="00E87C9C">
                    <w:rPr>
                      <w:sz w:val="20"/>
                    </w:rPr>
                    <w:t xml:space="preserve">Seasonal on-peak percent loss factor </w:t>
                  </w:r>
                </w:p>
              </w:tc>
            </w:tr>
            <w:tr w:rsidR="004D3AEB" w:rsidRPr="00E87C9C" w14:paraId="784B6CBE" w14:textId="77777777" w:rsidTr="004D3AEB">
              <w:tc>
                <w:tcPr>
                  <w:tcW w:w="1195" w:type="dxa"/>
                </w:tcPr>
                <w:p w14:paraId="64D19EC8" w14:textId="77777777" w:rsidR="004D3AEB" w:rsidRPr="00E87C9C" w:rsidRDefault="004D3AEB" w:rsidP="004D3AEB">
                  <w:pPr>
                    <w:spacing w:after="60"/>
                    <w:rPr>
                      <w:sz w:val="20"/>
                    </w:rPr>
                  </w:pPr>
                  <w:r w:rsidRPr="00E87C9C">
                    <w:rPr>
                      <w:sz w:val="20"/>
                    </w:rPr>
                    <w:t>SOFFLF</w:t>
                  </w:r>
                </w:p>
              </w:tc>
              <w:tc>
                <w:tcPr>
                  <w:tcW w:w="900" w:type="dxa"/>
                </w:tcPr>
                <w:p w14:paraId="58C53A71" w14:textId="77777777" w:rsidR="004D3AEB" w:rsidRPr="00E87C9C" w:rsidRDefault="004D3AEB" w:rsidP="004D3AEB">
                  <w:pPr>
                    <w:spacing w:after="60"/>
                    <w:rPr>
                      <w:sz w:val="20"/>
                    </w:rPr>
                  </w:pPr>
                  <w:r w:rsidRPr="00E87C9C">
                    <w:rPr>
                      <w:sz w:val="20"/>
                    </w:rPr>
                    <w:t>none</w:t>
                  </w:r>
                </w:p>
              </w:tc>
              <w:tc>
                <w:tcPr>
                  <w:tcW w:w="6950" w:type="dxa"/>
                </w:tcPr>
                <w:p w14:paraId="215FEE73" w14:textId="77777777" w:rsidR="004D3AEB" w:rsidRPr="00E87C9C" w:rsidRDefault="004D3AEB" w:rsidP="004D3AEB">
                  <w:pPr>
                    <w:tabs>
                      <w:tab w:val="left" w:pos="2160"/>
                    </w:tabs>
                    <w:contextualSpacing/>
                  </w:pPr>
                  <w:r w:rsidRPr="00E87C9C">
                    <w:rPr>
                      <w:sz w:val="20"/>
                    </w:rPr>
                    <w:t xml:space="preserve">Seasonal off-peak percent loss factor </w:t>
                  </w:r>
                </w:p>
              </w:tc>
            </w:tr>
            <w:tr w:rsidR="004D3AEB" w:rsidRPr="00E87C9C" w14:paraId="7FA01FE8" w14:textId="77777777" w:rsidTr="004D3AEB">
              <w:tc>
                <w:tcPr>
                  <w:tcW w:w="1195" w:type="dxa"/>
                </w:tcPr>
                <w:p w14:paraId="0097B35B" w14:textId="77777777" w:rsidR="004D3AEB" w:rsidRPr="00E87C9C" w:rsidRDefault="004D3AEB" w:rsidP="004D3AEB">
                  <w:pPr>
                    <w:spacing w:after="60"/>
                    <w:rPr>
                      <w:sz w:val="20"/>
                    </w:rPr>
                  </w:pPr>
                  <w:r w:rsidRPr="00E87C9C">
                    <w:rPr>
                      <w:sz w:val="20"/>
                    </w:rPr>
                    <w:t>SONL</w:t>
                  </w:r>
                </w:p>
              </w:tc>
              <w:tc>
                <w:tcPr>
                  <w:tcW w:w="900" w:type="dxa"/>
                </w:tcPr>
                <w:p w14:paraId="56C86720" w14:textId="77777777" w:rsidR="004D3AEB" w:rsidRPr="00E87C9C" w:rsidRDefault="004D3AEB" w:rsidP="004D3AEB">
                  <w:pPr>
                    <w:spacing w:after="60"/>
                    <w:rPr>
                      <w:sz w:val="20"/>
                    </w:rPr>
                  </w:pPr>
                  <w:r w:rsidRPr="00E87C9C">
                    <w:rPr>
                      <w:sz w:val="20"/>
                    </w:rPr>
                    <w:t>none</w:t>
                  </w:r>
                </w:p>
              </w:tc>
              <w:tc>
                <w:tcPr>
                  <w:tcW w:w="6950" w:type="dxa"/>
                </w:tcPr>
                <w:p w14:paraId="612911E3" w14:textId="77777777" w:rsidR="004D3AEB" w:rsidRPr="00E87C9C" w:rsidRDefault="004D3AEB" w:rsidP="004D3AEB">
                  <w:pPr>
                    <w:tabs>
                      <w:tab w:val="left" w:pos="2160"/>
                    </w:tabs>
                    <w:contextualSpacing/>
                  </w:pPr>
                  <w:r w:rsidRPr="00E87C9C">
                    <w:rPr>
                      <w:sz w:val="20"/>
                    </w:rPr>
                    <w:t>Seasonal on-peak Load value</w:t>
                  </w:r>
                </w:p>
              </w:tc>
            </w:tr>
            <w:tr w:rsidR="004D3AEB" w:rsidRPr="00E87C9C" w14:paraId="2457AFBE" w14:textId="77777777" w:rsidTr="004D3AEB">
              <w:tc>
                <w:tcPr>
                  <w:tcW w:w="1195" w:type="dxa"/>
                </w:tcPr>
                <w:p w14:paraId="3CF4FD72" w14:textId="77777777" w:rsidR="004D3AEB" w:rsidRPr="00E87C9C" w:rsidRDefault="004D3AEB" w:rsidP="004D3AEB">
                  <w:pPr>
                    <w:spacing w:after="60"/>
                    <w:rPr>
                      <w:sz w:val="20"/>
                    </w:rPr>
                  </w:pPr>
                  <w:r w:rsidRPr="00E87C9C">
                    <w:rPr>
                      <w:sz w:val="20"/>
                    </w:rPr>
                    <w:lastRenderedPageBreak/>
                    <w:t>SOFFL</w:t>
                  </w:r>
                </w:p>
              </w:tc>
              <w:tc>
                <w:tcPr>
                  <w:tcW w:w="900" w:type="dxa"/>
                </w:tcPr>
                <w:p w14:paraId="1DABC320" w14:textId="77777777" w:rsidR="004D3AEB" w:rsidRPr="00E87C9C" w:rsidRDefault="004D3AEB" w:rsidP="004D3AEB">
                  <w:pPr>
                    <w:spacing w:after="60"/>
                    <w:rPr>
                      <w:sz w:val="20"/>
                    </w:rPr>
                  </w:pPr>
                  <w:r w:rsidRPr="00E87C9C">
                    <w:rPr>
                      <w:sz w:val="20"/>
                    </w:rPr>
                    <w:t>none</w:t>
                  </w:r>
                </w:p>
              </w:tc>
              <w:tc>
                <w:tcPr>
                  <w:tcW w:w="6950" w:type="dxa"/>
                </w:tcPr>
                <w:p w14:paraId="61696BC1" w14:textId="77777777" w:rsidR="004D3AEB" w:rsidRPr="00E87C9C" w:rsidRDefault="004D3AEB" w:rsidP="004D3AEB">
                  <w:pPr>
                    <w:spacing w:after="60"/>
                    <w:rPr>
                      <w:sz w:val="20"/>
                    </w:rPr>
                  </w:pPr>
                  <w:r w:rsidRPr="00E87C9C">
                    <w:rPr>
                      <w:sz w:val="20"/>
                    </w:rPr>
                    <w:t>Seasonal off-peak Load value</w:t>
                  </w:r>
                </w:p>
              </w:tc>
            </w:tr>
          </w:tbl>
          <w:p w14:paraId="03CA8CDA" w14:textId="52C8BA21" w:rsidR="004D3AEB" w:rsidRPr="00682F64" w:rsidRDefault="004D3AEB" w:rsidP="00D34009">
            <w:pPr>
              <w:ind w:left="720" w:hanging="720"/>
              <w:rPr>
                <w:iCs/>
              </w:rPr>
            </w:pPr>
          </w:p>
        </w:tc>
      </w:tr>
    </w:tbl>
    <w:p w14:paraId="05617293" w14:textId="4D3A33D7" w:rsidR="00473B7A" w:rsidRDefault="00473B7A" w:rsidP="0071406C">
      <w:pPr>
        <w:pStyle w:val="BodyText"/>
        <w:ind w:left="720" w:hanging="720"/>
      </w:pPr>
    </w:p>
    <w:sectPr w:rsidR="00473B7A" w:rsidSect="004D0A9A">
      <w:headerReference w:type="default" r:id="rId14"/>
      <w:footerReference w:type="default" r:id="rId1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F1C" w14:textId="77777777" w:rsidR="00047AAB" w:rsidRDefault="00047AAB">
      <w:r>
        <w:separator/>
      </w:r>
    </w:p>
  </w:endnote>
  <w:endnote w:type="continuationSeparator" w:id="0">
    <w:p w14:paraId="268DBC92" w14:textId="77777777" w:rsidR="00047AAB" w:rsidRDefault="0004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4989" w14:textId="77777777" w:rsidR="0026464E" w:rsidRDefault="0026464E">
    <w:pPr>
      <w:pStyle w:val="Footer"/>
      <w:spacing w:before="0" w:after="0"/>
    </w:pPr>
    <w:r>
      <w:t xml:space="preserve">ERCOT Nodal Protocols – August 1, 2007 (Effective Upon </w:t>
    </w:r>
    <w:smartTag w:uri="urn:schemas-microsoft-com:office:smarttags" w:element="place">
      <w:smartTag w:uri="urn:schemas-microsoft-com:office:smarttags" w:element="State">
        <w:r>
          <w:t>Texas</w:t>
        </w:r>
      </w:smartTag>
    </w:smartTag>
    <w:r>
      <w:t xml:space="preserve"> Nodal Market Implementation)</w:t>
    </w:r>
  </w:p>
  <w:p w14:paraId="6646D320" w14:textId="77777777" w:rsidR="0026464E" w:rsidRDefault="0026464E">
    <w:pPr>
      <w:pStyle w:val="Footer"/>
      <w:spacing w:before="0" w:after="0"/>
    </w:pPr>
    <w:r>
      <w:t>Public</w:t>
    </w:r>
  </w:p>
  <w:p w14:paraId="461E61F8" w14:textId="77777777" w:rsidR="0026464E" w:rsidRDefault="0026464E">
    <w:pPr>
      <w:pStyle w:val="Footer"/>
      <w:pBdr>
        <w:top w:val="none" w:sz="0" w:space="0" w:color="auto"/>
      </w:pBdr>
      <w:tabs>
        <w:tab w:val="left" w:pos="6270"/>
      </w:tabs>
      <w:spacing w:before="0" w:after="0"/>
      <w:rPr>
        <w:rFonts w:ascii="Arial" w:hAnsi="Arial" w:cs="Arial"/>
        <w:smallCaps w:val="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0FC0" w14:textId="77777777" w:rsidR="0026464E" w:rsidRDefault="0026464E">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4D21" w14:textId="24C01F06" w:rsidR="0026464E" w:rsidRDefault="0026464E">
    <w:pPr>
      <w:pStyle w:val="Footer"/>
      <w:spacing w:before="0" w:after="0"/>
    </w:pPr>
    <w:r>
      <w:t xml:space="preserve">ERCOT Nodal Protocols – </w:t>
    </w:r>
    <w:r w:rsidR="001033C6">
      <w:t>June</w:t>
    </w:r>
    <w:r w:rsidR="00FF0C72">
      <w:t xml:space="preserve"> 1, 20</w:t>
    </w:r>
    <w:r w:rsidR="00732059">
      <w:t>2</w:t>
    </w:r>
    <w:r w:rsidR="001033C6">
      <w:t>3</w:t>
    </w:r>
  </w:p>
  <w:p w14:paraId="4063DF6D" w14:textId="77777777" w:rsidR="0026464E" w:rsidRDefault="0026464E">
    <w:pPr>
      <w:pStyle w:val="Footer"/>
      <w:spacing w:before="0" w:after="0"/>
      <w:jc w:val="center"/>
    </w:pPr>
    <w:r>
      <w:t>PUBLIC</w:t>
    </w:r>
  </w:p>
  <w:p w14:paraId="527F3CC7" w14:textId="77777777" w:rsidR="0026464E" w:rsidRDefault="0026464E">
    <w:pPr>
      <w:pStyle w:val="Footer"/>
      <w:pBdr>
        <w:top w:val="none" w:sz="0" w:space="0" w:color="auto"/>
      </w:pBdr>
      <w:tabs>
        <w:tab w:val="left" w:pos="6270"/>
      </w:tabs>
      <w:spacing w:before="0" w:after="0"/>
      <w:rPr>
        <w:rFonts w:ascii="Arial" w:hAnsi="Arial" w:cs="Arial"/>
        <w:smallCaps w:val="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84ED" w14:textId="3D905DC5" w:rsidR="0026464E" w:rsidRDefault="0026464E">
    <w:pPr>
      <w:pStyle w:val="Footer"/>
      <w:spacing w:before="0" w:after="0"/>
    </w:pPr>
    <w:r>
      <w:t xml:space="preserve">ERCOT Nodal Protocols – </w:t>
    </w:r>
    <w:r w:rsidR="001033C6">
      <w:t>June</w:t>
    </w:r>
    <w:r w:rsidR="00FF0C72">
      <w:t xml:space="preserve"> 1, 20</w:t>
    </w:r>
    <w:r w:rsidR="00732059">
      <w:t>2</w:t>
    </w:r>
    <w:r w:rsidR="001033C6">
      <w:t>3</w:t>
    </w:r>
    <w:r>
      <w:tab/>
    </w:r>
    <w:r>
      <w:tab/>
      <w:t>13-</w:t>
    </w:r>
    <w:r w:rsidR="004D0A9A">
      <w:rPr>
        <w:rStyle w:val="PageNumber"/>
      </w:rPr>
      <w:fldChar w:fldCharType="begin"/>
    </w:r>
    <w:r>
      <w:rPr>
        <w:rStyle w:val="PageNumber"/>
      </w:rPr>
      <w:instrText xml:space="preserve"> PAGE </w:instrText>
    </w:r>
    <w:r w:rsidR="004D0A9A">
      <w:rPr>
        <w:rStyle w:val="PageNumber"/>
      </w:rPr>
      <w:fldChar w:fldCharType="separate"/>
    </w:r>
    <w:r w:rsidR="00D20EC0">
      <w:rPr>
        <w:rStyle w:val="PageNumber"/>
        <w:noProof/>
      </w:rPr>
      <w:t>6</w:t>
    </w:r>
    <w:r w:rsidR="004D0A9A">
      <w:rPr>
        <w:rStyle w:val="PageNumber"/>
      </w:rPr>
      <w:fldChar w:fldCharType="end"/>
    </w:r>
  </w:p>
  <w:p w14:paraId="53AE61D2" w14:textId="77777777" w:rsidR="0026464E" w:rsidRDefault="0026464E">
    <w:pPr>
      <w:pStyle w:val="Footer"/>
      <w:spacing w:before="0" w:after="0"/>
      <w:jc w:val="center"/>
    </w:pPr>
    <w:r>
      <w:t>PUBLIC</w:t>
    </w:r>
  </w:p>
  <w:p w14:paraId="63EB9A71" w14:textId="77777777" w:rsidR="0026464E" w:rsidRDefault="0026464E">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29E7" w14:textId="77777777" w:rsidR="00047AAB" w:rsidRDefault="00047AAB">
      <w:r>
        <w:separator/>
      </w:r>
    </w:p>
  </w:footnote>
  <w:footnote w:type="continuationSeparator" w:id="0">
    <w:p w14:paraId="29555536" w14:textId="77777777" w:rsidR="00047AAB" w:rsidRDefault="00047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F262" w14:textId="77777777" w:rsidR="0026464E" w:rsidRPr="00E76F40" w:rsidRDefault="0026464E">
    <w:pPr>
      <w:pBdr>
        <w:bottom w:val="single" w:sz="4" w:space="1" w:color="auto"/>
      </w:pBdr>
      <w:jc w:val="right"/>
      <w:rPr>
        <w:smallCaps/>
        <w:sz w:val="20"/>
      </w:rPr>
    </w:pPr>
    <w:r w:rsidRPr="00E76F40">
      <w:rPr>
        <w:smallCaps/>
        <w:sz w:val="20"/>
      </w:rPr>
      <w:t>Table of Contents: Section 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27EE" w14:textId="77777777" w:rsidR="0026464E" w:rsidRPr="00E76F40" w:rsidRDefault="0026464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9C46" w14:textId="77777777" w:rsidR="0026464E" w:rsidRPr="00E76F40" w:rsidRDefault="0026464E">
    <w:pPr>
      <w:pBdr>
        <w:bottom w:val="single" w:sz="4" w:space="1" w:color="auto"/>
      </w:pBdr>
      <w:jc w:val="right"/>
      <w:rPr>
        <w:smallCaps/>
        <w:sz w:val="20"/>
      </w:rPr>
    </w:pPr>
    <w:r w:rsidRPr="00E76F40">
      <w:rPr>
        <w:smallCaps/>
        <w:sz w:val="20"/>
      </w:rPr>
      <w:t>Table of Contents: Section 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EBB9" w14:textId="77777777" w:rsidR="0026464E" w:rsidRPr="00E76F40" w:rsidRDefault="0026464E">
    <w:pPr>
      <w:pStyle w:val="Header"/>
      <w:rPr>
        <w:szCs w:val="32"/>
      </w:rPr>
    </w:pPr>
    <w:r>
      <w:rPr>
        <w:szCs w:val="32"/>
      </w:rPr>
      <w:t>Section 13: Transmission and Distribution Losses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7334"/>
    <w:multiLevelType w:val="multilevel"/>
    <w:tmpl w:val="0F9415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9D80A59"/>
    <w:multiLevelType w:val="multilevel"/>
    <w:tmpl w:val="DC6EFA5E"/>
    <w:lvl w:ilvl="0">
      <w:start w:val="1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9147AED"/>
    <w:multiLevelType w:val="multilevel"/>
    <w:tmpl w:val="65341504"/>
    <w:lvl w:ilvl="0">
      <w:start w:val="1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6672A30"/>
    <w:multiLevelType w:val="multilevel"/>
    <w:tmpl w:val="DC6EFA5E"/>
    <w:lvl w:ilvl="0">
      <w:start w:val="1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2AE023B"/>
    <w:multiLevelType w:val="hybridMultilevel"/>
    <w:tmpl w:val="7ECA9722"/>
    <w:lvl w:ilvl="0" w:tplc="3A22A6C4">
      <w:start w:val="13"/>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37F5B70"/>
    <w:multiLevelType w:val="hybridMultilevel"/>
    <w:tmpl w:val="37144EB4"/>
    <w:lvl w:ilvl="0" w:tplc="3A22A6C4">
      <w:start w:val="13"/>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E763BD"/>
    <w:multiLevelType w:val="multilevel"/>
    <w:tmpl w:val="DC6EFA5E"/>
    <w:lvl w:ilvl="0">
      <w:start w:val="1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D0C2DBD"/>
    <w:multiLevelType w:val="hybridMultilevel"/>
    <w:tmpl w:val="EA5EA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331525"/>
    <w:multiLevelType w:val="singleLevel"/>
    <w:tmpl w:val="0AB409BE"/>
    <w:lvl w:ilvl="0">
      <w:start w:val="1"/>
      <w:numFmt w:val="bullet"/>
      <w:pStyle w:val="Bullet"/>
      <w:lvlText w:val=""/>
      <w:lvlJc w:val="left"/>
      <w:pPr>
        <w:tabs>
          <w:tab w:val="num" w:pos="1080"/>
        </w:tabs>
        <w:ind w:left="1080" w:hanging="360"/>
      </w:pPr>
      <w:rPr>
        <w:rFonts w:ascii="Symbol" w:hAnsi="Symbol" w:hint="default"/>
      </w:rPr>
    </w:lvl>
  </w:abstractNum>
  <w:abstractNum w:abstractNumId="9" w15:restartNumberingAfterBreak="0">
    <w:nsid w:val="7C8137CA"/>
    <w:multiLevelType w:val="hybridMultilevel"/>
    <w:tmpl w:val="DC6EFA5E"/>
    <w:lvl w:ilvl="0" w:tplc="B73647F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3248324">
    <w:abstractNumId w:val="8"/>
  </w:num>
  <w:num w:numId="2" w16cid:durableId="1475179131">
    <w:abstractNumId w:val="7"/>
  </w:num>
  <w:num w:numId="3" w16cid:durableId="875697547">
    <w:abstractNumId w:val="5"/>
  </w:num>
  <w:num w:numId="4" w16cid:durableId="450826490">
    <w:abstractNumId w:val="4"/>
  </w:num>
  <w:num w:numId="5" w16cid:durableId="1842311170">
    <w:abstractNumId w:val="9"/>
  </w:num>
  <w:num w:numId="6" w16cid:durableId="966854422">
    <w:abstractNumId w:val="0"/>
  </w:num>
  <w:num w:numId="7" w16cid:durableId="1992636015">
    <w:abstractNumId w:val="3"/>
  </w:num>
  <w:num w:numId="8" w16cid:durableId="2029914044">
    <w:abstractNumId w:val="6"/>
  </w:num>
  <w:num w:numId="9" w16cid:durableId="1888951467">
    <w:abstractNumId w:val="2"/>
  </w:num>
  <w:num w:numId="10" w16cid:durableId="190028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A1"/>
    <w:rsid w:val="00030C38"/>
    <w:rsid w:val="00047AAB"/>
    <w:rsid w:val="000A7E14"/>
    <w:rsid w:val="000C15B4"/>
    <w:rsid w:val="001033C6"/>
    <w:rsid w:val="00105DB1"/>
    <w:rsid w:val="00123CCB"/>
    <w:rsid w:val="0016283D"/>
    <w:rsid w:val="001F2CFE"/>
    <w:rsid w:val="0020064A"/>
    <w:rsid w:val="002024C3"/>
    <w:rsid w:val="002320D1"/>
    <w:rsid w:val="0026464E"/>
    <w:rsid w:val="00272639"/>
    <w:rsid w:val="002B579A"/>
    <w:rsid w:val="002C1301"/>
    <w:rsid w:val="002E5D16"/>
    <w:rsid w:val="002F7D4B"/>
    <w:rsid w:val="00320746"/>
    <w:rsid w:val="00324700"/>
    <w:rsid w:val="003D6717"/>
    <w:rsid w:val="0042538B"/>
    <w:rsid w:val="0044528C"/>
    <w:rsid w:val="004559B8"/>
    <w:rsid w:val="00463E03"/>
    <w:rsid w:val="00473B7A"/>
    <w:rsid w:val="004770E1"/>
    <w:rsid w:val="00485AAD"/>
    <w:rsid w:val="00494B44"/>
    <w:rsid w:val="004B51C3"/>
    <w:rsid w:val="004D0A9A"/>
    <w:rsid w:val="004D3AEB"/>
    <w:rsid w:val="004E606A"/>
    <w:rsid w:val="005023DE"/>
    <w:rsid w:val="005C0CDA"/>
    <w:rsid w:val="005D6EA9"/>
    <w:rsid w:val="005D7D42"/>
    <w:rsid w:val="005E113C"/>
    <w:rsid w:val="006330E7"/>
    <w:rsid w:val="00633BFA"/>
    <w:rsid w:val="00660C5C"/>
    <w:rsid w:val="00663EB7"/>
    <w:rsid w:val="00665013"/>
    <w:rsid w:val="00682F64"/>
    <w:rsid w:val="006A4D8B"/>
    <w:rsid w:val="006D5A9C"/>
    <w:rsid w:val="0071406C"/>
    <w:rsid w:val="00732059"/>
    <w:rsid w:val="00733FA5"/>
    <w:rsid w:val="00753870"/>
    <w:rsid w:val="007A630B"/>
    <w:rsid w:val="007E76CA"/>
    <w:rsid w:val="009111CF"/>
    <w:rsid w:val="0091411D"/>
    <w:rsid w:val="00924B76"/>
    <w:rsid w:val="00945D07"/>
    <w:rsid w:val="0098205F"/>
    <w:rsid w:val="00984121"/>
    <w:rsid w:val="0099452F"/>
    <w:rsid w:val="00996CA3"/>
    <w:rsid w:val="009B3AC3"/>
    <w:rsid w:val="00A30282"/>
    <w:rsid w:val="00A77FFA"/>
    <w:rsid w:val="00AA6765"/>
    <w:rsid w:val="00AF5F0C"/>
    <w:rsid w:val="00B77D68"/>
    <w:rsid w:val="00C472E1"/>
    <w:rsid w:val="00CB58A1"/>
    <w:rsid w:val="00CB7C09"/>
    <w:rsid w:val="00CD4ADB"/>
    <w:rsid w:val="00D058B7"/>
    <w:rsid w:val="00D06E75"/>
    <w:rsid w:val="00D20EC0"/>
    <w:rsid w:val="00D2427A"/>
    <w:rsid w:val="00D34009"/>
    <w:rsid w:val="00DB022A"/>
    <w:rsid w:val="00DD167D"/>
    <w:rsid w:val="00DF707B"/>
    <w:rsid w:val="00E02377"/>
    <w:rsid w:val="00E1214A"/>
    <w:rsid w:val="00E44330"/>
    <w:rsid w:val="00E87FC7"/>
    <w:rsid w:val="00EA1044"/>
    <w:rsid w:val="00EC77B0"/>
    <w:rsid w:val="00EE6B04"/>
    <w:rsid w:val="00F10683"/>
    <w:rsid w:val="00F15DEC"/>
    <w:rsid w:val="00F22AA4"/>
    <w:rsid w:val="00F8525E"/>
    <w:rsid w:val="00FB0A82"/>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FB9785B"/>
  <w15:chartTrackingRefBased/>
  <w15:docId w15:val="{3C58034C-77BC-4A0D-A17B-EECD203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0A9A"/>
    <w:rPr>
      <w:sz w:val="24"/>
    </w:rPr>
  </w:style>
  <w:style w:type="paragraph" w:styleId="Heading1">
    <w:name w:val="heading 1"/>
    <w:aliases w:val="h1"/>
    <w:basedOn w:val="Normal"/>
    <w:next w:val="BodyText"/>
    <w:qFormat/>
    <w:rsid w:val="004D0A9A"/>
    <w:pPr>
      <w:keepNext/>
      <w:tabs>
        <w:tab w:val="num" w:pos="432"/>
      </w:tabs>
      <w:spacing w:after="240"/>
      <w:ind w:left="432" w:hanging="432"/>
      <w:outlineLvl w:val="0"/>
    </w:pPr>
    <w:rPr>
      <w:b/>
      <w:caps/>
    </w:rPr>
  </w:style>
  <w:style w:type="paragraph" w:styleId="Heading2">
    <w:name w:val="heading 2"/>
    <w:basedOn w:val="Normal"/>
    <w:next w:val="Normal"/>
    <w:qFormat/>
    <w:rsid w:val="004D0A9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D0A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link w:val="ListChar"/>
    <w:rsid w:val="004D0A9A"/>
    <w:pPr>
      <w:spacing w:after="240"/>
      <w:ind w:left="990" w:hanging="630"/>
    </w:pPr>
  </w:style>
  <w:style w:type="paragraph" w:customStyle="1" w:styleId="H2">
    <w:name w:val="H2"/>
    <w:basedOn w:val="Heading2"/>
    <w:next w:val="BodyText"/>
    <w:link w:val="H2Char"/>
    <w:rsid w:val="004D0A9A"/>
    <w:pPr>
      <w:tabs>
        <w:tab w:val="left" w:pos="900"/>
      </w:tabs>
      <w:spacing w:after="240"/>
      <w:ind w:left="900" w:hanging="900"/>
    </w:pPr>
    <w:rPr>
      <w:rFonts w:ascii="Times New Roman" w:hAnsi="Times New Roman" w:cs="Times New Roman"/>
      <w:bCs w:val="0"/>
      <w:i w:val="0"/>
      <w:iCs w:val="0"/>
      <w:sz w:val="24"/>
      <w:szCs w:val="20"/>
    </w:rPr>
  </w:style>
  <w:style w:type="character" w:customStyle="1" w:styleId="H2Char">
    <w:name w:val="H2 Char"/>
    <w:link w:val="H2"/>
    <w:rsid w:val="004D0A9A"/>
    <w:rPr>
      <w:b/>
      <w:sz w:val="24"/>
      <w:lang w:val="en-US" w:eastAsia="en-US" w:bidi="ar-SA"/>
    </w:rPr>
  </w:style>
  <w:style w:type="character" w:customStyle="1" w:styleId="ListChar">
    <w:name w:val="List Char"/>
    <w:link w:val="List"/>
    <w:rsid w:val="004D0A9A"/>
    <w:rPr>
      <w:sz w:val="24"/>
      <w:lang w:val="en-US" w:eastAsia="en-US" w:bidi="ar-SA"/>
    </w:rPr>
  </w:style>
  <w:style w:type="paragraph" w:styleId="BodyText">
    <w:name w:val="Body Text"/>
    <w:aliases w:val=" Char Char Char, Char1,Body Text Char Char, Char Char Char Char Char, Char1 Char Char,Body Text Char2 Char Char,Body Text Char2 Char Char Char Char Char Char Char Char Char Char Char,Body Text Char2 Char,Body Text Char2,Body Text Char1 Char Ch"/>
    <w:basedOn w:val="Normal"/>
    <w:link w:val="BodyTextChar"/>
    <w:rsid w:val="004D0A9A"/>
    <w:pPr>
      <w:spacing w:after="240"/>
    </w:pPr>
    <w:rPr>
      <w:iCs/>
    </w:rPr>
  </w:style>
  <w:style w:type="paragraph" w:customStyle="1" w:styleId="H3">
    <w:name w:val="H3"/>
    <w:basedOn w:val="Heading3"/>
    <w:next w:val="BodyText"/>
    <w:link w:val="H3Char"/>
    <w:rsid w:val="004D0A9A"/>
    <w:pPr>
      <w:tabs>
        <w:tab w:val="left" w:pos="1080"/>
      </w:tabs>
      <w:spacing w:after="240"/>
      <w:ind w:left="1080" w:hanging="1080"/>
    </w:pPr>
    <w:rPr>
      <w:rFonts w:ascii="Times New Roman" w:hAnsi="Times New Roman" w:cs="Times New Roman"/>
      <w:i/>
      <w:sz w:val="24"/>
      <w:szCs w:val="20"/>
    </w:rPr>
  </w:style>
  <w:style w:type="character" w:customStyle="1" w:styleId="H3Char">
    <w:name w:val="H3 Char"/>
    <w:link w:val="H3"/>
    <w:rsid w:val="004D0A9A"/>
    <w:rPr>
      <w:b/>
      <w:bCs/>
      <w:i/>
      <w:sz w:val="24"/>
      <w:lang w:val="en-US" w:eastAsia="en-US" w:bidi="ar-SA"/>
    </w:rPr>
  </w:style>
  <w:style w:type="paragraph" w:styleId="List2">
    <w:name w:val="List 2"/>
    <w:aliases w:val=" Char2 Char Char, Char2"/>
    <w:basedOn w:val="Normal"/>
    <w:link w:val="List2Char"/>
    <w:rsid w:val="004D0A9A"/>
    <w:pPr>
      <w:spacing w:after="240"/>
      <w:ind w:left="1440" w:hanging="720"/>
    </w:pPr>
  </w:style>
  <w:style w:type="character" w:customStyle="1" w:styleId="BodyTextChar">
    <w:name w:val="Body Text Char"/>
    <w:aliases w:val=" Char Char Char Char, Char1 Char,Body Text Char Char Char, Char Char Char Char Char Char, Char1 Char Char Char,Body Text Char2 Char Char Char,Body Text Char2 Char Char Char Char Char Char Char Char Char Char Char Char"/>
    <w:link w:val="BodyText"/>
    <w:rsid w:val="004D0A9A"/>
    <w:rPr>
      <w:iCs/>
      <w:sz w:val="24"/>
      <w:lang w:val="en-US" w:eastAsia="en-US" w:bidi="ar-SA"/>
    </w:rPr>
  </w:style>
  <w:style w:type="paragraph" w:customStyle="1" w:styleId="Bullet">
    <w:name w:val="Bullet"/>
    <w:basedOn w:val="Normal"/>
    <w:link w:val="BulletChar"/>
    <w:rsid w:val="004D0A9A"/>
    <w:pPr>
      <w:numPr>
        <w:numId w:val="1"/>
      </w:numPr>
      <w:spacing w:after="180"/>
    </w:pPr>
  </w:style>
  <w:style w:type="character" w:customStyle="1" w:styleId="BulletChar">
    <w:name w:val="Bullet Char"/>
    <w:link w:val="Bullet"/>
    <w:rsid w:val="004D0A9A"/>
    <w:rPr>
      <w:sz w:val="24"/>
      <w:lang w:val="en-US" w:eastAsia="en-US" w:bidi="ar-SA"/>
    </w:rPr>
  </w:style>
  <w:style w:type="paragraph" w:styleId="Footer">
    <w:name w:val="footer"/>
    <w:basedOn w:val="Normal"/>
    <w:rsid w:val="004D0A9A"/>
    <w:pPr>
      <w:pBdr>
        <w:top w:val="single" w:sz="4" w:space="0" w:color="auto"/>
      </w:pBdr>
      <w:tabs>
        <w:tab w:val="center" w:pos="4680"/>
        <w:tab w:val="right" w:pos="9360"/>
      </w:tabs>
      <w:spacing w:before="120" w:after="120"/>
    </w:pPr>
    <w:rPr>
      <w:smallCaps/>
      <w:sz w:val="20"/>
    </w:rPr>
  </w:style>
  <w:style w:type="paragraph" w:styleId="Header">
    <w:name w:val="header"/>
    <w:basedOn w:val="Normal"/>
    <w:rsid w:val="004D0A9A"/>
    <w:pPr>
      <w:pBdr>
        <w:bottom w:val="single" w:sz="4" w:space="1" w:color="auto"/>
      </w:pBdr>
      <w:tabs>
        <w:tab w:val="center" w:pos="4680"/>
        <w:tab w:val="right" w:pos="9360"/>
      </w:tabs>
      <w:jc w:val="right"/>
    </w:pPr>
    <w:rPr>
      <w:smallCaps/>
      <w:sz w:val="20"/>
    </w:rPr>
  </w:style>
  <w:style w:type="character" w:styleId="Hyperlink">
    <w:name w:val="Hyperlink"/>
    <w:uiPriority w:val="99"/>
    <w:rsid w:val="004D0A9A"/>
    <w:rPr>
      <w:color w:val="0000FF"/>
      <w:u w:val="single"/>
    </w:rPr>
  </w:style>
  <w:style w:type="paragraph" w:styleId="TOC1">
    <w:name w:val="toc 1"/>
    <w:basedOn w:val="Normal"/>
    <w:next w:val="Normal"/>
    <w:autoRedefine/>
    <w:uiPriority w:val="39"/>
    <w:rsid w:val="0071406C"/>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rsid w:val="004D0A9A"/>
    <w:pPr>
      <w:tabs>
        <w:tab w:val="left" w:pos="1260"/>
        <w:tab w:val="right" w:leader="dot" w:pos="9360"/>
      </w:tabs>
      <w:ind w:left="1267" w:right="720" w:hanging="720"/>
    </w:pPr>
    <w:rPr>
      <w:sz w:val="20"/>
    </w:rPr>
  </w:style>
  <w:style w:type="character" w:styleId="PageNumber">
    <w:name w:val="page number"/>
    <w:basedOn w:val="DefaultParagraphFont"/>
    <w:rsid w:val="004D0A9A"/>
  </w:style>
  <w:style w:type="table" w:styleId="TableGrid">
    <w:name w:val="Table Grid"/>
    <w:basedOn w:val="TableNormal"/>
    <w:rsid w:val="004D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afterbox">
    <w:name w:val="Space after box"/>
    <w:basedOn w:val="Normal"/>
    <w:rsid w:val="004D0A9A"/>
  </w:style>
  <w:style w:type="paragraph" w:customStyle="1" w:styleId="ListIntroduction">
    <w:name w:val="List Introduction"/>
    <w:basedOn w:val="BodyText"/>
    <w:link w:val="ListIntroductionChar"/>
    <w:rsid w:val="004D0A9A"/>
    <w:pPr>
      <w:keepNext/>
    </w:pPr>
    <w:rPr>
      <w:iCs w:val="0"/>
    </w:rPr>
  </w:style>
  <w:style w:type="paragraph" w:customStyle="1" w:styleId="VariableDefinition">
    <w:name w:val="Variable Definition"/>
    <w:basedOn w:val="BodyTextIndent"/>
    <w:link w:val="VariableDefinitionChar"/>
    <w:rsid w:val="004D0A9A"/>
    <w:pPr>
      <w:tabs>
        <w:tab w:val="left" w:pos="2160"/>
      </w:tabs>
      <w:spacing w:after="240"/>
      <w:ind w:left="2160" w:hanging="1440"/>
      <w:contextualSpacing/>
    </w:pPr>
  </w:style>
  <w:style w:type="paragraph" w:customStyle="1" w:styleId="FormulaBold">
    <w:name w:val="Formula Bold"/>
    <w:basedOn w:val="Normal"/>
    <w:autoRedefine/>
    <w:rsid w:val="00324700"/>
    <w:pPr>
      <w:tabs>
        <w:tab w:val="left" w:pos="2340"/>
        <w:tab w:val="left" w:pos="2880"/>
      </w:tabs>
      <w:spacing w:after="240"/>
      <w:ind w:left="1440" w:hanging="720"/>
    </w:pPr>
    <w:rPr>
      <w:bCs/>
      <w:szCs w:val="24"/>
    </w:rPr>
  </w:style>
  <w:style w:type="paragraph" w:customStyle="1" w:styleId="Formula">
    <w:name w:val="Formula"/>
    <w:basedOn w:val="Normal"/>
    <w:autoRedefine/>
    <w:rsid w:val="005D7D42"/>
    <w:pPr>
      <w:tabs>
        <w:tab w:val="left" w:pos="1440"/>
        <w:tab w:val="left" w:pos="2340"/>
      </w:tabs>
      <w:spacing w:after="240"/>
      <w:ind w:left="720" w:hanging="720"/>
    </w:pPr>
    <w:rPr>
      <w:bCs/>
      <w:szCs w:val="24"/>
    </w:rPr>
  </w:style>
  <w:style w:type="paragraph" w:customStyle="1" w:styleId="TableBody">
    <w:name w:val="Table Body"/>
    <w:basedOn w:val="BodyText"/>
    <w:rsid w:val="004D0A9A"/>
    <w:pPr>
      <w:spacing w:after="60"/>
    </w:pPr>
    <w:rPr>
      <w:iCs w:val="0"/>
      <w:sz w:val="20"/>
    </w:rPr>
  </w:style>
  <w:style w:type="paragraph" w:customStyle="1" w:styleId="TableHead">
    <w:name w:val="Table Head"/>
    <w:basedOn w:val="BodyText"/>
    <w:rsid w:val="004D0A9A"/>
    <w:rPr>
      <w:b/>
      <w:iCs w:val="0"/>
      <w:sz w:val="20"/>
    </w:rPr>
  </w:style>
  <w:style w:type="character" w:customStyle="1" w:styleId="ListIntroductionChar">
    <w:name w:val="List Introduction Char"/>
    <w:link w:val="ListIntroduction"/>
    <w:rsid w:val="004D0A9A"/>
    <w:rPr>
      <w:sz w:val="24"/>
      <w:lang w:val="en-US" w:eastAsia="en-US" w:bidi="ar-SA"/>
    </w:rPr>
  </w:style>
  <w:style w:type="character" w:customStyle="1" w:styleId="List2Char">
    <w:name w:val="List 2 Char"/>
    <w:aliases w:val=" Char2 Char Char Char, Char2 Char"/>
    <w:link w:val="List2"/>
    <w:rsid w:val="004D0A9A"/>
    <w:rPr>
      <w:sz w:val="24"/>
      <w:lang w:val="en-US" w:eastAsia="en-US" w:bidi="ar-SA"/>
    </w:rPr>
  </w:style>
  <w:style w:type="character" w:customStyle="1" w:styleId="VariableDefinitionChar">
    <w:name w:val="Variable Definition Char"/>
    <w:link w:val="VariableDefinition"/>
    <w:rsid w:val="004D0A9A"/>
    <w:rPr>
      <w:sz w:val="24"/>
      <w:lang w:val="en-US" w:eastAsia="en-US" w:bidi="ar-SA"/>
    </w:rPr>
  </w:style>
  <w:style w:type="character" w:customStyle="1" w:styleId="BodyTextChar1">
    <w:name w:val="Body Text Char1"/>
    <w:aliases w:val="Char Char Char Char Char Char Char,Char Char Char Char Char Char Charh2 Char,... Char Char"/>
    <w:locked/>
    <w:rsid w:val="004D0A9A"/>
    <w:rPr>
      <w:iCs/>
      <w:sz w:val="24"/>
      <w:lang w:val="en-US" w:eastAsia="en-US" w:bidi="ar-SA"/>
    </w:rPr>
  </w:style>
  <w:style w:type="paragraph" w:customStyle="1" w:styleId="Char3">
    <w:name w:val="Char3"/>
    <w:basedOn w:val="Normal"/>
    <w:rsid w:val="004D0A9A"/>
    <w:pPr>
      <w:spacing w:after="160" w:line="240" w:lineRule="exact"/>
    </w:pPr>
    <w:rPr>
      <w:rFonts w:ascii="Verdana" w:hAnsi="Verdana"/>
      <w:sz w:val="16"/>
    </w:rPr>
  </w:style>
  <w:style w:type="paragraph" w:styleId="BodyTextIndent">
    <w:name w:val="Body Text Indent"/>
    <w:basedOn w:val="Normal"/>
    <w:rsid w:val="004D0A9A"/>
    <w:pPr>
      <w:spacing w:after="120"/>
      <w:ind w:left="360"/>
    </w:pPr>
  </w:style>
  <w:style w:type="paragraph" w:customStyle="1" w:styleId="Char30">
    <w:name w:val="Char3"/>
    <w:basedOn w:val="Normal"/>
    <w:rsid w:val="004D0A9A"/>
    <w:pPr>
      <w:spacing w:after="160" w:line="240" w:lineRule="exact"/>
    </w:pPr>
    <w:rPr>
      <w:rFonts w:ascii="Verdana" w:hAnsi="Verdana"/>
      <w:sz w:val="16"/>
    </w:rPr>
  </w:style>
  <w:style w:type="paragraph" w:styleId="BalloonText">
    <w:name w:val="Balloon Text"/>
    <w:basedOn w:val="Normal"/>
    <w:semiHidden/>
    <w:rsid w:val="004D0A9A"/>
    <w:rPr>
      <w:rFonts w:ascii="Tahoma" w:hAnsi="Tahoma" w:cs="Tahoma"/>
      <w:sz w:val="16"/>
      <w:szCs w:val="16"/>
    </w:rPr>
  </w:style>
  <w:style w:type="paragraph" w:styleId="DocumentMap">
    <w:name w:val="Document Map"/>
    <w:basedOn w:val="Normal"/>
    <w:semiHidden/>
    <w:rsid w:val="004D0A9A"/>
    <w:pPr>
      <w:shd w:val="clear" w:color="auto" w:fill="000080"/>
    </w:pPr>
    <w:rPr>
      <w:rFonts w:ascii="Tahoma" w:hAnsi="Tahoma" w:cs="Tahoma"/>
      <w:sz w:val="20"/>
    </w:rPr>
  </w:style>
  <w:style w:type="paragraph" w:styleId="TOC3">
    <w:name w:val="toc 3"/>
    <w:basedOn w:val="Normal"/>
    <w:next w:val="Normal"/>
    <w:autoRedefine/>
    <w:rsid w:val="004D0A9A"/>
    <w:pPr>
      <w:ind w:left="1987" w:right="720" w:hanging="907"/>
    </w:pPr>
    <w:rPr>
      <w:i/>
      <w:sz w:val="20"/>
    </w:rPr>
  </w:style>
  <w:style w:type="character" w:styleId="CommentReference">
    <w:name w:val="annotation reference"/>
    <w:semiHidden/>
    <w:rsid w:val="0016283D"/>
    <w:rPr>
      <w:sz w:val="16"/>
      <w:szCs w:val="16"/>
    </w:rPr>
  </w:style>
  <w:style w:type="paragraph" w:styleId="TOC4">
    <w:name w:val="toc 4"/>
    <w:basedOn w:val="Normal"/>
    <w:next w:val="Normal"/>
    <w:autoRedefine/>
    <w:semiHidden/>
    <w:rsid w:val="004D0A9A"/>
    <w:pPr>
      <w:ind w:left="2707" w:right="720" w:hanging="1080"/>
    </w:pPr>
    <w:rPr>
      <w:sz w:val="18"/>
    </w:rPr>
  </w:style>
  <w:style w:type="paragraph" w:styleId="TOC5">
    <w:name w:val="toc 5"/>
    <w:basedOn w:val="Normal"/>
    <w:next w:val="Normal"/>
    <w:autoRedefine/>
    <w:semiHidden/>
    <w:rsid w:val="004D0A9A"/>
    <w:pPr>
      <w:ind w:left="3614" w:right="720" w:hanging="1267"/>
    </w:pPr>
    <w:rPr>
      <w:i/>
      <w:sz w:val="18"/>
    </w:rPr>
  </w:style>
  <w:style w:type="paragraph" w:styleId="CommentText">
    <w:name w:val="annotation text"/>
    <w:basedOn w:val="Normal"/>
    <w:semiHidden/>
    <w:rsid w:val="0016283D"/>
    <w:rPr>
      <w:sz w:val="20"/>
    </w:rPr>
  </w:style>
  <w:style w:type="paragraph" w:styleId="CommentSubject">
    <w:name w:val="annotation subject"/>
    <w:basedOn w:val="CommentText"/>
    <w:next w:val="CommentText"/>
    <w:semiHidden/>
    <w:rsid w:val="0016283D"/>
    <w:rPr>
      <w:b/>
      <w:bCs/>
    </w:rPr>
  </w:style>
  <w:style w:type="paragraph" w:styleId="Revision">
    <w:name w:val="Revision"/>
    <w:hidden/>
    <w:uiPriority w:val="99"/>
    <w:semiHidden/>
    <w:rsid w:val="00320746"/>
    <w:rPr>
      <w:sz w:val="24"/>
    </w:rPr>
  </w:style>
  <w:style w:type="paragraph" w:customStyle="1" w:styleId="Instructions">
    <w:name w:val="Instructions"/>
    <w:basedOn w:val="BodyText"/>
    <w:link w:val="InstructionsChar"/>
    <w:rsid w:val="00682F64"/>
    <w:rPr>
      <w:b/>
      <w:i/>
      <w:iCs w:val="0"/>
      <w:szCs w:val="24"/>
    </w:rPr>
  </w:style>
  <w:style w:type="character" w:customStyle="1" w:styleId="InstructionsChar">
    <w:name w:val="Instructions Char"/>
    <w:link w:val="Instructions"/>
    <w:rsid w:val="00682F64"/>
    <w:rPr>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16A0-E783-4972-BC95-AF23B412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2838</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ERCOT</Company>
  <LinksUpToDate>false</LinksUpToDate>
  <CharactersWithSpaces>19698</CharactersWithSpaces>
  <SharedDoc>false</SharedDoc>
  <HLinks>
    <vt:vector size="90" baseType="variant">
      <vt:variant>
        <vt:i4>1245243</vt:i4>
      </vt:variant>
      <vt:variant>
        <vt:i4>86</vt:i4>
      </vt:variant>
      <vt:variant>
        <vt:i4>0</vt:i4>
      </vt:variant>
      <vt:variant>
        <vt:i4>5</vt:i4>
      </vt:variant>
      <vt:variant>
        <vt:lpwstr/>
      </vt:variant>
      <vt:variant>
        <vt:lpwstr>_Toc254096473</vt:lpwstr>
      </vt:variant>
      <vt:variant>
        <vt:i4>1245243</vt:i4>
      </vt:variant>
      <vt:variant>
        <vt:i4>80</vt:i4>
      </vt:variant>
      <vt:variant>
        <vt:i4>0</vt:i4>
      </vt:variant>
      <vt:variant>
        <vt:i4>5</vt:i4>
      </vt:variant>
      <vt:variant>
        <vt:lpwstr/>
      </vt:variant>
      <vt:variant>
        <vt:lpwstr>_Toc254096472</vt:lpwstr>
      </vt:variant>
      <vt:variant>
        <vt:i4>1245243</vt:i4>
      </vt:variant>
      <vt:variant>
        <vt:i4>74</vt:i4>
      </vt:variant>
      <vt:variant>
        <vt:i4>0</vt:i4>
      </vt:variant>
      <vt:variant>
        <vt:i4>5</vt:i4>
      </vt:variant>
      <vt:variant>
        <vt:lpwstr/>
      </vt:variant>
      <vt:variant>
        <vt:lpwstr>_Toc254096471</vt:lpwstr>
      </vt:variant>
      <vt:variant>
        <vt:i4>1245243</vt:i4>
      </vt:variant>
      <vt:variant>
        <vt:i4>68</vt:i4>
      </vt:variant>
      <vt:variant>
        <vt:i4>0</vt:i4>
      </vt:variant>
      <vt:variant>
        <vt:i4>5</vt:i4>
      </vt:variant>
      <vt:variant>
        <vt:lpwstr/>
      </vt:variant>
      <vt:variant>
        <vt:lpwstr>_Toc254096470</vt:lpwstr>
      </vt:variant>
      <vt:variant>
        <vt:i4>1179707</vt:i4>
      </vt:variant>
      <vt:variant>
        <vt:i4>62</vt:i4>
      </vt:variant>
      <vt:variant>
        <vt:i4>0</vt:i4>
      </vt:variant>
      <vt:variant>
        <vt:i4>5</vt:i4>
      </vt:variant>
      <vt:variant>
        <vt:lpwstr/>
      </vt:variant>
      <vt:variant>
        <vt:lpwstr>_Toc254096469</vt:lpwstr>
      </vt:variant>
      <vt:variant>
        <vt:i4>1179707</vt:i4>
      </vt:variant>
      <vt:variant>
        <vt:i4>56</vt:i4>
      </vt:variant>
      <vt:variant>
        <vt:i4>0</vt:i4>
      </vt:variant>
      <vt:variant>
        <vt:i4>5</vt:i4>
      </vt:variant>
      <vt:variant>
        <vt:lpwstr/>
      </vt:variant>
      <vt:variant>
        <vt:lpwstr>_Toc254096468</vt:lpwstr>
      </vt:variant>
      <vt:variant>
        <vt:i4>1179707</vt:i4>
      </vt:variant>
      <vt:variant>
        <vt:i4>50</vt:i4>
      </vt:variant>
      <vt:variant>
        <vt:i4>0</vt:i4>
      </vt:variant>
      <vt:variant>
        <vt:i4>5</vt:i4>
      </vt:variant>
      <vt:variant>
        <vt:lpwstr/>
      </vt:variant>
      <vt:variant>
        <vt:lpwstr>_Toc254096467</vt:lpwstr>
      </vt:variant>
      <vt:variant>
        <vt:i4>1179707</vt:i4>
      </vt:variant>
      <vt:variant>
        <vt:i4>44</vt:i4>
      </vt:variant>
      <vt:variant>
        <vt:i4>0</vt:i4>
      </vt:variant>
      <vt:variant>
        <vt:i4>5</vt:i4>
      </vt:variant>
      <vt:variant>
        <vt:lpwstr/>
      </vt:variant>
      <vt:variant>
        <vt:lpwstr>_Toc254096466</vt:lpwstr>
      </vt:variant>
      <vt:variant>
        <vt:i4>1179707</vt:i4>
      </vt:variant>
      <vt:variant>
        <vt:i4>38</vt:i4>
      </vt:variant>
      <vt:variant>
        <vt:i4>0</vt:i4>
      </vt:variant>
      <vt:variant>
        <vt:i4>5</vt:i4>
      </vt:variant>
      <vt:variant>
        <vt:lpwstr/>
      </vt:variant>
      <vt:variant>
        <vt:lpwstr>_Toc254096465</vt:lpwstr>
      </vt:variant>
      <vt:variant>
        <vt:i4>1179707</vt:i4>
      </vt:variant>
      <vt:variant>
        <vt:i4>32</vt:i4>
      </vt:variant>
      <vt:variant>
        <vt:i4>0</vt:i4>
      </vt:variant>
      <vt:variant>
        <vt:i4>5</vt:i4>
      </vt:variant>
      <vt:variant>
        <vt:lpwstr/>
      </vt:variant>
      <vt:variant>
        <vt:lpwstr>_Toc254096464</vt:lpwstr>
      </vt:variant>
      <vt:variant>
        <vt:i4>1179707</vt:i4>
      </vt:variant>
      <vt:variant>
        <vt:i4>26</vt:i4>
      </vt:variant>
      <vt:variant>
        <vt:i4>0</vt:i4>
      </vt:variant>
      <vt:variant>
        <vt:i4>5</vt:i4>
      </vt:variant>
      <vt:variant>
        <vt:lpwstr/>
      </vt:variant>
      <vt:variant>
        <vt:lpwstr>_Toc254096463</vt:lpwstr>
      </vt:variant>
      <vt:variant>
        <vt:i4>1179707</vt:i4>
      </vt:variant>
      <vt:variant>
        <vt:i4>20</vt:i4>
      </vt:variant>
      <vt:variant>
        <vt:i4>0</vt:i4>
      </vt:variant>
      <vt:variant>
        <vt:i4>5</vt:i4>
      </vt:variant>
      <vt:variant>
        <vt:lpwstr/>
      </vt:variant>
      <vt:variant>
        <vt:lpwstr>_Toc254096462</vt:lpwstr>
      </vt:variant>
      <vt:variant>
        <vt:i4>1179707</vt:i4>
      </vt:variant>
      <vt:variant>
        <vt:i4>14</vt:i4>
      </vt:variant>
      <vt:variant>
        <vt:i4>0</vt:i4>
      </vt:variant>
      <vt:variant>
        <vt:i4>5</vt:i4>
      </vt:variant>
      <vt:variant>
        <vt:lpwstr/>
      </vt:variant>
      <vt:variant>
        <vt:lpwstr>_Toc254096461</vt:lpwstr>
      </vt:variant>
      <vt:variant>
        <vt:i4>1179707</vt:i4>
      </vt:variant>
      <vt:variant>
        <vt:i4>8</vt:i4>
      </vt:variant>
      <vt:variant>
        <vt:i4>0</vt:i4>
      </vt:variant>
      <vt:variant>
        <vt:i4>5</vt:i4>
      </vt:variant>
      <vt:variant>
        <vt:lpwstr/>
      </vt:variant>
      <vt:variant>
        <vt:lpwstr>_Toc254096460</vt:lpwstr>
      </vt:variant>
      <vt:variant>
        <vt:i4>1114171</vt:i4>
      </vt:variant>
      <vt:variant>
        <vt:i4>2</vt:i4>
      </vt:variant>
      <vt:variant>
        <vt:i4>0</vt:i4>
      </vt:variant>
      <vt:variant>
        <vt:i4>5</vt:i4>
      </vt:variant>
      <vt:variant>
        <vt:lpwstr/>
      </vt:variant>
      <vt:variant>
        <vt:lpwstr>_Toc254096459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
  <dc:creator>ERCOT</dc:creator>
  <cp:keywords/>
  <cp:lastModifiedBy>ERCOT</cp:lastModifiedBy>
  <cp:revision>2</cp:revision>
  <dcterms:created xsi:type="dcterms:W3CDTF">2023-05-08T17:46:00Z</dcterms:created>
  <dcterms:modified xsi:type="dcterms:W3CDTF">2023-05-08T17:46:00Z</dcterms:modified>
</cp:coreProperties>
</file>