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A0036" w14:textId="77777777" w:rsidR="008B67C9" w:rsidRDefault="008B67C9"/>
    <w:p w14:paraId="1606E3E6" w14:textId="77777777" w:rsidR="008C51D1" w:rsidRDefault="008C51D1" w:rsidP="008C51D1">
      <w:pPr>
        <w:spacing w:before="2400"/>
        <w:jc w:val="center"/>
        <w:rPr>
          <w:b/>
          <w:sz w:val="36"/>
        </w:rPr>
      </w:pPr>
      <w:bookmarkStart w:id="0" w:name="_GoBack"/>
      <w:bookmarkEnd w:id="0"/>
      <w:r>
        <w:rPr>
          <w:b/>
          <w:sz w:val="36"/>
        </w:rPr>
        <w:t>ERCOT Nodal Protocols</w:t>
      </w:r>
    </w:p>
    <w:p w14:paraId="21619E96" w14:textId="77777777" w:rsidR="008C51D1" w:rsidRDefault="008C51D1" w:rsidP="008C51D1">
      <w:pPr>
        <w:jc w:val="center"/>
        <w:rPr>
          <w:b/>
          <w:sz w:val="36"/>
          <w:szCs w:val="36"/>
        </w:rPr>
      </w:pPr>
    </w:p>
    <w:p w14:paraId="390DA487" w14:textId="77777777" w:rsidR="008C51D1" w:rsidRDefault="008C51D1" w:rsidP="008C51D1">
      <w:pPr>
        <w:jc w:val="center"/>
        <w:rPr>
          <w:b/>
          <w:sz w:val="36"/>
        </w:rPr>
      </w:pPr>
      <w:r>
        <w:rPr>
          <w:b/>
          <w:sz w:val="36"/>
          <w:szCs w:val="36"/>
        </w:rPr>
        <w:t xml:space="preserve">Section 14:  State of </w:t>
      </w:r>
      <w:smartTag w:uri="urn:schemas-microsoft-com:office:smarttags" w:element="place">
        <w:smartTag w:uri="urn:schemas-microsoft-com:office:smarttags" w:element="State">
          <w:r>
            <w:rPr>
              <w:b/>
              <w:sz w:val="36"/>
              <w:szCs w:val="36"/>
            </w:rPr>
            <w:t>Texas</w:t>
          </w:r>
        </w:smartTag>
      </w:smartTag>
      <w:r>
        <w:rPr>
          <w:b/>
          <w:sz w:val="36"/>
          <w:szCs w:val="36"/>
        </w:rPr>
        <w:t xml:space="preserve"> </w:t>
      </w:r>
      <w:r>
        <w:rPr>
          <w:b/>
          <w:sz w:val="36"/>
        </w:rPr>
        <w:t>Renewable Energy Credit Trading Program</w:t>
      </w:r>
    </w:p>
    <w:p w14:paraId="5B6DA62F" w14:textId="77777777" w:rsidR="008C51D1" w:rsidRDefault="008C51D1" w:rsidP="008C51D1">
      <w:pPr>
        <w:jc w:val="center"/>
        <w:rPr>
          <w:b/>
          <w:sz w:val="36"/>
        </w:rPr>
      </w:pPr>
    </w:p>
    <w:p w14:paraId="188D3C6F" w14:textId="77777777" w:rsidR="008C51D1" w:rsidRDefault="008C51D1" w:rsidP="008C51D1">
      <w:pPr>
        <w:jc w:val="center"/>
        <w:rPr>
          <w:b/>
          <w:sz w:val="36"/>
          <w:szCs w:val="36"/>
        </w:rPr>
      </w:pPr>
    </w:p>
    <w:p w14:paraId="7D541C40" w14:textId="42EF2DE5" w:rsidR="008C51D1" w:rsidRDefault="002E2779" w:rsidP="008C51D1">
      <w:pPr>
        <w:pStyle w:val="BodyText"/>
        <w:jc w:val="center"/>
        <w:rPr>
          <w:b/>
        </w:rPr>
      </w:pPr>
      <w:r>
        <w:rPr>
          <w:b/>
        </w:rPr>
        <w:t>January</w:t>
      </w:r>
      <w:r w:rsidR="00ED122B">
        <w:rPr>
          <w:b/>
        </w:rPr>
        <w:t xml:space="preserve"> 1</w:t>
      </w:r>
      <w:r w:rsidR="0065114D">
        <w:rPr>
          <w:b/>
        </w:rPr>
        <w:t>, 20</w:t>
      </w:r>
      <w:r>
        <w:rPr>
          <w:b/>
        </w:rPr>
        <w:t>2</w:t>
      </w:r>
      <w:r w:rsidR="0065114D">
        <w:rPr>
          <w:b/>
        </w:rPr>
        <w:t>1</w:t>
      </w:r>
    </w:p>
    <w:p w14:paraId="1ECCD0B8" w14:textId="77777777" w:rsidR="00B2486C" w:rsidRDefault="00B2486C">
      <w:pPr>
        <w:pStyle w:val="BodyText"/>
        <w:jc w:val="center"/>
        <w:rPr>
          <w:b/>
        </w:rPr>
      </w:pPr>
    </w:p>
    <w:p w14:paraId="326FD3EC" w14:textId="77777777" w:rsidR="00B2486C" w:rsidRDefault="00B2486C">
      <w:pPr>
        <w:pBdr>
          <w:top w:val="single" w:sz="4" w:space="25" w:color="auto"/>
        </w:pBdr>
        <w:rPr>
          <w:b/>
          <w:sz w:val="20"/>
        </w:rPr>
      </w:pPr>
    </w:p>
    <w:p w14:paraId="0721DD9A" w14:textId="77777777" w:rsidR="008B67C9" w:rsidRDefault="008B67C9">
      <w:pPr>
        <w:pStyle w:val="BodyText"/>
        <w:spacing w:before="720"/>
        <w:jc w:val="center"/>
        <w:sectPr w:rsidR="008B67C9">
          <w:footerReference w:type="even" r:id="rId8"/>
          <w:footerReference w:type="default" r:id="rId9"/>
          <w:pgSz w:w="12240" w:h="15840" w:code="1"/>
          <w:pgMar w:top="1440" w:right="1440" w:bottom="1440" w:left="1440" w:header="720" w:footer="720" w:gutter="0"/>
          <w:pgNumType w:start="1" w:chapStyle="1"/>
          <w:cols w:space="720"/>
        </w:sectPr>
      </w:pPr>
    </w:p>
    <w:p w14:paraId="393F20C2" w14:textId="77777777" w:rsidR="005A12EF" w:rsidRPr="00BB081B" w:rsidRDefault="000202B3" w:rsidP="00BB081B">
      <w:pPr>
        <w:pStyle w:val="TOC1"/>
        <w:rPr>
          <w:rFonts w:ascii="Calibri" w:hAnsi="Calibri"/>
        </w:rPr>
      </w:pPr>
      <w:r w:rsidRPr="00BB081B">
        <w:rPr>
          <w:iCs/>
          <w:sz w:val="20"/>
        </w:rPr>
        <w:lastRenderedPageBreak/>
        <w:fldChar w:fldCharType="begin"/>
      </w:r>
      <w:r w:rsidR="008B67C9" w:rsidRPr="00BB081B">
        <w:rPr>
          <w:iCs/>
          <w:sz w:val="20"/>
        </w:rPr>
        <w:instrText xml:space="preserve"> TOC \o "1-3" \h \z \u </w:instrText>
      </w:r>
      <w:r w:rsidRPr="00BB081B">
        <w:rPr>
          <w:iCs/>
          <w:sz w:val="20"/>
        </w:rPr>
        <w:fldChar w:fldCharType="separate"/>
      </w:r>
      <w:hyperlink w:anchor="_Toc440463355" w:history="1">
        <w:r w:rsidR="005A12EF" w:rsidRPr="00BB081B">
          <w:rPr>
            <w:rStyle w:val="Hyperlink"/>
          </w:rPr>
          <w:t>14</w:t>
        </w:r>
        <w:r w:rsidR="005A12EF" w:rsidRPr="00BB081B">
          <w:rPr>
            <w:rFonts w:ascii="Calibri" w:hAnsi="Calibri"/>
          </w:rPr>
          <w:tab/>
        </w:r>
        <w:r w:rsidR="005A12EF" w:rsidRPr="00BB081B">
          <w:rPr>
            <w:rStyle w:val="Hyperlink"/>
          </w:rPr>
          <w:t>State of Texas Renewable Energy Credit Trading Program</w:t>
        </w:r>
        <w:r w:rsidR="005A12EF" w:rsidRPr="00BB081B">
          <w:rPr>
            <w:webHidden/>
          </w:rPr>
          <w:tab/>
        </w:r>
        <w:r w:rsidR="005A12EF" w:rsidRPr="00BB081B">
          <w:rPr>
            <w:webHidden/>
          </w:rPr>
          <w:fldChar w:fldCharType="begin"/>
        </w:r>
        <w:r w:rsidR="005A12EF" w:rsidRPr="00BB081B">
          <w:rPr>
            <w:webHidden/>
          </w:rPr>
          <w:instrText xml:space="preserve"> PAGEREF _Toc440463355 \h </w:instrText>
        </w:r>
        <w:r w:rsidR="005A12EF" w:rsidRPr="00BB081B">
          <w:rPr>
            <w:webHidden/>
          </w:rPr>
        </w:r>
        <w:r w:rsidR="005A12EF" w:rsidRPr="00BB081B">
          <w:rPr>
            <w:webHidden/>
          </w:rPr>
          <w:fldChar w:fldCharType="separate"/>
        </w:r>
        <w:r w:rsidR="005E7F2E">
          <w:rPr>
            <w:webHidden/>
          </w:rPr>
          <w:t>14-1</w:t>
        </w:r>
        <w:r w:rsidR="005A12EF" w:rsidRPr="00BB081B">
          <w:rPr>
            <w:webHidden/>
          </w:rPr>
          <w:fldChar w:fldCharType="end"/>
        </w:r>
      </w:hyperlink>
    </w:p>
    <w:p w14:paraId="45D874B7" w14:textId="77777777" w:rsidR="005A12EF" w:rsidRPr="00BB081B" w:rsidRDefault="005E7F2E">
      <w:pPr>
        <w:pStyle w:val="TOC2"/>
        <w:rPr>
          <w:rFonts w:ascii="Calibri" w:hAnsi="Calibri"/>
        </w:rPr>
      </w:pPr>
      <w:hyperlink w:anchor="_Toc440463356" w:history="1">
        <w:r w:rsidR="005A12EF" w:rsidRPr="00BB081B">
          <w:rPr>
            <w:rStyle w:val="Hyperlink"/>
          </w:rPr>
          <w:t>14.1</w:t>
        </w:r>
        <w:r w:rsidR="005A12EF" w:rsidRPr="00BB081B">
          <w:rPr>
            <w:rFonts w:ascii="Calibri" w:hAnsi="Calibri"/>
          </w:rPr>
          <w:tab/>
        </w:r>
        <w:r w:rsidR="005A12EF" w:rsidRPr="00BB081B">
          <w:rPr>
            <w:rStyle w:val="Hyperlink"/>
          </w:rPr>
          <w:t>Overview</w:t>
        </w:r>
        <w:r w:rsidR="005A12EF" w:rsidRPr="00BB081B">
          <w:rPr>
            <w:webHidden/>
          </w:rPr>
          <w:tab/>
        </w:r>
        <w:r w:rsidR="005A12EF" w:rsidRPr="00BB081B">
          <w:rPr>
            <w:webHidden/>
          </w:rPr>
          <w:fldChar w:fldCharType="begin"/>
        </w:r>
        <w:r w:rsidR="005A12EF" w:rsidRPr="00BB081B">
          <w:rPr>
            <w:webHidden/>
          </w:rPr>
          <w:instrText xml:space="preserve"> PAGEREF _Toc440463356 \h </w:instrText>
        </w:r>
        <w:r w:rsidR="005A12EF" w:rsidRPr="00BB081B">
          <w:rPr>
            <w:webHidden/>
          </w:rPr>
        </w:r>
        <w:r w:rsidR="005A12EF" w:rsidRPr="00BB081B">
          <w:rPr>
            <w:webHidden/>
          </w:rPr>
          <w:fldChar w:fldCharType="separate"/>
        </w:r>
        <w:r>
          <w:rPr>
            <w:webHidden/>
          </w:rPr>
          <w:t>14-1</w:t>
        </w:r>
        <w:r w:rsidR="005A12EF" w:rsidRPr="00BB081B">
          <w:rPr>
            <w:webHidden/>
          </w:rPr>
          <w:fldChar w:fldCharType="end"/>
        </w:r>
      </w:hyperlink>
    </w:p>
    <w:p w14:paraId="1C0259D6" w14:textId="77777777" w:rsidR="005A12EF" w:rsidRPr="00BB081B" w:rsidRDefault="005E7F2E">
      <w:pPr>
        <w:pStyle w:val="TOC2"/>
        <w:rPr>
          <w:rFonts w:ascii="Calibri" w:hAnsi="Calibri"/>
        </w:rPr>
      </w:pPr>
      <w:hyperlink w:anchor="_Toc440463357" w:history="1">
        <w:r w:rsidR="005A12EF" w:rsidRPr="00BB081B">
          <w:rPr>
            <w:rStyle w:val="Hyperlink"/>
          </w:rPr>
          <w:t>14.2</w:t>
        </w:r>
        <w:r w:rsidR="005A12EF" w:rsidRPr="00BB081B">
          <w:rPr>
            <w:rFonts w:ascii="Calibri" w:hAnsi="Calibri"/>
          </w:rPr>
          <w:tab/>
        </w:r>
        <w:r w:rsidR="005A12EF" w:rsidRPr="00BB081B">
          <w:rPr>
            <w:rStyle w:val="Hyperlink"/>
          </w:rPr>
          <w:t>Duties of ERCOT</w:t>
        </w:r>
        <w:r w:rsidR="005A12EF" w:rsidRPr="00BB081B">
          <w:rPr>
            <w:webHidden/>
          </w:rPr>
          <w:tab/>
        </w:r>
        <w:r w:rsidR="005A12EF" w:rsidRPr="00BB081B">
          <w:rPr>
            <w:webHidden/>
          </w:rPr>
          <w:fldChar w:fldCharType="begin"/>
        </w:r>
        <w:r w:rsidR="005A12EF" w:rsidRPr="00BB081B">
          <w:rPr>
            <w:webHidden/>
          </w:rPr>
          <w:instrText xml:space="preserve"> PAGEREF _Toc440463357 \h </w:instrText>
        </w:r>
        <w:r w:rsidR="005A12EF" w:rsidRPr="00BB081B">
          <w:rPr>
            <w:webHidden/>
          </w:rPr>
        </w:r>
        <w:r w:rsidR="005A12EF" w:rsidRPr="00BB081B">
          <w:rPr>
            <w:webHidden/>
          </w:rPr>
          <w:fldChar w:fldCharType="separate"/>
        </w:r>
        <w:r>
          <w:rPr>
            <w:webHidden/>
          </w:rPr>
          <w:t>14-1</w:t>
        </w:r>
        <w:r w:rsidR="005A12EF" w:rsidRPr="00BB081B">
          <w:rPr>
            <w:webHidden/>
          </w:rPr>
          <w:fldChar w:fldCharType="end"/>
        </w:r>
      </w:hyperlink>
    </w:p>
    <w:p w14:paraId="213D39EA" w14:textId="77777777" w:rsidR="005A12EF" w:rsidRPr="00BB081B" w:rsidRDefault="005E7F2E">
      <w:pPr>
        <w:pStyle w:val="TOC3"/>
        <w:rPr>
          <w:rFonts w:ascii="Calibri" w:hAnsi="Calibri"/>
          <w:bCs w:val="0"/>
          <w:i w:val="0"/>
          <w:iCs w:val="0"/>
        </w:rPr>
      </w:pPr>
      <w:hyperlink w:anchor="_Toc440463358" w:history="1">
        <w:r w:rsidR="005A12EF" w:rsidRPr="00BB081B">
          <w:rPr>
            <w:rStyle w:val="Hyperlink"/>
            <w:i w:val="0"/>
          </w:rPr>
          <w:t>14.2.1</w:t>
        </w:r>
        <w:r w:rsidR="005A12EF" w:rsidRPr="00BB081B">
          <w:rPr>
            <w:rFonts w:ascii="Calibri" w:hAnsi="Calibri"/>
            <w:bCs w:val="0"/>
            <w:i w:val="0"/>
            <w:iCs w:val="0"/>
          </w:rPr>
          <w:tab/>
        </w:r>
        <w:r w:rsidR="005A12EF" w:rsidRPr="00BB081B">
          <w:rPr>
            <w:rStyle w:val="Hyperlink"/>
            <w:i w:val="0"/>
          </w:rPr>
          <w:t>Site Visits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_Toc440463358 \h </w:instrText>
        </w:r>
        <w:r w:rsidR="005A12EF" w:rsidRPr="00BB081B">
          <w:rPr>
            <w:i w:val="0"/>
            <w:webHidden/>
          </w:rPr>
        </w:r>
        <w:r w:rsidR="005A12EF" w:rsidRPr="00BB081B">
          <w:rPr>
            <w:i w:val="0"/>
            <w:webHidden/>
          </w:rPr>
          <w:fldChar w:fldCharType="separate"/>
        </w:r>
        <w:r>
          <w:rPr>
            <w:i w:val="0"/>
            <w:webHidden/>
          </w:rPr>
          <w:t>14-3</w:t>
        </w:r>
        <w:r w:rsidR="005A12EF" w:rsidRPr="00BB081B">
          <w:rPr>
            <w:i w:val="0"/>
            <w:webHidden/>
          </w:rPr>
          <w:fldChar w:fldCharType="end"/>
        </w:r>
      </w:hyperlink>
    </w:p>
    <w:p w14:paraId="44E39150" w14:textId="77777777" w:rsidR="005A12EF" w:rsidRPr="00BB081B" w:rsidRDefault="005E7F2E">
      <w:pPr>
        <w:pStyle w:val="TOC2"/>
        <w:rPr>
          <w:rFonts w:ascii="Calibri" w:hAnsi="Calibri"/>
        </w:rPr>
      </w:pPr>
      <w:hyperlink w:anchor="_Toc440463359" w:history="1">
        <w:r w:rsidR="005A12EF" w:rsidRPr="00BB081B">
          <w:rPr>
            <w:rStyle w:val="Hyperlink"/>
          </w:rPr>
          <w:t>14.3</w:t>
        </w:r>
        <w:r w:rsidR="005A12EF" w:rsidRPr="00BB081B">
          <w:rPr>
            <w:rFonts w:ascii="Calibri" w:hAnsi="Calibri"/>
          </w:rPr>
          <w:tab/>
        </w:r>
        <w:r w:rsidR="005A12EF" w:rsidRPr="00BB081B">
          <w:rPr>
            <w:rStyle w:val="Hyperlink"/>
          </w:rPr>
          <w:t>Creation of Renewable Energy Credit Accounts and Attributes of Renewable Energy Credits</w:t>
        </w:r>
        <w:r w:rsidR="005A12EF" w:rsidRPr="00BB081B">
          <w:rPr>
            <w:webHidden/>
          </w:rPr>
          <w:tab/>
        </w:r>
        <w:r w:rsidR="005A12EF" w:rsidRPr="00BB081B">
          <w:rPr>
            <w:webHidden/>
          </w:rPr>
          <w:fldChar w:fldCharType="begin"/>
        </w:r>
        <w:r w:rsidR="005A12EF" w:rsidRPr="00BB081B">
          <w:rPr>
            <w:webHidden/>
          </w:rPr>
          <w:instrText xml:space="preserve"> PAGEREF _Toc440463359 \h </w:instrText>
        </w:r>
        <w:r w:rsidR="005A12EF" w:rsidRPr="00BB081B">
          <w:rPr>
            <w:webHidden/>
          </w:rPr>
        </w:r>
        <w:r w:rsidR="005A12EF" w:rsidRPr="00BB081B">
          <w:rPr>
            <w:webHidden/>
          </w:rPr>
          <w:fldChar w:fldCharType="separate"/>
        </w:r>
        <w:r>
          <w:rPr>
            <w:webHidden/>
          </w:rPr>
          <w:t>14-3</w:t>
        </w:r>
        <w:r w:rsidR="005A12EF" w:rsidRPr="00BB081B">
          <w:rPr>
            <w:webHidden/>
          </w:rPr>
          <w:fldChar w:fldCharType="end"/>
        </w:r>
      </w:hyperlink>
    </w:p>
    <w:p w14:paraId="694A7297" w14:textId="77777777" w:rsidR="005A12EF" w:rsidRPr="00BB081B" w:rsidRDefault="005E7F2E">
      <w:pPr>
        <w:pStyle w:val="TOC3"/>
        <w:rPr>
          <w:rFonts w:ascii="Calibri" w:hAnsi="Calibri"/>
          <w:bCs w:val="0"/>
          <w:i w:val="0"/>
          <w:iCs w:val="0"/>
        </w:rPr>
      </w:pPr>
      <w:hyperlink w:anchor="_Toc440463360" w:history="1">
        <w:r w:rsidR="005A12EF" w:rsidRPr="00BB081B">
          <w:rPr>
            <w:rStyle w:val="Hyperlink"/>
            <w:i w:val="0"/>
          </w:rPr>
          <w:t>14.3.1</w:t>
        </w:r>
        <w:r w:rsidR="005A12EF" w:rsidRPr="00BB081B">
          <w:rPr>
            <w:rFonts w:ascii="Calibri" w:hAnsi="Calibri"/>
            <w:bCs w:val="0"/>
            <w:i w:val="0"/>
            <w:iCs w:val="0"/>
          </w:rPr>
          <w:tab/>
        </w:r>
        <w:r w:rsidR="005A12EF" w:rsidRPr="00BB081B">
          <w:rPr>
            <w:rStyle w:val="Hyperlink"/>
            <w:i w:val="0"/>
          </w:rPr>
          <w:t>Creation of Renewable Energy Credit Accounts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_Toc440463360 \h </w:instrText>
        </w:r>
        <w:r w:rsidR="005A12EF" w:rsidRPr="00BB081B">
          <w:rPr>
            <w:i w:val="0"/>
            <w:webHidden/>
          </w:rPr>
        </w:r>
        <w:r w:rsidR="005A12EF" w:rsidRPr="00BB081B">
          <w:rPr>
            <w:i w:val="0"/>
            <w:webHidden/>
          </w:rPr>
          <w:fldChar w:fldCharType="separate"/>
        </w:r>
        <w:r>
          <w:rPr>
            <w:i w:val="0"/>
            <w:webHidden/>
          </w:rPr>
          <w:t>14-3</w:t>
        </w:r>
        <w:r w:rsidR="005A12EF" w:rsidRPr="00BB081B">
          <w:rPr>
            <w:i w:val="0"/>
            <w:webHidden/>
          </w:rPr>
          <w:fldChar w:fldCharType="end"/>
        </w:r>
      </w:hyperlink>
    </w:p>
    <w:p w14:paraId="681B0476" w14:textId="77777777" w:rsidR="005A12EF" w:rsidRPr="00BB081B" w:rsidRDefault="005E7F2E">
      <w:pPr>
        <w:pStyle w:val="TOC3"/>
        <w:rPr>
          <w:rFonts w:ascii="Calibri" w:hAnsi="Calibri"/>
          <w:bCs w:val="0"/>
          <w:i w:val="0"/>
          <w:iCs w:val="0"/>
        </w:rPr>
      </w:pPr>
      <w:hyperlink w:anchor="_Toc440463361" w:history="1">
        <w:r w:rsidR="005A12EF" w:rsidRPr="00BB081B">
          <w:rPr>
            <w:rStyle w:val="Hyperlink"/>
            <w:i w:val="0"/>
          </w:rPr>
          <w:t>14.3.2</w:t>
        </w:r>
        <w:r w:rsidR="005A12EF" w:rsidRPr="00BB081B">
          <w:rPr>
            <w:rFonts w:ascii="Calibri" w:hAnsi="Calibri"/>
            <w:bCs w:val="0"/>
            <w:i w:val="0"/>
            <w:iCs w:val="0"/>
          </w:rPr>
          <w:tab/>
        </w:r>
        <w:r w:rsidR="005A12EF" w:rsidRPr="00BB081B">
          <w:rPr>
            <w:rStyle w:val="Hyperlink"/>
            <w:i w:val="0"/>
          </w:rPr>
          <w:t>Attributes of Renewable Energy Credits and Compliance Premiums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_Toc440463361 \h </w:instrText>
        </w:r>
        <w:r w:rsidR="005A12EF" w:rsidRPr="00BB081B">
          <w:rPr>
            <w:i w:val="0"/>
            <w:webHidden/>
          </w:rPr>
        </w:r>
        <w:r w:rsidR="005A12EF" w:rsidRPr="00BB081B">
          <w:rPr>
            <w:i w:val="0"/>
            <w:webHidden/>
          </w:rPr>
          <w:fldChar w:fldCharType="separate"/>
        </w:r>
        <w:r>
          <w:rPr>
            <w:i w:val="0"/>
            <w:webHidden/>
          </w:rPr>
          <w:t>14-3</w:t>
        </w:r>
        <w:r w:rsidR="005A12EF" w:rsidRPr="00BB081B">
          <w:rPr>
            <w:i w:val="0"/>
            <w:webHidden/>
          </w:rPr>
          <w:fldChar w:fldCharType="end"/>
        </w:r>
      </w:hyperlink>
    </w:p>
    <w:p w14:paraId="6F871B80" w14:textId="77777777" w:rsidR="005A12EF" w:rsidRPr="00BB081B" w:rsidRDefault="005E7F2E">
      <w:pPr>
        <w:pStyle w:val="TOC2"/>
        <w:rPr>
          <w:rFonts w:ascii="Calibri" w:hAnsi="Calibri"/>
        </w:rPr>
      </w:pPr>
      <w:hyperlink w:anchor="_Toc440463362" w:history="1">
        <w:r w:rsidR="005A12EF" w:rsidRPr="00BB081B">
          <w:rPr>
            <w:rStyle w:val="Hyperlink"/>
          </w:rPr>
          <w:t>14.4</w:t>
        </w:r>
        <w:r w:rsidR="005A12EF" w:rsidRPr="00BB081B">
          <w:rPr>
            <w:rFonts w:ascii="Calibri" w:hAnsi="Calibri"/>
          </w:rPr>
          <w:tab/>
        </w:r>
        <w:r w:rsidR="005A12EF" w:rsidRPr="00BB081B">
          <w:rPr>
            <w:rStyle w:val="Hyperlink"/>
          </w:rPr>
          <w:t>Registration to Become a Renewable Energy Credit Generator or Renewable Energy Credit Aggregator</w:t>
        </w:r>
        <w:r w:rsidR="005A12EF" w:rsidRPr="00BB081B">
          <w:rPr>
            <w:webHidden/>
          </w:rPr>
          <w:tab/>
        </w:r>
        <w:r w:rsidR="005A12EF" w:rsidRPr="00BB081B">
          <w:rPr>
            <w:webHidden/>
          </w:rPr>
          <w:fldChar w:fldCharType="begin"/>
        </w:r>
        <w:r w:rsidR="005A12EF" w:rsidRPr="00BB081B">
          <w:rPr>
            <w:webHidden/>
          </w:rPr>
          <w:instrText xml:space="preserve"> PAGEREF _Toc440463362 \h </w:instrText>
        </w:r>
        <w:r w:rsidR="005A12EF" w:rsidRPr="00BB081B">
          <w:rPr>
            <w:webHidden/>
          </w:rPr>
        </w:r>
        <w:r w:rsidR="005A12EF" w:rsidRPr="00BB081B">
          <w:rPr>
            <w:webHidden/>
          </w:rPr>
          <w:fldChar w:fldCharType="separate"/>
        </w:r>
        <w:r>
          <w:rPr>
            <w:webHidden/>
          </w:rPr>
          <w:t>14-4</w:t>
        </w:r>
        <w:r w:rsidR="005A12EF" w:rsidRPr="00BB081B">
          <w:rPr>
            <w:webHidden/>
          </w:rPr>
          <w:fldChar w:fldCharType="end"/>
        </w:r>
      </w:hyperlink>
    </w:p>
    <w:p w14:paraId="2D36E846" w14:textId="77777777" w:rsidR="005A12EF" w:rsidRPr="00BB081B" w:rsidRDefault="005E7F2E">
      <w:pPr>
        <w:pStyle w:val="TOC2"/>
        <w:rPr>
          <w:rFonts w:ascii="Calibri" w:hAnsi="Calibri"/>
        </w:rPr>
      </w:pPr>
      <w:hyperlink w:anchor="_Toc440463363" w:history="1">
        <w:r w:rsidR="005A12EF" w:rsidRPr="00BB081B">
          <w:rPr>
            <w:rStyle w:val="Hyperlink"/>
          </w:rPr>
          <w:t>14.5</w:t>
        </w:r>
        <w:r w:rsidR="005A12EF" w:rsidRPr="00BB081B">
          <w:rPr>
            <w:rFonts w:ascii="Calibri" w:hAnsi="Calibri"/>
          </w:rPr>
          <w:tab/>
        </w:r>
        <w:r w:rsidR="005A12EF" w:rsidRPr="00BB081B">
          <w:rPr>
            <w:rStyle w:val="Hyperlink"/>
          </w:rPr>
          <w:t>Reporting Requirements</w:t>
        </w:r>
        <w:r w:rsidR="005A12EF" w:rsidRPr="00BB081B">
          <w:rPr>
            <w:webHidden/>
          </w:rPr>
          <w:tab/>
        </w:r>
        <w:r w:rsidR="005A12EF" w:rsidRPr="00BB081B">
          <w:rPr>
            <w:webHidden/>
          </w:rPr>
          <w:fldChar w:fldCharType="begin"/>
        </w:r>
        <w:r w:rsidR="005A12EF" w:rsidRPr="00BB081B">
          <w:rPr>
            <w:webHidden/>
          </w:rPr>
          <w:instrText xml:space="preserve"> PAGEREF _Toc440463363 \h </w:instrText>
        </w:r>
        <w:r w:rsidR="005A12EF" w:rsidRPr="00BB081B">
          <w:rPr>
            <w:webHidden/>
          </w:rPr>
        </w:r>
        <w:r w:rsidR="005A12EF" w:rsidRPr="00BB081B">
          <w:rPr>
            <w:webHidden/>
          </w:rPr>
          <w:fldChar w:fldCharType="separate"/>
        </w:r>
        <w:r>
          <w:rPr>
            <w:webHidden/>
          </w:rPr>
          <w:t>14-5</w:t>
        </w:r>
        <w:r w:rsidR="005A12EF" w:rsidRPr="00BB081B">
          <w:rPr>
            <w:webHidden/>
          </w:rPr>
          <w:fldChar w:fldCharType="end"/>
        </w:r>
      </w:hyperlink>
    </w:p>
    <w:p w14:paraId="2E799920" w14:textId="77777777" w:rsidR="005A12EF" w:rsidRPr="00BB081B" w:rsidRDefault="005E7F2E">
      <w:pPr>
        <w:pStyle w:val="TOC3"/>
        <w:rPr>
          <w:rFonts w:ascii="Calibri" w:hAnsi="Calibri"/>
          <w:bCs w:val="0"/>
          <w:i w:val="0"/>
          <w:iCs w:val="0"/>
        </w:rPr>
      </w:pPr>
      <w:hyperlink w:anchor="_Toc440463364" w:history="1">
        <w:r w:rsidR="005A12EF" w:rsidRPr="00BB081B">
          <w:rPr>
            <w:rStyle w:val="Hyperlink"/>
            <w:i w:val="0"/>
          </w:rPr>
          <w:t>14.5.1</w:t>
        </w:r>
        <w:r w:rsidR="005A12EF" w:rsidRPr="00BB081B">
          <w:rPr>
            <w:rFonts w:ascii="Calibri" w:hAnsi="Calibri"/>
            <w:bCs w:val="0"/>
            <w:i w:val="0"/>
            <w:iCs w:val="0"/>
          </w:rPr>
          <w:tab/>
        </w:r>
        <w:r w:rsidR="005A12EF" w:rsidRPr="00BB081B">
          <w:rPr>
            <w:rStyle w:val="Hyperlink"/>
            <w:i w:val="0"/>
          </w:rPr>
          <w:t>Renewable Energy Credit Generators and Renewable Energy Credit Offset Generators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_Toc440463364 \h </w:instrText>
        </w:r>
        <w:r w:rsidR="005A12EF" w:rsidRPr="00BB081B">
          <w:rPr>
            <w:i w:val="0"/>
            <w:webHidden/>
          </w:rPr>
        </w:r>
        <w:r w:rsidR="005A12EF" w:rsidRPr="00BB081B">
          <w:rPr>
            <w:i w:val="0"/>
            <w:webHidden/>
          </w:rPr>
          <w:fldChar w:fldCharType="separate"/>
        </w:r>
        <w:r>
          <w:rPr>
            <w:i w:val="0"/>
            <w:webHidden/>
          </w:rPr>
          <w:t>14-5</w:t>
        </w:r>
        <w:r w:rsidR="005A12EF" w:rsidRPr="00BB081B">
          <w:rPr>
            <w:i w:val="0"/>
            <w:webHidden/>
          </w:rPr>
          <w:fldChar w:fldCharType="end"/>
        </w:r>
      </w:hyperlink>
    </w:p>
    <w:p w14:paraId="09F43659" w14:textId="77777777" w:rsidR="005A12EF" w:rsidRPr="00BB081B" w:rsidRDefault="005E7F2E">
      <w:pPr>
        <w:pStyle w:val="TOC3"/>
        <w:rPr>
          <w:rFonts w:ascii="Calibri" w:hAnsi="Calibri"/>
          <w:bCs w:val="0"/>
          <w:i w:val="0"/>
          <w:iCs w:val="0"/>
        </w:rPr>
      </w:pPr>
      <w:hyperlink w:anchor="_Toc440463365" w:history="1">
        <w:r w:rsidR="005A12EF" w:rsidRPr="00BB081B">
          <w:rPr>
            <w:rStyle w:val="Hyperlink"/>
            <w:i w:val="0"/>
          </w:rPr>
          <w:t>14.5.2</w:t>
        </w:r>
        <w:r w:rsidR="005A12EF" w:rsidRPr="00BB081B">
          <w:rPr>
            <w:rFonts w:ascii="Calibri" w:hAnsi="Calibri"/>
            <w:bCs w:val="0"/>
            <w:i w:val="0"/>
            <w:iCs w:val="0"/>
          </w:rPr>
          <w:tab/>
        </w:r>
        <w:r w:rsidR="005A12EF" w:rsidRPr="00BB081B">
          <w:rPr>
            <w:rStyle w:val="Hyperlink"/>
            <w:i w:val="0"/>
          </w:rPr>
          <w:t>Retail Entities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_Toc440463365 \h </w:instrText>
        </w:r>
        <w:r w:rsidR="005A12EF" w:rsidRPr="00BB081B">
          <w:rPr>
            <w:i w:val="0"/>
            <w:webHidden/>
          </w:rPr>
        </w:r>
        <w:r w:rsidR="005A12EF" w:rsidRPr="00BB081B">
          <w:rPr>
            <w:i w:val="0"/>
            <w:webHidden/>
          </w:rPr>
          <w:fldChar w:fldCharType="separate"/>
        </w:r>
        <w:r>
          <w:rPr>
            <w:i w:val="0"/>
            <w:webHidden/>
          </w:rPr>
          <w:t>14-6</w:t>
        </w:r>
        <w:r w:rsidR="005A12EF" w:rsidRPr="00BB081B">
          <w:rPr>
            <w:i w:val="0"/>
            <w:webHidden/>
          </w:rPr>
          <w:fldChar w:fldCharType="end"/>
        </w:r>
      </w:hyperlink>
    </w:p>
    <w:p w14:paraId="78D5A003" w14:textId="77777777" w:rsidR="005A12EF" w:rsidRPr="00BB081B" w:rsidRDefault="005E7F2E">
      <w:pPr>
        <w:pStyle w:val="TOC3"/>
        <w:rPr>
          <w:rFonts w:ascii="Calibri" w:hAnsi="Calibri"/>
          <w:bCs w:val="0"/>
          <w:i w:val="0"/>
          <w:iCs w:val="0"/>
        </w:rPr>
      </w:pPr>
      <w:hyperlink w:anchor="_Toc440463366" w:history="1">
        <w:r w:rsidR="005A12EF" w:rsidRPr="00BB081B">
          <w:rPr>
            <w:rStyle w:val="Hyperlink"/>
            <w:i w:val="0"/>
          </w:rPr>
          <w:t>14.5.3</w:t>
        </w:r>
        <w:r w:rsidR="005A12EF" w:rsidRPr="00BB081B">
          <w:rPr>
            <w:rFonts w:ascii="Calibri" w:hAnsi="Calibri"/>
            <w:bCs w:val="0"/>
            <w:i w:val="0"/>
            <w:iCs w:val="0"/>
          </w:rPr>
          <w:tab/>
        </w:r>
        <w:r w:rsidR="005A12EF" w:rsidRPr="00BB081B">
          <w:rPr>
            <w:rStyle w:val="Hyperlink"/>
            <w:i w:val="0"/>
          </w:rPr>
          <w:t>End-Use Customers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_Toc440463366 \h </w:instrText>
        </w:r>
        <w:r w:rsidR="005A12EF" w:rsidRPr="00BB081B">
          <w:rPr>
            <w:i w:val="0"/>
            <w:webHidden/>
          </w:rPr>
        </w:r>
        <w:r w:rsidR="005A12EF" w:rsidRPr="00BB081B">
          <w:rPr>
            <w:i w:val="0"/>
            <w:webHidden/>
          </w:rPr>
          <w:fldChar w:fldCharType="separate"/>
        </w:r>
        <w:r>
          <w:rPr>
            <w:i w:val="0"/>
            <w:webHidden/>
          </w:rPr>
          <w:t>14-7</w:t>
        </w:r>
        <w:r w:rsidR="005A12EF" w:rsidRPr="00BB081B">
          <w:rPr>
            <w:i w:val="0"/>
            <w:webHidden/>
          </w:rPr>
          <w:fldChar w:fldCharType="end"/>
        </w:r>
      </w:hyperlink>
    </w:p>
    <w:p w14:paraId="36688F52" w14:textId="77777777" w:rsidR="005A12EF" w:rsidRPr="00BB081B" w:rsidRDefault="005E7F2E">
      <w:pPr>
        <w:pStyle w:val="TOC2"/>
        <w:rPr>
          <w:rFonts w:ascii="Calibri" w:hAnsi="Calibri"/>
        </w:rPr>
      </w:pPr>
      <w:hyperlink w:anchor="_Toc440463367" w:history="1">
        <w:r w:rsidR="005A12EF" w:rsidRPr="00BB081B">
          <w:rPr>
            <w:rStyle w:val="Hyperlink"/>
          </w:rPr>
          <w:t>14.6</w:t>
        </w:r>
        <w:r w:rsidR="005A12EF" w:rsidRPr="00BB081B">
          <w:rPr>
            <w:rFonts w:ascii="Calibri" w:hAnsi="Calibri"/>
          </w:rPr>
          <w:tab/>
        </w:r>
        <w:r w:rsidR="005A12EF" w:rsidRPr="00BB081B">
          <w:rPr>
            <w:rStyle w:val="Hyperlink"/>
          </w:rPr>
          <w:t>Awarding of Renewable Energy Credits</w:t>
        </w:r>
        <w:r w:rsidR="005A12EF" w:rsidRPr="00BB081B">
          <w:rPr>
            <w:webHidden/>
          </w:rPr>
          <w:tab/>
        </w:r>
        <w:r w:rsidR="005A12EF" w:rsidRPr="00BB081B">
          <w:rPr>
            <w:webHidden/>
          </w:rPr>
          <w:fldChar w:fldCharType="begin"/>
        </w:r>
        <w:r w:rsidR="005A12EF" w:rsidRPr="00BB081B">
          <w:rPr>
            <w:webHidden/>
          </w:rPr>
          <w:instrText xml:space="preserve"> PAGEREF _Toc440463367 \h </w:instrText>
        </w:r>
        <w:r w:rsidR="005A12EF" w:rsidRPr="00BB081B">
          <w:rPr>
            <w:webHidden/>
          </w:rPr>
        </w:r>
        <w:r w:rsidR="005A12EF" w:rsidRPr="00BB081B">
          <w:rPr>
            <w:webHidden/>
          </w:rPr>
          <w:fldChar w:fldCharType="separate"/>
        </w:r>
        <w:r>
          <w:rPr>
            <w:webHidden/>
          </w:rPr>
          <w:t>14-7</w:t>
        </w:r>
        <w:r w:rsidR="005A12EF" w:rsidRPr="00BB081B">
          <w:rPr>
            <w:webHidden/>
          </w:rPr>
          <w:fldChar w:fldCharType="end"/>
        </w:r>
      </w:hyperlink>
    </w:p>
    <w:p w14:paraId="644F1CEC" w14:textId="77777777" w:rsidR="005A12EF" w:rsidRPr="00BB081B" w:rsidRDefault="005E7F2E">
      <w:pPr>
        <w:pStyle w:val="TOC3"/>
        <w:rPr>
          <w:rFonts w:ascii="Calibri" w:hAnsi="Calibri"/>
          <w:bCs w:val="0"/>
          <w:i w:val="0"/>
          <w:iCs w:val="0"/>
        </w:rPr>
      </w:pPr>
      <w:hyperlink w:anchor="_Toc440463368" w:history="1">
        <w:r w:rsidR="005A12EF" w:rsidRPr="00BB081B">
          <w:rPr>
            <w:rStyle w:val="Hyperlink"/>
            <w:i w:val="0"/>
          </w:rPr>
          <w:t xml:space="preserve">14.6.1 </w:t>
        </w:r>
        <w:r w:rsidR="005A12EF" w:rsidRPr="00BB081B">
          <w:rPr>
            <w:rFonts w:ascii="Calibri" w:hAnsi="Calibri"/>
            <w:bCs w:val="0"/>
            <w:i w:val="0"/>
            <w:iCs w:val="0"/>
          </w:rPr>
          <w:tab/>
        </w:r>
        <w:r w:rsidR="005A12EF" w:rsidRPr="00BB081B">
          <w:rPr>
            <w:rStyle w:val="Hyperlink"/>
            <w:i w:val="0"/>
          </w:rPr>
          <w:t>Adjustments to Renewable Energy Credit Award Calculations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_Toc440463368 \h </w:instrText>
        </w:r>
        <w:r w:rsidR="005A12EF" w:rsidRPr="00BB081B">
          <w:rPr>
            <w:i w:val="0"/>
            <w:webHidden/>
          </w:rPr>
        </w:r>
        <w:r w:rsidR="005A12EF" w:rsidRPr="00BB081B">
          <w:rPr>
            <w:i w:val="0"/>
            <w:webHidden/>
          </w:rPr>
          <w:fldChar w:fldCharType="separate"/>
        </w:r>
        <w:r>
          <w:rPr>
            <w:i w:val="0"/>
            <w:webHidden/>
          </w:rPr>
          <w:t>14-7</w:t>
        </w:r>
        <w:r w:rsidR="005A12EF" w:rsidRPr="00BB081B">
          <w:rPr>
            <w:i w:val="0"/>
            <w:webHidden/>
          </w:rPr>
          <w:fldChar w:fldCharType="end"/>
        </w:r>
      </w:hyperlink>
    </w:p>
    <w:p w14:paraId="4A15654C" w14:textId="77777777" w:rsidR="005A12EF" w:rsidRPr="00BB081B" w:rsidRDefault="005E7F2E">
      <w:pPr>
        <w:pStyle w:val="TOC3"/>
        <w:rPr>
          <w:rFonts w:ascii="Calibri" w:hAnsi="Calibri"/>
          <w:bCs w:val="0"/>
          <w:i w:val="0"/>
          <w:iCs w:val="0"/>
        </w:rPr>
      </w:pPr>
      <w:hyperlink w:anchor="_Toc440463369" w:history="1">
        <w:r w:rsidR="005A12EF" w:rsidRPr="00BB081B">
          <w:rPr>
            <w:rStyle w:val="Hyperlink"/>
            <w:i w:val="0"/>
          </w:rPr>
          <w:t>14.6.2</w:t>
        </w:r>
        <w:r w:rsidR="005A12EF" w:rsidRPr="00BB081B">
          <w:rPr>
            <w:rFonts w:ascii="Calibri" w:hAnsi="Calibri"/>
            <w:bCs w:val="0"/>
            <w:i w:val="0"/>
            <w:iCs w:val="0"/>
          </w:rPr>
          <w:tab/>
        </w:r>
        <w:r w:rsidR="005A12EF" w:rsidRPr="00BB081B">
          <w:rPr>
            <w:rStyle w:val="Hyperlink"/>
            <w:i w:val="0"/>
          </w:rPr>
          <w:t>Awarding of Compliance Premiums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_Toc440463369 \h </w:instrText>
        </w:r>
        <w:r w:rsidR="005A12EF" w:rsidRPr="00BB081B">
          <w:rPr>
            <w:i w:val="0"/>
            <w:webHidden/>
          </w:rPr>
        </w:r>
        <w:r w:rsidR="005A12EF" w:rsidRPr="00BB081B">
          <w:rPr>
            <w:i w:val="0"/>
            <w:webHidden/>
          </w:rPr>
          <w:fldChar w:fldCharType="separate"/>
        </w:r>
        <w:r>
          <w:rPr>
            <w:i w:val="0"/>
            <w:webHidden/>
          </w:rPr>
          <w:t>14-9</w:t>
        </w:r>
        <w:r w:rsidR="005A12EF" w:rsidRPr="00BB081B">
          <w:rPr>
            <w:i w:val="0"/>
            <w:webHidden/>
          </w:rPr>
          <w:fldChar w:fldCharType="end"/>
        </w:r>
      </w:hyperlink>
    </w:p>
    <w:p w14:paraId="31DBED1A" w14:textId="77777777" w:rsidR="005A12EF" w:rsidRPr="00BB081B" w:rsidRDefault="005E7F2E">
      <w:pPr>
        <w:pStyle w:val="TOC2"/>
        <w:rPr>
          <w:rFonts w:ascii="Calibri" w:hAnsi="Calibri"/>
        </w:rPr>
      </w:pPr>
      <w:hyperlink w:anchor="_Toc440463370" w:history="1">
        <w:r w:rsidR="005A12EF" w:rsidRPr="00BB081B">
          <w:rPr>
            <w:rStyle w:val="Hyperlink"/>
          </w:rPr>
          <w:t>14.7</w:t>
        </w:r>
        <w:r w:rsidR="005A12EF" w:rsidRPr="00BB081B">
          <w:rPr>
            <w:rFonts w:ascii="Calibri" w:hAnsi="Calibri"/>
          </w:rPr>
          <w:tab/>
        </w:r>
        <w:r w:rsidR="005A12EF" w:rsidRPr="00BB081B">
          <w:rPr>
            <w:rStyle w:val="Hyperlink"/>
          </w:rPr>
          <w:t>Transfer of Renewable Energy Credits or Compliance Premiums Between Parties</w:t>
        </w:r>
        <w:r w:rsidR="005A12EF" w:rsidRPr="00BB081B">
          <w:rPr>
            <w:webHidden/>
          </w:rPr>
          <w:tab/>
        </w:r>
        <w:r w:rsidR="005A12EF" w:rsidRPr="00BB081B">
          <w:rPr>
            <w:webHidden/>
          </w:rPr>
          <w:fldChar w:fldCharType="begin"/>
        </w:r>
        <w:r w:rsidR="005A12EF" w:rsidRPr="00BB081B">
          <w:rPr>
            <w:webHidden/>
          </w:rPr>
          <w:instrText xml:space="preserve"> PAGEREF _Toc440463370 \h </w:instrText>
        </w:r>
        <w:r w:rsidR="005A12EF" w:rsidRPr="00BB081B">
          <w:rPr>
            <w:webHidden/>
          </w:rPr>
        </w:r>
        <w:r w:rsidR="005A12EF" w:rsidRPr="00BB081B">
          <w:rPr>
            <w:webHidden/>
          </w:rPr>
          <w:fldChar w:fldCharType="separate"/>
        </w:r>
        <w:r>
          <w:rPr>
            <w:webHidden/>
          </w:rPr>
          <w:t>14-9</w:t>
        </w:r>
        <w:r w:rsidR="005A12EF" w:rsidRPr="00BB081B">
          <w:rPr>
            <w:webHidden/>
          </w:rPr>
          <w:fldChar w:fldCharType="end"/>
        </w:r>
      </w:hyperlink>
    </w:p>
    <w:p w14:paraId="5D23C5C7" w14:textId="77777777" w:rsidR="005A12EF" w:rsidRPr="00BB081B" w:rsidRDefault="005E7F2E">
      <w:pPr>
        <w:pStyle w:val="TOC2"/>
        <w:rPr>
          <w:rFonts w:ascii="Calibri" w:hAnsi="Calibri"/>
        </w:rPr>
      </w:pPr>
      <w:hyperlink w:anchor="_Toc440463371" w:history="1">
        <w:r w:rsidR="005A12EF" w:rsidRPr="00BB081B">
          <w:rPr>
            <w:rStyle w:val="Hyperlink"/>
          </w:rPr>
          <w:t>14.8</w:t>
        </w:r>
        <w:r w:rsidR="005A12EF" w:rsidRPr="00BB081B">
          <w:rPr>
            <w:rFonts w:ascii="Calibri" w:hAnsi="Calibri"/>
          </w:rPr>
          <w:tab/>
        </w:r>
        <w:r w:rsidR="005A12EF" w:rsidRPr="00BB081B">
          <w:rPr>
            <w:rStyle w:val="Hyperlink"/>
          </w:rPr>
          <w:t>Renewable Energy Credit Offsets</w:t>
        </w:r>
        <w:r w:rsidR="005A12EF" w:rsidRPr="00BB081B">
          <w:rPr>
            <w:webHidden/>
          </w:rPr>
          <w:tab/>
        </w:r>
        <w:r w:rsidR="005A12EF" w:rsidRPr="00BB081B">
          <w:rPr>
            <w:webHidden/>
          </w:rPr>
          <w:fldChar w:fldCharType="begin"/>
        </w:r>
        <w:r w:rsidR="005A12EF" w:rsidRPr="00BB081B">
          <w:rPr>
            <w:webHidden/>
          </w:rPr>
          <w:instrText xml:space="preserve"> PAGEREF _Toc440463371 \h </w:instrText>
        </w:r>
        <w:r w:rsidR="005A12EF" w:rsidRPr="00BB081B">
          <w:rPr>
            <w:webHidden/>
          </w:rPr>
        </w:r>
        <w:r w:rsidR="005A12EF" w:rsidRPr="00BB081B">
          <w:rPr>
            <w:webHidden/>
          </w:rPr>
          <w:fldChar w:fldCharType="separate"/>
        </w:r>
        <w:r>
          <w:rPr>
            <w:webHidden/>
          </w:rPr>
          <w:t>14-9</w:t>
        </w:r>
        <w:r w:rsidR="005A12EF" w:rsidRPr="00BB081B">
          <w:rPr>
            <w:webHidden/>
          </w:rPr>
          <w:fldChar w:fldCharType="end"/>
        </w:r>
      </w:hyperlink>
    </w:p>
    <w:p w14:paraId="40673A23" w14:textId="77777777" w:rsidR="005A12EF" w:rsidRPr="00BB081B" w:rsidRDefault="005E7F2E">
      <w:pPr>
        <w:pStyle w:val="TOC2"/>
        <w:rPr>
          <w:rFonts w:ascii="Calibri" w:hAnsi="Calibri"/>
        </w:rPr>
      </w:pPr>
      <w:hyperlink w:anchor="_Toc440463372" w:history="1">
        <w:r w:rsidR="005A12EF" w:rsidRPr="00BB081B">
          <w:rPr>
            <w:rStyle w:val="Hyperlink"/>
          </w:rPr>
          <w:t>14.9</w:t>
        </w:r>
        <w:r w:rsidR="005A12EF" w:rsidRPr="00BB081B">
          <w:rPr>
            <w:rFonts w:ascii="Calibri" w:hAnsi="Calibri"/>
          </w:rPr>
          <w:tab/>
        </w:r>
        <w:r w:rsidR="005A12EF" w:rsidRPr="00BB081B">
          <w:rPr>
            <w:rStyle w:val="Hyperlink"/>
          </w:rPr>
          <w:t>Allocation of Statewide Renewable Portfolio Standard Requirement Among Retail Entities</w:t>
        </w:r>
        <w:r w:rsidR="005A12EF" w:rsidRPr="00BB081B">
          <w:rPr>
            <w:webHidden/>
          </w:rPr>
          <w:tab/>
        </w:r>
        <w:r w:rsidR="005A12EF" w:rsidRPr="00BB081B">
          <w:rPr>
            <w:webHidden/>
          </w:rPr>
          <w:fldChar w:fldCharType="begin"/>
        </w:r>
        <w:r w:rsidR="005A12EF" w:rsidRPr="00BB081B">
          <w:rPr>
            <w:webHidden/>
          </w:rPr>
          <w:instrText xml:space="preserve"> PAGEREF _Toc440463372 \h </w:instrText>
        </w:r>
        <w:r w:rsidR="005A12EF" w:rsidRPr="00BB081B">
          <w:rPr>
            <w:webHidden/>
          </w:rPr>
        </w:r>
        <w:r w:rsidR="005A12EF" w:rsidRPr="00BB081B">
          <w:rPr>
            <w:webHidden/>
          </w:rPr>
          <w:fldChar w:fldCharType="separate"/>
        </w:r>
        <w:r>
          <w:rPr>
            <w:webHidden/>
          </w:rPr>
          <w:t>14-10</w:t>
        </w:r>
        <w:r w:rsidR="005A12EF" w:rsidRPr="00BB081B">
          <w:rPr>
            <w:webHidden/>
          </w:rPr>
          <w:fldChar w:fldCharType="end"/>
        </w:r>
      </w:hyperlink>
    </w:p>
    <w:p w14:paraId="532E1832" w14:textId="77777777" w:rsidR="005A12EF" w:rsidRPr="00BB081B" w:rsidRDefault="005E7F2E">
      <w:pPr>
        <w:pStyle w:val="TOC3"/>
        <w:rPr>
          <w:rFonts w:ascii="Calibri" w:hAnsi="Calibri"/>
          <w:bCs w:val="0"/>
          <w:i w:val="0"/>
          <w:iCs w:val="0"/>
        </w:rPr>
      </w:pPr>
      <w:hyperlink w:anchor="_Toc440463373" w:history="1">
        <w:r w:rsidR="005A12EF" w:rsidRPr="00BB081B">
          <w:rPr>
            <w:rStyle w:val="Hyperlink"/>
            <w:i w:val="0"/>
          </w:rPr>
          <w:t>14.9.1</w:t>
        </w:r>
        <w:r w:rsidR="005A12EF" w:rsidRPr="00BB081B">
          <w:rPr>
            <w:rFonts w:ascii="Calibri" w:hAnsi="Calibri"/>
            <w:bCs w:val="0"/>
            <w:i w:val="0"/>
            <w:iCs w:val="0"/>
          </w:rPr>
          <w:tab/>
        </w:r>
        <w:r w:rsidR="005A12EF" w:rsidRPr="00BB081B">
          <w:rPr>
            <w:rStyle w:val="Hyperlink"/>
            <w:i w:val="0"/>
          </w:rPr>
          <w:t>Annual Capacity Targets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_Toc440463373 \h </w:instrText>
        </w:r>
        <w:r w:rsidR="005A12EF" w:rsidRPr="00BB081B">
          <w:rPr>
            <w:i w:val="0"/>
            <w:webHidden/>
          </w:rPr>
        </w:r>
        <w:r w:rsidR="005A12EF" w:rsidRPr="00BB081B">
          <w:rPr>
            <w:i w:val="0"/>
            <w:webHidden/>
          </w:rPr>
          <w:fldChar w:fldCharType="separate"/>
        </w:r>
        <w:r>
          <w:rPr>
            <w:i w:val="0"/>
            <w:webHidden/>
          </w:rPr>
          <w:t>14-10</w:t>
        </w:r>
        <w:r w:rsidR="005A12EF" w:rsidRPr="00BB081B">
          <w:rPr>
            <w:i w:val="0"/>
            <w:webHidden/>
          </w:rPr>
          <w:fldChar w:fldCharType="end"/>
        </w:r>
      </w:hyperlink>
    </w:p>
    <w:p w14:paraId="2A631AF2" w14:textId="77777777" w:rsidR="005A12EF" w:rsidRPr="00BB081B" w:rsidRDefault="005E7F2E">
      <w:pPr>
        <w:pStyle w:val="TOC3"/>
        <w:rPr>
          <w:rFonts w:ascii="Calibri" w:hAnsi="Calibri"/>
          <w:bCs w:val="0"/>
          <w:i w:val="0"/>
          <w:iCs w:val="0"/>
        </w:rPr>
      </w:pPr>
      <w:hyperlink w:anchor="_Toc440463374" w:history="1">
        <w:r w:rsidR="005A12EF" w:rsidRPr="00BB081B">
          <w:rPr>
            <w:rStyle w:val="Hyperlink"/>
            <w:i w:val="0"/>
          </w:rPr>
          <w:t>14.9.2</w:t>
        </w:r>
        <w:r w:rsidR="005A12EF" w:rsidRPr="00BB081B">
          <w:rPr>
            <w:rFonts w:ascii="Calibri" w:hAnsi="Calibri"/>
            <w:bCs w:val="0"/>
            <w:i w:val="0"/>
            <w:iCs w:val="0"/>
          </w:rPr>
          <w:tab/>
        </w:r>
        <w:r w:rsidR="005A12EF" w:rsidRPr="00BB081B">
          <w:rPr>
            <w:rStyle w:val="Hyperlink"/>
            <w:i w:val="0"/>
          </w:rPr>
          <w:t>Capacity Conversion Factor</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_Toc440463374 \h </w:instrText>
        </w:r>
        <w:r w:rsidR="005A12EF" w:rsidRPr="00BB081B">
          <w:rPr>
            <w:i w:val="0"/>
            <w:webHidden/>
          </w:rPr>
        </w:r>
        <w:r w:rsidR="005A12EF" w:rsidRPr="00BB081B">
          <w:rPr>
            <w:i w:val="0"/>
            <w:webHidden/>
          </w:rPr>
          <w:fldChar w:fldCharType="separate"/>
        </w:r>
        <w:r>
          <w:rPr>
            <w:i w:val="0"/>
            <w:webHidden/>
          </w:rPr>
          <w:t>14-12</w:t>
        </w:r>
        <w:r w:rsidR="005A12EF" w:rsidRPr="00BB081B">
          <w:rPr>
            <w:i w:val="0"/>
            <w:webHidden/>
          </w:rPr>
          <w:fldChar w:fldCharType="end"/>
        </w:r>
      </w:hyperlink>
    </w:p>
    <w:p w14:paraId="370D7528" w14:textId="77777777" w:rsidR="005A12EF" w:rsidRPr="00BB081B" w:rsidRDefault="005E7F2E">
      <w:pPr>
        <w:pStyle w:val="TOC3"/>
        <w:rPr>
          <w:rFonts w:ascii="Calibri" w:hAnsi="Calibri"/>
          <w:bCs w:val="0"/>
          <w:i w:val="0"/>
          <w:iCs w:val="0"/>
        </w:rPr>
      </w:pPr>
      <w:hyperlink w:anchor="_Toc440463375" w:history="1">
        <w:r w:rsidR="005A12EF" w:rsidRPr="00BB081B">
          <w:rPr>
            <w:rStyle w:val="Hyperlink"/>
            <w:i w:val="0"/>
          </w:rPr>
          <w:t>14.9.3</w:t>
        </w:r>
        <w:r w:rsidR="005A12EF" w:rsidRPr="00BB081B">
          <w:rPr>
            <w:rFonts w:ascii="Calibri" w:hAnsi="Calibri"/>
            <w:bCs w:val="0"/>
            <w:i w:val="0"/>
            <w:iCs w:val="0"/>
          </w:rPr>
          <w:tab/>
        </w:r>
        <w:r w:rsidR="005A12EF" w:rsidRPr="00BB081B">
          <w:rPr>
            <w:rStyle w:val="Hyperlink"/>
            <w:i w:val="0"/>
          </w:rPr>
          <w:t>Statewide Renewable Portfolio Standard Requirement</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_Toc440463375 \h </w:instrText>
        </w:r>
        <w:r w:rsidR="005A12EF" w:rsidRPr="00BB081B">
          <w:rPr>
            <w:i w:val="0"/>
            <w:webHidden/>
          </w:rPr>
        </w:r>
        <w:r w:rsidR="005A12EF" w:rsidRPr="00BB081B">
          <w:rPr>
            <w:i w:val="0"/>
            <w:webHidden/>
          </w:rPr>
          <w:fldChar w:fldCharType="separate"/>
        </w:r>
        <w:r>
          <w:rPr>
            <w:i w:val="0"/>
            <w:webHidden/>
          </w:rPr>
          <w:t>14-13</w:t>
        </w:r>
        <w:r w:rsidR="005A12EF" w:rsidRPr="00BB081B">
          <w:rPr>
            <w:i w:val="0"/>
            <w:webHidden/>
          </w:rPr>
          <w:fldChar w:fldCharType="end"/>
        </w:r>
      </w:hyperlink>
    </w:p>
    <w:p w14:paraId="1A543EB3" w14:textId="77777777" w:rsidR="005A12EF" w:rsidRPr="00BB081B" w:rsidRDefault="005E7F2E">
      <w:pPr>
        <w:pStyle w:val="TOC3"/>
        <w:rPr>
          <w:rFonts w:ascii="Calibri" w:hAnsi="Calibri"/>
          <w:bCs w:val="0"/>
          <w:i w:val="0"/>
          <w:iCs w:val="0"/>
        </w:rPr>
      </w:pPr>
      <w:hyperlink w:anchor="_Toc440463376" w:history="1">
        <w:r w:rsidR="005A12EF" w:rsidRPr="00BB081B">
          <w:rPr>
            <w:rStyle w:val="Hyperlink"/>
            <w:i w:val="0"/>
          </w:rPr>
          <w:t>14.9.4</w:t>
        </w:r>
        <w:r w:rsidR="005A12EF" w:rsidRPr="00BB081B">
          <w:rPr>
            <w:rFonts w:ascii="Calibri" w:hAnsi="Calibri"/>
            <w:bCs w:val="0"/>
            <w:i w:val="0"/>
            <w:iCs w:val="0"/>
          </w:rPr>
          <w:tab/>
        </w:r>
        <w:r w:rsidR="005A12EF" w:rsidRPr="00BB081B">
          <w:rPr>
            <w:rStyle w:val="Hyperlink"/>
            <w:i w:val="0"/>
          </w:rPr>
          <w:t>Application of Offsets - Adjusted Renewable Portfolio Standard Requirement</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_Toc440463376 \h </w:instrText>
        </w:r>
        <w:r w:rsidR="005A12EF" w:rsidRPr="00BB081B">
          <w:rPr>
            <w:i w:val="0"/>
            <w:webHidden/>
          </w:rPr>
        </w:r>
        <w:r w:rsidR="005A12EF" w:rsidRPr="00BB081B">
          <w:rPr>
            <w:i w:val="0"/>
            <w:webHidden/>
          </w:rPr>
          <w:fldChar w:fldCharType="separate"/>
        </w:r>
        <w:r>
          <w:rPr>
            <w:i w:val="0"/>
            <w:webHidden/>
          </w:rPr>
          <w:t>14-14</w:t>
        </w:r>
        <w:r w:rsidR="005A12EF" w:rsidRPr="00BB081B">
          <w:rPr>
            <w:i w:val="0"/>
            <w:webHidden/>
          </w:rPr>
          <w:fldChar w:fldCharType="end"/>
        </w:r>
      </w:hyperlink>
    </w:p>
    <w:p w14:paraId="2CF6113A" w14:textId="77777777" w:rsidR="005A12EF" w:rsidRPr="00BB081B" w:rsidRDefault="005E7F2E">
      <w:pPr>
        <w:pStyle w:val="TOC3"/>
        <w:rPr>
          <w:rFonts w:ascii="Calibri" w:hAnsi="Calibri"/>
          <w:bCs w:val="0"/>
          <w:i w:val="0"/>
          <w:iCs w:val="0"/>
        </w:rPr>
      </w:pPr>
      <w:hyperlink w:anchor="_Toc440463377" w:history="1">
        <w:r w:rsidR="005A12EF" w:rsidRPr="00BB081B">
          <w:rPr>
            <w:rStyle w:val="Hyperlink"/>
            <w:i w:val="0"/>
          </w:rPr>
          <w:t>14.9.5</w:t>
        </w:r>
        <w:r w:rsidR="005A12EF" w:rsidRPr="00BB081B">
          <w:rPr>
            <w:rFonts w:ascii="Calibri" w:hAnsi="Calibri"/>
            <w:bCs w:val="0"/>
            <w:i w:val="0"/>
            <w:iCs w:val="0"/>
          </w:rPr>
          <w:tab/>
        </w:r>
        <w:r w:rsidR="005A12EF" w:rsidRPr="00BB081B">
          <w:rPr>
            <w:rStyle w:val="Hyperlink"/>
            <w:i w:val="0"/>
          </w:rPr>
          <w:t>Final Renewable Portfolio Standard Requirement</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_Toc440463377 \h </w:instrText>
        </w:r>
        <w:r w:rsidR="005A12EF" w:rsidRPr="00BB081B">
          <w:rPr>
            <w:i w:val="0"/>
            <w:webHidden/>
          </w:rPr>
        </w:r>
        <w:r w:rsidR="005A12EF" w:rsidRPr="00BB081B">
          <w:rPr>
            <w:i w:val="0"/>
            <w:webHidden/>
          </w:rPr>
          <w:fldChar w:fldCharType="separate"/>
        </w:r>
        <w:r>
          <w:rPr>
            <w:i w:val="0"/>
            <w:webHidden/>
          </w:rPr>
          <w:t>14-15</w:t>
        </w:r>
        <w:r w:rsidR="005A12EF" w:rsidRPr="00BB081B">
          <w:rPr>
            <w:i w:val="0"/>
            <w:webHidden/>
          </w:rPr>
          <w:fldChar w:fldCharType="end"/>
        </w:r>
      </w:hyperlink>
    </w:p>
    <w:p w14:paraId="76FF9A62" w14:textId="77777777" w:rsidR="005A12EF" w:rsidRPr="00BB081B" w:rsidRDefault="005E7F2E">
      <w:pPr>
        <w:pStyle w:val="TOC2"/>
        <w:rPr>
          <w:rFonts w:ascii="Calibri" w:hAnsi="Calibri"/>
        </w:rPr>
      </w:pPr>
      <w:hyperlink w:anchor="_Toc440463378" w:history="1">
        <w:r w:rsidR="005A12EF" w:rsidRPr="00BB081B">
          <w:rPr>
            <w:rStyle w:val="Hyperlink"/>
          </w:rPr>
          <w:t>14.10</w:t>
        </w:r>
        <w:r w:rsidR="005A12EF" w:rsidRPr="00BB081B">
          <w:rPr>
            <w:rFonts w:ascii="Calibri" w:hAnsi="Calibri"/>
          </w:rPr>
          <w:tab/>
        </w:r>
        <w:r w:rsidR="005A12EF" w:rsidRPr="00BB081B">
          <w:rPr>
            <w:rStyle w:val="Hyperlink"/>
          </w:rPr>
          <w:t>Retiring of Renewable Energy Credits or Compliance Premiums</w:t>
        </w:r>
        <w:r w:rsidR="005A12EF" w:rsidRPr="00BB081B">
          <w:rPr>
            <w:webHidden/>
          </w:rPr>
          <w:tab/>
        </w:r>
        <w:r w:rsidR="005A12EF" w:rsidRPr="00BB081B">
          <w:rPr>
            <w:webHidden/>
          </w:rPr>
          <w:fldChar w:fldCharType="begin"/>
        </w:r>
        <w:r w:rsidR="005A12EF" w:rsidRPr="00BB081B">
          <w:rPr>
            <w:webHidden/>
          </w:rPr>
          <w:instrText xml:space="preserve"> PAGEREF _Toc440463378 \h </w:instrText>
        </w:r>
        <w:r w:rsidR="005A12EF" w:rsidRPr="00BB081B">
          <w:rPr>
            <w:webHidden/>
          </w:rPr>
        </w:r>
        <w:r w:rsidR="005A12EF" w:rsidRPr="00BB081B">
          <w:rPr>
            <w:webHidden/>
          </w:rPr>
          <w:fldChar w:fldCharType="separate"/>
        </w:r>
        <w:r>
          <w:rPr>
            <w:webHidden/>
          </w:rPr>
          <w:t>14-15</w:t>
        </w:r>
        <w:r w:rsidR="005A12EF" w:rsidRPr="00BB081B">
          <w:rPr>
            <w:webHidden/>
          </w:rPr>
          <w:fldChar w:fldCharType="end"/>
        </w:r>
      </w:hyperlink>
    </w:p>
    <w:p w14:paraId="46D2AA45" w14:textId="77777777" w:rsidR="005A12EF" w:rsidRPr="00BB081B" w:rsidRDefault="005E7F2E">
      <w:pPr>
        <w:pStyle w:val="TOC3"/>
        <w:rPr>
          <w:rFonts w:ascii="Calibri" w:hAnsi="Calibri"/>
          <w:bCs w:val="0"/>
          <w:i w:val="0"/>
          <w:iCs w:val="0"/>
        </w:rPr>
      </w:pPr>
      <w:hyperlink w:anchor="_Toc440463379" w:history="1">
        <w:r w:rsidR="005A12EF" w:rsidRPr="00BB081B">
          <w:rPr>
            <w:rStyle w:val="Hyperlink"/>
            <w:i w:val="0"/>
          </w:rPr>
          <w:t>14.10.1</w:t>
        </w:r>
        <w:r w:rsidR="005A12EF" w:rsidRPr="00BB081B">
          <w:rPr>
            <w:rFonts w:ascii="Calibri" w:hAnsi="Calibri"/>
            <w:bCs w:val="0"/>
            <w:i w:val="0"/>
            <w:iCs w:val="0"/>
          </w:rPr>
          <w:tab/>
        </w:r>
        <w:r w:rsidR="005A12EF" w:rsidRPr="00BB081B">
          <w:rPr>
            <w:rStyle w:val="Hyperlink"/>
            <w:i w:val="0"/>
          </w:rPr>
          <w:t>Mandatory Retirement</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_Toc440463379 \h </w:instrText>
        </w:r>
        <w:r w:rsidR="005A12EF" w:rsidRPr="00BB081B">
          <w:rPr>
            <w:i w:val="0"/>
            <w:webHidden/>
          </w:rPr>
        </w:r>
        <w:r w:rsidR="005A12EF" w:rsidRPr="00BB081B">
          <w:rPr>
            <w:i w:val="0"/>
            <w:webHidden/>
          </w:rPr>
          <w:fldChar w:fldCharType="separate"/>
        </w:r>
        <w:r>
          <w:rPr>
            <w:i w:val="0"/>
            <w:webHidden/>
          </w:rPr>
          <w:t>14-16</w:t>
        </w:r>
        <w:r w:rsidR="005A12EF" w:rsidRPr="00BB081B">
          <w:rPr>
            <w:i w:val="0"/>
            <w:webHidden/>
          </w:rPr>
          <w:fldChar w:fldCharType="end"/>
        </w:r>
      </w:hyperlink>
    </w:p>
    <w:p w14:paraId="1ADAFEE6" w14:textId="77777777" w:rsidR="005A12EF" w:rsidRPr="00BB081B" w:rsidRDefault="005E7F2E">
      <w:pPr>
        <w:pStyle w:val="TOC3"/>
        <w:rPr>
          <w:rFonts w:ascii="Calibri" w:hAnsi="Calibri"/>
          <w:bCs w:val="0"/>
          <w:i w:val="0"/>
          <w:iCs w:val="0"/>
        </w:rPr>
      </w:pPr>
      <w:hyperlink w:anchor="_Toc440463380" w:history="1">
        <w:r w:rsidR="005A12EF" w:rsidRPr="00BB081B">
          <w:rPr>
            <w:rStyle w:val="Hyperlink"/>
            <w:i w:val="0"/>
          </w:rPr>
          <w:t>14.10.2</w:t>
        </w:r>
        <w:r w:rsidR="005A12EF" w:rsidRPr="00BB081B">
          <w:rPr>
            <w:rFonts w:ascii="Calibri" w:hAnsi="Calibri"/>
            <w:bCs w:val="0"/>
            <w:i w:val="0"/>
            <w:iCs w:val="0"/>
          </w:rPr>
          <w:tab/>
        </w:r>
        <w:r w:rsidR="005A12EF" w:rsidRPr="00BB081B">
          <w:rPr>
            <w:rStyle w:val="Hyperlink"/>
            <w:i w:val="0"/>
          </w:rPr>
          <w:t>Voluntary Retirement</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_Toc440463380 \h </w:instrText>
        </w:r>
        <w:r w:rsidR="005A12EF" w:rsidRPr="00BB081B">
          <w:rPr>
            <w:i w:val="0"/>
            <w:webHidden/>
          </w:rPr>
        </w:r>
        <w:r w:rsidR="005A12EF" w:rsidRPr="00BB081B">
          <w:rPr>
            <w:i w:val="0"/>
            <w:webHidden/>
          </w:rPr>
          <w:fldChar w:fldCharType="separate"/>
        </w:r>
        <w:r>
          <w:rPr>
            <w:i w:val="0"/>
            <w:webHidden/>
          </w:rPr>
          <w:t>14-16</w:t>
        </w:r>
        <w:r w:rsidR="005A12EF" w:rsidRPr="00BB081B">
          <w:rPr>
            <w:i w:val="0"/>
            <w:webHidden/>
          </w:rPr>
          <w:fldChar w:fldCharType="end"/>
        </w:r>
      </w:hyperlink>
    </w:p>
    <w:p w14:paraId="5E716B42" w14:textId="77777777" w:rsidR="005A12EF" w:rsidRPr="00BB081B" w:rsidRDefault="005E7F2E">
      <w:pPr>
        <w:pStyle w:val="TOC3"/>
        <w:rPr>
          <w:rFonts w:ascii="Calibri" w:hAnsi="Calibri"/>
          <w:bCs w:val="0"/>
          <w:i w:val="0"/>
          <w:iCs w:val="0"/>
        </w:rPr>
      </w:pPr>
      <w:hyperlink w:anchor="_Toc440463381" w:history="1">
        <w:r w:rsidR="005A12EF" w:rsidRPr="00BB081B">
          <w:rPr>
            <w:rStyle w:val="Hyperlink"/>
            <w:i w:val="0"/>
          </w:rPr>
          <w:t>14.10.3</w:t>
        </w:r>
        <w:r w:rsidR="005A12EF" w:rsidRPr="00BB081B">
          <w:rPr>
            <w:rFonts w:ascii="Calibri" w:hAnsi="Calibri"/>
            <w:bCs w:val="0"/>
            <w:i w:val="0"/>
            <w:iCs w:val="0"/>
          </w:rPr>
          <w:tab/>
        </w:r>
        <w:r w:rsidR="005A12EF" w:rsidRPr="00BB081B">
          <w:rPr>
            <w:rStyle w:val="Hyperlink"/>
            <w:i w:val="0"/>
          </w:rPr>
          <w:t>Retiring Unused Renewable Energy Credits or Compliance Premiums</w:t>
        </w:r>
        <w:r w:rsidR="005A12EF" w:rsidRPr="00BB081B">
          <w:rPr>
            <w:i w:val="0"/>
            <w:webHidden/>
          </w:rPr>
          <w:tab/>
        </w:r>
        <w:r w:rsidR="005A12EF" w:rsidRPr="00BB081B">
          <w:rPr>
            <w:i w:val="0"/>
            <w:webHidden/>
          </w:rPr>
          <w:fldChar w:fldCharType="begin"/>
        </w:r>
        <w:r w:rsidR="005A12EF" w:rsidRPr="00BB081B">
          <w:rPr>
            <w:i w:val="0"/>
            <w:webHidden/>
          </w:rPr>
          <w:instrText xml:space="preserve"> PAGEREF _Toc440463381 \h </w:instrText>
        </w:r>
        <w:r w:rsidR="005A12EF" w:rsidRPr="00BB081B">
          <w:rPr>
            <w:i w:val="0"/>
            <w:webHidden/>
          </w:rPr>
        </w:r>
        <w:r w:rsidR="005A12EF" w:rsidRPr="00BB081B">
          <w:rPr>
            <w:i w:val="0"/>
            <w:webHidden/>
          </w:rPr>
          <w:fldChar w:fldCharType="separate"/>
        </w:r>
        <w:r>
          <w:rPr>
            <w:i w:val="0"/>
            <w:webHidden/>
          </w:rPr>
          <w:t>14-16</w:t>
        </w:r>
        <w:r w:rsidR="005A12EF" w:rsidRPr="00BB081B">
          <w:rPr>
            <w:i w:val="0"/>
            <w:webHidden/>
          </w:rPr>
          <w:fldChar w:fldCharType="end"/>
        </w:r>
      </w:hyperlink>
    </w:p>
    <w:p w14:paraId="402CBB89" w14:textId="77777777" w:rsidR="005A12EF" w:rsidRPr="00BB081B" w:rsidRDefault="005E7F2E">
      <w:pPr>
        <w:pStyle w:val="TOC2"/>
        <w:rPr>
          <w:rFonts w:ascii="Calibri" w:hAnsi="Calibri"/>
        </w:rPr>
      </w:pPr>
      <w:hyperlink w:anchor="_Toc440463382" w:history="1">
        <w:r w:rsidR="005A12EF" w:rsidRPr="00BB081B">
          <w:rPr>
            <w:rStyle w:val="Hyperlink"/>
          </w:rPr>
          <w:t>14.11</w:t>
        </w:r>
        <w:r w:rsidR="005A12EF" w:rsidRPr="00BB081B">
          <w:rPr>
            <w:rFonts w:ascii="Calibri" w:hAnsi="Calibri"/>
          </w:rPr>
          <w:tab/>
        </w:r>
        <w:r w:rsidR="005A12EF" w:rsidRPr="00BB081B">
          <w:rPr>
            <w:rStyle w:val="Hyperlink"/>
          </w:rPr>
          <w:t>Penalties and Enforcement</w:t>
        </w:r>
        <w:r w:rsidR="005A12EF" w:rsidRPr="00BB081B">
          <w:rPr>
            <w:webHidden/>
          </w:rPr>
          <w:tab/>
        </w:r>
        <w:r w:rsidR="005A12EF" w:rsidRPr="00BB081B">
          <w:rPr>
            <w:webHidden/>
          </w:rPr>
          <w:fldChar w:fldCharType="begin"/>
        </w:r>
        <w:r w:rsidR="005A12EF" w:rsidRPr="00BB081B">
          <w:rPr>
            <w:webHidden/>
          </w:rPr>
          <w:instrText xml:space="preserve"> PAGEREF _Toc440463382 \h </w:instrText>
        </w:r>
        <w:r w:rsidR="005A12EF" w:rsidRPr="00BB081B">
          <w:rPr>
            <w:webHidden/>
          </w:rPr>
        </w:r>
        <w:r w:rsidR="005A12EF" w:rsidRPr="00BB081B">
          <w:rPr>
            <w:webHidden/>
          </w:rPr>
          <w:fldChar w:fldCharType="separate"/>
        </w:r>
        <w:r>
          <w:rPr>
            <w:webHidden/>
          </w:rPr>
          <w:t>14-16</w:t>
        </w:r>
        <w:r w:rsidR="005A12EF" w:rsidRPr="00BB081B">
          <w:rPr>
            <w:webHidden/>
          </w:rPr>
          <w:fldChar w:fldCharType="end"/>
        </w:r>
      </w:hyperlink>
    </w:p>
    <w:p w14:paraId="0F235A94" w14:textId="77777777" w:rsidR="005A12EF" w:rsidRPr="00BB081B" w:rsidRDefault="005E7F2E">
      <w:pPr>
        <w:pStyle w:val="TOC2"/>
        <w:rPr>
          <w:rFonts w:ascii="Calibri" w:hAnsi="Calibri"/>
        </w:rPr>
      </w:pPr>
      <w:hyperlink w:anchor="_Toc440463383" w:history="1">
        <w:r w:rsidR="005A12EF" w:rsidRPr="00BB081B">
          <w:rPr>
            <w:rStyle w:val="Hyperlink"/>
          </w:rPr>
          <w:t>14.12</w:t>
        </w:r>
        <w:r w:rsidR="005A12EF" w:rsidRPr="00BB081B">
          <w:rPr>
            <w:rFonts w:ascii="Calibri" w:hAnsi="Calibri"/>
          </w:rPr>
          <w:tab/>
        </w:r>
        <w:r w:rsidR="005A12EF" w:rsidRPr="00BB081B">
          <w:rPr>
            <w:rStyle w:val="Hyperlink"/>
          </w:rPr>
          <w:t>Maintain Public Information</w:t>
        </w:r>
        <w:r w:rsidR="005A12EF" w:rsidRPr="00BB081B">
          <w:rPr>
            <w:webHidden/>
          </w:rPr>
          <w:tab/>
        </w:r>
        <w:r w:rsidR="005A12EF" w:rsidRPr="00BB081B">
          <w:rPr>
            <w:webHidden/>
          </w:rPr>
          <w:fldChar w:fldCharType="begin"/>
        </w:r>
        <w:r w:rsidR="005A12EF" w:rsidRPr="00BB081B">
          <w:rPr>
            <w:webHidden/>
          </w:rPr>
          <w:instrText xml:space="preserve"> PAGEREF _Toc440463383 \h </w:instrText>
        </w:r>
        <w:r w:rsidR="005A12EF" w:rsidRPr="00BB081B">
          <w:rPr>
            <w:webHidden/>
          </w:rPr>
        </w:r>
        <w:r w:rsidR="005A12EF" w:rsidRPr="00BB081B">
          <w:rPr>
            <w:webHidden/>
          </w:rPr>
          <w:fldChar w:fldCharType="separate"/>
        </w:r>
        <w:r>
          <w:rPr>
            <w:webHidden/>
          </w:rPr>
          <w:t>14-16</w:t>
        </w:r>
        <w:r w:rsidR="005A12EF" w:rsidRPr="00BB081B">
          <w:rPr>
            <w:webHidden/>
          </w:rPr>
          <w:fldChar w:fldCharType="end"/>
        </w:r>
      </w:hyperlink>
    </w:p>
    <w:p w14:paraId="5A569124" w14:textId="77777777" w:rsidR="005A12EF" w:rsidRPr="00BB081B" w:rsidRDefault="005E7F2E">
      <w:pPr>
        <w:pStyle w:val="TOC2"/>
        <w:rPr>
          <w:rFonts w:ascii="Calibri" w:hAnsi="Calibri"/>
        </w:rPr>
      </w:pPr>
      <w:hyperlink w:anchor="_Toc440463384" w:history="1">
        <w:r w:rsidR="005A12EF" w:rsidRPr="00BB081B">
          <w:rPr>
            <w:rStyle w:val="Hyperlink"/>
          </w:rPr>
          <w:t>14.13</w:t>
        </w:r>
        <w:r w:rsidR="005A12EF" w:rsidRPr="00BB081B">
          <w:rPr>
            <w:rFonts w:ascii="Calibri" w:hAnsi="Calibri"/>
          </w:rPr>
          <w:tab/>
        </w:r>
        <w:r w:rsidR="005A12EF" w:rsidRPr="00BB081B">
          <w:rPr>
            <w:rStyle w:val="Hyperlink"/>
          </w:rPr>
          <w:t>Submit Annual Report to Public Utility Commission of Texas</w:t>
        </w:r>
        <w:r w:rsidR="005A12EF" w:rsidRPr="00BB081B">
          <w:rPr>
            <w:webHidden/>
          </w:rPr>
          <w:tab/>
        </w:r>
        <w:r w:rsidR="005A12EF" w:rsidRPr="00BB081B">
          <w:rPr>
            <w:webHidden/>
          </w:rPr>
          <w:fldChar w:fldCharType="begin"/>
        </w:r>
        <w:r w:rsidR="005A12EF" w:rsidRPr="00BB081B">
          <w:rPr>
            <w:webHidden/>
          </w:rPr>
          <w:instrText xml:space="preserve"> PAGEREF _Toc440463384 \h </w:instrText>
        </w:r>
        <w:r w:rsidR="005A12EF" w:rsidRPr="00BB081B">
          <w:rPr>
            <w:webHidden/>
          </w:rPr>
        </w:r>
        <w:r w:rsidR="005A12EF" w:rsidRPr="00BB081B">
          <w:rPr>
            <w:webHidden/>
          </w:rPr>
          <w:fldChar w:fldCharType="separate"/>
        </w:r>
        <w:r>
          <w:rPr>
            <w:webHidden/>
          </w:rPr>
          <w:t>14-18</w:t>
        </w:r>
        <w:r w:rsidR="005A12EF" w:rsidRPr="00BB081B">
          <w:rPr>
            <w:webHidden/>
          </w:rPr>
          <w:fldChar w:fldCharType="end"/>
        </w:r>
      </w:hyperlink>
    </w:p>
    <w:p w14:paraId="460B06D1" w14:textId="77777777" w:rsidR="008B67C9" w:rsidRDefault="000202B3">
      <w:pPr>
        <w:pStyle w:val="BodyText"/>
        <w:sectPr w:rsidR="008B67C9">
          <w:headerReference w:type="default" r:id="rId10"/>
          <w:footerReference w:type="default" r:id="rId11"/>
          <w:pgSz w:w="12240" w:h="15840" w:code="1"/>
          <w:pgMar w:top="1440" w:right="1440" w:bottom="1440" w:left="1440" w:header="720" w:footer="720" w:gutter="0"/>
          <w:pgNumType w:start="1" w:chapStyle="1"/>
          <w:cols w:space="720"/>
        </w:sectPr>
      </w:pPr>
      <w:r w:rsidRPr="00BB081B">
        <w:rPr>
          <w:bCs/>
          <w:sz w:val="20"/>
          <w:szCs w:val="20"/>
        </w:rPr>
        <w:fldChar w:fldCharType="end"/>
      </w:r>
    </w:p>
    <w:p w14:paraId="3011599E" w14:textId="77777777" w:rsidR="008B67C9" w:rsidRDefault="008B67C9">
      <w:pPr>
        <w:pStyle w:val="Heading1"/>
      </w:pPr>
      <w:bookmarkStart w:id="1" w:name="_Toc440463355"/>
      <w:r>
        <w:lastRenderedPageBreak/>
        <w:t xml:space="preserve">State of </w:t>
      </w:r>
      <w:smartTag w:uri="urn:schemas-microsoft-com:office:smarttags" w:element="place">
        <w:smartTag w:uri="urn:schemas-microsoft-com:office:smarttags" w:element="State">
          <w:r>
            <w:t>Texas</w:t>
          </w:r>
        </w:smartTag>
      </w:smartTag>
      <w:r>
        <w:t xml:space="preserve"> Renewable Energy Credit Trading Program</w:t>
      </w:r>
      <w:bookmarkEnd w:id="1"/>
    </w:p>
    <w:p w14:paraId="24A7C623" w14:textId="77777777" w:rsidR="008C51D1" w:rsidRDefault="008C51D1" w:rsidP="008C51D1">
      <w:pPr>
        <w:pStyle w:val="H2"/>
      </w:pPr>
      <w:bookmarkStart w:id="2" w:name="_Toc239073016"/>
      <w:bookmarkStart w:id="3" w:name="_Toc440463356"/>
      <w:r>
        <w:t>14.1</w:t>
      </w:r>
      <w:r>
        <w:tab/>
        <w:t>Overview</w:t>
      </w:r>
      <w:bookmarkEnd w:id="2"/>
      <w:bookmarkEnd w:id="3"/>
    </w:p>
    <w:p w14:paraId="5368E7FB" w14:textId="77777777" w:rsidR="008C51D1" w:rsidRDefault="008C51D1" w:rsidP="008C51D1">
      <w:pPr>
        <w:pStyle w:val="BodyText"/>
        <w:ind w:left="720" w:hanging="720"/>
      </w:pPr>
      <w:r>
        <w:t>(1)</w:t>
      </w:r>
      <w:r>
        <w:tab/>
        <w:t>On May 9, 2000, the Public Utility Commission of Texas (PUCT) appointed ERCOT as Program Administrator of the Renewable Energy Credits (REC) Trading Program described in subsection</w:t>
      </w:r>
      <w:r w:rsidR="00B9691E">
        <w:t xml:space="preserve"> </w:t>
      </w:r>
      <w:r>
        <w:t xml:space="preserve">(g) of P.U.C. </w:t>
      </w:r>
      <w:r w:rsidRPr="00A37962">
        <w:rPr>
          <w:smallCaps/>
        </w:rPr>
        <w:t>Subst.</w:t>
      </w:r>
      <w:r>
        <w:t xml:space="preserve"> R. 25.173, Goal for Renewable Energy.</w:t>
      </w:r>
    </w:p>
    <w:p w14:paraId="7A987C05" w14:textId="77777777" w:rsidR="008C51D1" w:rsidRDefault="008C51D1" w:rsidP="008C51D1">
      <w:pPr>
        <w:pStyle w:val="BodyText"/>
        <w:ind w:left="720" w:hanging="720"/>
      </w:pPr>
      <w:r>
        <w:t>(2)</w:t>
      </w:r>
      <w:r>
        <w:tab/>
        <w:t xml:space="preserve">The purposes of the REC Trading Program are: </w:t>
      </w:r>
    </w:p>
    <w:p w14:paraId="46DAC4FA" w14:textId="77777777" w:rsidR="008C51D1" w:rsidRDefault="008C51D1" w:rsidP="008C51D1">
      <w:pPr>
        <w:pStyle w:val="List"/>
        <w:ind w:left="1440"/>
      </w:pPr>
      <w:r>
        <w:t>(a)</w:t>
      </w:r>
      <w:r>
        <w:tab/>
        <w:t xml:space="preserve">To ensure that the cumulative installed generating capacity from renewable energy technologies in this state totals 2,280 megawatts (MW) by January 1, 2007, 3,272 MW by January 1, 2009, 4,264 MW by January 1, 2011, 5,256 MW by January 1, 2013, and 5,880 MW by January 1, 2015, with a target of at least 500 MW of the total installed renewable capacity after September 1, 2005, coming from a renewable energy technology other than a source using wind energy, and that the means exist for the state to achieve a target of 10,000 MW of installed renewable capacity by January 1, 2025; </w:t>
      </w:r>
    </w:p>
    <w:p w14:paraId="51C379B8" w14:textId="77777777" w:rsidR="008C51D1" w:rsidRDefault="008C51D1" w:rsidP="008C51D1">
      <w:pPr>
        <w:pStyle w:val="List"/>
        <w:ind w:left="1440"/>
      </w:pPr>
      <w:r>
        <w:t>(b)</w:t>
      </w:r>
      <w:r>
        <w:tab/>
        <w:t>To provide for a REC Trading Program by which the renewable energy requirements established by the Public Utility Regulatory Act</w:t>
      </w:r>
      <w:r>
        <w:rPr>
          <w:iCs/>
        </w:rPr>
        <w:t xml:space="preserve">, </w:t>
      </w:r>
      <w:r>
        <w:t>T</w:t>
      </w:r>
      <w:r>
        <w:rPr>
          <w:sz w:val="19"/>
          <w:szCs w:val="19"/>
        </w:rPr>
        <w:t>EX</w:t>
      </w:r>
      <w:r>
        <w:t>. U</w:t>
      </w:r>
      <w:r>
        <w:rPr>
          <w:sz w:val="19"/>
          <w:szCs w:val="19"/>
        </w:rPr>
        <w:t>TIL</w:t>
      </w:r>
      <w:r>
        <w:t>. C</w:t>
      </w:r>
      <w:r>
        <w:rPr>
          <w:sz w:val="19"/>
          <w:szCs w:val="19"/>
        </w:rPr>
        <w:t xml:space="preserve">ODE </w:t>
      </w:r>
      <w:r>
        <w:t>A</w:t>
      </w:r>
      <w:r>
        <w:rPr>
          <w:sz w:val="19"/>
          <w:szCs w:val="19"/>
        </w:rPr>
        <w:t>NN</w:t>
      </w:r>
      <w:r>
        <w:t xml:space="preserve">. § 39.904(a) (Vernon 1998 &amp; Supp. 2007) (PURA) may be achieved in the most efficient and economical manner; to encourage the development, construction, and operation of new renewable energy Resources at those sites in this state that have the greatest economic potential for capture and development of this state’s environmentally beneficial Resources; to protect and enhance the quality of the environment in Texas through increased use of renewable Resources; and </w:t>
      </w:r>
    </w:p>
    <w:p w14:paraId="53216BF2" w14:textId="77777777" w:rsidR="008C51D1" w:rsidRDefault="008C51D1" w:rsidP="008C51D1">
      <w:pPr>
        <w:pStyle w:val="List"/>
        <w:ind w:left="1440"/>
      </w:pPr>
      <w:r>
        <w:t>(c)</w:t>
      </w:r>
      <w:r>
        <w:tab/>
        <w:t>To ensure that all Customers have access to providers of energy generated by renewable energy Resources pursuant to PURA § 39.101(b)(3).</w:t>
      </w:r>
    </w:p>
    <w:p w14:paraId="44371687" w14:textId="77777777" w:rsidR="008C51D1" w:rsidRDefault="008C51D1" w:rsidP="002508F5">
      <w:pPr>
        <w:spacing w:after="240"/>
        <w:ind w:left="720" w:hanging="720"/>
      </w:pPr>
      <w:r>
        <w:t>(3)</w:t>
      </w:r>
      <w:r>
        <w:tab/>
        <w:t xml:space="preserve">ERCOT shall administer the REC Trading Program, which became effective </w:t>
      </w:r>
      <w:smartTag w:uri="urn:schemas-microsoft-com:office:smarttags" w:element="date">
        <w:smartTagPr>
          <w:attr w:name="Year" w:val="2001"/>
          <w:attr w:name="Day" w:val="1"/>
          <w:attr w:name="Month" w:val="7"/>
        </w:smartTagPr>
        <w:r>
          <w:t>July 1, 2001</w:t>
        </w:r>
      </w:smartTag>
      <w:r>
        <w:t>.  Entities participating in the REC Trading Program must register with and execute the appropriate agreements with ERCOT.</w:t>
      </w:r>
    </w:p>
    <w:p w14:paraId="10681D4D" w14:textId="77777777" w:rsidR="008C51D1" w:rsidRDefault="008C51D1" w:rsidP="00A335D9">
      <w:pPr>
        <w:pStyle w:val="H2"/>
        <w:spacing w:before="480"/>
        <w:ind w:left="907" w:hanging="907"/>
      </w:pPr>
      <w:bookmarkStart w:id="4" w:name="_Toc239073017"/>
      <w:bookmarkStart w:id="5" w:name="_Toc440463357"/>
      <w:r>
        <w:t>14.2</w:t>
      </w:r>
      <w:r>
        <w:tab/>
        <w:t>Duties of ERCOT</w:t>
      </w:r>
      <w:bookmarkEnd w:id="4"/>
      <w:bookmarkEnd w:id="5"/>
    </w:p>
    <w:p w14:paraId="0538C7CD" w14:textId="77777777" w:rsidR="008C51D1" w:rsidRDefault="005A12EF" w:rsidP="002508F5">
      <w:pPr>
        <w:pStyle w:val="BodyText"/>
        <w:ind w:left="720" w:hanging="720"/>
        <w:rPr>
          <w:iCs/>
        </w:rPr>
      </w:pPr>
      <w:r>
        <w:t>(1)</w:t>
      </w:r>
      <w:r>
        <w:tab/>
      </w:r>
      <w:r w:rsidR="008C51D1">
        <w:rPr>
          <w:iCs/>
        </w:rPr>
        <w:t xml:space="preserve">As </w:t>
      </w:r>
      <w:r w:rsidR="008C51D1" w:rsidRPr="005A12EF">
        <w:t>described</w:t>
      </w:r>
      <w:r w:rsidR="008C51D1">
        <w:rPr>
          <w:iCs/>
        </w:rPr>
        <w:t xml:space="preserve"> in more detail in this Section, ERCOT shall:</w:t>
      </w:r>
    </w:p>
    <w:p w14:paraId="6E55B91E" w14:textId="77777777" w:rsidR="008C51D1" w:rsidRDefault="008C51D1" w:rsidP="008C51D1">
      <w:pPr>
        <w:pStyle w:val="List"/>
        <w:ind w:left="1440"/>
      </w:pPr>
      <w:r>
        <w:t>(a)</w:t>
      </w:r>
      <w:r>
        <w:tab/>
        <w:t>Register renewable energy generators;</w:t>
      </w:r>
    </w:p>
    <w:p w14:paraId="69ABB632" w14:textId="77777777" w:rsidR="008C51D1" w:rsidRDefault="008C51D1" w:rsidP="008C51D1">
      <w:pPr>
        <w:pStyle w:val="List"/>
        <w:ind w:left="1440"/>
      </w:pPr>
      <w:r>
        <w:t>(b)</w:t>
      </w:r>
      <w:r>
        <w:tab/>
        <w:t>Register offset generators;</w:t>
      </w:r>
    </w:p>
    <w:p w14:paraId="7B799791" w14:textId="77777777" w:rsidR="008C51D1" w:rsidRDefault="008C51D1" w:rsidP="008C51D1">
      <w:pPr>
        <w:pStyle w:val="List"/>
        <w:ind w:left="1440"/>
      </w:pPr>
      <w:r>
        <w:t>(c)</w:t>
      </w:r>
      <w:r>
        <w:tab/>
        <w:t xml:space="preserve">Register Retail Entities;   </w:t>
      </w:r>
    </w:p>
    <w:p w14:paraId="02B89C1A" w14:textId="77777777" w:rsidR="008C51D1" w:rsidRDefault="008C51D1" w:rsidP="008C51D1">
      <w:pPr>
        <w:pStyle w:val="List"/>
        <w:ind w:left="1440"/>
      </w:pPr>
      <w:r>
        <w:lastRenderedPageBreak/>
        <w:t>(d)</w:t>
      </w:r>
      <w:r>
        <w:tab/>
        <w:t>Register other Entities choosing to participate in the Renewable Energy Credit (REC) Trading Program;</w:t>
      </w:r>
    </w:p>
    <w:p w14:paraId="7F493FD3" w14:textId="77777777" w:rsidR="008C51D1" w:rsidRDefault="008C51D1" w:rsidP="008C51D1">
      <w:pPr>
        <w:pStyle w:val="List"/>
        <w:ind w:left="1440"/>
      </w:pPr>
      <w:r>
        <w:t>(e)</w:t>
      </w:r>
      <w:r>
        <w:tab/>
        <w:t xml:space="preserve">Create and maintain REC </w:t>
      </w:r>
      <w:r w:rsidR="00A7196D">
        <w:t>trading a</w:t>
      </w:r>
      <w:r>
        <w:t>ccounts for REC Trading Program participants;</w:t>
      </w:r>
    </w:p>
    <w:p w14:paraId="38226C34" w14:textId="77777777" w:rsidR="008C51D1" w:rsidRDefault="008C51D1" w:rsidP="008C51D1">
      <w:pPr>
        <w:pStyle w:val="List"/>
        <w:ind w:left="1440"/>
      </w:pPr>
      <w:r>
        <w:t>(f)</w:t>
      </w:r>
      <w:r>
        <w:tab/>
        <w:t>Determine the annual Renewable Portfolio Standard (RPS) requirement for each Retail Entity in Texas using the formulas set forth in this Section;</w:t>
      </w:r>
    </w:p>
    <w:p w14:paraId="1B9DDCB0" w14:textId="77777777" w:rsidR="008C51D1" w:rsidRDefault="008C51D1" w:rsidP="008C51D1">
      <w:pPr>
        <w:pStyle w:val="List"/>
        <w:ind w:left="1440"/>
      </w:pPr>
      <w:r>
        <w:t>(g)</w:t>
      </w:r>
      <w:r>
        <w:tab/>
        <w:t>On a quarterly basis, award RECs or Compliance Premiums earned by REC generators based on verified MWh production data;</w:t>
      </w:r>
    </w:p>
    <w:p w14:paraId="1227FE98" w14:textId="77777777" w:rsidR="008C51D1" w:rsidRDefault="008C51D1" w:rsidP="008C51D1">
      <w:pPr>
        <w:pStyle w:val="List"/>
        <w:ind w:left="1440"/>
      </w:pPr>
      <w:r>
        <w:t>(h)</w:t>
      </w:r>
      <w:r>
        <w:tab/>
        <w:t>Verify that Retail Entities meet annual REC compliance requirements;</w:t>
      </w:r>
    </w:p>
    <w:p w14:paraId="235EB89B" w14:textId="77777777" w:rsidR="008C51D1" w:rsidRDefault="008C51D1" w:rsidP="008C51D1">
      <w:pPr>
        <w:pStyle w:val="List"/>
        <w:ind w:left="1440"/>
      </w:pPr>
      <w:r>
        <w:t>(</w:t>
      </w:r>
      <w:proofErr w:type="spellStart"/>
      <w:r>
        <w:t>i</w:t>
      </w:r>
      <w:proofErr w:type="spellEnd"/>
      <w:r>
        <w:t>)</w:t>
      </w:r>
      <w:r>
        <w:tab/>
        <w:t>Retire RECs or Compliance Premiums as directed by REC Trading Program participants;</w:t>
      </w:r>
    </w:p>
    <w:p w14:paraId="03DCCC4F" w14:textId="77777777" w:rsidR="008C51D1" w:rsidRDefault="008C51D1" w:rsidP="008C51D1">
      <w:pPr>
        <w:pStyle w:val="List"/>
        <w:ind w:left="1440"/>
      </w:pPr>
      <w:r>
        <w:t>(j)</w:t>
      </w:r>
      <w:r>
        <w:tab/>
        <w:t>Retire RECs or Compliance Premiums as they expire;</w:t>
      </w:r>
    </w:p>
    <w:p w14:paraId="48969671" w14:textId="77777777" w:rsidR="008C51D1" w:rsidRDefault="008C51D1" w:rsidP="008C51D1">
      <w:pPr>
        <w:pStyle w:val="List"/>
        <w:ind w:left="1440"/>
      </w:pPr>
      <w:r>
        <w:t>(k)</w:t>
      </w:r>
      <w:r>
        <w:tab/>
        <w:t xml:space="preserve">On a monthly basis, make public the aggregated total MWh competitive energy sales in </w:t>
      </w:r>
      <w:smartTag w:uri="urn:schemas-microsoft-com:office:smarttags" w:element="place">
        <w:smartTag w:uri="urn:schemas-microsoft-com:office:smarttags" w:element="State">
          <w:r>
            <w:t>Texas</w:t>
          </w:r>
        </w:smartTag>
      </w:smartTag>
      <w:r>
        <w:t>;</w:t>
      </w:r>
    </w:p>
    <w:p w14:paraId="5416392D" w14:textId="77777777" w:rsidR="008C51D1" w:rsidRDefault="008C51D1" w:rsidP="008C51D1">
      <w:pPr>
        <w:pStyle w:val="List"/>
        <w:ind w:left="1440"/>
      </w:pPr>
      <w:r>
        <w:t>(l)</w:t>
      </w:r>
      <w:r>
        <w:tab/>
        <w:t>Make public a list of REC Account Holders with contact information (e-mail, address, and telephone number) so as to facilitate REC or Compliance Premium trading;</w:t>
      </w:r>
    </w:p>
    <w:p w14:paraId="739C622A" w14:textId="77777777" w:rsidR="008C51D1" w:rsidRDefault="008C51D1" w:rsidP="008C51D1">
      <w:pPr>
        <w:pStyle w:val="List"/>
        <w:ind w:left="1440"/>
      </w:pPr>
      <w:r>
        <w:t>(m)</w:t>
      </w:r>
      <w:r>
        <w:tab/>
        <w:t>Maintain a list of offset generators and the Retail Entities to whom such a generator’s offsets were awarded by the Public Utility Commission of Texas (PUCT);</w:t>
      </w:r>
    </w:p>
    <w:p w14:paraId="516ED7E6" w14:textId="77777777" w:rsidR="008C51D1" w:rsidRDefault="008C51D1" w:rsidP="008C51D1">
      <w:pPr>
        <w:pStyle w:val="List"/>
        <w:ind w:left="1440"/>
      </w:pPr>
      <w:r>
        <w:t>(n)</w:t>
      </w:r>
      <w:r>
        <w:tab/>
        <w:t>Conduct a REC Trading Program Settlement process annually;</w:t>
      </w:r>
    </w:p>
    <w:p w14:paraId="245D6919" w14:textId="77777777" w:rsidR="008C51D1" w:rsidRDefault="008C51D1" w:rsidP="008C51D1">
      <w:pPr>
        <w:pStyle w:val="List"/>
        <w:ind w:left="1440"/>
      </w:pPr>
      <w:r>
        <w:t>(o)</w:t>
      </w:r>
      <w:r>
        <w:tab/>
        <w:t xml:space="preserve">File an annual report with the PUCT as specified in subsection (g)(11) of P.U.C. </w:t>
      </w:r>
      <w:r>
        <w:rPr>
          <w:smallCaps/>
          <w:szCs w:val="24"/>
        </w:rPr>
        <w:t>Subst</w:t>
      </w:r>
      <w:r>
        <w:t xml:space="preserve">. R. 25.173, </w:t>
      </w:r>
      <w:r>
        <w:rPr>
          <w:iCs/>
        </w:rPr>
        <w:t>Goal for Renewable Energy</w:t>
      </w:r>
      <w:r>
        <w:t>;</w:t>
      </w:r>
    </w:p>
    <w:p w14:paraId="2E95B60E" w14:textId="77777777" w:rsidR="008C51D1" w:rsidRDefault="008C51D1" w:rsidP="008C51D1">
      <w:pPr>
        <w:pStyle w:val="List"/>
        <w:ind w:left="1440"/>
      </w:pPr>
      <w:r>
        <w:t>(p)</w:t>
      </w:r>
      <w:r>
        <w:tab/>
        <w:t xml:space="preserve">Monitor the operational status of </w:t>
      </w:r>
      <w:r w:rsidR="00A7196D">
        <w:t>participating</w:t>
      </w:r>
      <w:r>
        <w:t xml:space="preserve"> renewable energy generation facilities in Texas and record retirements;</w:t>
      </w:r>
    </w:p>
    <w:p w14:paraId="407605FC" w14:textId="77777777" w:rsidR="008C51D1" w:rsidRDefault="008C51D1" w:rsidP="008C51D1">
      <w:pPr>
        <w:pStyle w:val="List"/>
        <w:ind w:left="1440"/>
      </w:pPr>
      <w:r>
        <w:t>(q)</w:t>
      </w:r>
      <w:r>
        <w:tab/>
        <w:t>Compute and apply a revised Capacity Conversion Factor (CCF) (as described in Section 14.9.2, Capacity Conversion Factor) every two years;</w:t>
      </w:r>
    </w:p>
    <w:p w14:paraId="0AD078A8" w14:textId="77777777" w:rsidR="008C51D1" w:rsidRDefault="008C51D1" w:rsidP="008C51D1">
      <w:pPr>
        <w:pStyle w:val="List"/>
        <w:ind w:left="1440"/>
      </w:pPr>
      <w:r>
        <w:t>(r)</w:t>
      </w:r>
      <w:r>
        <w:tab/>
        <w:t>Audit MWh production data from certified REC generating facilities;</w:t>
      </w:r>
    </w:p>
    <w:p w14:paraId="7AB16BEA" w14:textId="77777777" w:rsidR="008C51D1" w:rsidRDefault="008C51D1" w:rsidP="008C51D1">
      <w:pPr>
        <w:pStyle w:val="List"/>
        <w:ind w:left="1440"/>
      </w:pPr>
      <w:r>
        <w:t>(s)</w:t>
      </w:r>
      <w:r>
        <w:tab/>
        <w:t>Audit MWh production from renewable energy generation facilities producing offsets for Retail Entities on an annual basis;</w:t>
      </w:r>
    </w:p>
    <w:p w14:paraId="0385FAA1" w14:textId="6CC0945D" w:rsidR="008C51D1" w:rsidRDefault="008C51D1" w:rsidP="008C51D1">
      <w:pPr>
        <w:pStyle w:val="List"/>
        <w:ind w:left="1440"/>
      </w:pPr>
      <w:r>
        <w:t>(t)</w:t>
      </w:r>
      <w:r>
        <w:tab/>
        <w:t xml:space="preserve">Post a list of Facility Identification Numbers, and the associated renewable energy generation facility name, location, type, and noncompetitive certification data on the </w:t>
      </w:r>
      <w:r w:rsidR="002E2779">
        <w:t>ERCOT website</w:t>
      </w:r>
      <w:r w:rsidR="00FE17B9">
        <w:t>; and</w:t>
      </w:r>
    </w:p>
    <w:p w14:paraId="45ECA776" w14:textId="77777777" w:rsidR="00FE17B9" w:rsidRDefault="00FE17B9" w:rsidP="008C51D1">
      <w:pPr>
        <w:pStyle w:val="List"/>
        <w:ind w:left="1440"/>
      </w:pPr>
      <w:r>
        <w:lastRenderedPageBreak/>
        <w:t>(u)</w:t>
      </w:r>
      <w:r>
        <w:tab/>
        <w:t>Receive, implement and protect the confidentiality of Electric Service Identifiers (ESI IDs), identity of Retail Electric Provider (REP), and consumption data associated with transmission-level C</w:t>
      </w:r>
      <w:r w:rsidRPr="00982241">
        <w:t>ustomers</w:t>
      </w:r>
      <w:r>
        <w:t xml:space="preserve"> that choose to have their Load excluded from the RPS calculation consistent with Section 14.5.3, End-Use Customers, and </w:t>
      </w:r>
      <w:r w:rsidR="00EA4355">
        <w:t xml:space="preserve">subsection (j) of </w:t>
      </w:r>
      <w:r>
        <w:t xml:space="preserve">P.U.C. </w:t>
      </w:r>
      <w:r w:rsidRPr="00F72F4D">
        <w:rPr>
          <w:iCs/>
          <w:smallCaps/>
        </w:rPr>
        <w:t>Subst</w:t>
      </w:r>
      <w:r>
        <w:rPr>
          <w:iCs/>
        </w:rPr>
        <w:t>. R. 25.173.</w:t>
      </w:r>
    </w:p>
    <w:p w14:paraId="22E143D1" w14:textId="77777777" w:rsidR="008B67C9" w:rsidRDefault="008B67C9">
      <w:pPr>
        <w:pStyle w:val="H3"/>
      </w:pPr>
      <w:bookmarkStart w:id="6" w:name="_Toc440463358"/>
      <w:r>
        <w:t>14.2.1</w:t>
      </w:r>
      <w:r>
        <w:tab/>
        <w:t>Site Visits</w:t>
      </w:r>
      <w:bookmarkEnd w:id="6"/>
    </w:p>
    <w:p w14:paraId="36F37C9F" w14:textId="77777777" w:rsidR="008B67C9" w:rsidRDefault="005A12EF" w:rsidP="002508F5">
      <w:pPr>
        <w:spacing w:after="240"/>
        <w:ind w:left="720" w:hanging="720"/>
      </w:pPr>
      <w:r>
        <w:t>(1)</w:t>
      </w:r>
      <w:r>
        <w:tab/>
      </w:r>
      <w:r w:rsidR="008B67C9">
        <w:t>ERCOT may conduct site visits to renewable energy generation facilities on a random basis to ensure integrity of the REC Trading Program, as deemed necessary.  ERCOT shall require each registered renewable energy generator to provide one or more contact persons for purpose of site visit notification.  ERCOT shall provide at least 48 hours</w:t>
      </w:r>
      <w:r>
        <w:t>’</w:t>
      </w:r>
      <w:r w:rsidR="008B67C9">
        <w:t xml:space="preserve"> notice to the designated contact(s) prior to conducting a site visit for </w:t>
      </w:r>
      <w:r w:rsidRPr="000E70A9">
        <w:t>Intermit</w:t>
      </w:r>
      <w:r>
        <w:t>tent Renewable</w:t>
      </w:r>
      <w:r w:rsidR="008B67C9">
        <w:t xml:space="preserve"> Resources </w:t>
      </w:r>
      <w:r>
        <w:t xml:space="preserve">(IRRs) </w:t>
      </w:r>
      <w:r w:rsidR="008B67C9">
        <w:t>only.</w:t>
      </w:r>
    </w:p>
    <w:p w14:paraId="3600B57B" w14:textId="77777777" w:rsidR="008B67C9" w:rsidRDefault="008B67C9" w:rsidP="002508F5">
      <w:pPr>
        <w:pStyle w:val="H2"/>
        <w:ind w:left="907" w:hanging="907"/>
      </w:pPr>
      <w:bookmarkStart w:id="7" w:name="_Toc440463359"/>
      <w:r>
        <w:t>14.3</w:t>
      </w:r>
      <w:r>
        <w:tab/>
        <w:t>Creation of Renewable Energy Credit Accounts and Attributes of Renewable Energy Credits</w:t>
      </w:r>
      <w:bookmarkEnd w:id="7"/>
    </w:p>
    <w:p w14:paraId="543F01BB" w14:textId="77777777" w:rsidR="008B67C9" w:rsidRDefault="008B67C9">
      <w:pPr>
        <w:pStyle w:val="H3"/>
      </w:pPr>
      <w:bookmarkStart w:id="8" w:name="_Toc440463360"/>
      <w:r>
        <w:t>14.3.1</w:t>
      </w:r>
      <w:r>
        <w:tab/>
        <w:t>Creation of Renewable Energy Credit Accounts</w:t>
      </w:r>
      <w:bookmarkEnd w:id="8"/>
    </w:p>
    <w:p w14:paraId="103238CE" w14:textId="77777777" w:rsidR="008B67C9" w:rsidRDefault="005A12EF" w:rsidP="002508F5">
      <w:pPr>
        <w:spacing w:after="240"/>
        <w:ind w:left="720" w:hanging="720"/>
      </w:pPr>
      <w:r>
        <w:t>(1)</w:t>
      </w:r>
      <w:r>
        <w:tab/>
      </w:r>
      <w:r w:rsidR="008B67C9">
        <w:t xml:space="preserve">ERCOT shall create Renewable Energy Credit (REC) </w:t>
      </w:r>
      <w:r w:rsidR="00EA4355">
        <w:t>A</w:t>
      </w:r>
      <w:r w:rsidR="008B67C9">
        <w:t xml:space="preserve">ccounts for any party desiring to participate in the REC Trading Program.  ERCOT shall require all holders of REC </w:t>
      </w:r>
      <w:r w:rsidR="00600D51">
        <w:t>A</w:t>
      </w:r>
      <w:r w:rsidR="008B67C9">
        <w:t xml:space="preserve">ccounts to execute a </w:t>
      </w:r>
      <w:r w:rsidR="00600D51">
        <w:t>S</w:t>
      </w:r>
      <w:r w:rsidR="008B67C9">
        <w:t xml:space="preserve">tandard </w:t>
      </w:r>
      <w:r w:rsidR="00600D51">
        <w:t xml:space="preserve">Form Market Participant </w:t>
      </w:r>
      <w:r w:rsidR="008B67C9">
        <w:t xml:space="preserve">Agreement </w:t>
      </w:r>
      <w:r w:rsidR="00600D51">
        <w:t xml:space="preserve">(as provided for in Section 22, Attachment A, Standard Form Market Participant Agreement) </w:t>
      </w:r>
      <w:r w:rsidR="008B67C9">
        <w:t xml:space="preserve">with ERCOT.  Each party requesting a REC </w:t>
      </w:r>
      <w:r w:rsidR="00600D51">
        <w:t>A</w:t>
      </w:r>
      <w:r w:rsidR="008B67C9">
        <w:t xml:space="preserve">ccount must name a Designated Representative.  The Designated Representative must have the authority to represent and legally bind the </w:t>
      </w:r>
      <w:r w:rsidR="00600D51">
        <w:t>REC Account Holder</w:t>
      </w:r>
      <w:r w:rsidR="008B67C9">
        <w:t xml:space="preserve"> in all matters pertaining to the REC Trading Program.  These individuals will be the contact persons for ERCOT on matters regarding a REC </w:t>
      </w:r>
      <w:r w:rsidR="00600D51">
        <w:t>A</w:t>
      </w:r>
      <w:r w:rsidR="008B67C9">
        <w:t>ccount.</w:t>
      </w:r>
    </w:p>
    <w:p w14:paraId="71B9F074" w14:textId="77777777" w:rsidR="008C51D1" w:rsidRDefault="008C51D1" w:rsidP="008C51D1">
      <w:pPr>
        <w:keepNext/>
        <w:tabs>
          <w:tab w:val="left" w:pos="1080"/>
        </w:tabs>
        <w:spacing w:before="240" w:after="240"/>
        <w:ind w:left="1080" w:hanging="1080"/>
        <w:outlineLvl w:val="2"/>
        <w:rPr>
          <w:b/>
          <w:bCs/>
          <w:i/>
        </w:rPr>
      </w:pPr>
      <w:bookmarkStart w:id="9" w:name="_Toc239073021"/>
      <w:bookmarkStart w:id="10" w:name="_Toc440463361"/>
      <w:r>
        <w:rPr>
          <w:b/>
          <w:bCs/>
          <w:i/>
        </w:rPr>
        <w:t>14.3.2</w:t>
      </w:r>
      <w:r>
        <w:rPr>
          <w:b/>
          <w:bCs/>
          <w:i/>
        </w:rPr>
        <w:tab/>
        <w:t>Attributes of Renewable Energy Credits and Compliance Premiums</w:t>
      </w:r>
      <w:bookmarkEnd w:id="9"/>
      <w:bookmarkEnd w:id="10"/>
    </w:p>
    <w:p w14:paraId="054A8622" w14:textId="77777777" w:rsidR="008C51D1" w:rsidRDefault="008C51D1" w:rsidP="008C51D1">
      <w:pPr>
        <w:pStyle w:val="BodyText"/>
        <w:ind w:left="720" w:hanging="720"/>
      </w:pPr>
      <w:r>
        <w:t>(1)</w:t>
      </w:r>
      <w:r>
        <w:tab/>
        <w:t>A REC or Compliance Premium is a tradable instrument that represents all of the renewable attributes associated with one MWh of production from a certified renewable generator.  A REC or Compliance Premium may trade separately from energy.  RECs are distributed to REC generators on a quarterly basis by ERCOT.  The number of RECs distributed to a certified generator is based on physically metered MWh production.  RECs may be traded, transferred, and retired.</w:t>
      </w:r>
    </w:p>
    <w:p w14:paraId="170880B9" w14:textId="77777777" w:rsidR="00C6024E" w:rsidRDefault="008C51D1" w:rsidP="00C6024E">
      <w:pPr>
        <w:spacing w:after="240"/>
        <w:ind w:left="720" w:hanging="720"/>
        <w:rPr>
          <w:iCs/>
        </w:rPr>
      </w:pPr>
      <w:r>
        <w:rPr>
          <w:iCs/>
        </w:rPr>
        <w:t>(2)</w:t>
      </w:r>
      <w:r>
        <w:rPr>
          <w:iCs/>
        </w:rPr>
        <w:tab/>
        <w:t xml:space="preserve">Compliance Premiums are awarded by the Program Administrator in conjunction with a REC that is generated by a renewable energy Resource that is not powered by wind and meets the criteria of subsection (l) of P.U.C. </w:t>
      </w:r>
      <w:r>
        <w:rPr>
          <w:iCs/>
          <w:smallCaps/>
        </w:rPr>
        <w:t>Subst.</w:t>
      </w:r>
      <w:r>
        <w:rPr>
          <w:iCs/>
        </w:rPr>
        <w:t xml:space="preserve"> R. 25.173, Goal for Renewable Energy.  For the purpose of the Renewable Portfolio Standard (RPS) requirements, one Compliance Premium is equal to one REC.</w:t>
      </w:r>
      <w:r w:rsidR="00C6024E" w:rsidRPr="00C6024E">
        <w:rPr>
          <w:iCs/>
        </w:rPr>
        <w:t xml:space="preserve"> </w:t>
      </w:r>
    </w:p>
    <w:p w14:paraId="3C3EFFCA" w14:textId="77777777" w:rsidR="008C51D1" w:rsidRDefault="00C6024E" w:rsidP="00C6024E">
      <w:pPr>
        <w:spacing w:after="240"/>
        <w:ind w:left="720" w:hanging="720"/>
        <w:rPr>
          <w:iCs/>
        </w:rPr>
      </w:pPr>
      <w:r>
        <w:rPr>
          <w:iCs/>
        </w:rPr>
        <w:lastRenderedPageBreak/>
        <w:t>(3)</w:t>
      </w:r>
      <w:r>
        <w:rPr>
          <w:iCs/>
        </w:rPr>
        <w:tab/>
        <w:t xml:space="preserve">The components of a REC and Compliance Premium are defined in the table below. </w:t>
      </w:r>
    </w:p>
    <w:tbl>
      <w:tblPr>
        <w:tblW w:w="0" w:type="auto"/>
        <w:tblInd w:w="82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700"/>
        <w:gridCol w:w="1260"/>
        <w:gridCol w:w="3870"/>
      </w:tblGrid>
      <w:tr w:rsidR="008C51D1" w14:paraId="108479BE" w14:textId="77777777" w:rsidTr="004878DD">
        <w:tc>
          <w:tcPr>
            <w:tcW w:w="2700" w:type="dxa"/>
            <w:tcBorders>
              <w:top w:val="single" w:sz="18" w:space="0" w:color="auto"/>
              <w:bottom w:val="double" w:sz="4" w:space="0" w:color="auto"/>
            </w:tcBorders>
            <w:vAlign w:val="bottom"/>
          </w:tcPr>
          <w:p w14:paraId="57E7C644" w14:textId="77777777" w:rsidR="008C51D1" w:rsidRDefault="008C51D1" w:rsidP="00C304A4">
            <w:pPr>
              <w:jc w:val="center"/>
              <w:rPr>
                <w:b/>
              </w:rPr>
            </w:pPr>
            <w:r>
              <w:rPr>
                <w:b/>
              </w:rPr>
              <w:t>REC Information</w:t>
            </w:r>
          </w:p>
        </w:tc>
        <w:tc>
          <w:tcPr>
            <w:tcW w:w="1260" w:type="dxa"/>
            <w:tcBorders>
              <w:top w:val="single" w:sz="18" w:space="0" w:color="auto"/>
              <w:bottom w:val="double" w:sz="4" w:space="0" w:color="auto"/>
            </w:tcBorders>
            <w:vAlign w:val="bottom"/>
          </w:tcPr>
          <w:p w14:paraId="71AE0F64" w14:textId="77777777" w:rsidR="008C51D1" w:rsidRDefault="008C51D1" w:rsidP="00C304A4">
            <w:pPr>
              <w:jc w:val="center"/>
              <w:rPr>
                <w:b/>
              </w:rPr>
            </w:pPr>
            <w:r>
              <w:rPr>
                <w:b/>
              </w:rPr>
              <w:t>Field Length</w:t>
            </w:r>
          </w:p>
        </w:tc>
        <w:tc>
          <w:tcPr>
            <w:tcW w:w="3870" w:type="dxa"/>
            <w:tcBorders>
              <w:top w:val="single" w:sz="18" w:space="0" w:color="auto"/>
              <w:bottom w:val="double" w:sz="4" w:space="0" w:color="auto"/>
            </w:tcBorders>
            <w:vAlign w:val="bottom"/>
          </w:tcPr>
          <w:p w14:paraId="3D9176B9" w14:textId="77777777" w:rsidR="008C51D1" w:rsidRDefault="008C51D1" w:rsidP="00C304A4">
            <w:pPr>
              <w:jc w:val="center"/>
              <w:rPr>
                <w:b/>
              </w:rPr>
            </w:pPr>
            <w:r>
              <w:rPr>
                <w:b/>
              </w:rPr>
              <w:t>Description</w:t>
            </w:r>
          </w:p>
        </w:tc>
      </w:tr>
      <w:tr w:rsidR="008C51D1" w14:paraId="2E52044D" w14:textId="77777777" w:rsidTr="004878DD">
        <w:tc>
          <w:tcPr>
            <w:tcW w:w="2700" w:type="dxa"/>
            <w:tcBorders>
              <w:top w:val="double" w:sz="4" w:space="0" w:color="auto"/>
              <w:bottom w:val="single" w:sz="4" w:space="0" w:color="auto"/>
              <w:right w:val="single" w:sz="4" w:space="0" w:color="auto"/>
            </w:tcBorders>
          </w:tcPr>
          <w:p w14:paraId="453F1C08" w14:textId="77777777" w:rsidR="008C51D1" w:rsidRDefault="008C51D1" w:rsidP="00C304A4">
            <w:r>
              <w:t>Year</w:t>
            </w:r>
          </w:p>
        </w:tc>
        <w:tc>
          <w:tcPr>
            <w:tcW w:w="1260" w:type="dxa"/>
            <w:tcBorders>
              <w:top w:val="double" w:sz="4" w:space="0" w:color="auto"/>
              <w:left w:val="single" w:sz="4" w:space="0" w:color="auto"/>
              <w:bottom w:val="single" w:sz="4" w:space="0" w:color="auto"/>
              <w:right w:val="single" w:sz="4" w:space="0" w:color="auto"/>
            </w:tcBorders>
          </w:tcPr>
          <w:p w14:paraId="2123269D" w14:textId="77777777" w:rsidR="008C51D1" w:rsidRDefault="008C51D1" w:rsidP="00C304A4">
            <w:r>
              <w:t>4 Digits</w:t>
            </w:r>
          </w:p>
        </w:tc>
        <w:tc>
          <w:tcPr>
            <w:tcW w:w="3870" w:type="dxa"/>
            <w:tcBorders>
              <w:top w:val="double" w:sz="4" w:space="0" w:color="auto"/>
              <w:left w:val="single" w:sz="4" w:space="0" w:color="auto"/>
              <w:bottom w:val="single" w:sz="4" w:space="0" w:color="auto"/>
            </w:tcBorders>
          </w:tcPr>
          <w:p w14:paraId="5C8D285B" w14:textId="77777777" w:rsidR="008C51D1" w:rsidRDefault="008C51D1" w:rsidP="00C304A4">
            <w:r>
              <w:t>Year REC was issued</w:t>
            </w:r>
            <w:r w:rsidR="00A7196D">
              <w:t>.</w:t>
            </w:r>
          </w:p>
        </w:tc>
      </w:tr>
      <w:tr w:rsidR="008C51D1" w14:paraId="5BFC1D85" w14:textId="77777777" w:rsidTr="004878DD">
        <w:tc>
          <w:tcPr>
            <w:tcW w:w="2700" w:type="dxa"/>
            <w:tcBorders>
              <w:top w:val="single" w:sz="4" w:space="0" w:color="auto"/>
              <w:bottom w:val="single" w:sz="4" w:space="0" w:color="auto"/>
              <w:right w:val="single" w:sz="4" w:space="0" w:color="auto"/>
            </w:tcBorders>
          </w:tcPr>
          <w:p w14:paraId="1B7BBE44" w14:textId="77777777" w:rsidR="008C51D1" w:rsidRDefault="008C51D1" w:rsidP="00C304A4">
            <w:r>
              <w:t>Quarter</w:t>
            </w:r>
          </w:p>
        </w:tc>
        <w:tc>
          <w:tcPr>
            <w:tcW w:w="1260" w:type="dxa"/>
            <w:tcBorders>
              <w:top w:val="single" w:sz="4" w:space="0" w:color="auto"/>
              <w:left w:val="single" w:sz="4" w:space="0" w:color="auto"/>
              <w:bottom w:val="single" w:sz="4" w:space="0" w:color="auto"/>
              <w:right w:val="single" w:sz="4" w:space="0" w:color="auto"/>
            </w:tcBorders>
          </w:tcPr>
          <w:p w14:paraId="753EE455" w14:textId="77777777" w:rsidR="008C51D1" w:rsidRDefault="008C51D1" w:rsidP="00C304A4">
            <w:r>
              <w:t>1 Digit</w:t>
            </w:r>
          </w:p>
        </w:tc>
        <w:tc>
          <w:tcPr>
            <w:tcW w:w="3870" w:type="dxa"/>
            <w:tcBorders>
              <w:top w:val="single" w:sz="4" w:space="0" w:color="auto"/>
              <w:left w:val="single" w:sz="4" w:space="0" w:color="auto"/>
              <w:bottom w:val="single" w:sz="4" w:space="0" w:color="auto"/>
            </w:tcBorders>
          </w:tcPr>
          <w:p w14:paraId="08CA8279" w14:textId="77777777" w:rsidR="008C51D1" w:rsidRDefault="008C51D1" w:rsidP="00C304A4">
            <w:r>
              <w:t>Quarter REC was issued</w:t>
            </w:r>
            <w:r w:rsidR="00A7196D">
              <w:t>.</w:t>
            </w:r>
          </w:p>
        </w:tc>
      </w:tr>
      <w:tr w:rsidR="008C51D1" w14:paraId="0ED39A90" w14:textId="77777777" w:rsidTr="004878DD">
        <w:tc>
          <w:tcPr>
            <w:tcW w:w="2700" w:type="dxa"/>
            <w:tcBorders>
              <w:top w:val="single" w:sz="4" w:space="0" w:color="auto"/>
              <w:bottom w:val="single" w:sz="4" w:space="0" w:color="auto"/>
              <w:right w:val="single" w:sz="4" w:space="0" w:color="auto"/>
            </w:tcBorders>
          </w:tcPr>
          <w:p w14:paraId="72054EAE" w14:textId="77777777" w:rsidR="008C51D1" w:rsidRDefault="008C51D1" w:rsidP="00C304A4">
            <w:r>
              <w:t>Type of Renewable Resource</w:t>
            </w:r>
          </w:p>
        </w:tc>
        <w:tc>
          <w:tcPr>
            <w:tcW w:w="1260" w:type="dxa"/>
            <w:tcBorders>
              <w:top w:val="single" w:sz="4" w:space="0" w:color="auto"/>
              <w:left w:val="single" w:sz="4" w:space="0" w:color="auto"/>
              <w:bottom w:val="single" w:sz="4" w:space="0" w:color="auto"/>
              <w:right w:val="single" w:sz="4" w:space="0" w:color="auto"/>
            </w:tcBorders>
          </w:tcPr>
          <w:p w14:paraId="50A86178" w14:textId="77777777" w:rsidR="008C51D1" w:rsidRDefault="008C51D1" w:rsidP="00C304A4">
            <w:r>
              <w:t>2</w:t>
            </w:r>
            <w:r w:rsidR="00C6024E">
              <w:t>0</w:t>
            </w:r>
            <w:r>
              <w:t xml:space="preserve"> Characters</w:t>
            </w:r>
          </w:p>
        </w:tc>
        <w:tc>
          <w:tcPr>
            <w:tcW w:w="3870" w:type="dxa"/>
            <w:tcBorders>
              <w:top w:val="single" w:sz="4" w:space="0" w:color="auto"/>
              <w:left w:val="single" w:sz="4" w:space="0" w:color="auto"/>
              <w:bottom w:val="single" w:sz="4" w:space="0" w:color="auto"/>
            </w:tcBorders>
          </w:tcPr>
          <w:p w14:paraId="66B026F6" w14:textId="77777777" w:rsidR="008C51D1" w:rsidRDefault="00C6024E" w:rsidP="00C6024E">
            <w:r>
              <w:t>R</w:t>
            </w:r>
            <w:r w:rsidR="008C51D1">
              <w:t>eference to type of renewable Resource</w:t>
            </w:r>
            <w:r>
              <w:t>:  Solar, wind, biomass, tidal, geothermal, hydro, landfill gas, other</w:t>
            </w:r>
            <w:r w:rsidR="00A7196D">
              <w:t>.</w:t>
            </w:r>
          </w:p>
        </w:tc>
      </w:tr>
      <w:tr w:rsidR="008C51D1" w14:paraId="6FCC2621" w14:textId="77777777" w:rsidTr="004878DD">
        <w:tc>
          <w:tcPr>
            <w:tcW w:w="2700" w:type="dxa"/>
            <w:tcBorders>
              <w:top w:val="single" w:sz="4" w:space="0" w:color="auto"/>
              <w:bottom w:val="single" w:sz="4" w:space="0" w:color="auto"/>
              <w:right w:val="single" w:sz="4" w:space="0" w:color="auto"/>
            </w:tcBorders>
          </w:tcPr>
          <w:p w14:paraId="66DD4F11" w14:textId="77777777" w:rsidR="008C51D1" w:rsidRDefault="008C51D1" w:rsidP="00C304A4">
            <w:r>
              <w:t>Facility Identification Number</w:t>
            </w:r>
          </w:p>
        </w:tc>
        <w:tc>
          <w:tcPr>
            <w:tcW w:w="1260" w:type="dxa"/>
            <w:tcBorders>
              <w:top w:val="single" w:sz="4" w:space="0" w:color="auto"/>
              <w:left w:val="single" w:sz="4" w:space="0" w:color="auto"/>
              <w:bottom w:val="single" w:sz="4" w:space="0" w:color="auto"/>
              <w:right w:val="single" w:sz="4" w:space="0" w:color="auto"/>
            </w:tcBorders>
          </w:tcPr>
          <w:p w14:paraId="532F2753" w14:textId="77777777" w:rsidR="008C51D1" w:rsidRDefault="008C51D1" w:rsidP="00C304A4">
            <w:r>
              <w:t>5 Digits</w:t>
            </w:r>
          </w:p>
        </w:tc>
        <w:tc>
          <w:tcPr>
            <w:tcW w:w="3870" w:type="dxa"/>
            <w:tcBorders>
              <w:top w:val="single" w:sz="4" w:space="0" w:color="auto"/>
              <w:left w:val="single" w:sz="4" w:space="0" w:color="auto"/>
              <w:bottom w:val="single" w:sz="4" w:space="0" w:color="auto"/>
            </w:tcBorders>
          </w:tcPr>
          <w:p w14:paraId="5304876C" w14:textId="77777777" w:rsidR="008C51D1" w:rsidRDefault="008C51D1" w:rsidP="00C304A4">
            <w:r>
              <w:t>Number to be assigned by ERCOT</w:t>
            </w:r>
            <w:r w:rsidR="00A7196D">
              <w:t>.</w:t>
            </w:r>
          </w:p>
        </w:tc>
      </w:tr>
      <w:tr w:rsidR="008C51D1" w14:paraId="0195812F" w14:textId="77777777" w:rsidTr="004878DD">
        <w:tc>
          <w:tcPr>
            <w:tcW w:w="2700" w:type="dxa"/>
            <w:tcBorders>
              <w:top w:val="single" w:sz="4" w:space="0" w:color="auto"/>
              <w:bottom w:val="single" w:sz="18" w:space="0" w:color="auto"/>
              <w:right w:val="single" w:sz="4" w:space="0" w:color="auto"/>
            </w:tcBorders>
          </w:tcPr>
          <w:p w14:paraId="05DFAF69" w14:textId="77777777" w:rsidR="008C51D1" w:rsidRDefault="008C51D1" w:rsidP="00C304A4">
            <w:r>
              <w:t>REC Number</w:t>
            </w:r>
          </w:p>
        </w:tc>
        <w:tc>
          <w:tcPr>
            <w:tcW w:w="1260" w:type="dxa"/>
            <w:tcBorders>
              <w:top w:val="single" w:sz="4" w:space="0" w:color="auto"/>
              <w:left w:val="single" w:sz="4" w:space="0" w:color="auto"/>
              <w:bottom w:val="single" w:sz="18" w:space="0" w:color="auto"/>
              <w:right w:val="single" w:sz="4" w:space="0" w:color="auto"/>
            </w:tcBorders>
          </w:tcPr>
          <w:p w14:paraId="71590684" w14:textId="77777777" w:rsidR="008C51D1" w:rsidRDefault="008C51D1" w:rsidP="00C304A4">
            <w:r>
              <w:t>8 Digits</w:t>
            </w:r>
          </w:p>
        </w:tc>
        <w:tc>
          <w:tcPr>
            <w:tcW w:w="3870" w:type="dxa"/>
            <w:tcBorders>
              <w:top w:val="single" w:sz="4" w:space="0" w:color="auto"/>
              <w:left w:val="single" w:sz="4" w:space="0" w:color="auto"/>
              <w:bottom w:val="single" w:sz="18" w:space="0" w:color="auto"/>
            </w:tcBorders>
          </w:tcPr>
          <w:p w14:paraId="7F5BD8B5" w14:textId="77777777" w:rsidR="008C51D1" w:rsidRDefault="008C51D1" w:rsidP="00C304A4">
            <w:r>
              <w:t xml:space="preserve">REC Number 1 through the number of MWh generated by the facility during the quarter. </w:t>
            </w:r>
          </w:p>
        </w:tc>
      </w:tr>
    </w:tbl>
    <w:p w14:paraId="5F898B10" w14:textId="77777777" w:rsidR="008C51D1" w:rsidRDefault="008C51D1" w:rsidP="008C51D1">
      <w:pPr>
        <w:pStyle w:val="Spaceafterbox"/>
      </w:pPr>
    </w:p>
    <w:p w14:paraId="3AA8DE59" w14:textId="77777777" w:rsidR="008C51D1" w:rsidRDefault="008C51D1" w:rsidP="008C51D1">
      <w:pPr>
        <w:spacing w:after="240"/>
        <w:ind w:left="720" w:hanging="720"/>
        <w:rPr>
          <w:iCs/>
        </w:rPr>
      </w:pPr>
      <w:r>
        <w:rPr>
          <w:iCs/>
        </w:rPr>
        <w:t>(</w:t>
      </w:r>
      <w:r w:rsidR="00C6024E">
        <w:rPr>
          <w:iCs/>
        </w:rPr>
        <w:t>4</w:t>
      </w:r>
      <w:r>
        <w:rPr>
          <w:iCs/>
        </w:rPr>
        <w:t>)</w:t>
      </w:r>
      <w:r>
        <w:rPr>
          <w:iCs/>
        </w:rPr>
        <w:tab/>
        <w:t>The Facility Identification Number assigned by ERCOT will be fixed for a facility’s lifetime, and will therefore remain constant regardless of changes in facility name or ownership.  Facilities must file changes of name, ownership, or other relevant certification information with ERCOT within 30 days of such changes.</w:t>
      </w:r>
    </w:p>
    <w:p w14:paraId="7B66D318" w14:textId="77777777" w:rsidR="008C51D1" w:rsidRDefault="008C51D1" w:rsidP="008C51D1">
      <w:pPr>
        <w:spacing w:after="240"/>
        <w:ind w:left="720" w:hanging="720"/>
        <w:rPr>
          <w:iCs/>
        </w:rPr>
      </w:pPr>
      <w:r>
        <w:rPr>
          <w:iCs/>
        </w:rPr>
        <w:t>(</w:t>
      </w:r>
      <w:r w:rsidR="00C6024E">
        <w:rPr>
          <w:iCs/>
        </w:rPr>
        <w:t>5</w:t>
      </w:r>
      <w:r>
        <w:rPr>
          <w:iCs/>
        </w:rPr>
        <w:t>)</w:t>
      </w:r>
      <w:r>
        <w:rPr>
          <w:iCs/>
        </w:rPr>
        <w:tab/>
        <w:t>Generating facilities that lose their Public Utility Commission of Texas (PUCT) REC generator certification will not be awarded RECs by ERCOT subsequent to the date of the certification revocation, unless ERCOT is otherwise directed by the PUCT.</w:t>
      </w:r>
    </w:p>
    <w:p w14:paraId="32BD4CF6" w14:textId="77777777" w:rsidR="008C51D1" w:rsidRDefault="008C51D1" w:rsidP="008C51D1">
      <w:pPr>
        <w:spacing w:after="240"/>
        <w:ind w:left="720" w:hanging="720"/>
        <w:rPr>
          <w:iCs/>
        </w:rPr>
      </w:pPr>
      <w:r>
        <w:rPr>
          <w:iCs/>
        </w:rPr>
        <w:t>(</w:t>
      </w:r>
      <w:r w:rsidR="00C6024E">
        <w:rPr>
          <w:iCs/>
        </w:rPr>
        <w:t>6</w:t>
      </w:r>
      <w:r>
        <w:rPr>
          <w:iCs/>
        </w:rPr>
        <w:t>)</w:t>
      </w:r>
      <w:r>
        <w:rPr>
          <w:iCs/>
        </w:rPr>
        <w:tab/>
        <w:t xml:space="preserve">A REC </w:t>
      </w:r>
      <w:r w:rsidR="00C6024E">
        <w:rPr>
          <w:iCs/>
        </w:rPr>
        <w:t>or Compliance Premium</w:t>
      </w:r>
      <w:r>
        <w:rPr>
          <w:iCs/>
        </w:rPr>
        <w:t xml:space="preserve"> will have an issue date of the Compliance Period in which it is generated.</w:t>
      </w:r>
    </w:p>
    <w:p w14:paraId="233E3BFB" w14:textId="77777777" w:rsidR="008C51D1" w:rsidRDefault="008C51D1" w:rsidP="008C51D1">
      <w:pPr>
        <w:spacing w:after="240"/>
        <w:ind w:left="720" w:hanging="720"/>
        <w:rPr>
          <w:iCs/>
        </w:rPr>
      </w:pPr>
      <w:r>
        <w:rPr>
          <w:iCs/>
        </w:rPr>
        <w:t>(</w:t>
      </w:r>
      <w:r w:rsidR="00C6024E">
        <w:rPr>
          <w:iCs/>
        </w:rPr>
        <w:t>7</w:t>
      </w:r>
      <w:r>
        <w:rPr>
          <w:iCs/>
        </w:rPr>
        <w:t>)</w:t>
      </w:r>
      <w:r>
        <w:rPr>
          <w:iCs/>
        </w:rPr>
        <w:tab/>
        <w:t xml:space="preserve">RECs </w:t>
      </w:r>
      <w:r w:rsidR="00C6024E">
        <w:rPr>
          <w:iCs/>
        </w:rPr>
        <w:t xml:space="preserve">and Compliance Premiums </w:t>
      </w:r>
      <w:r>
        <w:rPr>
          <w:iCs/>
        </w:rPr>
        <w:t xml:space="preserve">have a useful life of three Compliance Periods.  For example, a qualifying MWh of renewable energy generated on </w:t>
      </w:r>
      <w:smartTag w:uri="urn:schemas-microsoft-com:office:smarttags" w:element="date">
        <w:smartTagPr>
          <w:attr w:name="Year" w:val="2006"/>
          <w:attr w:name="Day" w:val="31"/>
          <w:attr w:name="Month" w:val="12"/>
        </w:smartTagPr>
        <w:r>
          <w:rPr>
            <w:iCs/>
          </w:rPr>
          <w:t>December 31, 2006</w:t>
        </w:r>
      </w:smartTag>
      <w:r>
        <w:rPr>
          <w:iCs/>
        </w:rPr>
        <w:t xml:space="preserve"> will be the basis for a REC having an issue date of 2006.  The three Compliance Periods for which this REC may be used are 2006, 2007, and 2008.  This REC will expire one Business Day after </w:t>
      </w:r>
      <w:smartTag w:uri="urn:schemas-microsoft-com:office:smarttags" w:element="date">
        <w:smartTagPr>
          <w:attr w:name="Month" w:val="3"/>
          <w:attr w:name="Day" w:val="31"/>
          <w:attr w:name="Year" w:val="2009"/>
        </w:smartTagPr>
        <w:r>
          <w:rPr>
            <w:iCs/>
          </w:rPr>
          <w:t>March 31, 2009</w:t>
        </w:r>
      </w:smartTag>
      <w:r>
        <w:rPr>
          <w:iCs/>
        </w:rPr>
        <w:t xml:space="preserve">.  March 31 is the date by which a Retail Entity must submit its annual REC compliance retirement information to ERCOT.  </w:t>
      </w:r>
    </w:p>
    <w:p w14:paraId="258FD205" w14:textId="77777777" w:rsidR="008B67C9" w:rsidRDefault="008B67C9">
      <w:pPr>
        <w:pStyle w:val="H2"/>
      </w:pPr>
      <w:bookmarkStart w:id="11" w:name="_Toc440463362"/>
      <w:r>
        <w:t>14.4</w:t>
      </w:r>
      <w:r>
        <w:tab/>
        <w:t>Registration to Become a Renewable Energy Credit Generator or Renewable Energy Credit Aggregator</w:t>
      </w:r>
      <w:bookmarkEnd w:id="11"/>
    </w:p>
    <w:p w14:paraId="1978C862" w14:textId="77777777" w:rsidR="008B67C9" w:rsidRDefault="008B67C9">
      <w:pPr>
        <w:spacing w:after="240"/>
        <w:ind w:left="720" w:hanging="720"/>
        <w:rPr>
          <w:iCs/>
        </w:rPr>
      </w:pPr>
      <w:r>
        <w:rPr>
          <w:iCs/>
        </w:rPr>
        <w:t>(1)</w:t>
      </w:r>
      <w:r>
        <w:rPr>
          <w:iCs/>
        </w:rPr>
        <w:tab/>
        <w:t xml:space="preserve">Renewable Energy Credit (REC) generators or REC aggregators must apply to the Public Utility Commission of Texas (PUCT) for certification to produce or aggregate </w:t>
      </w:r>
      <w:proofErr w:type="spellStart"/>
      <w:r>
        <w:rPr>
          <w:iCs/>
        </w:rPr>
        <w:t>RECs.</w:t>
      </w:r>
      <w:proofErr w:type="spellEnd"/>
      <w:r>
        <w:rPr>
          <w:iCs/>
        </w:rPr>
        <w:t xml:space="preserve">  On receipt of a copy of a notification from the PUCT certifying that a renewable energy generation facility is eligible to generate or an Entity is eligible to aggregate RECs, ERCOT shall establish a REC </w:t>
      </w:r>
      <w:r w:rsidR="00A7196D">
        <w:rPr>
          <w:iCs/>
        </w:rPr>
        <w:t>trading a</w:t>
      </w:r>
      <w:r>
        <w:rPr>
          <w:iCs/>
        </w:rPr>
        <w:t xml:space="preserve">ccount for the facility or Entity.  Each REC </w:t>
      </w:r>
      <w:r w:rsidR="00A7196D">
        <w:rPr>
          <w:iCs/>
        </w:rPr>
        <w:t>trading a</w:t>
      </w:r>
      <w:r>
        <w:rPr>
          <w:iCs/>
        </w:rPr>
        <w:t>ccount shall have a unique identification number.</w:t>
      </w:r>
    </w:p>
    <w:p w14:paraId="49AC24C7" w14:textId="77777777" w:rsidR="008B67C9" w:rsidRDefault="008B67C9">
      <w:pPr>
        <w:spacing w:after="240"/>
        <w:ind w:left="720" w:hanging="720"/>
        <w:rPr>
          <w:iCs/>
        </w:rPr>
      </w:pPr>
      <w:r>
        <w:rPr>
          <w:iCs/>
        </w:rPr>
        <w:lastRenderedPageBreak/>
        <w:t xml:space="preserve"> (2)</w:t>
      </w:r>
      <w:r>
        <w:rPr>
          <w:iCs/>
        </w:rPr>
        <w:tab/>
      </w:r>
      <w:r w:rsidR="00C6024E">
        <w:rPr>
          <w:iCs/>
        </w:rPr>
        <w:t>ERCOT may close an account holding no RECs or Compliance Premiums for a period of one year a</w:t>
      </w:r>
      <w:r>
        <w:rPr>
          <w:iCs/>
        </w:rPr>
        <w:t>fter providing 30 days</w:t>
      </w:r>
      <w:r w:rsidR="00C6024E">
        <w:rPr>
          <w:iCs/>
        </w:rPr>
        <w:t>’ advance</w:t>
      </w:r>
      <w:r>
        <w:rPr>
          <w:iCs/>
        </w:rPr>
        <w:t xml:space="preserve"> </w:t>
      </w:r>
      <w:r w:rsidR="00A7196D">
        <w:rPr>
          <w:iCs/>
        </w:rPr>
        <w:t>N</w:t>
      </w:r>
      <w:r>
        <w:rPr>
          <w:iCs/>
        </w:rPr>
        <w:t>otice to the REC Account Holder.</w:t>
      </w:r>
    </w:p>
    <w:p w14:paraId="6C0BC394" w14:textId="77777777" w:rsidR="008B67C9" w:rsidRDefault="008B67C9">
      <w:pPr>
        <w:pStyle w:val="H2"/>
        <w:keepNext w:val="0"/>
        <w:ind w:left="0" w:firstLine="0"/>
      </w:pPr>
      <w:bookmarkStart w:id="12" w:name="_Toc440463363"/>
      <w:r>
        <w:t>14.5</w:t>
      </w:r>
      <w:r>
        <w:tab/>
        <w:t>Reporting Requirements</w:t>
      </w:r>
      <w:bookmarkEnd w:id="12"/>
    </w:p>
    <w:p w14:paraId="1A5AE414" w14:textId="77777777" w:rsidR="008B67C9" w:rsidRDefault="008B67C9">
      <w:pPr>
        <w:pStyle w:val="H3"/>
        <w:keepNext w:val="0"/>
      </w:pPr>
      <w:bookmarkStart w:id="13" w:name="_Toc440463364"/>
      <w:r>
        <w:t>14.5.1</w:t>
      </w:r>
      <w:r>
        <w:tab/>
        <w:t>Renewable Energy Credit Generators and Renewable Energy Credit Offset Generators</w:t>
      </w:r>
      <w:bookmarkEnd w:id="13"/>
    </w:p>
    <w:p w14:paraId="2BEC888B" w14:textId="77777777" w:rsidR="008B67C9" w:rsidRDefault="008B67C9" w:rsidP="00152F02">
      <w:pPr>
        <w:pStyle w:val="BodyTextNumbered"/>
        <w:spacing w:after="240"/>
        <w:ind w:left="720" w:hanging="720"/>
      </w:pPr>
      <w:r>
        <w:t>(1)</w:t>
      </w:r>
      <w:r>
        <w:tab/>
        <w:t>All Renewable Energy Credit (REC) generators and REC offset generators must report quarterly MWh production data to ERCOT no later than the 38</w:t>
      </w:r>
      <w:r>
        <w:rPr>
          <w:vertAlign w:val="superscript"/>
        </w:rPr>
        <w:t>th</w:t>
      </w:r>
      <w:r>
        <w:t xml:space="preserve"> day after the last Operating Day of the quarter, in an electronic format prescribed by ERCOT.  The reported MWh quantity shall be solely produced from, and attributable to, a renewable generator as so designated by the Public Utility Commission of Texas (PUCT).  Information relevant to quarterly reporting shall be handled in one of the following processes:</w:t>
      </w:r>
    </w:p>
    <w:p w14:paraId="2C3EF598" w14:textId="329DD385" w:rsidR="0065114D" w:rsidRDefault="008B67C9">
      <w:pPr>
        <w:pStyle w:val="List"/>
        <w:ind w:left="1440"/>
      </w:pPr>
      <w:r>
        <w:t>(a)</w:t>
      </w:r>
      <w:r>
        <w:tab/>
      </w:r>
      <w:r w:rsidR="00817C3A">
        <w:t>A r</w:t>
      </w:r>
      <w:r w:rsidR="00817C3A" w:rsidRPr="009C7388">
        <w:t xml:space="preserve">enewable Generation Resource </w:t>
      </w:r>
      <w:r w:rsidR="00817C3A">
        <w:t>or Settlement Only Generator (SOG)</w:t>
      </w:r>
      <w:r w:rsidR="00817C3A" w:rsidRPr="009C7388">
        <w:t xml:space="preserve"> that ha</w:t>
      </w:r>
      <w:r w:rsidR="00817C3A">
        <w:t>s</w:t>
      </w:r>
      <w:r w:rsidR="00817C3A" w:rsidRPr="009C7388">
        <w:t xml:space="preserve"> interval meters, pursuant to Section 10, Metering, and ha</w:t>
      </w:r>
      <w:r w:rsidR="00817C3A">
        <w:t>s</w:t>
      </w:r>
      <w:r w:rsidR="00817C3A" w:rsidRPr="009C7388">
        <w:t xml:space="preserve"> interval metered generation data provided to ERCOT for energy Settlement will:</w:t>
      </w:r>
    </w:p>
    <w:p w14:paraId="570280A8" w14:textId="77777777" w:rsidR="008B67C9" w:rsidRDefault="0065114D" w:rsidP="00C84429">
      <w:pPr>
        <w:pStyle w:val="List"/>
        <w:ind w:left="2160"/>
      </w:pPr>
      <w:r>
        <w:t>(</w:t>
      </w:r>
      <w:proofErr w:type="spellStart"/>
      <w:r>
        <w:t>i</w:t>
      </w:r>
      <w:proofErr w:type="spellEnd"/>
      <w:r>
        <w:t>)</w:t>
      </w:r>
      <w:r>
        <w:tab/>
        <w:t>H</w:t>
      </w:r>
      <w:r w:rsidR="008B67C9">
        <w:t>ave the quarterly reporting function performed on their behalf by ERCOT using the Settlement Quality Meter Data extracted from the ERCOT Settlement system;</w:t>
      </w:r>
      <w:r>
        <w:t xml:space="preserve"> or</w:t>
      </w:r>
    </w:p>
    <w:p w14:paraId="160E9483" w14:textId="77777777" w:rsidR="0065114D" w:rsidRDefault="0065114D" w:rsidP="0065114D">
      <w:pPr>
        <w:spacing w:after="240"/>
        <w:ind w:left="2160" w:hanging="720"/>
      </w:pPr>
      <w:r>
        <w:t>(ii)</w:t>
      </w:r>
      <w:r>
        <w:tab/>
        <w:t>Self-report their S</w:t>
      </w:r>
      <w:r w:rsidRPr="00672867">
        <w:t>ettlement</w:t>
      </w:r>
      <w:r>
        <w:t xml:space="preserve"> quality MWh production data to ERCOT, in a format and on a timeline prescribed by ERCOT, based on Metering Facilities that are:</w:t>
      </w:r>
    </w:p>
    <w:p w14:paraId="48641325" w14:textId="77777777" w:rsidR="0065114D" w:rsidRDefault="0065114D" w:rsidP="00C6024E">
      <w:pPr>
        <w:pStyle w:val="List3"/>
        <w:ind w:left="2880"/>
      </w:pPr>
      <w:r>
        <w:t>(A)</w:t>
      </w:r>
      <w:r>
        <w:tab/>
        <w:t xml:space="preserve">Installed, operated and maintained by the </w:t>
      </w:r>
      <w:r w:rsidR="00C6024E">
        <w:t>REC generator</w:t>
      </w:r>
      <w:r>
        <w:t xml:space="preserve">; </w:t>
      </w:r>
    </w:p>
    <w:p w14:paraId="423F5D11" w14:textId="77777777" w:rsidR="0065114D" w:rsidRDefault="0065114D" w:rsidP="00925DDE">
      <w:pPr>
        <w:pStyle w:val="List3"/>
        <w:ind w:left="2880"/>
      </w:pPr>
      <w:r>
        <w:t>(B)</w:t>
      </w:r>
      <w:r>
        <w:tab/>
        <w:t>Installed in a location to only record energy from generation certified by the PUCT to receive RECs;</w:t>
      </w:r>
    </w:p>
    <w:p w14:paraId="13E21ADD" w14:textId="77777777" w:rsidR="0065114D" w:rsidRDefault="0065114D" w:rsidP="0065114D">
      <w:pPr>
        <w:pStyle w:val="List3"/>
        <w:ind w:left="2880"/>
      </w:pPr>
      <w:r>
        <w:t>(C)</w:t>
      </w:r>
      <w:r>
        <w:tab/>
        <w:t xml:space="preserve">Compliant with </w:t>
      </w:r>
      <w:r w:rsidRPr="00F422A2">
        <w:rPr>
          <w:iCs/>
        </w:rPr>
        <w:t>American National Standards Institute (</w:t>
      </w:r>
      <w:r>
        <w:t xml:space="preserve">ANSI) C12, </w:t>
      </w:r>
      <w:r w:rsidRPr="00F422A2">
        <w:rPr>
          <w:iCs/>
        </w:rPr>
        <w:t>Code for Electricity Metering</w:t>
      </w:r>
      <w:r>
        <w:rPr>
          <w:iCs/>
        </w:rPr>
        <w:t>,</w:t>
      </w:r>
      <w:r>
        <w:t xml:space="preserve"> metering accuracy standards; and</w:t>
      </w:r>
    </w:p>
    <w:p w14:paraId="642D40E9" w14:textId="77777777" w:rsidR="0065114D" w:rsidRDefault="0065114D" w:rsidP="00925DDE">
      <w:pPr>
        <w:pStyle w:val="List"/>
        <w:ind w:left="2880"/>
      </w:pPr>
      <w:r>
        <w:t>(D)</w:t>
      </w:r>
      <w:r>
        <w:tab/>
        <w:t>Verified for accuracy every six years.</w:t>
      </w:r>
    </w:p>
    <w:p w14:paraId="3720266D" w14:textId="77777777" w:rsidR="008B67C9" w:rsidRDefault="008B67C9">
      <w:pPr>
        <w:spacing w:after="240"/>
        <w:ind w:left="1440" w:hanging="720"/>
      </w:pPr>
      <w:r>
        <w:t>(b)</w:t>
      </w:r>
      <w:r>
        <w:tab/>
        <w:t>REC aggregat</w:t>
      </w:r>
      <w:r w:rsidR="00C6024E">
        <w:t>ors</w:t>
      </w:r>
      <w:r>
        <w:t xml:space="preserve"> shall report production from </w:t>
      </w:r>
      <w:proofErr w:type="spellStart"/>
      <w:r>
        <w:t>microgenerator</w:t>
      </w:r>
      <w:proofErr w:type="spellEnd"/>
      <w:r>
        <w:t xml:space="preserve"> renewable energy Resources that are not interval metered for energy Settlement, in accordance with the methodology approved by the PUCT for the purposes of measuring the REC production of such Resources, in the format prescribed by ERCOT, including applicable supporting documentation;</w:t>
      </w:r>
    </w:p>
    <w:p w14:paraId="676F0022" w14:textId="77777777" w:rsidR="008B67C9" w:rsidRDefault="008B67C9">
      <w:pPr>
        <w:pStyle w:val="List"/>
        <w:ind w:left="1440"/>
      </w:pPr>
      <w:r>
        <w:lastRenderedPageBreak/>
        <w:t>(c)</w:t>
      </w:r>
      <w:r>
        <w:tab/>
        <w:t>All other REC generators, not specifically covered in items (a) and (b) above, must report Settlement quality MWh production data to ERCOT in a format and on a timeline prescribed by ERCOT; provided that REC generators not interconnected to any Transmission and/or Distribution Service Provider (TDSP) may use performance measures for REC production as approved by the PUCT; or</w:t>
      </w:r>
    </w:p>
    <w:p w14:paraId="2864FEB5" w14:textId="77777777" w:rsidR="008B67C9" w:rsidRDefault="008B67C9">
      <w:pPr>
        <w:pStyle w:val="List"/>
        <w:ind w:left="1440"/>
      </w:pPr>
      <w:r>
        <w:t>(d)</w:t>
      </w:r>
      <w:r>
        <w:tab/>
        <w:t>Entities certified to produce RECs from landfill gas supplied directly to a gas distribution system operated by a Municipally Owned Utility (MOU) shall report the MWh equivalent production data and supporting calculations to ERCOT on a timeline prescribed by ERCOT.</w:t>
      </w:r>
    </w:p>
    <w:p w14:paraId="458C1DE0" w14:textId="77777777" w:rsidR="008B67C9" w:rsidRDefault="008B67C9">
      <w:pPr>
        <w:pStyle w:val="BodyText"/>
        <w:ind w:left="720" w:hanging="720"/>
      </w:pPr>
      <w:r>
        <w:t>(2)</w:t>
      </w:r>
      <w:r>
        <w:tab/>
        <w:t>From time to time, or as determined to be necessary by ERCOT or the PUCT, Entities may be required to submit supporting documentation to allow verification of generation quantities.</w:t>
      </w:r>
    </w:p>
    <w:p w14:paraId="2B62F617" w14:textId="77777777" w:rsidR="008B67C9" w:rsidRDefault="008B67C9">
      <w:pPr>
        <w:spacing w:after="240"/>
        <w:ind w:left="720" w:hanging="720"/>
        <w:rPr>
          <w:iCs/>
        </w:rPr>
      </w:pPr>
      <w:r>
        <w:rPr>
          <w:iCs/>
        </w:rPr>
        <w:t>(3)</w:t>
      </w:r>
      <w:r>
        <w:rPr>
          <w:iCs/>
        </w:rPr>
        <w:tab/>
        <w:t>The failure of a REC generator to report generation data in a timely fashion shall result in a delay in the issuance of RECs or Compliance Premiums for that generation facility for that quarter.  RECs or Compliance Premiums delayed by untimely reporting will be awarded during the REC award period next occurring after the required data are reported.  The issue date of such RECs or Compliance Premiums will be based on the quarter in which the RECs or Compliance Premiums were actually generated.</w:t>
      </w:r>
    </w:p>
    <w:p w14:paraId="0E87906C" w14:textId="77777777" w:rsidR="008C51D1" w:rsidRDefault="008C51D1" w:rsidP="008C51D1">
      <w:pPr>
        <w:tabs>
          <w:tab w:val="left" w:pos="1080"/>
        </w:tabs>
        <w:spacing w:before="240" w:after="240"/>
        <w:ind w:left="1080" w:hanging="1080"/>
        <w:outlineLvl w:val="2"/>
        <w:rPr>
          <w:b/>
          <w:bCs/>
          <w:i/>
        </w:rPr>
      </w:pPr>
      <w:bookmarkStart w:id="14" w:name="_Toc239073025"/>
      <w:bookmarkStart w:id="15" w:name="_Toc440463365"/>
      <w:bookmarkStart w:id="16" w:name="_Toc175576133"/>
      <w:r>
        <w:rPr>
          <w:b/>
          <w:bCs/>
          <w:i/>
        </w:rPr>
        <w:t>14.5.2</w:t>
      </w:r>
      <w:r>
        <w:rPr>
          <w:b/>
          <w:bCs/>
          <w:i/>
        </w:rPr>
        <w:tab/>
        <w:t>Retail Entities</w:t>
      </w:r>
      <w:bookmarkEnd w:id="14"/>
      <w:bookmarkEnd w:id="15"/>
    </w:p>
    <w:p w14:paraId="01BC3E54" w14:textId="77777777" w:rsidR="008C51D1" w:rsidRDefault="008C51D1" w:rsidP="008C51D1">
      <w:pPr>
        <w:spacing w:after="240"/>
        <w:ind w:left="720" w:hanging="720"/>
        <w:rPr>
          <w:iCs/>
        </w:rPr>
      </w:pPr>
      <w:r>
        <w:rPr>
          <w:iCs/>
        </w:rPr>
        <w:t>(1)</w:t>
      </w:r>
      <w:r>
        <w:rPr>
          <w:iCs/>
        </w:rPr>
        <w:tab/>
        <w:t xml:space="preserve">To enable Retail Entities the ability to calculate their Renewable Portfolio Standard (RPS) requirements, all Retail Entities serving Load in the state of </w:t>
      </w:r>
      <w:smartTag w:uri="urn:schemas-microsoft-com:office:smarttags" w:element="place">
        <w:smartTag w:uri="urn:schemas-microsoft-com:office:smarttags" w:element="State">
          <w:r>
            <w:rPr>
              <w:iCs/>
            </w:rPr>
            <w:t>Texas</w:t>
          </w:r>
        </w:smartTag>
      </w:smartTag>
      <w:r>
        <w:rPr>
          <w:iCs/>
        </w:rPr>
        <w:t xml:space="preserve"> shall provide Load data to ERCOT on a monthly basis, and no later than the 38</w:t>
      </w:r>
      <w:r>
        <w:rPr>
          <w:iCs/>
          <w:vertAlign w:val="superscript"/>
        </w:rPr>
        <w:t>th</w:t>
      </w:r>
      <w:r>
        <w:rPr>
          <w:iCs/>
        </w:rPr>
        <w:t xml:space="preserve"> day after the last Operating Day of the month, in an electronic format prescribed by ERCOT.  The reported MWh quantity shall be solely the energy consumed by Customers in </w:t>
      </w:r>
      <w:smartTag w:uri="urn:schemas-microsoft-com:office:smarttags" w:element="place">
        <w:smartTag w:uri="urn:schemas-microsoft-com:office:smarttags" w:element="State">
          <w:r>
            <w:rPr>
              <w:iCs/>
            </w:rPr>
            <w:t>Texas</w:t>
          </w:r>
        </w:smartTag>
      </w:smartTag>
      <w:r>
        <w:rPr>
          <w:iCs/>
        </w:rPr>
        <w:t>.  Load data shall be provided in one of the following processes:</w:t>
      </w:r>
    </w:p>
    <w:p w14:paraId="2DAFCDBF" w14:textId="77777777" w:rsidR="008C51D1" w:rsidRDefault="008C51D1" w:rsidP="008C51D1">
      <w:pPr>
        <w:spacing w:after="240"/>
        <w:ind w:left="1440" w:hanging="720"/>
      </w:pPr>
      <w:r>
        <w:t>(a)</w:t>
      </w:r>
      <w:r>
        <w:tab/>
        <w:t>Retail Entities serving Load located within ERCOT shall have this function performed for them by ERCOT for the Load served within ERCOT.  The data supplied by ERCOT shall be Settlement Quality Meter Data extracted from the ERCOT Settlement system; or</w:t>
      </w:r>
    </w:p>
    <w:p w14:paraId="4C74D8D4" w14:textId="77777777" w:rsidR="00FE17B9" w:rsidRDefault="008C51D1" w:rsidP="008C51D1">
      <w:pPr>
        <w:spacing w:after="240"/>
        <w:ind w:left="1440" w:hanging="720"/>
      </w:pPr>
      <w:r>
        <w:t>(b)</w:t>
      </w:r>
      <w:r>
        <w:tab/>
        <w:t xml:space="preserve">Entities participating in the REC Trading Program that serve Load outside the ERCOT Region must report Settlement quality MWh Load data for Load served outside the ERCOT Region to ERCOT in a format prescribed by ERCOT. </w:t>
      </w:r>
    </w:p>
    <w:p w14:paraId="39AF0F96" w14:textId="77777777" w:rsidR="00347D8F" w:rsidRDefault="00FE17B9">
      <w:pPr>
        <w:spacing w:after="240"/>
        <w:ind w:left="2160" w:hanging="720"/>
      </w:pPr>
      <w:r>
        <w:t>(</w:t>
      </w:r>
      <w:proofErr w:type="spellStart"/>
      <w:r>
        <w:t>i</w:t>
      </w:r>
      <w:proofErr w:type="spellEnd"/>
      <w:r>
        <w:t>)</w:t>
      </w:r>
      <w:r>
        <w:tab/>
        <w:t xml:space="preserve">Entities reporting under paragraph (b) shall not include any MWhs served to </w:t>
      </w:r>
      <w:r w:rsidRPr="00E05922">
        <w:t xml:space="preserve">a </w:t>
      </w:r>
      <w:r>
        <w:t xml:space="preserve">location for which a Customer has submitted a notice letter pursuant to subsection (j) of P.U.C. </w:t>
      </w:r>
      <w:r w:rsidRPr="001C32B2">
        <w:rPr>
          <w:smallCaps/>
        </w:rPr>
        <w:t>Subst</w:t>
      </w:r>
      <w:r>
        <w:t>. R 25.173, Goal for Renewable Energy.</w:t>
      </w:r>
    </w:p>
    <w:p w14:paraId="0BF5CDC7" w14:textId="77777777" w:rsidR="00347D8F" w:rsidRDefault="00FE17B9">
      <w:pPr>
        <w:spacing w:after="240"/>
        <w:ind w:left="2160" w:hanging="720"/>
      </w:pPr>
      <w:r>
        <w:t>(ii)</w:t>
      </w:r>
      <w:r>
        <w:tab/>
      </w:r>
      <w:r w:rsidR="008C51D1">
        <w:t xml:space="preserve">Notwithstanding the foregoing reporting requirements, such Entities shall submit monthly MWh Load data for December of each year by no later than January 15 of the following year.  Any error in estimating December </w:t>
      </w:r>
      <w:r w:rsidR="008C51D1">
        <w:lastRenderedPageBreak/>
        <w:t>Load shall be corrected by the submitting Entity in the following year’s true-up calculation as per subsection</w:t>
      </w:r>
      <w:r w:rsidR="00EA4355">
        <w:t xml:space="preserve"> (h)(3) of</w:t>
      </w:r>
      <w:r w:rsidR="008C51D1">
        <w:t xml:space="preserve"> P.U.C. </w:t>
      </w:r>
      <w:r w:rsidR="008C51D1">
        <w:rPr>
          <w:smallCaps/>
        </w:rPr>
        <w:t>Subst.</w:t>
      </w:r>
      <w:r w:rsidR="008C51D1">
        <w:t xml:space="preserve"> R. 25.173.</w:t>
      </w:r>
    </w:p>
    <w:p w14:paraId="6FE40E6D" w14:textId="77777777" w:rsidR="008C51D1" w:rsidRDefault="008C51D1" w:rsidP="008C51D1">
      <w:pPr>
        <w:spacing w:after="240"/>
        <w:ind w:left="720" w:hanging="720"/>
        <w:rPr>
          <w:iCs/>
        </w:rPr>
      </w:pPr>
      <w:r>
        <w:rPr>
          <w:iCs/>
        </w:rPr>
        <w:t>(2)</w:t>
      </w:r>
      <w:r>
        <w:rPr>
          <w:iCs/>
        </w:rPr>
        <w:tab/>
        <w:t>On a monthly basis, ERCOT shall calculate the MWh consumption of energy by Customers served by Retail Entities in Texas, using Load data submitted by program participants.</w:t>
      </w:r>
      <w:r w:rsidR="00FE17B9">
        <w:rPr>
          <w:iCs/>
        </w:rPr>
        <w:t xml:space="preserve">  ERCOT shall adjust the Load data to ensure that any Load (MWh) covered by notice consistent with Section 14.5.3, End-Use Customers, is removed.</w:t>
      </w:r>
    </w:p>
    <w:p w14:paraId="1B0A6236" w14:textId="77777777" w:rsidR="008C51D1" w:rsidRDefault="008C51D1" w:rsidP="008C51D1">
      <w:pPr>
        <w:spacing w:after="240"/>
        <w:ind w:left="720" w:hanging="720"/>
        <w:rPr>
          <w:iCs/>
        </w:rPr>
      </w:pPr>
      <w:r>
        <w:rPr>
          <w:iCs/>
        </w:rPr>
        <w:t>(3)</w:t>
      </w:r>
      <w:r>
        <w:rPr>
          <w:iCs/>
        </w:rPr>
        <w:tab/>
        <w:t>The failure of a Retail Entity to report required Load data</w:t>
      </w:r>
      <w:r w:rsidR="00FE17B9">
        <w:rPr>
          <w:iCs/>
        </w:rPr>
        <w:t xml:space="preserve"> (including Load data for Electric Service Identifiers (</w:t>
      </w:r>
      <w:r w:rsidR="00FE17B9" w:rsidRPr="00982241">
        <w:rPr>
          <w:iCs/>
        </w:rPr>
        <w:t>ESI</w:t>
      </w:r>
      <w:r w:rsidR="00FE17B9">
        <w:rPr>
          <w:iCs/>
        </w:rPr>
        <w:t xml:space="preserve"> ID</w:t>
      </w:r>
      <w:r w:rsidR="00FE17B9" w:rsidRPr="00982241">
        <w:rPr>
          <w:iCs/>
        </w:rPr>
        <w:t>s</w:t>
      </w:r>
      <w:r w:rsidR="00FE17B9">
        <w:rPr>
          <w:iCs/>
        </w:rPr>
        <w:t>) or accounts covered by notice, as specified in Section 14.5.3)</w:t>
      </w:r>
      <w:r>
        <w:rPr>
          <w:iCs/>
        </w:rPr>
        <w:t xml:space="preserve"> in accordance with the Protocols shall result in estimation of Load data for the applicable Retail Entity by ERCOT for purposes of allocation of annual RPS requirements.</w:t>
      </w:r>
    </w:p>
    <w:p w14:paraId="786679C5" w14:textId="77777777" w:rsidR="00FE17B9" w:rsidRPr="00AB3CDD" w:rsidRDefault="00FE17B9" w:rsidP="00AB3CDD">
      <w:pPr>
        <w:pStyle w:val="H3"/>
        <w:keepNext w:val="0"/>
        <w:rPr>
          <w:bCs w:val="0"/>
        </w:rPr>
      </w:pPr>
      <w:bookmarkStart w:id="17" w:name="_Toc440463366"/>
      <w:r w:rsidRPr="00AB3CDD">
        <w:t>14</w:t>
      </w:r>
      <w:r w:rsidRPr="00AB3CDD">
        <w:rPr>
          <w:bCs w:val="0"/>
        </w:rPr>
        <w:t>.5.3</w:t>
      </w:r>
      <w:r w:rsidRPr="00AB3CDD">
        <w:rPr>
          <w:bCs w:val="0"/>
        </w:rPr>
        <w:tab/>
        <w:t>End-Use Customers</w:t>
      </w:r>
      <w:bookmarkEnd w:id="17"/>
    </w:p>
    <w:p w14:paraId="0E5A77B3" w14:textId="77777777" w:rsidR="00347D8F" w:rsidRDefault="005A12EF" w:rsidP="002508F5">
      <w:pPr>
        <w:spacing w:after="240"/>
        <w:ind w:left="720" w:hanging="720"/>
        <w:rPr>
          <w:iCs/>
        </w:rPr>
      </w:pPr>
      <w:r>
        <w:t>(1)</w:t>
      </w:r>
      <w:r>
        <w:tab/>
      </w:r>
      <w:r w:rsidR="00FE17B9" w:rsidRPr="00255ABC">
        <w:t xml:space="preserve">To enable ERCOT to determine the total retail sales of all Retail Entities and the retail sales of a specific Retail Entity for </w:t>
      </w:r>
      <w:r w:rsidR="00FE17B9">
        <w:t>S</w:t>
      </w:r>
      <w:r w:rsidR="00FE17B9" w:rsidRPr="00255ABC">
        <w:t>ection 14.9.3.1</w:t>
      </w:r>
      <w:r w:rsidR="00FE17B9">
        <w:t xml:space="preserve">, </w:t>
      </w:r>
      <w:r w:rsidR="00FE17B9" w:rsidRPr="00707B79">
        <w:t>Preliminary Renewable Portfolio Standard Requirement for Retail Entities</w:t>
      </w:r>
      <w:r w:rsidR="00FE17B9">
        <w:t>,</w:t>
      </w:r>
      <w:r w:rsidR="00FE17B9" w:rsidRPr="00255ABC">
        <w:t xml:space="preserve"> and </w:t>
      </w:r>
      <w:r w:rsidR="00FE17B9">
        <w:t xml:space="preserve">Section </w:t>
      </w:r>
      <w:r w:rsidR="00FE17B9" w:rsidRPr="00255ABC">
        <w:t xml:space="preserve">14.9.5, </w:t>
      </w:r>
      <w:r w:rsidR="00FE17B9" w:rsidRPr="00707B79">
        <w:t>Final Renewable Portfolio Standard Requirement</w:t>
      </w:r>
      <w:r w:rsidR="00FE17B9">
        <w:t xml:space="preserve">, </w:t>
      </w:r>
      <w:r w:rsidR="00FE17B9" w:rsidRPr="00255ABC">
        <w:t xml:space="preserve">a transmission-level voltage Customer that wishes to </w:t>
      </w:r>
      <w:r w:rsidR="00FE17B9">
        <w:t xml:space="preserve">have its Load excluded from </w:t>
      </w:r>
      <w:r w:rsidR="00FE17B9" w:rsidRPr="00255ABC">
        <w:t xml:space="preserve">RPS </w:t>
      </w:r>
      <w:r w:rsidR="00FE17B9">
        <w:t xml:space="preserve">calculations </w:t>
      </w:r>
      <w:r w:rsidR="00FE17B9" w:rsidRPr="00255ABC">
        <w:t xml:space="preserve">pursuant to </w:t>
      </w:r>
      <w:r w:rsidR="00FE17B9" w:rsidRPr="006964D0">
        <w:rPr>
          <w:iCs/>
        </w:rPr>
        <w:t xml:space="preserve">subsection (j) of </w:t>
      </w:r>
      <w:r w:rsidR="00FE17B9">
        <w:t>P.U.C.</w:t>
      </w:r>
      <w:r w:rsidR="00FE17B9" w:rsidRPr="00255ABC">
        <w:t xml:space="preserve"> </w:t>
      </w:r>
      <w:r w:rsidR="00FE17B9" w:rsidRPr="00ED02FE">
        <w:rPr>
          <w:smallCaps/>
        </w:rPr>
        <w:t>Subst</w:t>
      </w:r>
      <w:r w:rsidR="00FE17B9" w:rsidRPr="00255ABC">
        <w:t>. R</w:t>
      </w:r>
      <w:r w:rsidR="00FE17B9">
        <w:t>.</w:t>
      </w:r>
      <w:r w:rsidR="00FE17B9" w:rsidRPr="00255ABC">
        <w:t xml:space="preserve"> 25.173</w:t>
      </w:r>
      <w:r w:rsidR="00FE17B9">
        <w:t>, Goal for Renewable Energy,</w:t>
      </w:r>
      <w:r w:rsidR="00FE17B9" w:rsidRPr="00255ABC">
        <w:t xml:space="preserve"> must </w:t>
      </w:r>
      <w:r w:rsidR="00FE17B9">
        <w:t>submit</w:t>
      </w:r>
      <w:r w:rsidR="00FE17B9" w:rsidRPr="00255ABC">
        <w:t xml:space="preserve"> the </w:t>
      </w:r>
      <w:r w:rsidR="00FE17B9">
        <w:t>information</w:t>
      </w:r>
      <w:r w:rsidR="00FE17B9" w:rsidRPr="00255ABC">
        <w:t xml:space="preserve"> </w:t>
      </w:r>
      <w:r w:rsidR="00FE17B9">
        <w:t>in accordance with the rule.</w:t>
      </w:r>
    </w:p>
    <w:p w14:paraId="3FAECEB1" w14:textId="77777777" w:rsidR="008C51D1" w:rsidRPr="005E69F6" w:rsidRDefault="008C51D1" w:rsidP="008C51D1">
      <w:pPr>
        <w:keepNext/>
        <w:tabs>
          <w:tab w:val="left" w:pos="900"/>
        </w:tabs>
        <w:spacing w:before="240" w:after="240"/>
        <w:ind w:left="900" w:hanging="900"/>
        <w:outlineLvl w:val="1"/>
        <w:rPr>
          <w:b/>
        </w:rPr>
      </w:pPr>
      <w:bookmarkStart w:id="18" w:name="_Toc239073026"/>
      <w:bookmarkStart w:id="19" w:name="_Toc440463367"/>
      <w:bookmarkStart w:id="20" w:name="_Toc175576134"/>
      <w:bookmarkEnd w:id="16"/>
      <w:r w:rsidRPr="005E69F6">
        <w:rPr>
          <w:b/>
        </w:rPr>
        <w:t>14.6</w:t>
      </w:r>
      <w:r w:rsidRPr="005E69F6">
        <w:rPr>
          <w:b/>
        </w:rPr>
        <w:tab/>
        <w:t>Awarding of Renewable Energy Credits</w:t>
      </w:r>
      <w:bookmarkEnd w:id="18"/>
      <w:bookmarkEnd w:id="19"/>
    </w:p>
    <w:p w14:paraId="303C2CC6" w14:textId="77777777" w:rsidR="008C51D1" w:rsidRDefault="005A12EF" w:rsidP="002508F5">
      <w:pPr>
        <w:spacing w:after="240"/>
        <w:ind w:left="720" w:hanging="720"/>
        <w:rPr>
          <w:iCs/>
        </w:rPr>
      </w:pPr>
      <w:r>
        <w:t>(1)</w:t>
      </w:r>
      <w:r>
        <w:tab/>
      </w:r>
      <w:r w:rsidR="008C51D1">
        <w:rPr>
          <w:iCs/>
        </w:rPr>
        <w:t xml:space="preserve">Following the end of each calendar quarter, and before the end of the next Business Day following receipt of all Renewable Energy Credit (REC) generator and Load data specified in Section 14.5.1, Renewable Energy Credit Generators and Renewable Energy Credit Offset Generators, and in Section 14.5.2, Retail Entities, ERCOT will credit RECs to the appropriate REC </w:t>
      </w:r>
      <w:r w:rsidR="00A7196D">
        <w:rPr>
          <w:iCs/>
        </w:rPr>
        <w:t xml:space="preserve">trading </w:t>
      </w:r>
      <w:r w:rsidR="00A7196D" w:rsidRPr="005A12EF">
        <w:t>a</w:t>
      </w:r>
      <w:r w:rsidR="008C51D1" w:rsidRPr="005A12EF">
        <w:t>ccount</w:t>
      </w:r>
      <w:r w:rsidR="008C51D1">
        <w:rPr>
          <w:iCs/>
        </w:rPr>
        <w:t xml:space="preserve">.  ERCOT shall base the number of RECs to be issued on the MWh generation data provided by REC generators or ERCOT as applicable.  The number of RECs issued to a specific REC generator will be equal to the number of MWh generated by the certified generator during the quarter.  Quarterly production shall be rounded to the nearest whole MWh, with fractions of 0.5 MWh or greater rounded up.  If a REC generator is decertified during the quarter, RECs will be issued on MWhs produced during the quarter until the date and time of decertification.  </w:t>
      </w:r>
    </w:p>
    <w:p w14:paraId="0F8E84EB" w14:textId="77777777" w:rsidR="008B67C9" w:rsidRDefault="008B67C9">
      <w:pPr>
        <w:pStyle w:val="H3"/>
      </w:pPr>
      <w:bookmarkStart w:id="21" w:name="_Toc440463368"/>
      <w:r>
        <w:t xml:space="preserve">14.6.1 </w:t>
      </w:r>
      <w:r>
        <w:tab/>
        <w:t>Adjustments to Renewable Energy Credit Award Calculations</w:t>
      </w:r>
      <w:bookmarkEnd w:id="20"/>
      <w:bookmarkEnd w:id="21"/>
    </w:p>
    <w:p w14:paraId="698DEECE" w14:textId="77777777" w:rsidR="008B67C9" w:rsidRDefault="005A12EF" w:rsidP="002508F5">
      <w:pPr>
        <w:spacing w:after="240"/>
        <w:ind w:left="720" w:hanging="720"/>
        <w:rPr>
          <w:iCs/>
        </w:rPr>
      </w:pPr>
      <w:r>
        <w:t>(1)</w:t>
      </w:r>
      <w:r>
        <w:tab/>
      </w:r>
      <w:r w:rsidR="008B67C9">
        <w:t xml:space="preserve">Adjustments (reductions) to REC awards are made for renewable facilities that use more than 2% fossil </w:t>
      </w:r>
      <w:r w:rsidR="008B67C9" w:rsidRPr="005A12EF">
        <w:rPr>
          <w:iCs/>
        </w:rPr>
        <w:t>fuel</w:t>
      </w:r>
      <w:r w:rsidR="008B67C9">
        <w:t xml:space="preserve">, renewable facilities that are repowered, and for REC </w:t>
      </w:r>
      <w:r w:rsidR="00672CB2">
        <w:t>a</w:t>
      </w:r>
      <w:r w:rsidR="008B67C9">
        <w:t>ggregators that use estimation techniques to report generation.</w:t>
      </w:r>
    </w:p>
    <w:p w14:paraId="050F40F6" w14:textId="77777777" w:rsidR="008B67C9" w:rsidRDefault="008B67C9">
      <w:pPr>
        <w:pStyle w:val="List"/>
        <w:ind w:left="1440"/>
      </w:pPr>
      <w:r>
        <w:t>(a)</w:t>
      </w:r>
      <w:r>
        <w:tab/>
        <w:t>Co-Fired Generator Adjustments:</w:t>
      </w:r>
    </w:p>
    <w:p w14:paraId="353BD4F7" w14:textId="77777777" w:rsidR="008B67C9" w:rsidRDefault="008B67C9">
      <w:pPr>
        <w:pStyle w:val="List2"/>
        <w:ind w:left="2160"/>
      </w:pPr>
      <w:r>
        <w:lastRenderedPageBreak/>
        <w:t>(</w:t>
      </w:r>
      <w:proofErr w:type="spellStart"/>
      <w:r>
        <w:t>i</w:t>
      </w:r>
      <w:proofErr w:type="spellEnd"/>
      <w:r>
        <w:t>)</w:t>
      </w:r>
      <w:r>
        <w:tab/>
        <w:t>For REC generators using a renewable energy technology that requires the use of fossil fuel that is greater than 2%, and less than or equal to 25%, of the total annual fuel input on a British Thermal Unit (BTU) or equivalent basis, RECs can only be earned on the renewable portion of the production.  RECs are awarded based on an adjusted number of MWh generated during the quarter.</w:t>
      </w:r>
    </w:p>
    <w:p w14:paraId="5365D907" w14:textId="77777777" w:rsidR="008B67C9" w:rsidRDefault="008B67C9">
      <w:pPr>
        <w:pStyle w:val="List2"/>
        <w:ind w:left="2160"/>
      </w:pPr>
      <w:r>
        <w:t>(ii)</w:t>
      </w:r>
      <w:r>
        <w:tab/>
        <w:t>The renewable energy Resource shall calculate the electricity generated by the unit in MWh, based on the BTUs (or equivalent) produced by the fossil fuel and the efficiency of the renewable energy Resource, subtract the MWh generated with fossil fuel input from the total MWh of generation and report the renewable energy generated to the Program Administrator;</w:t>
      </w:r>
    </w:p>
    <w:p w14:paraId="0543BE75" w14:textId="77777777" w:rsidR="008B67C9" w:rsidRDefault="008B67C9">
      <w:pPr>
        <w:pStyle w:val="List"/>
        <w:ind w:left="1440"/>
      </w:pPr>
      <w:r>
        <w:t>(b)</w:t>
      </w:r>
      <w:r>
        <w:tab/>
        <w:t>Repowered Facility Adjustments:</w:t>
      </w:r>
    </w:p>
    <w:p w14:paraId="12EE4AF9" w14:textId="77777777" w:rsidR="008B67C9" w:rsidRDefault="008B67C9">
      <w:pPr>
        <w:pStyle w:val="List2"/>
        <w:ind w:left="2160"/>
      </w:pPr>
      <w:r>
        <w:t>(</w:t>
      </w:r>
      <w:proofErr w:type="spellStart"/>
      <w:r>
        <w:t>i</w:t>
      </w:r>
      <w:proofErr w:type="spellEnd"/>
      <w:r>
        <w:t>)</w:t>
      </w:r>
      <w:r>
        <w:tab/>
        <w:t xml:space="preserve">A Repowered Facility is eligible to earn RECs on all renewable energy produced up to a capacity of 150 MW.  Capacity greater than 150 MW may earn RECs for the energy produced in proportion to 150 divided by nameplate capacity.  </w:t>
      </w:r>
    </w:p>
    <w:p w14:paraId="5ABEFC56" w14:textId="77777777" w:rsidR="008B67C9" w:rsidRDefault="008B67C9">
      <w:pPr>
        <w:pStyle w:val="List2"/>
        <w:ind w:left="2160"/>
      </w:pPr>
      <w:r>
        <w:t>(ii)</w:t>
      </w:r>
      <w:r>
        <w:tab/>
        <w:t>Repowered Facilities with a generation capacity greater than 150 MW will be awarded RECs based on an adjusted number of MWh generated during the quarter.</w:t>
      </w:r>
    </w:p>
    <w:p w14:paraId="6BE34CD3" w14:textId="77777777" w:rsidR="008B67C9" w:rsidRDefault="00B2486C">
      <w:pPr>
        <w:pStyle w:val="FormulaBold"/>
        <w:tabs>
          <w:tab w:val="clear" w:pos="2340"/>
          <w:tab w:val="clear" w:pos="3420"/>
        </w:tabs>
        <w:ind w:left="0" w:firstLine="0"/>
        <w:rPr>
          <w:vertAlign w:val="subscript"/>
        </w:rPr>
      </w:pPr>
      <w:r>
        <w:tab/>
      </w:r>
      <w:r>
        <w:tab/>
      </w:r>
      <w:proofErr w:type="spellStart"/>
      <w:r w:rsidR="008B67C9">
        <w:t>AdjustedMWh</w:t>
      </w:r>
      <w:proofErr w:type="spellEnd"/>
      <w:r w:rsidR="008B67C9">
        <w:t xml:space="preserve"> = HO </w:t>
      </w:r>
      <w:r w:rsidR="008B67C9">
        <w:rPr>
          <w:i/>
          <w:vertAlign w:val="subscript"/>
        </w:rPr>
        <w:t>q</w:t>
      </w:r>
      <w:r w:rsidR="008B67C9">
        <w:t xml:space="preserve"> (150 / NC)</w:t>
      </w:r>
    </w:p>
    <w:p w14:paraId="0A0735D7" w14:textId="77777777" w:rsidR="008B67C9" w:rsidRDefault="008B67C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8B67C9" w14:paraId="4DB11AC4" w14:textId="77777777">
        <w:trPr>
          <w:trHeight w:val="548"/>
        </w:trPr>
        <w:tc>
          <w:tcPr>
            <w:tcW w:w="979" w:type="dxa"/>
          </w:tcPr>
          <w:p w14:paraId="51A91DE5" w14:textId="77777777" w:rsidR="008B67C9" w:rsidRDefault="008B67C9">
            <w:pPr>
              <w:pStyle w:val="TableBody"/>
            </w:pPr>
            <w:r>
              <w:rPr>
                <w:b/>
              </w:rPr>
              <w:t>Variable</w:t>
            </w:r>
          </w:p>
        </w:tc>
        <w:tc>
          <w:tcPr>
            <w:tcW w:w="797" w:type="dxa"/>
          </w:tcPr>
          <w:p w14:paraId="5FECBB26" w14:textId="77777777" w:rsidR="008B67C9" w:rsidRDefault="008B67C9">
            <w:pPr>
              <w:pStyle w:val="TableBody"/>
            </w:pPr>
            <w:r>
              <w:rPr>
                <w:b/>
              </w:rPr>
              <w:t>Unit</w:t>
            </w:r>
          </w:p>
        </w:tc>
        <w:tc>
          <w:tcPr>
            <w:tcW w:w="6715" w:type="dxa"/>
          </w:tcPr>
          <w:p w14:paraId="17D47C4B" w14:textId="77777777" w:rsidR="008B67C9" w:rsidRDefault="008B67C9">
            <w:pPr>
              <w:pStyle w:val="TableBody"/>
            </w:pPr>
            <w:r>
              <w:rPr>
                <w:b/>
              </w:rPr>
              <w:t>Description</w:t>
            </w:r>
          </w:p>
        </w:tc>
      </w:tr>
      <w:tr w:rsidR="008B67C9" w14:paraId="71126BB3" w14:textId="77777777">
        <w:trPr>
          <w:trHeight w:val="448"/>
        </w:trPr>
        <w:tc>
          <w:tcPr>
            <w:tcW w:w="979" w:type="dxa"/>
          </w:tcPr>
          <w:p w14:paraId="1E5CC306" w14:textId="77777777" w:rsidR="008B67C9" w:rsidRDefault="008B67C9">
            <w:pPr>
              <w:pStyle w:val="TableBody"/>
            </w:pPr>
            <w:r>
              <w:t xml:space="preserve">HO </w:t>
            </w:r>
            <w:r>
              <w:rPr>
                <w:vertAlign w:val="subscript"/>
              </w:rPr>
              <w:t>q</w:t>
            </w:r>
          </w:p>
        </w:tc>
        <w:tc>
          <w:tcPr>
            <w:tcW w:w="797" w:type="dxa"/>
          </w:tcPr>
          <w:p w14:paraId="67B26D48" w14:textId="77777777" w:rsidR="008B67C9" w:rsidRDefault="008B67C9">
            <w:pPr>
              <w:pStyle w:val="TableBody"/>
            </w:pPr>
            <w:r>
              <w:t>MWh</w:t>
            </w:r>
          </w:p>
        </w:tc>
        <w:tc>
          <w:tcPr>
            <w:tcW w:w="6715" w:type="dxa"/>
          </w:tcPr>
          <w:p w14:paraId="43175486" w14:textId="77777777" w:rsidR="008B67C9" w:rsidRDefault="008B67C9">
            <w:pPr>
              <w:pStyle w:val="TableBody"/>
            </w:pPr>
            <w:r>
              <w:t>Total production or historical output by the Repowered Facility for quarter “q”</w:t>
            </w:r>
          </w:p>
        </w:tc>
      </w:tr>
      <w:tr w:rsidR="008B67C9" w14:paraId="7AB12B97" w14:textId="77777777">
        <w:trPr>
          <w:trHeight w:val="530"/>
        </w:trPr>
        <w:tc>
          <w:tcPr>
            <w:tcW w:w="979" w:type="dxa"/>
          </w:tcPr>
          <w:p w14:paraId="6ABA95C1" w14:textId="77777777" w:rsidR="008B67C9" w:rsidRDefault="008B67C9">
            <w:pPr>
              <w:pStyle w:val="TableBody"/>
            </w:pPr>
            <w:r>
              <w:t>NC</w:t>
            </w:r>
          </w:p>
        </w:tc>
        <w:tc>
          <w:tcPr>
            <w:tcW w:w="797" w:type="dxa"/>
          </w:tcPr>
          <w:p w14:paraId="13100454" w14:textId="77777777" w:rsidR="008B67C9" w:rsidRDefault="008B67C9">
            <w:pPr>
              <w:pStyle w:val="TableBody"/>
            </w:pPr>
            <w:r>
              <w:t>None</w:t>
            </w:r>
          </w:p>
        </w:tc>
        <w:tc>
          <w:tcPr>
            <w:tcW w:w="6715" w:type="dxa"/>
          </w:tcPr>
          <w:p w14:paraId="6882BD9D" w14:textId="77777777" w:rsidR="008B67C9" w:rsidRDefault="008B67C9">
            <w:pPr>
              <w:pStyle w:val="TableBody"/>
            </w:pPr>
            <w:r>
              <w:t>Nameplate capacity is the machine generation capacity posted on a specific piece of equipment or unit</w:t>
            </w:r>
          </w:p>
        </w:tc>
      </w:tr>
    </w:tbl>
    <w:p w14:paraId="79E22DD9" w14:textId="77777777" w:rsidR="008B67C9" w:rsidRDefault="008B67C9">
      <w:pPr>
        <w:tabs>
          <w:tab w:val="left" w:pos="2520"/>
        </w:tabs>
        <w:spacing w:before="120" w:after="240"/>
        <w:ind w:left="3240" w:hanging="1080"/>
        <w:contextualSpacing/>
      </w:pPr>
    </w:p>
    <w:p w14:paraId="7505D08B" w14:textId="77777777" w:rsidR="008B67C9" w:rsidRDefault="008B67C9">
      <w:pPr>
        <w:pStyle w:val="List"/>
        <w:ind w:left="1440"/>
      </w:pPr>
      <w:r>
        <w:t>(c)</w:t>
      </w:r>
      <w:r>
        <w:tab/>
        <w:t>REC Aggregator Adjustments:</w:t>
      </w:r>
    </w:p>
    <w:p w14:paraId="7B1E684B" w14:textId="77777777" w:rsidR="008B67C9" w:rsidRDefault="008B67C9">
      <w:pPr>
        <w:spacing w:after="240"/>
        <w:ind w:left="1440"/>
      </w:pPr>
      <w:r>
        <w:rPr>
          <w:iCs/>
        </w:rPr>
        <w:t>The REC aggregator may provide the Program Administrator with sufficient information for the Program Administrator to estimate with reasonable accuracy the output of each unit, based on known or observed information that correlates closely with the generation output.  REC aggregators using approved estimation techniques to report renewable energy production shall be awarded one REC for every 1.25 MWh generated.</w:t>
      </w:r>
    </w:p>
    <w:p w14:paraId="5893F291" w14:textId="77777777" w:rsidR="008B67C9" w:rsidRDefault="008B67C9">
      <w:pPr>
        <w:pStyle w:val="H3"/>
      </w:pPr>
      <w:bookmarkStart w:id="22" w:name="_Toc175576135"/>
      <w:bookmarkStart w:id="23" w:name="_Toc440463369"/>
      <w:r>
        <w:lastRenderedPageBreak/>
        <w:t>14.6.2</w:t>
      </w:r>
      <w:r>
        <w:tab/>
        <w:t>Awarding of Compliance Premiums</w:t>
      </w:r>
      <w:bookmarkEnd w:id="22"/>
      <w:bookmarkEnd w:id="23"/>
    </w:p>
    <w:p w14:paraId="3ECD7F1D" w14:textId="77777777" w:rsidR="008B67C9" w:rsidRDefault="008B67C9">
      <w:pPr>
        <w:spacing w:after="240"/>
        <w:ind w:left="720" w:hanging="720"/>
        <w:rPr>
          <w:iCs/>
        </w:rPr>
      </w:pPr>
      <w:r>
        <w:rPr>
          <w:iCs/>
        </w:rPr>
        <w:t>(1)</w:t>
      </w:r>
      <w:r>
        <w:rPr>
          <w:iCs/>
        </w:rPr>
        <w:tab/>
        <w:t xml:space="preserve">A Compliance Premium is awarded by the Program Administrator in conjunction with a REC that is generated by a renewable energy Resource installed and certified after </w:t>
      </w:r>
      <w:smartTag w:uri="urn:schemas-microsoft-com:office:smarttags" w:element="date">
        <w:smartTagPr>
          <w:attr w:name="Year" w:val="2005"/>
          <w:attr w:name="Day" w:val="1"/>
          <w:attr w:name="Month" w:val="9"/>
        </w:smartTagPr>
        <w:r>
          <w:rPr>
            <w:iCs/>
          </w:rPr>
          <w:t>September 1, 2005</w:t>
        </w:r>
      </w:smartTag>
      <w:r>
        <w:rPr>
          <w:iCs/>
        </w:rPr>
        <w:t xml:space="preserve"> that is not powered by wind.  For the purpose of the Renewable Portfolio Standard (RPS) requirements, one Compliance Premium is equal to one REC. </w:t>
      </w:r>
    </w:p>
    <w:p w14:paraId="6C925E97" w14:textId="77777777" w:rsidR="008B67C9" w:rsidRDefault="008B67C9">
      <w:pPr>
        <w:tabs>
          <w:tab w:val="left" w:pos="0"/>
        </w:tabs>
        <w:spacing w:after="240"/>
        <w:ind w:left="720" w:hanging="720"/>
      </w:pPr>
      <w:r>
        <w:rPr>
          <w:iCs/>
        </w:rPr>
        <w:t>(2)</w:t>
      </w:r>
      <w:r>
        <w:rPr>
          <w:iCs/>
        </w:rPr>
        <w:tab/>
        <w:t xml:space="preserve">One Compliance Premium shall be awarded for each REC awarded for energy generated after </w:t>
      </w:r>
      <w:smartTag w:uri="urn:schemas-microsoft-com:office:smarttags" w:element="date">
        <w:smartTagPr>
          <w:attr w:name="Year" w:val="2007"/>
          <w:attr w:name="Day" w:val="31"/>
          <w:attr w:name="Month" w:val="12"/>
        </w:smartTagPr>
        <w:r>
          <w:rPr>
            <w:iCs/>
          </w:rPr>
          <w:t>December 31, 2007</w:t>
        </w:r>
      </w:smartTag>
      <w:r>
        <w:rPr>
          <w:iCs/>
        </w:rPr>
        <w:t>.</w:t>
      </w:r>
    </w:p>
    <w:p w14:paraId="4643A5A4" w14:textId="77777777" w:rsidR="008B67C9" w:rsidRDefault="008B67C9">
      <w:pPr>
        <w:keepNext/>
        <w:tabs>
          <w:tab w:val="left" w:pos="900"/>
        </w:tabs>
        <w:spacing w:before="240" w:after="240"/>
        <w:ind w:left="900" w:hanging="900"/>
        <w:outlineLvl w:val="1"/>
        <w:rPr>
          <w:b/>
        </w:rPr>
      </w:pPr>
      <w:bookmarkStart w:id="24" w:name="_Toc175576136"/>
      <w:bookmarkStart w:id="25" w:name="_Toc440463370"/>
      <w:r>
        <w:rPr>
          <w:b/>
        </w:rPr>
        <w:t>14.7</w:t>
      </w:r>
      <w:r>
        <w:rPr>
          <w:b/>
        </w:rPr>
        <w:tab/>
        <w:t>Transfer of Renewable Energy Credits or Compliance Premiums Between Parties</w:t>
      </w:r>
      <w:bookmarkEnd w:id="24"/>
      <w:bookmarkEnd w:id="25"/>
    </w:p>
    <w:p w14:paraId="2C3655E0" w14:textId="77777777" w:rsidR="008B67C9" w:rsidRDefault="008B67C9">
      <w:pPr>
        <w:spacing w:after="240"/>
        <w:ind w:left="720" w:hanging="720"/>
        <w:rPr>
          <w:iCs/>
        </w:rPr>
      </w:pPr>
      <w:r>
        <w:rPr>
          <w:iCs/>
        </w:rPr>
        <w:t>(1)</w:t>
      </w:r>
      <w:r>
        <w:rPr>
          <w:iCs/>
        </w:rPr>
        <w:tab/>
        <w:t xml:space="preserve">On the receipt of a request from the owner of a Renewable Energy Credit (REC) or Compliance Premium and purchaser of the REC or Compliance Premium, ERCOT will transfer the REC or Compliance Premium from the owner’s REC </w:t>
      </w:r>
      <w:r w:rsidR="00A7196D">
        <w:rPr>
          <w:iCs/>
        </w:rPr>
        <w:t>trading a</w:t>
      </w:r>
      <w:r>
        <w:rPr>
          <w:iCs/>
        </w:rPr>
        <w:t xml:space="preserve">ccount to the REC </w:t>
      </w:r>
      <w:r w:rsidR="00A7196D">
        <w:rPr>
          <w:iCs/>
        </w:rPr>
        <w:t>trading a</w:t>
      </w:r>
      <w:r>
        <w:rPr>
          <w:iCs/>
        </w:rPr>
        <w:t xml:space="preserve">ccount specified in the transfer request.  Transfer requests received by ERCOT shall be effective </w:t>
      </w:r>
      <w:r w:rsidR="00B41601">
        <w:rPr>
          <w:iCs/>
        </w:rPr>
        <w:t>upon confirmation by the receiving Entity</w:t>
      </w:r>
      <w:r>
        <w:rPr>
          <w:iCs/>
        </w:rPr>
        <w:t>.</w:t>
      </w:r>
    </w:p>
    <w:p w14:paraId="3B894F49" w14:textId="77777777" w:rsidR="008B67C9" w:rsidRDefault="008B67C9">
      <w:pPr>
        <w:spacing w:after="240"/>
        <w:ind w:left="720" w:hanging="720"/>
        <w:rPr>
          <w:iCs/>
        </w:rPr>
      </w:pPr>
      <w:r>
        <w:rPr>
          <w:iCs/>
        </w:rPr>
        <w:t>(2)</w:t>
      </w:r>
      <w:r>
        <w:rPr>
          <w:iCs/>
        </w:rPr>
        <w:tab/>
        <w:t>If a request for transfer cannot be executed, ERCOT will notify the requesting Entities of the reason.</w:t>
      </w:r>
    </w:p>
    <w:p w14:paraId="1DB3865A" w14:textId="77777777" w:rsidR="008B67C9" w:rsidRDefault="008B67C9">
      <w:pPr>
        <w:spacing w:after="240"/>
        <w:ind w:left="720" w:hanging="720"/>
        <w:rPr>
          <w:iCs/>
        </w:rPr>
      </w:pPr>
      <w:r>
        <w:rPr>
          <w:iCs/>
        </w:rPr>
        <w:t>(3)</w:t>
      </w:r>
      <w:r>
        <w:rPr>
          <w:iCs/>
        </w:rPr>
        <w:tab/>
        <w:t xml:space="preserve">On completing a transfer, ERCOT shall notify the Designated Representatives of all involved REC </w:t>
      </w:r>
      <w:r w:rsidR="00A7196D">
        <w:rPr>
          <w:iCs/>
        </w:rPr>
        <w:t>trading a</w:t>
      </w:r>
      <w:r>
        <w:rPr>
          <w:iCs/>
        </w:rPr>
        <w:t>ccount owners by e-mail.</w:t>
      </w:r>
    </w:p>
    <w:p w14:paraId="0B35F494" w14:textId="77777777" w:rsidR="008B67C9" w:rsidRDefault="008B67C9">
      <w:pPr>
        <w:spacing w:after="240"/>
        <w:ind w:left="720" w:hanging="720"/>
        <w:rPr>
          <w:iCs/>
        </w:rPr>
      </w:pPr>
      <w:r>
        <w:rPr>
          <w:iCs/>
        </w:rPr>
        <w:t>(4)</w:t>
      </w:r>
      <w:r>
        <w:rPr>
          <w:iCs/>
        </w:rPr>
        <w:tab/>
        <w:t xml:space="preserve">For the purpose of the REC Trading Program, RECs or Compliance Premiums residing in an Entity’s REC </w:t>
      </w:r>
      <w:r w:rsidR="00A7196D">
        <w:rPr>
          <w:iCs/>
        </w:rPr>
        <w:t>trading a</w:t>
      </w:r>
      <w:r>
        <w:rPr>
          <w:iCs/>
        </w:rPr>
        <w:t>ccount are deemed to be owned by that Entity.</w:t>
      </w:r>
    </w:p>
    <w:p w14:paraId="2FF488FD" w14:textId="77777777" w:rsidR="008B67C9" w:rsidRDefault="008B67C9">
      <w:pPr>
        <w:spacing w:after="240"/>
        <w:rPr>
          <w:iCs/>
        </w:rPr>
      </w:pPr>
      <w:r>
        <w:rPr>
          <w:iCs/>
        </w:rPr>
        <w:t>(5)</w:t>
      </w:r>
      <w:r>
        <w:rPr>
          <w:iCs/>
        </w:rPr>
        <w:tab/>
        <w:t>To the extent practicable, ERCOT will accommodate automated quarterly transfers.</w:t>
      </w:r>
    </w:p>
    <w:p w14:paraId="533826BA" w14:textId="77777777" w:rsidR="007734E9" w:rsidRDefault="007734E9" w:rsidP="007734E9">
      <w:pPr>
        <w:keepNext/>
        <w:tabs>
          <w:tab w:val="left" w:pos="900"/>
        </w:tabs>
        <w:spacing w:before="240" w:after="240"/>
        <w:ind w:left="900" w:hanging="900"/>
        <w:outlineLvl w:val="1"/>
        <w:rPr>
          <w:b/>
        </w:rPr>
      </w:pPr>
      <w:bookmarkStart w:id="26" w:name="_Toc175576137"/>
      <w:bookmarkStart w:id="27" w:name="_Toc239073030"/>
      <w:bookmarkStart w:id="28" w:name="_Toc440463371"/>
      <w:bookmarkStart w:id="29" w:name="_Toc175576138"/>
      <w:r>
        <w:rPr>
          <w:b/>
        </w:rPr>
        <w:t>14.8</w:t>
      </w:r>
      <w:r>
        <w:rPr>
          <w:b/>
        </w:rPr>
        <w:tab/>
        <w:t>Renewable Energy Credit Offsets</w:t>
      </w:r>
      <w:bookmarkEnd w:id="26"/>
      <w:bookmarkEnd w:id="27"/>
      <w:bookmarkEnd w:id="28"/>
    </w:p>
    <w:p w14:paraId="2C329F17" w14:textId="77777777" w:rsidR="007734E9" w:rsidRDefault="007734E9" w:rsidP="007734E9">
      <w:pPr>
        <w:spacing w:after="240"/>
        <w:ind w:left="720" w:hanging="720"/>
        <w:rPr>
          <w:iCs/>
        </w:rPr>
      </w:pPr>
      <w:r>
        <w:rPr>
          <w:iCs/>
        </w:rPr>
        <w:t>(1)</w:t>
      </w:r>
      <w:r>
        <w:rPr>
          <w:iCs/>
        </w:rPr>
        <w:tab/>
        <w:t>To qualify for Renewable Energy Credit (REC) offsets in the REC Trading Program, a Retail Electric Provider (REP), Municipally Owned Utility (MOU), generation and transmission cooperative, distribution cooperative, or an affiliate of a REP, MOU, generation and transmission cooperative, or distribution cooperative must apply for REC offsets from the Public Utility Commission of Texas (PUCT) by June 1, 2001.  This requirement is in effect without regard to whether or not the applicant will be a Retail Entity on January 1, 2002.  A REC offset represents one MWh of renewable energy from a renewable energy generator placed in service before September 1, 1999 that may be used in place of a REC to meet a renewable energy requirement.  REC offsets may not be traded.</w:t>
      </w:r>
    </w:p>
    <w:p w14:paraId="2D0DEFF3" w14:textId="77777777" w:rsidR="007734E9" w:rsidRDefault="007734E9" w:rsidP="007734E9">
      <w:pPr>
        <w:spacing w:after="240"/>
        <w:ind w:left="720" w:hanging="720"/>
        <w:rPr>
          <w:iCs/>
        </w:rPr>
      </w:pPr>
      <w:r>
        <w:rPr>
          <w:iCs/>
        </w:rPr>
        <w:t>(2)</w:t>
      </w:r>
      <w:r>
        <w:rPr>
          <w:iCs/>
        </w:rPr>
        <w:tab/>
        <w:t xml:space="preserve">After receipt of </w:t>
      </w:r>
      <w:r w:rsidR="00A7196D">
        <w:rPr>
          <w:iCs/>
        </w:rPr>
        <w:t>N</w:t>
      </w:r>
      <w:r>
        <w:rPr>
          <w:iCs/>
        </w:rPr>
        <w:t xml:space="preserve">otification from the PUCT (which shall include the name of the Entity receiving the offset, the name of the generator eligible to produce the offset, the value of the offset in MWh, and other information as applicable) verifying designation by the Entity receiving REC offsets, ERCOT shall use REC offsets from a Retail Entity as part </w:t>
      </w:r>
      <w:r>
        <w:rPr>
          <w:iCs/>
        </w:rPr>
        <w:lastRenderedPageBreak/>
        <w:t xml:space="preserve">of its calculation of Final RPS Requirements (FRRs).  REC offsets are not transferable.  REC offsets will be considered valid until ERCOT receives </w:t>
      </w:r>
      <w:r w:rsidR="00A7196D">
        <w:rPr>
          <w:iCs/>
        </w:rPr>
        <w:t>N</w:t>
      </w:r>
      <w:r>
        <w:rPr>
          <w:iCs/>
        </w:rPr>
        <w:t>otification from the PUCT that the offset is no longer valid.</w:t>
      </w:r>
    </w:p>
    <w:p w14:paraId="0ABB18C5" w14:textId="77777777" w:rsidR="007734E9" w:rsidRDefault="007734E9" w:rsidP="007734E9">
      <w:pPr>
        <w:spacing w:after="240"/>
        <w:ind w:left="720" w:hanging="720"/>
        <w:rPr>
          <w:iCs/>
        </w:rPr>
      </w:pPr>
      <w:r>
        <w:rPr>
          <w:iCs/>
        </w:rPr>
        <w:t>(3)</w:t>
      </w:r>
      <w:r>
        <w:rPr>
          <w:iCs/>
        </w:rPr>
        <w:tab/>
        <w:t>For purposes of P.U.C.</w:t>
      </w:r>
      <w:r>
        <w:rPr>
          <w:iCs/>
          <w:smallCaps/>
        </w:rPr>
        <w:t xml:space="preserve"> Subst. R</w:t>
      </w:r>
      <w:r>
        <w:rPr>
          <w:iCs/>
        </w:rPr>
        <w:t>. 25.173, Goal for Renewable Energy, a generation and transmission cooperative shall be responsible for the cumulative total of its cooperative members’ renewable energy requirements as well as its affiliated cooperative members’ renewable energy requirements.  At the election of its board of directors, a generation and transmission cooperative will become responsible for the cumulative total of its distribution cooperatives’ Renewable Portfolio Standard (RPS) requirements.  The sharing of the REC offsets of the generation and transmission cooperative among its distribution cooperatives shall not affect the cumulative total of the RPS requirements of the distribution cooperative members, or its affiliated cooperative members in meeting their share of the state’s goals for renewable energy Resources.</w:t>
      </w:r>
    </w:p>
    <w:p w14:paraId="46B1E8BA" w14:textId="77777777" w:rsidR="007734E9" w:rsidRDefault="007734E9" w:rsidP="007734E9">
      <w:pPr>
        <w:keepNext/>
        <w:tabs>
          <w:tab w:val="left" w:pos="900"/>
        </w:tabs>
        <w:spacing w:before="240" w:after="240"/>
        <w:ind w:left="900" w:hanging="900"/>
        <w:outlineLvl w:val="1"/>
        <w:rPr>
          <w:b/>
        </w:rPr>
      </w:pPr>
      <w:bookmarkStart w:id="30" w:name="_Toc239073031"/>
      <w:bookmarkStart w:id="31" w:name="_Toc440463372"/>
      <w:bookmarkEnd w:id="29"/>
      <w:r>
        <w:rPr>
          <w:b/>
        </w:rPr>
        <w:t>14.9</w:t>
      </w:r>
      <w:r>
        <w:rPr>
          <w:b/>
        </w:rPr>
        <w:tab/>
        <w:t>Allocation of Statewide Renewable Portfolio Standard Requirement Among Retail Entities</w:t>
      </w:r>
      <w:bookmarkEnd w:id="30"/>
      <w:bookmarkEnd w:id="31"/>
    </w:p>
    <w:p w14:paraId="3239F306" w14:textId="77777777" w:rsidR="007734E9" w:rsidRDefault="005A12EF" w:rsidP="002508F5">
      <w:pPr>
        <w:spacing w:after="240"/>
        <w:ind w:left="720" w:hanging="720"/>
        <w:rPr>
          <w:iCs/>
        </w:rPr>
      </w:pPr>
      <w:r>
        <w:t>(1)</w:t>
      </w:r>
      <w:r>
        <w:tab/>
      </w:r>
      <w:r w:rsidR="00B41601">
        <w:rPr>
          <w:iCs/>
        </w:rPr>
        <w:t>T</w:t>
      </w:r>
      <w:r w:rsidR="007734E9">
        <w:rPr>
          <w:iCs/>
        </w:rPr>
        <w:t>he first quarter of each year shall be the Settlement period for the preceding Compliance Period.  During this Settlement period each year the following actions shall occur:</w:t>
      </w:r>
    </w:p>
    <w:p w14:paraId="742D03A5" w14:textId="77777777" w:rsidR="007734E9" w:rsidRDefault="007734E9" w:rsidP="007734E9">
      <w:pPr>
        <w:spacing w:after="240"/>
        <w:ind w:left="1440" w:hanging="720"/>
      </w:pPr>
      <w:r>
        <w:t>(a)</w:t>
      </w:r>
      <w:r>
        <w:tab/>
        <w:t xml:space="preserve">No later than the date set forth in P.U.C. </w:t>
      </w:r>
      <w:r>
        <w:rPr>
          <w:smallCaps/>
        </w:rPr>
        <w:t>Subst</w:t>
      </w:r>
      <w:r>
        <w:t xml:space="preserve">. R. 25.173, </w:t>
      </w:r>
      <w:r>
        <w:rPr>
          <w:iCs/>
        </w:rPr>
        <w:t>Goal for Renewable Energy,</w:t>
      </w:r>
      <w:r>
        <w:t xml:space="preserve"> the Program Administrator shall allocate the Statewide RPS Requirement (SRR) for the previous year’s Compliance Period among all Retail Entities in the state.  This allocation represents the Renewable Energy Credit (REC) compliance requirements for the preceding Compliance Period.  To perform this calculation, ERCOT shall use Load data provided to it as set forth in these Protocols.</w:t>
      </w:r>
    </w:p>
    <w:p w14:paraId="7DF1C24E" w14:textId="77777777" w:rsidR="007734E9" w:rsidRDefault="007734E9" w:rsidP="007734E9">
      <w:pPr>
        <w:spacing w:after="240"/>
        <w:ind w:left="1440" w:hanging="720"/>
      </w:pPr>
      <w:r>
        <w:t>(b)</w:t>
      </w:r>
      <w:r>
        <w:tab/>
        <w:t xml:space="preserve">By the date set forth in P.U.C. </w:t>
      </w:r>
      <w:r>
        <w:rPr>
          <w:smallCaps/>
        </w:rPr>
        <w:t>Subst.</w:t>
      </w:r>
      <w:r>
        <w:t xml:space="preserve"> R. 25.173, the Program Administrator shall notify each Retail Entity of its </w:t>
      </w:r>
      <w:r w:rsidR="00B41601">
        <w:t>Final RPS Requirement (FRR)</w:t>
      </w:r>
      <w:r>
        <w:t xml:space="preserve"> for the previous Compliance Period.</w:t>
      </w:r>
    </w:p>
    <w:p w14:paraId="3EB823CC" w14:textId="77777777" w:rsidR="007734E9" w:rsidRDefault="007734E9" w:rsidP="007734E9">
      <w:pPr>
        <w:spacing w:after="240"/>
        <w:ind w:left="1440" w:hanging="720"/>
      </w:pPr>
      <w:r>
        <w:t>(</w:t>
      </w:r>
      <w:r w:rsidR="00B41601">
        <w:t>c</w:t>
      </w:r>
      <w:r>
        <w:t>)</w:t>
      </w:r>
      <w:r>
        <w:tab/>
        <w:t xml:space="preserve">The Program Administrator may request from the Public Utility Commission of Texas (PUCT) an adjustment to the deadlines set forth in this Section if certain factors, including but not limited to changes to the ERCOT Settlement Calendar, should affect the timely availability of reliable retail sales data or renewable Resource generation data necessary for calculating </w:t>
      </w:r>
      <w:r w:rsidR="00EA4355">
        <w:t>Renewable Portfolio Standard (</w:t>
      </w:r>
      <w:r>
        <w:t>RPS</w:t>
      </w:r>
      <w:r w:rsidR="00EA4355">
        <w:t>)</w:t>
      </w:r>
      <w:r>
        <w:t xml:space="preserve"> requirements.</w:t>
      </w:r>
    </w:p>
    <w:p w14:paraId="39420D85" w14:textId="77777777" w:rsidR="008B67C9" w:rsidRDefault="008B67C9">
      <w:pPr>
        <w:pStyle w:val="H3"/>
      </w:pPr>
      <w:bookmarkStart w:id="32" w:name="_Toc440463373"/>
      <w:r>
        <w:t>14.9.1</w:t>
      </w:r>
      <w:r>
        <w:tab/>
        <w:t>Annual Capacity Targets</w:t>
      </w:r>
      <w:bookmarkEnd w:id="32"/>
    </w:p>
    <w:p w14:paraId="360D7AF0" w14:textId="77777777" w:rsidR="0032693F" w:rsidRDefault="008B67C9">
      <w:pPr>
        <w:keepNext/>
        <w:spacing w:after="240"/>
        <w:rPr>
          <w:iCs/>
        </w:rPr>
      </w:pPr>
      <w:r>
        <w:rPr>
          <w:iCs/>
        </w:rPr>
        <w:t>(1)</w:t>
      </w:r>
      <w:r>
        <w:rPr>
          <w:iCs/>
        </w:rPr>
        <w:tab/>
        <w:t>The renewable energy capacity targets (in megawatts) for each year are as follows:</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80"/>
        <w:gridCol w:w="1980"/>
        <w:gridCol w:w="1800"/>
        <w:gridCol w:w="1800"/>
      </w:tblGrid>
      <w:tr w:rsidR="008B67C9" w14:paraId="19D22413" w14:textId="77777777">
        <w:trPr>
          <w:jc w:val="center"/>
        </w:trPr>
        <w:tc>
          <w:tcPr>
            <w:tcW w:w="1980" w:type="dxa"/>
            <w:tcBorders>
              <w:top w:val="single" w:sz="12" w:space="0" w:color="auto"/>
              <w:bottom w:val="double" w:sz="4" w:space="0" w:color="auto"/>
            </w:tcBorders>
            <w:vAlign w:val="bottom"/>
          </w:tcPr>
          <w:p w14:paraId="3E3217F0" w14:textId="77777777" w:rsidR="008B67C9" w:rsidRDefault="008B67C9">
            <w:pPr>
              <w:jc w:val="center"/>
              <w:rPr>
                <w:b/>
              </w:rPr>
            </w:pPr>
            <w:r>
              <w:rPr>
                <w:b/>
              </w:rPr>
              <w:t>Annual Capacity Target</w:t>
            </w:r>
          </w:p>
          <w:p w14:paraId="22CD285B" w14:textId="77777777" w:rsidR="008B67C9" w:rsidRDefault="008B67C9">
            <w:pPr>
              <w:jc w:val="center"/>
              <w:rPr>
                <w:b/>
              </w:rPr>
            </w:pPr>
            <w:r>
              <w:rPr>
                <w:b/>
              </w:rPr>
              <w:t xml:space="preserve"> (MW)</w:t>
            </w:r>
          </w:p>
        </w:tc>
        <w:tc>
          <w:tcPr>
            <w:tcW w:w="1980" w:type="dxa"/>
            <w:tcBorders>
              <w:top w:val="single" w:sz="12" w:space="0" w:color="auto"/>
              <w:bottom w:val="double" w:sz="4" w:space="0" w:color="auto"/>
            </w:tcBorders>
            <w:vAlign w:val="bottom"/>
          </w:tcPr>
          <w:p w14:paraId="3392008E" w14:textId="77777777" w:rsidR="008B67C9" w:rsidRDefault="008B67C9">
            <w:pPr>
              <w:jc w:val="center"/>
              <w:rPr>
                <w:b/>
              </w:rPr>
            </w:pPr>
            <w:r>
              <w:rPr>
                <w:b/>
              </w:rPr>
              <w:t>Existing Renewable Capacity (MW)</w:t>
            </w:r>
          </w:p>
        </w:tc>
        <w:tc>
          <w:tcPr>
            <w:tcW w:w="1800" w:type="dxa"/>
            <w:tcBorders>
              <w:top w:val="single" w:sz="12" w:space="0" w:color="auto"/>
              <w:bottom w:val="double" w:sz="4" w:space="0" w:color="auto"/>
            </w:tcBorders>
            <w:vAlign w:val="bottom"/>
          </w:tcPr>
          <w:p w14:paraId="032C04BB" w14:textId="77777777" w:rsidR="008B67C9" w:rsidRDefault="008B67C9">
            <w:pPr>
              <w:jc w:val="center"/>
              <w:rPr>
                <w:b/>
              </w:rPr>
            </w:pPr>
            <w:r>
              <w:rPr>
                <w:b/>
              </w:rPr>
              <w:t xml:space="preserve">Total Renewable </w:t>
            </w:r>
            <w:r>
              <w:rPr>
                <w:b/>
              </w:rPr>
              <w:lastRenderedPageBreak/>
              <w:t>Capacity Target (MW)</w:t>
            </w:r>
          </w:p>
        </w:tc>
        <w:tc>
          <w:tcPr>
            <w:tcW w:w="1800" w:type="dxa"/>
            <w:tcBorders>
              <w:top w:val="single" w:sz="12" w:space="0" w:color="auto"/>
              <w:bottom w:val="double" w:sz="4" w:space="0" w:color="auto"/>
            </w:tcBorders>
            <w:vAlign w:val="bottom"/>
          </w:tcPr>
          <w:p w14:paraId="4ABE35CD" w14:textId="77777777" w:rsidR="008B67C9" w:rsidRDefault="008B67C9">
            <w:pPr>
              <w:jc w:val="center"/>
              <w:rPr>
                <w:b/>
              </w:rPr>
            </w:pPr>
            <w:r>
              <w:rPr>
                <w:b/>
              </w:rPr>
              <w:lastRenderedPageBreak/>
              <w:t>Compliance Period</w:t>
            </w:r>
          </w:p>
          <w:p w14:paraId="7E22D855" w14:textId="77777777" w:rsidR="008B67C9" w:rsidRDefault="008B67C9">
            <w:pPr>
              <w:jc w:val="center"/>
              <w:rPr>
                <w:b/>
              </w:rPr>
            </w:pPr>
            <w:r>
              <w:rPr>
                <w:b/>
              </w:rPr>
              <w:t>(Years)</w:t>
            </w:r>
          </w:p>
        </w:tc>
      </w:tr>
      <w:tr w:rsidR="008B67C9" w14:paraId="5A8B31AF" w14:textId="77777777">
        <w:trPr>
          <w:jc w:val="center"/>
        </w:trPr>
        <w:tc>
          <w:tcPr>
            <w:tcW w:w="1980" w:type="dxa"/>
            <w:tcBorders>
              <w:top w:val="double" w:sz="4" w:space="0" w:color="auto"/>
            </w:tcBorders>
          </w:tcPr>
          <w:p w14:paraId="2DBEB5A9" w14:textId="77777777" w:rsidR="008B67C9" w:rsidRDefault="008B67C9">
            <w:pPr>
              <w:jc w:val="center"/>
            </w:pPr>
            <w:r>
              <w:t>400</w:t>
            </w:r>
          </w:p>
        </w:tc>
        <w:tc>
          <w:tcPr>
            <w:tcW w:w="1980" w:type="dxa"/>
            <w:tcBorders>
              <w:top w:val="double" w:sz="4" w:space="0" w:color="auto"/>
            </w:tcBorders>
          </w:tcPr>
          <w:p w14:paraId="084BD62F" w14:textId="77777777" w:rsidR="008B67C9" w:rsidRDefault="008B67C9">
            <w:pPr>
              <w:jc w:val="center"/>
            </w:pPr>
            <w:r>
              <w:t>880</w:t>
            </w:r>
          </w:p>
        </w:tc>
        <w:tc>
          <w:tcPr>
            <w:tcW w:w="1800" w:type="dxa"/>
            <w:tcBorders>
              <w:top w:val="double" w:sz="4" w:space="0" w:color="auto"/>
            </w:tcBorders>
          </w:tcPr>
          <w:p w14:paraId="60648EFB" w14:textId="77777777" w:rsidR="008B67C9" w:rsidRDefault="008B67C9">
            <w:pPr>
              <w:jc w:val="center"/>
            </w:pPr>
            <w:r>
              <w:t>1280</w:t>
            </w:r>
          </w:p>
        </w:tc>
        <w:tc>
          <w:tcPr>
            <w:tcW w:w="1800" w:type="dxa"/>
            <w:tcBorders>
              <w:top w:val="double" w:sz="4" w:space="0" w:color="auto"/>
            </w:tcBorders>
          </w:tcPr>
          <w:p w14:paraId="0CCE1F15" w14:textId="77777777" w:rsidR="008B67C9" w:rsidRDefault="008B67C9">
            <w:pPr>
              <w:jc w:val="center"/>
            </w:pPr>
            <w:r>
              <w:t>2002, 2003</w:t>
            </w:r>
          </w:p>
        </w:tc>
      </w:tr>
      <w:tr w:rsidR="008B67C9" w14:paraId="412E1321" w14:textId="77777777">
        <w:trPr>
          <w:jc w:val="center"/>
        </w:trPr>
        <w:tc>
          <w:tcPr>
            <w:tcW w:w="1980" w:type="dxa"/>
          </w:tcPr>
          <w:p w14:paraId="28FDE43C" w14:textId="77777777" w:rsidR="008B67C9" w:rsidRDefault="008B67C9">
            <w:pPr>
              <w:jc w:val="center"/>
            </w:pPr>
            <w:r>
              <w:t>850</w:t>
            </w:r>
          </w:p>
        </w:tc>
        <w:tc>
          <w:tcPr>
            <w:tcW w:w="1980" w:type="dxa"/>
          </w:tcPr>
          <w:p w14:paraId="2F29AD96" w14:textId="77777777" w:rsidR="008B67C9" w:rsidRDefault="008B67C9">
            <w:pPr>
              <w:jc w:val="center"/>
            </w:pPr>
            <w:r>
              <w:t>880</w:t>
            </w:r>
          </w:p>
        </w:tc>
        <w:tc>
          <w:tcPr>
            <w:tcW w:w="1800" w:type="dxa"/>
          </w:tcPr>
          <w:p w14:paraId="6CF51A86" w14:textId="77777777" w:rsidR="008B67C9" w:rsidRDefault="008B67C9">
            <w:pPr>
              <w:jc w:val="center"/>
            </w:pPr>
            <w:r>
              <w:t>1730</w:t>
            </w:r>
          </w:p>
        </w:tc>
        <w:tc>
          <w:tcPr>
            <w:tcW w:w="1800" w:type="dxa"/>
          </w:tcPr>
          <w:p w14:paraId="12076804" w14:textId="77777777" w:rsidR="008B67C9" w:rsidRDefault="008B67C9">
            <w:pPr>
              <w:jc w:val="center"/>
            </w:pPr>
            <w:r>
              <w:t>2004, 2005</w:t>
            </w:r>
          </w:p>
        </w:tc>
      </w:tr>
      <w:tr w:rsidR="008B67C9" w14:paraId="6A91D795" w14:textId="77777777">
        <w:trPr>
          <w:jc w:val="center"/>
        </w:trPr>
        <w:tc>
          <w:tcPr>
            <w:tcW w:w="1980" w:type="dxa"/>
          </w:tcPr>
          <w:p w14:paraId="1FA0C33D" w14:textId="77777777" w:rsidR="008B67C9" w:rsidRDefault="008B67C9">
            <w:pPr>
              <w:jc w:val="center"/>
            </w:pPr>
            <w:r>
              <w:t>1400</w:t>
            </w:r>
          </w:p>
        </w:tc>
        <w:tc>
          <w:tcPr>
            <w:tcW w:w="1980" w:type="dxa"/>
          </w:tcPr>
          <w:p w14:paraId="756EC45D" w14:textId="77777777" w:rsidR="008B67C9" w:rsidRDefault="008B67C9">
            <w:pPr>
              <w:jc w:val="center"/>
            </w:pPr>
            <w:r>
              <w:t>880</w:t>
            </w:r>
          </w:p>
        </w:tc>
        <w:tc>
          <w:tcPr>
            <w:tcW w:w="1800" w:type="dxa"/>
          </w:tcPr>
          <w:p w14:paraId="35700F62" w14:textId="77777777" w:rsidR="008B67C9" w:rsidRDefault="008B67C9">
            <w:pPr>
              <w:jc w:val="center"/>
            </w:pPr>
            <w:r>
              <w:t>2280</w:t>
            </w:r>
          </w:p>
        </w:tc>
        <w:tc>
          <w:tcPr>
            <w:tcW w:w="1800" w:type="dxa"/>
          </w:tcPr>
          <w:p w14:paraId="270AF626" w14:textId="77777777" w:rsidR="008B67C9" w:rsidRDefault="008B67C9">
            <w:pPr>
              <w:jc w:val="center"/>
            </w:pPr>
            <w:r>
              <w:t>2006, 2007</w:t>
            </w:r>
          </w:p>
        </w:tc>
      </w:tr>
      <w:tr w:rsidR="008B67C9" w14:paraId="38EA522E" w14:textId="77777777">
        <w:trPr>
          <w:trHeight w:val="80"/>
          <w:jc w:val="center"/>
        </w:trPr>
        <w:tc>
          <w:tcPr>
            <w:tcW w:w="1980" w:type="dxa"/>
          </w:tcPr>
          <w:p w14:paraId="78086FC7" w14:textId="77777777" w:rsidR="008B67C9" w:rsidRDefault="008B67C9">
            <w:pPr>
              <w:jc w:val="center"/>
            </w:pPr>
            <w:r>
              <w:t>2392</w:t>
            </w:r>
          </w:p>
        </w:tc>
        <w:tc>
          <w:tcPr>
            <w:tcW w:w="1980" w:type="dxa"/>
          </w:tcPr>
          <w:p w14:paraId="76B520C6" w14:textId="77777777" w:rsidR="008B67C9" w:rsidRDefault="008B67C9">
            <w:pPr>
              <w:jc w:val="center"/>
            </w:pPr>
            <w:r>
              <w:t>880</w:t>
            </w:r>
          </w:p>
        </w:tc>
        <w:tc>
          <w:tcPr>
            <w:tcW w:w="1800" w:type="dxa"/>
          </w:tcPr>
          <w:p w14:paraId="1DB732F5" w14:textId="77777777" w:rsidR="008B67C9" w:rsidRDefault="008B67C9">
            <w:pPr>
              <w:jc w:val="center"/>
            </w:pPr>
            <w:r>
              <w:t>3272</w:t>
            </w:r>
          </w:p>
        </w:tc>
        <w:tc>
          <w:tcPr>
            <w:tcW w:w="1800" w:type="dxa"/>
          </w:tcPr>
          <w:p w14:paraId="182AB18E" w14:textId="77777777" w:rsidR="008B67C9" w:rsidRDefault="008B67C9">
            <w:pPr>
              <w:jc w:val="center"/>
            </w:pPr>
            <w:r>
              <w:t>2008, 2009</w:t>
            </w:r>
          </w:p>
        </w:tc>
      </w:tr>
      <w:tr w:rsidR="008B67C9" w14:paraId="53F9B430" w14:textId="77777777">
        <w:trPr>
          <w:trHeight w:val="80"/>
          <w:jc w:val="center"/>
        </w:trPr>
        <w:tc>
          <w:tcPr>
            <w:tcW w:w="1980" w:type="dxa"/>
          </w:tcPr>
          <w:p w14:paraId="105F6E07" w14:textId="77777777" w:rsidR="008B67C9" w:rsidRDefault="008B67C9">
            <w:pPr>
              <w:jc w:val="center"/>
            </w:pPr>
            <w:r>
              <w:t>3384</w:t>
            </w:r>
          </w:p>
        </w:tc>
        <w:tc>
          <w:tcPr>
            <w:tcW w:w="1980" w:type="dxa"/>
          </w:tcPr>
          <w:p w14:paraId="380CC8AD" w14:textId="77777777" w:rsidR="008B67C9" w:rsidRDefault="008B67C9">
            <w:pPr>
              <w:jc w:val="center"/>
            </w:pPr>
            <w:r>
              <w:t>880</w:t>
            </w:r>
          </w:p>
        </w:tc>
        <w:tc>
          <w:tcPr>
            <w:tcW w:w="1800" w:type="dxa"/>
          </w:tcPr>
          <w:p w14:paraId="5D7B6F49" w14:textId="77777777" w:rsidR="008B67C9" w:rsidRDefault="008B67C9">
            <w:pPr>
              <w:jc w:val="center"/>
            </w:pPr>
            <w:r>
              <w:t>4264</w:t>
            </w:r>
          </w:p>
        </w:tc>
        <w:tc>
          <w:tcPr>
            <w:tcW w:w="1800" w:type="dxa"/>
          </w:tcPr>
          <w:p w14:paraId="63692693" w14:textId="77777777" w:rsidR="008B67C9" w:rsidRDefault="008B67C9">
            <w:pPr>
              <w:jc w:val="center"/>
            </w:pPr>
            <w:r>
              <w:t>2010, 2011</w:t>
            </w:r>
          </w:p>
        </w:tc>
      </w:tr>
      <w:tr w:rsidR="008B67C9" w14:paraId="7CBBB8F7" w14:textId="77777777">
        <w:trPr>
          <w:trHeight w:val="80"/>
          <w:jc w:val="center"/>
        </w:trPr>
        <w:tc>
          <w:tcPr>
            <w:tcW w:w="1980" w:type="dxa"/>
          </w:tcPr>
          <w:p w14:paraId="2D8266A9" w14:textId="77777777" w:rsidR="008B67C9" w:rsidRDefault="008B67C9">
            <w:pPr>
              <w:jc w:val="center"/>
            </w:pPr>
            <w:r>
              <w:t>4376</w:t>
            </w:r>
          </w:p>
        </w:tc>
        <w:tc>
          <w:tcPr>
            <w:tcW w:w="1980" w:type="dxa"/>
          </w:tcPr>
          <w:p w14:paraId="7EA93755" w14:textId="77777777" w:rsidR="008B67C9" w:rsidRDefault="008B67C9">
            <w:pPr>
              <w:jc w:val="center"/>
            </w:pPr>
            <w:r>
              <w:t>880</w:t>
            </w:r>
          </w:p>
        </w:tc>
        <w:tc>
          <w:tcPr>
            <w:tcW w:w="1800" w:type="dxa"/>
          </w:tcPr>
          <w:p w14:paraId="3CBCC532" w14:textId="77777777" w:rsidR="008B67C9" w:rsidRDefault="008B67C9">
            <w:pPr>
              <w:jc w:val="center"/>
            </w:pPr>
            <w:r>
              <w:t>5256</w:t>
            </w:r>
          </w:p>
        </w:tc>
        <w:tc>
          <w:tcPr>
            <w:tcW w:w="1800" w:type="dxa"/>
          </w:tcPr>
          <w:p w14:paraId="30E5D8D2" w14:textId="77777777" w:rsidR="008B67C9" w:rsidRDefault="008B67C9">
            <w:pPr>
              <w:jc w:val="center"/>
            </w:pPr>
            <w:r>
              <w:t>2012, 2013</w:t>
            </w:r>
          </w:p>
        </w:tc>
      </w:tr>
      <w:tr w:rsidR="008B67C9" w14:paraId="42E6C82F" w14:textId="77777777">
        <w:trPr>
          <w:trHeight w:val="80"/>
          <w:jc w:val="center"/>
        </w:trPr>
        <w:tc>
          <w:tcPr>
            <w:tcW w:w="1980" w:type="dxa"/>
          </w:tcPr>
          <w:p w14:paraId="48B3E347" w14:textId="77777777" w:rsidR="008B67C9" w:rsidRDefault="008B67C9">
            <w:pPr>
              <w:jc w:val="center"/>
            </w:pPr>
            <w:r>
              <w:t>5000</w:t>
            </w:r>
          </w:p>
        </w:tc>
        <w:tc>
          <w:tcPr>
            <w:tcW w:w="1980" w:type="dxa"/>
          </w:tcPr>
          <w:p w14:paraId="3822E4E6" w14:textId="77777777" w:rsidR="008B67C9" w:rsidRDefault="008B67C9">
            <w:pPr>
              <w:jc w:val="center"/>
            </w:pPr>
            <w:r>
              <w:t>880</w:t>
            </w:r>
          </w:p>
        </w:tc>
        <w:tc>
          <w:tcPr>
            <w:tcW w:w="1800" w:type="dxa"/>
          </w:tcPr>
          <w:p w14:paraId="2DB417AF" w14:textId="77777777" w:rsidR="008B67C9" w:rsidRDefault="008B67C9">
            <w:pPr>
              <w:jc w:val="center"/>
            </w:pPr>
            <w:r>
              <w:t>5880</w:t>
            </w:r>
          </w:p>
        </w:tc>
        <w:tc>
          <w:tcPr>
            <w:tcW w:w="1800" w:type="dxa"/>
          </w:tcPr>
          <w:p w14:paraId="70FD5D07" w14:textId="77777777" w:rsidR="008B67C9" w:rsidRDefault="008B67C9">
            <w:pPr>
              <w:jc w:val="center"/>
            </w:pPr>
            <w:r>
              <w:t>2014, and each year after 2014</w:t>
            </w:r>
          </w:p>
        </w:tc>
      </w:tr>
    </w:tbl>
    <w:p w14:paraId="2A9A899E" w14:textId="77777777" w:rsidR="008B67C9" w:rsidRDefault="008B67C9"/>
    <w:p w14:paraId="059E4460" w14:textId="77777777" w:rsidR="008B67C9" w:rsidRDefault="008B67C9">
      <w:pPr>
        <w:spacing w:after="240"/>
        <w:ind w:left="720" w:hanging="720"/>
        <w:rPr>
          <w:iCs/>
        </w:rPr>
      </w:pPr>
      <w:r>
        <w:rPr>
          <w:iCs/>
        </w:rPr>
        <w:t>(2)</w:t>
      </w:r>
      <w:r>
        <w:rPr>
          <w:iCs/>
        </w:rPr>
        <w:tab/>
        <w:t>ERCOT shall increase the new renewable energy capacity target for all future Compliance Periods to account for:</w:t>
      </w:r>
    </w:p>
    <w:p w14:paraId="23B1BF6A" w14:textId="77777777" w:rsidR="008B67C9" w:rsidRDefault="008B67C9">
      <w:pPr>
        <w:spacing w:after="240"/>
        <w:ind w:left="1440" w:hanging="720"/>
        <w:rPr>
          <w:iCs/>
        </w:rPr>
      </w:pPr>
      <w:r>
        <w:rPr>
          <w:iCs/>
        </w:rPr>
        <w:t>(a)</w:t>
      </w:r>
      <w:r>
        <w:rPr>
          <w:iCs/>
        </w:rPr>
        <w:tab/>
        <w:t xml:space="preserve">Capacity producing RECs from eligible qualifying out-of-state facilities metered in </w:t>
      </w:r>
      <w:smartTag w:uri="urn:schemas-microsoft-com:office:smarttags" w:element="place">
        <w:smartTag w:uri="urn:schemas-microsoft-com:office:smarttags" w:element="State">
          <w:r>
            <w:rPr>
              <w:iCs/>
            </w:rPr>
            <w:t>Texas</w:t>
          </w:r>
        </w:smartTag>
      </w:smartTag>
      <w:r>
        <w:rPr>
          <w:iCs/>
        </w:rPr>
        <w:t>; and</w:t>
      </w:r>
    </w:p>
    <w:p w14:paraId="7509033F" w14:textId="77777777" w:rsidR="008B67C9" w:rsidRDefault="008B67C9">
      <w:pPr>
        <w:spacing w:after="240"/>
        <w:ind w:left="1440" w:hanging="720"/>
        <w:rPr>
          <w:iCs/>
        </w:rPr>
      </w:pPr>
      <w:r>
        <w:rPr>
          <w:iCs/>
        </w:rPr>
        <w:t xml:space="preserve"> (b)</w:t>
      </w:r>
      <w:r>
        <w:rPr>
          <w:iCs/>
        </w:rPr>
        <w:tab/>
        <w:t>Capacity from a renewable energy generator placed in service before September 1, 1999 that has been retired or otherwise removed from the program and results in a statewide existing renewable capacity of less than 880 MW.</w:t>
      </w:r>
    </w:p>
    <w:p w14:paraId="75CE7B80" w14:textId="77777777" w:rsidR="008B67C9" w:rsidRDefault="008B67C9">
      <w:pPr>
        <w:spacing w:after="240"/>
        <w:ind w:left="720"/>
        <w:rPr>
          <w:iCs/>
        </w:rPr>
      </w:pPr>
      <w:r>
        <w:rPr>
          <w:iCs/>
        </w:rPr>
        <w:t xml:space="preserve">ERCOT shall apply any such changes for out-of-state capacity and retirements at such time the revised Capacity Conversion Factor </w:t>
      </w:r>
      <w:r w:rsidR="008028E5">
        <w:rPr>
          <w:iCs/>
        </w:rPr>
        <w:t xml:space="preserve">(CCF) </w:t>
      </w:r>
      <w:r>
        <w:rPr>
          <w:iCs/>
        </w:rPr>
        <w:t>is computed and applied.</w:t>
      </w:r>
    </w:p>
    <w:p w14:paraId="0D64C1D5" w14:textId="77777777" w:rsidR="008B67C9" w:rsidRDefault="008B67C9">
      <w:pPr>
        <w:spacing w:after="240"/>
        <w:ind w:left="720" w:hanging="720"/>
        <w:rPr>
          <w:iCs/>
        </w:rPr>
      </w:pPr>
      <w:r>
        <w:rPr>
          <w:iCs/>
        </w:rPr>
        <w:t>(3)</w:t>
      </w:r>
      <w:r>
        <w:rPr>
          <w:iCs/>
        </w:rPr>
        <w:tab/>
        <w:t xml:space="preserve">RECs may be produced by generators certified by the PUCT which are not located in </w:t>
      </w:r>
      <w:smartTag w:uri="urn:schemas-microsoft-com:office:smarttags" w:element="place">
        <w:smartTag w:uri="urn:schemas-microsoft-com:office:smarttags" w:element="State">
          <w:r>
            <w:rPr>
              <w:iCs/>
            </w:rPr>
            <w:t>Texas</w:t>
          </w:r>
        </w:smartTag>
      </w:smartTag>
      <w:r>
        <w:rPr>
          <w:iCs/>
        </w:rPr>
        <w:t xml:space="preserve"> if:</w:t>
      </w:r>
    </w:p>
    <w:p w14:paraId="6D6CC43F" w14:textId="77777777" w:rsidR="008B67C9" w:rsidRDefault="008B67C9">
      <w:pPr>
        <w:spacing w:after="240"/>
        <w:ind w:left="720"/>
        <w:rPr>
          <w:iCs/>
        </w:rPr>
      </w:pPr>
      <w:r>
        <w:rPr>
          <w:iCs/>
        </w:rPr>
        <w:t>(a)</w:t>
      </w:r>
      <w:r>
        <w:rPr>
          <w:iCs/>
        </w:rPr>
        <w:tab/>
        <w:t xml:space="preserve">The first metering point for such generation is in </w:t>
      </w:r>
      <w:smartTag w:uri="urn:schemas-microsoft-com:office:smarttags" w:element="place">
        <w:smartTag w:uri="urn:schemas-microsoft-com:office:smarttags" w:element="State">
          <w:r>
            <w:rPr>
              <w:iCs/>
            </w:rPr>
            <w:t>Texas</w:t>
          </w:r>
        </w:smartTag>
      </w:smartTag>
      <w:r>
        <w:rPr>
          <w:iCs/>
        </w:rPr>
        <w:t>; and</w:t>
      </w:r>
    </w:p>
    <w:p w14:paraId="00B183C0" w14:textId="77777777" w:rsidR="008B67C9" w:rsidRDefault="008B67C9">
      <w:pPr>
        <w:spacing w:after="240"/>
        <w:ind w:left="1440" w:hanging="720"/>
        <w:rPr>
          <w:iCs/>
        </w:rPr>
      </w:pPr>
      <w:r>
        <w:rPr>
          <w:iCs/>
        </w:rPr>
        <w:t>(b)</w:t>
      </w:r>
      <w:r>
        <w:rPr>
          <w:iCs/>
        </w:rPr>
        <w:tab/>
        <w:t xml:space="preserve">All generation metered at the location of injection into the </w:t>
      </w:r>
      <w:smartTag w:uri="urn:schemas-microsoft-com:office:smarttags" w:element="place">
        <w:smartTag w:uri="urn:schemas-microsoft-com:office:smarttags" w:element="State">
          <w:r>
            <w:rPr>
              <w:iCs/>
            </w:rPr>
            <w:t>Texas</w:t>
          </w:r>
        </w:smartTag>
      </w:smartTag>
      <w:r>
        <w:rPr>
          <w:iCs/>
        </w:rPr>
        <w:t xml:space="preserve"> grid comes from that generator.</w:t>
      </w:r>
    </w:p>
    <w:p w14:paraId="35180EBA" w14:textId="77777777" w:rsidR="008B67C9" w:rsidRDefault="008B67C9">
      <w:pPr>
        <w:spacing w:after="240"/>
        <w:ind w:left="720" w:hanging="720"/>
        <w:rPr>
          <w:iCs/>
        </w:rPr>
      </w:pPr>
      <w:r>
        <w:rPr>
          <w:iCs/>
        </w:rPr>
        <w:t>(4)</w:t>
      </w:r>
      <w:r>
        <w:rPr>
          <w:iCs/>
        </w:rPr>
        <w:tab/>
        <w:t xml:space="preserve">REC generators physically located outside the state of </w:t>
      </w:r>
      <w:smartTag w:uri="urn:schemas-microsoft-com:office:smarttags" w:element="place">
        <w:smartTag w:uri="urn:schemas-microsoft-com:office:smarttags" w:element="State">
          <w:r>
            <w:rPr>
              <w:iCs/>
            </w:rPr>
            <w:t>Texas</w:t>
          </w:r>
        </w:smartTag>
      </w:smartTag>
      <w:r>
        <w:rPr>
          <w:iCs/>
        </w:rPr>
        <w:t xml:space="preserve"> are not included in the annual calculations of installed renewable capacity for purposes of the REC Trading Program.  However, as such generation may contribute to the available pool of RECs, it is conceivable that there may be sufficient RECs to allow Retail Entities to meet their annual requirements, while at the same time, a target capacity shortfall for installed renewable capacity in Texas could exist.</w:t>
      </w:r>
    </w:p>
    <w:p w14:paraId="76F9D554" w14:textId="77777777" w:rsidR="008B67C9" w:rsidRDefault="008B67C9">
      <w:pPr>
        <w:pStyle w:val="H3"/>
      </w:pPr>
      <w:bookmarkStart w:id="33" w:name="_Toc440463374"/>
      <w:r>
        <w:lastRenderedPageBreak/>
        <w:t>14.9.2</w:t>
      </w:r>
      <w:r>
        <w:tab/>
        <w:t>Capacity Conversion Factor</w:t>
      </w:r>
      <w:bookmarkEnd w:id="33"/>
    </w:p>
    <w:p w14:paraId="6979E219" w14:textId="77777777" w:rsidR="008B67C9" w:rsidRDefault="008B67C9">
      <w:pPr>
        <w:keepNext/>
        <w:spacing w:after="240"/>
        <w:ind w:left="720" w:hanging="720"/>
        <w:rPr>
          <w:iCs/>
        </w:rPr>
      </w:pPr>
      <w:r>
        <w:rPr>
          <w:iCs/>
        </w:rPr>
        <w:t>(1)</w:t>
      </w:r>
      <w:r>
        <w:rPr>
          <w:iCs/>
        </w:rPr>
        <w:tab/>
        <w:t>ERCOT shall set the CCF to allocate credits to Retail Entities.  The CCF shall be calculated during the fourth quarter of each odd numbered compliance year.  ERCOT shall determine a new CCF as follows:</w:t>
      </w:r>
    </w:p>
    <w:p w14:paraId="03E3D4F1" w14:textId="77777777" w:rsidR="008B67C9" w:rsidRDefault="008B67C9">
      <w:pPr>
        <w:pStyle w:val="FormulaBold"/>
      </w:pPr>
      <w:r>
        <w:t xml:space="preserve">Individual Facility CCF </w:t>
      </w:r>
      <w:proofErr w:type="spellStart"/>
      <w:r>
        <w:rPr>
          <w:i/>
          <w:vertAlign w:val="subscript"/>
        </w:rPr>
        <w:t>i</w:t>
      </w:r>
      <w:proofErr w:type="spellEnd"/>
      <w:r>
        <w:rPr>
          <w:i/>
          <w:vertAlign w:val="subscript"/>
        </w:rPr>
        <w:t xml:space="preserve"> </w:t>
      </w:r>
      <w:r>
        <w:rPr>
          <w:i/>
        </w:rPr>
        <w:t xml:space="preserve">= </w:t>
      </w:r>
      <w:r>
        <w:t>(12/n)*</w:t>
      </w:r>
      <w:r w:rsidRPr="00F31C94">
        <w:rPr>
          <w:position w:val="-20"/>
        </w:rPr>
        <w:object w:dxaOrig="260" w:dyaOrig="580" w14:anchorId="6572A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28.55pt" o:ole="">
            <v:imagedata r:id="rId12" o:title=""/>
          </v:shape>
          <o:OLEObject Type="Embed" ProgID="Equation.3" ShapeID="_x0000_i1025" DrawAspect="Content" ObjectID="_1670663738" r:id="rId13"/>
        </w:object>
      </w:r>
      <w:r>
        <w:t xml:space="preserve">HO </w:t>
      </w:r>
      <w:proofErr w:type="spellStart"/>
      <w:r>
        <w:rPr>
          <w:i/>
          <w:vertAlign w:val="subscript"/>
        </w:rPr>
        <w:t>i</w:t>
      </w:r>
      <w:proofErr w:type="spellEnd"/>
      <w:r>
        <w:rPr>
          <w:i/>
          <w:vertAlign w:val="subscript"/>
        </w:rPr>
        <w:t>,</w:t>
      </w:r>
      <w:r w:rsidR="008028E5">
        <w:rPr>
          <w:i/>
          <w:vertAlign w:val="subscript"/>
        </w:rPr>
        <w:t xml:space="preserve"> </w:t>
      </w:r>
      <w:r>
        <w:rPr>
          <w:i/>
          <w:vertAlign w:val="subscript"/>
        </w:rPr>
        <w:t>t</w:t>
      </w:r>
      <w:r>
        <w:t xml:space="preserve"> / (HC </w:t>
      </w:r>
      <w:proofErr w:type="spellStart"/>
      <w:r>
        <w:rPr>
          <w:i/>
          <w:vertAlign w:val="subscript"/>
        </w:rPr>
        <w:t>i</w:t>
      </w:r>
      <w:proofErr w:type="spellEnd"/>
      <w:r>
        <w:rPr>
          <w:i/>
          <w:vertAlign w:val="subscript"/>
        </w:rPr>
        <w:t>,</w:t>
      </w:r>
      <w:r w:rsidR="008028E5">
        <w:rPr>
          <w:i/>
          <w:vertAlign w:val="subscript"/>
        </w:rPr>
        <w:t xml:space="preserve"> </w:t>
      </w:r>
      <w:r>
        <w:rPr>
          <w:i/>
          <w:vertAlign w:val="subscript"/>
        </w:rPr>
        <w:t xml:space="preserve">t </w:t>
      </w:r>
      <w:r>
        <w:t>*</w:t>
      </w:r>
      <w:r>
        <w:rPr>
          <w:i/>
          <w:vertAlign w:val="subscript"/>
        </w:rPr>
        <w:t xml:space="preserve"> </w:t>
      </w:r>
      <w:r>
        <w:t xml:space="preserve">8760) </w:t>
      </w:r>
    </w:p>
    <w:p w14:paraId="566CDEB1" w14:textId="77777777" w:rsidR="008B67C9" w:rsidRDefault="008B67C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8B67C9" w14:paraId="1C509104" w14:textId="77777777">
        <w:trPr>
          <w:trHeight w:val="548"/>
        </w:trPr>
        <w:tc>
          <w:tcPr>
            <w:tcW w:w="979" w:type="dxa"/>
          </w:tcPr>
          <w:p w14:paraId="29A80E89" w14:textId="77777777" w:rsidR="008B67C9" w:rsidRDefault="008B67C9">
            <w:pPr>
              <w:pStyle w:val="TableBody"/>
              <w:rPr>
                <w:b/>
              </w:rPr>
            </w:pPr>
            <w:r>
              <w:rPr>
                <w:b/>
              </w:rPr>
              <w:t>Variable</w:t>
            </w:r>
          </w:p>
        </w:tc>
        <w:tc>
          <w:tcPr>
            <w:tcW w:w="797" w:type="dxa"/>
          </w:tcPr>
          <w:p w14:paraId="2F425644" w14:textId="77777777" w:rsidR="008B67C9" w:rsidRDefault="008B67C9">
            <w:pPr>
              <w:pStyle w:val="TableBody"/>
              <w:rPr>
                <w:b/>
              </w:rPr>
            </w:pPr>
            <w:r>
              <w:rPr>
                <w:b/>
              </w:rPr>
              <w:t>Unit</w:t>
            </w:r>
          </w:p>
        </w:tc>
        <w:tc>
          <w:tcPr>
            <w:tcW w:w="6715" w:type="dxa"/>
          </w:tcPr>
          <w:p w14:paraId="1EF446E5" w14:textId="77777777" w:rsidR="008B67C9" w:rsidRDefault="008B67C9">
            <w:pPr>
              <w:pStyle w:val="TableBody"/>
              <w:rPr>
                <w:b/>
              </w:rPr>
            </w:pPr>
            <w:r>
              <w:rPr>
                <w:b/>
              </w:rPr>
              <w:t>Description</w:t>
            </w:r>
          </w:p>
        </w:tc>
      </w:tr>
      <w:tr w:rsidR="008B67C9" w14:paraId="4B7971BF" w14:textId="77777777">
        <w:trPr>
          <w:trHeight w:val="323"/>
        </w:trPr>
        <w:tc>
          <w:tcPr>
            <w:tcW w:w="979" w:type="dxa"/>
          </w:tcPr>
          <w:p w14:paraId="59D8076A" w14:textId="77777777" w:rsidR="008B67C9" w:rsidRPr="004878DD" w:rsidRDefault="008B67C9">
            <w:pPr>
              <w:pStyle w:val="TableBody"/>
              <w:rPr>
                <w:i/>
              </w:rPr>
            </w:pPr>
            <w:proofErr w:type="spellStart"/>
            <w:r w:rsidRPr="004878DD">
              <w:rPr>
                <w:i/>
              </w:rPr>
              <w:t>i</w:t>
            </w:r>
            <w:proofErr w:type="spellEnd"/>
          </w:p>
        </w:tc>
        <w:tc>
          <w:tcPr>
            <w:tcW w:w="797" w:type="dxa"/>
          </w:tcPr>
          <w:p w14:paraId="4FA159DA" w14:textId="77777777" w:rsidR="008B67C9" w:rsidRDefault="008B67C9">
            <w:pPr>
              <w:pStyle w:val="TableBody"/>
            </w:pPr>
            <w:r>
              <w:t>None</w:t>
            </w:r>
          </w:p>
        </w:tc>
        <w:tc>
          <w:tcPr>
            <w:tcW w:w="6715" w:type="dxa"/>
          </w:tcPr>
          <w:p w14:paraId="7C00F30F" w14:textId="77777777" w:rsidR="008B67C9" w:rsidRDefault="008B67C9">
            <w:pPr>
              <w:pStyle w:val="TableBody"/>
            </w:pPr>
            <w:r>
              <w:rPr>
                <w:iCs w:val="0"/>
              </w:rPr>
              <w:t>Individual renewable energy generation facility</w:t>
            </w:r>
          </w:p>
        </w:tc>
      </w:tr>
      <w:tr w:rsidR="008B67C9" w14:paraId="3ACDB617" w14:textId="77777777">
        <w:trPr>
          <w:trHeight w:val="530"/>
        </w:trPr>
        <w:tc>
          <w:tcPr>
            <w:tcW w:w="979" w:type="dxa"/>
          </w:tcPr>
          <w:p w14:paraId="0D0D8A6D" w14:textId="77777777" w:rsidR="008B67C9" w:rsidRPr="00B41601" w:rsidRDefault="008B67C9">
            <w:pPr>
              <w:pStyle w:val="TableBody"/>
            </w:pPr>
            <w:r w:rsidRPr="00B41601">
              <w:t>n</w:t>
            </w:r>
          </w:p>
        </w:tc>
        <w:tc>
          <w:tcPr>
            <w:tcW w:w="797" w:type="dxa"/>
          </w:tcPr>
          <w:p w14:paraId="5B842980" w14:textId="77777777" w:rsidR="008B67C9" w:rsidRDefault="008B67C9">
            <w:pPr>
              <w:pStyle w:val="TableBody"/>
            </w:pPr>
            <w:r>
              <w:t>None</w:t>
            </w:r>
          </w:p>
        </w:tc>
        <w:tc>
          <w:tcPr>
            <w:tcW w:w="6715" w:type="dxa"/>
          </w:tcPr>
          <w:p w14:paraId="7838EC49" w14:textId="77777777" w:rsidR="008B67C9" w:rsidRDefault="008B67C9">
            <w:pPr>
              <w:pStyle w:val="TableBody"/>
            </w:pPr>
            <w:r>
              <w:rPr>
                <w:iCs w:val="0"/>
              </w:rPr>
              <w:t xml:space="preserve">Number of months a specific renewable energy generation facility was in operation over the past 24 months.  </w:t>
            </w:r>
            <w:r w:rsidRPr="007472DD">
              <w:rPr>
                <w:i/>
                <w:iCs w:val="0"/>
              </w:rPr>
              <w:t>n</w:t>
            </w:r>
            <w:r>
              <w:rPr>
                <w:iCs w:val="0"/>
              </w:rPr>
              <w:t xml:space="preserve"> must be greater than or equal to 12 and less than or equal to 24.</w:t>
            </w:r>
          </w:p>
        </w:tc>
      </w:tr>
      <w:tr w:rsidR="008B67C9" w14:paraId="6AE5F55B" w14:textId="77777777">
        <w:trPr>
          <w:trHeight w:val="530"/>
        </w:trPr>
        <w:tc>
          <w:tcPr>
            <w:tcW w:w="979" w:type="dxa"/>
          </w:tcPr>
          <w:p w14:paraId="00CF56B8" w14:textId="77777777" w:rsidR="008B67C9" w:rsidRDefault="008B67C9">
            <w:pPr>
              <w:pStyle w:val="TableBody"/>
            </w:pPr>
            <w:r>
              <w:rPr>
                <w:iCs w:val="0"/>
              </w:rPr>
              <w:t xml:space="preserve">HO </w:t>
            </w:r>
            <w:proofErr w:type="spellStart"/>
            <w:r w:rsidRPr="004878DD">
              <w:rPr>
                <w:i/>
                <w:iCs w:val="0"/>
                <w:vertAlign w:val="subscript"/>
              </w:rPr>
              <w:t>i</w:t>
            </w:r>
            <w:proofErr w:type="spellEnd"/>
            <w:r w:rsidRPr="004878DD">
              <w:rPr>
                <w:i/>
                <w:iCs w:val="0"/>
                <w:vertAlign w:val="subscript"/>
              </w:rPr>
              <w:t>,</w:t>
            </w:r>
            <w:r w:rsidR="008028E5" w:rsidRPr="004878DD">
              <w:rPr>
                <w:i/>
                <w:iCs w:val="0"/>
                <w:vertAlign w:val="subscript"/>
              </w:rPr>
              <w:t xml:space="preserve"> </w:t>
            </w:r>
            <w:r w:rsidRPr="004878DD">
              <w:rPr>
                <w:i/>
                <w:iCs w:val="0"/>
                <w:vertAlign w:val="subscript"/>
              </w:rPr>
              <w:t>t</w:t>
            </w:r>
          </w:p>
        </w:tc>
        <w:tc>
          <w:tcPr>
            <w:tcW w:w="797" w:type="dxa"/>
          </w:tcPr>
          <w:p w14:paraId="2D3E7376" w14:textId="77777777" w:rsidR="008B67C9" w:rsidRDefault="008B67C9">
            <w:pPr>
              <w:pStyle w:val="TableBody"/>
            </w:pPr>
            <w:r>
              <w:t>MWh</w:t>
            </w:r>
          </w:p>
        </w:tc>
        <w:tc>
          <w:tcPr>
            <w:tcW w:w="6715" w:type="dxa"/>
          </w:tcPr>
          <w:p w14:paraId="4FE04C8F" w14:textId="77777777" w:rsidR="008B67C9" w:rsidRDefault="008B67C9">
            <w:pPr>
              <w:pStyle w:val="TableBody"/>
              <w:rPr>
                <w:iCs w:val="0"/>
              </w:rPr>
            </w:pPr>
            <w:r>
              <w:rPr>
                <w:iCs w:val="0"/>
              </w:rPr>
              <w:t xml:space="preserve">Total production by participating renewable generator </w:t>
            </w:r>
            <w:proofErr w:type="spellStart"/>
            <w:r w:rsidRPr="007472DD">
              <w:rPr>
                <w:i/>
                <w:iCs w:val="0"/>
              </w:rPr>
              <w:t>i</w:t>
            </w:r>
            <w:proofErr w:type="spellEnd"/>
            <w:r>
              <w:rPr>
                <w:iCs w:val="0"/>
              </w:rPr>
              <w:t xml:space="preserve"> during Compliance Period </w:t>
            </w:r>
            <w:r w:rsidRPr="007472DD">
              <w:rPr>
                <w:i/>
                <w:iCs w:val="0"/>
              </w:rPr>
              <w:t>t</w:t>
            </w:r>
            <w:r>
              <w:rPr>
                <w:iCs w:val="0"/>
              </w:rPr>
              <w:t>.</w:t>
            </w:r>
          </w:p>
        </w:tc>
      </w:tr>
      <w:tr w:rsidR="008B67C9" w14:paraId="60258052" w14:textId="77777777">
        <w:trPr>
          <w:trHeight w:val="530"/>
        </w:trPr>
        <w:tc>
          <w:tcPr>
            <w:tcW w:w="979" w:type="dxa"/>
          </w:tcPr>
          <w:p w14:paraId="13029FB1" w14:textId="77777777" w:rsidR="008B67C9" w:rsidRDefault="008B67C9">
            <w:pPr>
              <w:pStyle w:val="TableBody"/>
              <w:rPr>
                <w:iCs w:val="0"/>
              </w:rPr>
            </w:pPr>
            <w:r>
              <w:rPr>
                <w:iCs w:val="0"/>
              </w:rPr>
              <w:t xml:space="preserve">HC </w:t>
            </w:r>
            <w:proofErr w:type="spellStart"/>
            <w:r w:rsidRPr="004878DD">
              <w:rPr>
                <w:i/>
                <w:iCs w:val="0"/>
                <w:vertAlign w:val="subscript"/>
              </w:rPr>
              <w:t>i</w:t>
            </w:r>
            <w:proofErr w:type="spellEnd"/>
            <w:r w:rsidRPr="004878DD">
              <w:rPr>
                <w:i/>
                <w:iCs w:val="0"/>
                <w:vertAlign w:val="subscript"/>
              </w:rPr>
              <w:t>,</w:t>
            </w:r>
            <w:r w:rsidR="008028E5" w:rsidRPr="004878DD">
              <w:rPr>
                <w:i/>
                <w:iCs w:val="0"/>
                <w:vertAlign w:val="subscript"/>
              </w:rPr>
              <w:t xml:space="preserve"> </w:t>
            </w:r>
            <w:r w:rsidRPr="004878DD">
              <w:rPr>
                <w:i/>
                <w:iCs w:val="0"/>
                <w:vertAlign w:val="subscript"/>
              </w:rPr>
              <w:t>t</w:t>
            </w:r>
          </w:p>
        </w:tc>
        <w:tc>
          <w:tcPr>
            <w:tcW w:w="797" w:type="dxa"/>
          </w:tcPr>
          <w:p w14:paraId="66B5180C" w14:textId="77777777" w:rsidR="008B67C9" w:rsidRDefault="008B67C9">
            <w:pPr>
              <w:pStyle w:val="TableBody"/>
            </w:pPr>
            <w:r>
              <w:t>MW</w:t>
            </w:r>
          </w:p>
        </w:tc>
        <w:tc>
          <w:tcPr>
            <w:tcW w:w="6715" w:type="dxa"/>
          </w:tcPr>
          <w:p w14:paraId="4C6880E4" w14:textId="77777777" w:rsidR="008B67C9" w:rsidRDefault="008B67C9">
            <w:pPr>
              <w:pStyle w:val="TableBody"/>
              <w:rPr>
                <w:iCs w:val="0"/>
              </w:rPr>
            </w:pPr>
            <w:r>
              <w:rPr>
                <w:iCs w:val="0"/>
              </w:rPr>
              <w:t xml:space="preserve">Average total generation capacity by participating renewable generator </w:t>
            </w:r>
            <w:proofErr w:type="spellStart"/>
            <w:r w:rsidRPr="007472DD">
              <w:rPr>
                <w:i/>
                <w:iCs w:val="0"/>
              </w:rPr>
              <w:t>i</w:t>
            </w:r>
            <w:proofErr w:type="spellEnd"/>
            <w:r>
              <w:rPr>
                <w:iCs w:val="0"/>
              </w:rPr>
              <w:t xml:space="preserve"> during Compliance Period </w:t>
            </w:r>
            <w:r w:rsidRPr="007472DD">
              <w:rPr>
                <w:i/>
                <w:iCs w:val="0"/>
              </w:rPr>
              <w:t>t</w:t>
            </w:r>
            <w:r>
              <w:rPr>
                <w:iCs w:val="0"/>
              </w:rPr>
              <w:t>.</w:t>
            </w:r>
          </w:p>
        </w:tc>
      </w:tr>
    </w:tbl>
    <w:p w14:paraId="19B8AD4C" w14:textId="77777777" w:rsidR="008B67C9" w:rsidRDefault="008B67C9">
      <w:pPr>
        <w:tabs>
          <w:tab w:val="left" w:pos="2520"/>
        </w:tabs>
        <w:spacing w:before="120" w:after="240"/>
        <w:ind w:left="3240" w:hanging="1080"/>
        <w:contextualSpacing/>
      </w:pPr>
    </w:p>
    <w:p w14:paraId="5CDCF87A" w14:textId="77777777" w:rsidR="008B67C9" w:rsidRDefault="008B67C9">
      <w:pPr>
        <w:pStyle w:val="Spaceafterbox"/>
        <w:ind w:firstLine="720"/>
      </w:pPr>
      <w:r>
        <w:t xml:space="preserve">and </w:t>
      </w:r>
    </w:p>
    <w:p w14:paraId="24353F2E" w14:textId="77777777" w:rsidR="008B67C9" w:rsidRDefault="008B67C9">
      <w:pPr>
        <w:pStyle w:val="FormulaBold"/>
      </w:pPr>
      <w:r>
        <w:t xml:space="preserve">CCF = </w:t>
      </w:r>
      <w:r w:rsidRPr="00F31C94">
        <w:rPr>
          <w:position w:val="-20"/>
        </w:rPr>
        <w:object w:dxaOrig="260" w:dyaOrig="580" w14:anchorId="7AF66E9C">
          <v:shape id="_x0000_i1026" type="#_x0000_t75" style="width:12.25pt;height:28.55pt" o:ole="">
            <v:imagedata r:id="rId14" o:title=""/>
          </v:shape>
          <o:OLEObject Type="Embed" ProgID="Equation.3" ShapeID="_x0000_i1026" DrawAspect="Content" ObjectID="_1670663739" r:id="rId15"/>
        </w:object>
      </w:r>
      <w:r>
        <w:t xml:space="preserve"> (CCF </w:t>
      </w:r>
      <w:proofErr w:type="spellStart"/>
      <w:r>
        <w:rPr>
          <w:i/>
          <w:vertAlign w:val="subscript"/>
        </w:rPr>
        <w:t>i</w:t>
      </w:r>
      <w:proofErr w:type="spellEnd"/>
      <w:r>
        <w:t xml:space="preserve"> * PC </w:t>
      </w:r>
      <w:proofErr w:type="spellStart"/>
      <w:r>
        <w:rPr>
          <w:i/>
          <w:vertAlign w:val="subscript"/>
        </w:rPr>
        <w:t>i</w:t>
      </w:r>
      <w:proofErr w:type="spellEnd"/>
      <w:r>
        <w:t xml:space="preserve">) / </w:t>
      </w:r>
      <w:r w:rsidRPr="00F31C94">
        <w:rPr>
          <w:position w:val="-20"/>
        </w:rPr>
        <w:object w:dxaOrig="260" w:dyaOrig="580" w14:anchorId="5AFE4BB5">
          <v:shape id="_x0000_i1027" type="#_x0000_t75" style="width:12.25pt;height:28.55pt" o:ole="">
            <v:imagedata r:id="rId16" o:title=""/>
          </v:shape>
          <o:OLEObject Type="Embed" ProgID="Equation.3" ShapeID="_x0000_i1027" DrawAspect="Content" ObjectID="_1670663740" r:id="rId17"/>
        </w:object>
      </w:r>
      <w:r>
        <w:t xml:space="preserve">PC </w:t>
      </w:r>
      <w:proofErr w:type="spellStart"/>
      <w:r>
        <w:rPr>
          <w:i/>
          <w:vertAlign w:val="subscript"/>
        </w:rPr>
        <w:t>i</w:t>
      </w:r>
      <w:proofErr w:type="spellEnd"/>
      <w:r>
        <w:t xml:space="preserve"> </w:t>
      </w:r>
    </w:p>
    <w:p w14:paraId="29C59FE7" w14:textId="77777777" w:rsidR="008B67C9" w:rsidRDefault="008B67C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8B67C9" w14:paraId="5CFA6BB1" w14:textId="77777777">
        <w:trPr>
          <w:trHeight w:val="548"/>
        </w:trPr>
        <w:tc>
          <w:tcPr>
            <w:tcW w:w="1070" w:type="dxa"/>
          </w:tcPr>
          <w:p w14:paraId="1D9432BE" w14:textId="77777777" w:rsidR="008B67C9" w:rsidRDefault="008B67C9">
            <w:pPr>
              <w:pStyle w:val="TableBody"/>
              <w:rPr>
                <w:b/>
              </w:rPr>
            </w:pPr>
            <w:r>
              <w:rPr>
                <w:b/>
              </w:rPr>
              <w:t>Variable</w:t>
            </w:r>
          </w:p>
        </w:tc>
        <w:tc>
          <w:tcPr>
            <w:tcW w:w="870" w:type="dxa"/>
          </w:tcPr>
          <w:p w14:paraId="596B63FC" w14:textId="77777777" w:rsidR="008B67C9" w:rsidRDefault="008B67C9">
            <w:pPr>
              <w:pStyle w:val="TableBody"/>
              <w:rPr>
                <w:b/>
              </w:rPr>
            </w:pPr>
            <w:r>
              <w:rPr>
                <w:b/>
              </w:rPr>
              <w:t>Unit</w:t>
            </w:r>
          </w:p>
        </w:tc>
        <w:tc>
          <w:tcPr>
            <w:tcW w:w="7334" w:type="dxa"/>
          </w:tcPr>
          <w:p w14:paraId="07E7A6E6" w14:textId="77777777" w:rsidR="008B67C9" w:rsidRDefault="008B67C9">
            <w:pPr>
              <w:pStyle w:val="TableBody"/>
              <w:rPr>
                <w:b/>
              </w:rPr>
            </w:pPr>
            <w:r>
              <w:rPr>
                <w:b/>
              </w:rPr>
              <w:t>Description</w:t>
            </w:r>
          </w:p>
        </w:tc>
      </w:tr>
      <w:tr w:rsidR="008B67C9" w14:paraId="18AD968D" w14:textId="77777777">
        <w:trPr>
          <w:trHeight w:val="448"/>
        </w:trPr>
        <w:tc>
          <w:tcPr>
            <w:tcW w:w="1070" w:type="dxa"/>
          </w:tcPr>
          <w:p w14:paraId="0E02509A" w14:textId="77777777" w:rsidR="008B67C9" w:rsidRPr="004878DD" w:rsidRDefault="008B67C9">
            <w:pPr>
              <w:pStyle w:val="TableBody"/>
              <w:rPr>
                <w:i/>
              </w:rPr>
            </w:pPr>
            <w:r w:rsidRPr="004878DD">
              <w:rPr>
                <w:i/>
              </w:rPr>
              <w:t>q</w:t>
            </w:r>
          </w:p>
        </w:tc>
        <w:tc>
          <w:tcPr>
            <w:tcW w:w="870" w:type="dxa"/>
          </w:tcPr>
          <w:p w14:paraId="09DADB9F" w14:textId="77777777" w:rsidR="008B67C9" w:rsidRDefault="008B67C9">
            <w:pPr>
              <w:pStyle w:val="TableBody"/>
            </w:pPr>
            <w:r>
              <w:t>None</w:t>
            </w:r>
          </w:p>
        </w:tc>
        <w:tc>
          <w:tcPr>
            <w:tcW w:w="7334" w:type="dxa"/>
          </w:tcPr>
          <w:p w14:paraId="2C2814AA" w14:textId="77777777" w:rsidR="008B67C9" w:rsidRDefault="008B67C9">
            <w:pPr>
              <w:pStyle w:val="TableBody"/>
            </w:pPr>
            <w:r>
              <w:rPr>
                <w:iCs w:val="0"/>
              </w:rPr>
              <w:t>The total number of renewable energy generation facilities in the REC Trading Program</w:t>
            </w:r>
          </w:p>
        </w:tc>
      </w:tr>
      <w:tr w:rsidR="008B67C9" w14:paraId="58DFDA97" w14:textId="77777777">
        <w:trPr>
          <w:trHeight w:val="814"/>
        </w:trPr>
        <w:tc>
          <w:tcPr>
            <w:tcW w:w="1070" w:type="dxa"/>
          </w:tcPr>
          <w:p w14:paraId="56755C10" w14:textId="77777777" w:rsidR="008B67C9" w:rsidRDefault="008B67C9">
            <w:pPr>
              <w:pStyle w:val="TableBody"/>
            </w:pPr>
            <w:r>
              <w:rPr>
                <w:iCs w:val="0"/>
              </w:rPr>
              <w:t xml:space="preserve">PC </w:t>
            </w:r>
            <w:proofErr w:type="spellStart"/>
            <w:r w:rsidRPr="004878DD">
              <w:rPr>
                <w:i/>
                <w:iCs w:val="0"/>
                <w:vertAlign w:val="subscript"/>
              </w:rPr>
              <w:t>i</w:t>
            </w:r>
            <w:proofErr w:type="spellEnd"/>
          </w:p>
        </w:tc>
        <w:tc>
          <w:tcPr>
            <w:tcW w:w="870" w:type="dxa"/>
          </w:tcPr>
          <w:p w14:paraId="6F59BE88" w14:textId="77777777" w:rsidR="008B67C9" w:rsidRDefault="008B67C9">
            <w:pPr>
              <w:pStyle w:val="TableBody"/>
            </w:pPr>
            <w:r>
              <w:t>MW</w:t>
            </w:r>
          </w:p>
        </w:tc>
        <w:tc>
          <w:tcPr>
            <w:tcW w:w="7334" w:type="dxa"/>
          </w:tcPr>
          <w:p w14:paraId="60EF56BF" w14:textId="77777777" w:rsidR="008B67C9" w:rsidRDefault="008B67C9">
            <w:pPr>
              <w:pStyle w:val="TableBody"/>
            </w:pPr>
            <w:r>
              <w:rPr>
                <w:iCs w:val="0"/>
              </w:rPr>
              <w:t xml:space="preserve">Participating Capacity as of September 30 of the year the revised CCF is calculated for renewable energy generation facility </w:t>
            </w:r>
            <w:proofErr w:type="spellStart"/>
            <w:r w:rsidRPr="007472DD">
              <w:rPr>
                <w:i/>
                <w:iCs w:val="0"/>
              </w:rPr>
              <w:t>i</w:t>
            </w:r>
            <w:proofErr w:type="spellEnd"/>
            <w:r>
              <w:rPr>
                <w:iCs w:val="0"/>
              </w:rPr>
              <w:t xml:space="preserve"> in the state of </w:t>
            </w:r>
            <w:smartTag w:uri="urn:schemas-microsoft-com:office:smarttags" w:element="place">
              <w:smartTag w:uri="urn:schemas-microsoft-com:office:smarttags" w:element="State">
                <w:r>
                  <w:rPr>
                    <w:iCs w:val="0"/>
                  </w:rPr>
                  <w:t>Texas</w:t>
                </w:r>
              </w:smartTag>
            </w:smartTag>
            <w:r>
              <w:rPr>
                <w:iCs w:val="0"/>
              </w:rPr>
              <w:t xml:space="preserve"> participating in the REC Trading Program for which at least </w:t>
            </w:r>
            <w:r w:rsidR="007472DD">
              <w:rPr>
                <w:iCs w:val="0"/>
              </w:rPr>
              <w:t>12</w:t>
            </w:r>
            <w:r>
              <w:rPr>
                <w:iCs w:val="0"/>
              </w:rPr>
              <w:t xml:space="preserve"> months of operating data are available.</w:t>
            </w:r>
          </w:p>
        </w:tc>
      </w:tr>
    </w:tbl>
    <w:p w14:paraId="1ED1C0B4" w14:textId="77777777" w:rsidR="008B67C9" w:rsidRDefault="008B67C9">
      <w:pPr>
        <w:tabs>
          <w:tab w:val="left" w:pos="2520"/>
        </w:tabs>
        <w:spacing w:before="120" w:after="240"/>
        <w:ind w:left="3240" w:hanging="1080"/>
        <w:contextualSpacing/>
      </w:pPr>
    </w:p>
    <w:p w14:paraId="6FDA77CE" w14:textId="77777777" w:rsidR="008B67C9" w:rsidRDefault="008B67C9">
      <w:pPr>
        <w:tabs>
          <w:tab w:val="left" w:pos="2160"/>
        </w:tabs>
        <w:spacing w:after="240"/>
        <w:ind w:left="2160" w:hanging="1440"/>
        <w:contextualSpacing/>
        <w:rPr>
          <w:iCs/>
        </w:rPr>
      </w:pPr>
    </w:p>
    <w:p w14:paraId="2B32FF71" w14:textId="77777777" w:rsidR="008B67C9" w:rsidRDefault="008B67C9" w:rsidP="000A35BF">
      <w:pPr>
        <w:spacing w:line="360" w:lineRule="auto"/>
        <w:ind w:left="720" w:hanging="720"/>
      </w:pPr>
      <w:r>
        <w:t>(2)</w:t>
      </w:r>
      <w:r>
        <w:tab/>
        <w:t>The CCF shall:</w:t>
      </w:r>
    </w:p>
    <w:p w14:paraId="5E7E5137" w14:textId="77777777" w:rsidR="008B67C9" w:rsidRDefault="008B67C9" w:rsidP="000A35BF">
      <w:pPr>
        <w:ind w:left="1440" w:hanging="720"/>
      </w:pPr>
      <w:r>
        <w:t>(a)</w:t>
      </w:r>
      <w:r>
        <w:tab/>
        <w:t>Be based on actual generator performance data for the previous two years for all renewable Resources in the REC Trading Program during that period for which at least 12 months of performance data are available;</w:t>
      </w:r>
    </w:p>
    <w:p w14:paraId="2EFE898B" w14:textId="77777777" w:rsidR="008B67C9" w:rsidRDefault="008B67C9" w:rsidP="000A35BF">
      <w:pPr>
        <w:spacing w:before="120" w:after="120"/>
        <w:ind w:left="720"/>
      </w:pPr>
      <w:r>
        <w:t>(b)</w:t>
      </w:r>
      <w:r>
        <w:tab/>
        <w:t>Represent a weighted average of generator performance; and</w:t>
      </w:r>
    </w:p>
    <w:p w14:paraId="75EF55CF" w14:textId="77777777" w:rsidR="008B67C9" w:rsidRDefault="008B67C9" w:rsidP="000A35BF">
      <w:pPr>
        <w:ind w:left="1440" w:hanging="720"/>
      </w:pPr>
      <w:r>
        <w:t>(c)</w:t>
      </w:r>
      <w:r>
        <w:tab/>
        <w:t xml:space="preserve">Use all actual generator performance data that </w:t>
      </w:r>
      <w:r w:rsidR="000A35BF">
        <w:t>are</w:t>
      </w:r>
      <w:r>
        <w:t xml:space="preserve"> available for each renewable Resource, excluding data for testing periods.</w:t>
      </w:r>
    </w:p>
    <w:p w14:paraId="79BBEEDD" w14:textId="77777777" w:rsidR="008B67C9" w:rsidRDefault="008B67C9">
      <w:pPr>
        <w:ind w:left="720" w:hanging="720"/>
        <w:jc w:val="both"/>
      </w:pPr>
    </w:p>
    <w:p w14:paraId="39C7A07A" w14:textId="77777777" w:rsidR="008B67C9" w:rsidRDefault="008B67C9">
      <w:pPr>
        <w:spacing w:after="240"/>
        <w:ind w:left="720" w:hanging="720"/>
        <w:rPr>
          <w:iCs/>
        </w:rPr>
      </w:pPr>
      <w:r>
        <w:rPr>
          <w:iCs/>
        </w:rPr>
        <w:lastRenderedPageBreak/>
        <w:t>(3)</w:t>
      </w:r>
      <w:r>
        <w:rPr>
          <w:iCs/>
        </w:rPr>
        <w:tab/>
        <w:t>For purposes of calculating historical output from renewable capacity, ERCOT shall keep a list of renewable generators, REC certification dates, and annual MWh generation totals.</w:t>
      </w:r>
    </w:p>
    <w:p w14:paraId="3A643C77" w14:textId="33089C63" w:rsidR="008B67C9" w:rsidRDefault="008B67C9">
      <w:pPr>
        <w:spacing w:after="240"/>
        <w:ind w:left="720" w:hanging="720"/>
        <w:rPr>
          <w:iCs/>
        </w:rPr>
      </w:pPr>
      <w:r>
        <w:rPr>
          <w:iCs/>
        </w:rPr>
        <w:t>(4)</w:t>
      </w:r>
      <w:r>
        <w:rPr>
          <w:iCs/>
        </w:rPr>
        <w:tab/>
        <w:t xml:space="preserve">ERCOT shall use this revised CCF for the two Compliance Periods immediately after it is set.  If the PUCT has determined that the REC Trading Program is failing to meet the statutory targets for renewable energy capacity in Texas, it will instruct ERCOT to use a different number than that which would be calculated using the formula for the CCF.  Such requests will be published on the ERCOT </w:t>
      </w:r>
      <w:r w:rsidR="002E2779">
        <w:rPr>
          <w:iCs/>
        </w:rPr>
        <w:t>website</w:t>
      </w:r>
      <w:r>
        <w:rPr>
          <w:iCs/>
        </w:rPr>
        <w:t xml:space="preserve"> within ten Business Days of receipt of the letter from the PUCT.</w:t>
      </w:r>
    </w:p>
    <w:p w14:paraId="32707A65" w14:textId="77777777" w:rsidR="007734E9" w:rsidRDefault="007734E9" w:rsidP="007734E9">
      <w:pPr>
        <w:keepNext/>
        <w:tabs>
          <w:tab w:val="left" w:pos="1080"/>
        </w:tabs>
        <w:spacing w:before="240" w:after="240"/>
        <w:ind w:left="1080" w:hanging="1080"/>
        <w:outlineLvl w:val="2"/>
        <w:rPr>
          <w:b/>
          <w:bCs/>
          <w:i/>
        </w:rPr>
      </w:pPr>
      <w:bookmarkStart w:id="34" w:name="_Toc239073034"/>
      <w:bookmarkStart w:id="35" w:name="_Toc440463375"/>
      <w:r>
        <w:rPr>
          <w:b/>
          <w:bCs/>
          <w:i/>
        </w:rPr>
        <w:t>14.9.3</w:t>
      </w:r>
      <w:r>
        <w:rPr>
          <w:b/>
          <w:bCs/>
          <w:i/>
        </w:rPr>
        <w:tab/>
        <w:t>Statewide Renewable Portfolio Standard Requirement</w:t>
      </w:r>
      <w:bookmarkEnd w:id="34"/>
      <w:bookmarkEnd w:id="35"/>
    </w:p>
    <w:p w14:paraId="20145461" w14:textId="77777777" w:rsidR="007734E9" w:rsidRDefault="005A12EF" w:rsidP="002508F5">
      <w:pPr>
        <w:keepNext/>
        <w:spacing w:after="240"/>
        <w:ind w:left="720" w:hanging="720"/>
        <w:rPr>
          <w:iCs/>
        </w:rPr>
      </w:pPr>
      <w:r>
        <w:t>(1)</w:t>
      </w:r>
      <w:r>
        <w:tab/>
      </w:r>
      <w:r w:rsidR="007734E9">
        <w:rPr>
          <w:iCs/>
        </w:rPr>
        <w:t>ERCOT shall determine the SRR for a particular Compliance Period as follows:</w:t>
      </w:r>
    </w:p>
    <w:p w14:paraId="46F5BEFE" w14:textId="77777777" w:rsidR="007734E9" w:rsidRDefault="007734E9" w:rsidP="007734E9">
      <w:pPr>
        <w:pStyle w:val="FormulaBold"/>
      </w:pPr>
      <w:r>
        <w:t xml:space="preserve">SRR = (ACT </w:t>
      </w:r>
      <w:r>
        <w:rPr>
          <w:rFonts w:ascii="Symbol" w:hAnsi="Symbol"/>
          <w:b w:val="0"/>
        </w:rPr>
        <w:t></w:t>
      </w:r>
      <w:r>
        <w:t xml:space="preserve"> 8760 </w:t>
      </w:r>
      <w:r>
        <w:rPr>
          <w:rFonts w:ascii="Symbol" w:hAnsi="Symbol"/>
          <w:b w:val="0"/>
        </w:rPr>
        <w:t></w:t>
      </w:r>
      <w:r>
        <w:t xml:space="preserve"> CCF) + RCP</w:t>
      </w:r>
    </w:p>
    <w:p w14:paraId="5CACE120" w14:textId="77777777" w:rsidR="007734E9" w:rsidRDefault="007734E9" w:rsidP="007734E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7734E9" w14:paraId="7A9A9F71" w14:textId="77777777" w:rsidTr="00C304A4">
        <w:trPr>
          <w:trHeight w:val="548"/>
        </w:trPr>
        <w:tc>
          <w:tcPr>
            <w:tcW w:w="1070" w:type="dxa"/>
          </w:tcPr>
          <w:p w14:paraId="6F457412" w14:textId="77777777" w:rsidR="007734E9" w:rsidRDefault="007734E9" w:rsidP="00C304A4">
            <w:pPr>
              <w:pStyle w:val="TableBody"/>
              <w:rPr>
                <w:b/>
              </w:rPr>
            </w:pPr>
            <w:r>
              <w:rPr>
                <w:b/>
              </w:rPr>
              <w:t>Variable</w:t>
            </w:r>
          </w:p>
        </w:tc>
        <w:tc>
          <w:tcPr>
            <w:tcW w:w="870" w:type="dxa"/>
          </w:tcPr>
          <w:p w14:paraId="5682C282" w14:textId="77777777" w:rsidR="007734E9" w:rsidRDefault="007734E9" w:rsidP="00C304A4">
            <w:pPr>
              <w:pStyle w:val="TableBody"/>
              <w:rPr>
                <w:b/>
              </w:rPr>
            </w:pPr>
            <w:r>
              <w:rPr>
                <w:b/>
              </w:rPr>
              <w:t>Unit</w:t>
            </w:r>
          </w:p>
        </w:tc>
        <w:tc>
          <w:tcPr>
            <w:tcW w:w="7334" w:type="dxa"/>
          </w:tcPr>
          <w:p w14:paraId="716CEBAF" w14:textId="77777777" w:rsidR="007734E9" w:rsidRDefault="007734E9" w:rsidP="00C304A4">
            <w:pPr>
              <w:pStyle w:val="TableBody"/>
              <w:rPr>
                <w:b/>
              </w:rPr>
            </w:pPr>
            <w:r>
              <w:rPr>
                <w:b/>
              </w:rPr>
              <w:t>Description</w:t>
            </w:r>
          </w:p>
        </w:tc>
      </w:tr>
      <w:tr w:rsidR="007734E9" w14:paraId="4C94640B" w14:textId="77777777" w:rsidTr="00C304A4">
        <w:trPr>
          <w:trHeight w:val="448"/>
        </w:trPr>
        <w:tc>
          <w:tcPr>
            <w:tcW w:w="1070" w:type="dxa"/>
          </w:tcPr>
          <w:p w14:paraId="18E3B075" w14:textId="77777777" w:rsidR="007734E9" w:rsidRDefault="007734E9" w:rsidP="00C304A4">
            <w:pPr>
              <w:pStyle w:val="TableBody"/>
            </w:pPr>
            <w:r>
              <w:t>ACT</w:t>
            </w:r>
          </w:p>
        </w:tc>
        <w:tc>
          <w:tcPr>
            <w:tcW w:w="870" w:type="dxa"/>
          </w:tcPr>
          <w:p w14:paraId="71F53C76" w14:textId="77777777" w:rsidR="007734E9" w:rsidRDefault="007734E9" w:rsidP="00C304A4">
            <w:pPr>
              <w:pStyle w:val="TableBody"/>
            </w:pPr>
            <w:r>
              <w:t>MW</w:t>
            </w:r>
          </w:p>
        </w:tc>
        <w:tc>
          <w:tcPr>
            <w:tcW w:w="7334" w:type="dxa"/>
          </w:tcPr>
          <w:p w14:paraId="681D7167" w14:textId="77777777" w:rsidR="007734E9" w:rsidRDefault="007734E9" w:rsidP="00C304A4">
            <w:pPr>
              <w:pStyle w:val="TableBody"/>
            </w:pPr>
            <w:r>
              <w:rPr>
                <w:iCs w:val="0"/>
              </w:rPr>
              <w:t>Annual Capacity Target for new renewable energy generation facilities.</w:t>
            </w:r>
          </w:p>
        </w:tc>
      </w:tr>
      <w:tr w:rsidR="007734E9" w14:paraId="3100F459" w14:textId="77777777" w:rsidTr="00C304A4">
        <w:trPr>
          <w:trHeight w:val="341"/>
        </w:trPr>
        <w:tc>
          <w:tcPr>
            <w:tcW w:w="1070" w:type="dxa"/>
          </w:tcPr>
          <w:p w14:paraId="73CEDBD9" w14:textId="77777777" w:rsidR="007734E9" w:rsidRDefault="007734E9" w:rsidP="00C304A4">
            <w:pPr>
              <w:pStyle w:val="TableBody"/>
            </w:pPr>
            <w:r>
              <w:rPr>
                <w:iCs w:val="0"/>
              </w:rPr>
              <w:t>8760</w:t>
            </w:r>
          </w:p>
        </w:tc>
        <w:tc>
          <w:tcPr>
            <w:tcW w:w="870" w:type="dxa"/>
          </w:tcPr>
          <w:p w14:paraId="61D51C93" w14:textId="77777777" w:rsidR="007734E9" w:rsidRDefault="007734E9" w:rsidP="00C304A4">
            <w:pPr>
              <w:pStyle w:val="TableBody"/>
            </w:pPr>
            <w:r>
              <w:t>None</w:t>
            </w:r>
          </w:p>
        </w:tc>
        <w:tc>
          <w:tcPr>
            <w:tcW w:w="7334" w:type="dxa"/>
          </w:tcPr>
          <w:p w14:paraId="47B62046" w14:textId="77777777" w:rsidR="007734E9" w:rsidRDefault="007734E9" w:rsidP="00C304A4">
            <w:pPr>
              <w:pStyle w:val="TableBody"/>
            </w:pPr>
            <w:r>
              <w:rPr>
                <w:iCs w:val="0"/>
              </w:rPr>
              <w:t>The number of hours in a year.</w:t>
            </w:r>
          </w:p>
        </w:tc>
      </w:tr>
      <w:tr w:rsidR="007734E9" w14:paraId="063A21A5" w14:textId="77777777" w:rsidTr="00C304A4">
        <w:trPr>
          <w:trHeight w:val="260"/>
        </w:trPr>
        <w:tc>
          <w:tcPr>
            <w:tcW w:w="1070" w:type="dxa"/>
          </w:tcPr>
          <w:p w14:paraId="0CAAC8C9" w14:textId="77777777" w:rsidR="007734E9" w:rsidRDefault="007734E9" w:rsidP="00C304A4">
            <w:pPr>
              <w:pStyle w:val="TableBody"/>
              <w:rPr>
                <w:iCs w:val="0"/>
              </w:rPr>
            </w:pPr>
            <w:r>
              <w:rPr>
                <w:iCs w:val="0"/>
              </w:rPr>
              <w:t>CCF</w:t>
            </w:r>
          </w:p>
        </w:tc>
        <w:tc>
          <w:tcPr>
            <w:tcW w:w="870" w:type="dxa"/>
          </w:tcPr>
          <w:p w14:paraId="0EE58151" w14:textId="77777777" w:rsidR="007734E9" w:rsidRDefault="007734E9" w:rsidP="00C304A4">
            <w:pPr>
              <w:pStyle w:val="TableBody"/>
            </w:pPr>
            <w:r>
              <w:t>None</w:t>
            </w:r>
          </w:p>
        </w:tc>
        <w:tc>
          <w:tcPr>
            <w:tcW w:w="7334" w:type="dxa"/>
          </w:tcPr>
          <w:p w14:paraId="159EC00B" w14:textId="77777777" w:rsidR="007734E9" w:rsidRDefault="007734E9" w:rsidP="00C304A4">
            <w:pPr>
              <w:pStyle w:val="TableBody"/>
              <w:rPr>
                <w:iCs w:val="0"/>
              </w:rPr>
            </w:pPr>
            <w:r>
              <w:rPr>
                <w:iCs w:val="0"/>
              </w:rPr>
              <w:t>Capacity Conversion Factor.</w:t>
            </w:r>
          </w:p>
        </w:tc>
      </w:tr>
      <w:tr w:rsidR="007734E9" w14:paraId="2C243C85" w14:textId="77777777" w:rsidTr="00C304A4">
        <w:trPr>
          <w:trHeight w:val="314"/>
        </w:trPr>
        <w:tc>
          <w:tcPr>
            <w:tcW w:w="1070" w:type="dxa"/>
          </w:tcPr>
          <w:p w14:paraId="7F295A87" w14:textId="77777777" w:rsidR="007734E9" w:rsidRDefault="007734E9" w:rsidP="00C304A4">
            <w:pPr>
              <w:pStyle w:val="TableBody"/>
              <w:rPr>
                <w:iCs w:val="0"/>
              </w:rPr>
            </w:pPr>
            <w:r>
              <w:rPr>
                <w:iCs w:val="0"/>
              </w:rPr>
              <w:t>RCP</w:t>
            </w:r>
          </w:p>
        </w:tc>
        <w:tc>
          <w:tcPr>
            <w:tcW w:w="870" w:type="dxa"/>
          </w:tcPr>
          <w:p w14:paraId="7082F7F5" w14:textId="77777777" w:rsidR="007734E9" w:rsidRDefault="007734E9" w:rsidP="00C304A4">
            <w:pPr>
              <w:pStyle w:val="TableBody"/>
            </w:pPr>
            <w:r>
              <w:t>None</w:t>
            </w:r>
          </w:p>
        </w:tc>
        <w:tc>
          <w:tcPr>
            <w:tcW w:w="7334" w:type="dxa"/>
          </w:tcPr>
          <w:p w14:paraId="6B6F6936" w14:textId="77777777" w:rsidR="007734E9" w:rsidRDefault="007734E9" w:rsidP="00C304A4">
            <w:pPr>
              <w:pStyle w:val="TableBody"/>
              <w:rPr>
                <w:iCs w:val="0"/>
              </w:rPr>
            </w:pPr>
            <w:r>
              <w:rPr>
                <w:iCs w:val="0"/>
              </w:rPr>
              <w:t>The number of Compliance Premiums retired during the previous Compliance Period.</w:t>
            </w:r>
          </w:p>
        </w:tc>
      </w:tr>
    </w:tbl>
    <w:p w14:paraId="0532968F" w14:textId="77777777" w:rsidR="007734E9" w:rsidRDefault="007734E9" w:rsidP="007734E9">
      <w:pPr>
        <w:tabs>
          <w:tab w:val="left" w:pos="2520"/>
        </w:tabs>
        <w:spacing w:before="120" w:after="240"/>
        <w:ind w:left="3240" w:hanging="1080"/>
        <w:contextualSpacing/>
      </w:pPr>
    </w:p>
    <w:p w14:paraId="00C69012" w14:textId="77777777" w:rsidR="007734E9" w:rsidRDefault="007734E9" w:rsidP="007734E9">
      <w:pPr>
        <w:keepNext/>
        <w:widowControl w:val="0"/>
        <w:tabs>
          <w:tab w:val="left" w:pos="1260"/>
        </w:tabs>
        <w:spacing w:before="240" w:after="240"/>
        <w:ind w:left="1260" w:hanging="1260"/>
        <w:outlineLvl w:val="3"/>
        <w:rPr>
          <w:b/>
          <w:bCs/>
          <w:snapToGrid w:val="0"/>
        </w:rPr>
      </w:pPr>
      <w:r>
        <w:rPr>
          <w:b/>
          <w:bCs/>
          <w:snapToGrid w:val="0"/>
        </w:rPr>
        <w:t>14.9.3.1</w:t>
      </w:r>
      <w:r>
        <w:rPr>
          <w:b/>
          <w:bCs/>
          <w:snapToGrid w:val="0"/>
        </w:rPr>
        <w:tab/>
        <w:t>Preliminary Renewable Portfolio Standard Requirement for Retail Entities</w:t>
      </w:r>
    </w:p>
    <w:p w14:paraId="5C91A4C8" w14:textId="77777777" w:rsidR="007734E9" w:rsidRDefault="007734E9" w:rsidP="009F08F8">
      <w:pPr>
        <w:keepNext/>
        <w:spacing w:after="240"/>
        <w:ind w:left="720" w:hanging="720"/>
        <w:rPr>
          <w:iCs/>
        </w:rPr>
      </w:pPr>
      <w:r>
        <w:rPr>
          <w:iCs/>
        </w:rPr>
        <w:t>(1)</w:t>
      </w:r>
      <w:r>
        <w:rPr>
          <w:iCs/>
        </w:rPr>
        <w:tab/>
        <w:t xml:space="preserve">ERCOT shall determine each Retail Entity’s </w:t>
      </w:r>
      <w:r w:rsidR="00F36BB5">
        <w:rPr>
          <w:iCs/>
        </w:rPr>
        <w:t>P</w:t>
      </w:r>
      <w:r>
        <w:rPr>
          <w:iCs/>
        </w:rPr>
        <w:t xml:space="preserve">reliminary RPS </w:t>
      </w:r>
      <w:r w:rsidR="00F36BB5">
        <w:rPr>
          <w:iCs/>
        </w:rPr>
        <w:t>R</w:t>
      </w:r>
      <w:r>
        <w:rPr>
          <w:iCs/>
        </w:rPr>
        <w:t>equirement as follows:</w:t>
      </w:r>
    </w:p>
    <w:p w14:paraId="5A6B66DF" w14:textId="77777777" w:rsidR="007734E9" w:rsidRDefault="007734E9" w:rsidP="007734E9">
      <w:pPr>
        <w:pStyle w:val="FormulaBold"/>
      </w:pPr>
      <w:r>
        <w:t xml:space="preserve">Preliminary RPS Requirement </w:t>
      </w:r>
      <w:proofErr w:type="spellStart"/>
      <w:r>
        <w:rPr>
          <w:i/>
          <w:vertAlign w:val="subscript"/>
        </w:rPr>
        <w:t>i</w:t>
      </w:r>
      <w:proofErr w:type="spellEnd"/>
      <w:r>
        <w:rPr>
          <w:vertAlign w:val="subscript"/>
        </w:rPr>
        <w:t xml:space="preserve"> </w:t>
      </w:r>
      <w:r>
        <w:t>= SRR * (</w:t>
      </w:r>
      <w:r w:rsidR="006E07DE">
        <w:t>CRS</w:t>
      </w:r>
      <w:r>
        <w:t xml:space="preserve">RES </w:t>
      </w:r>
      <w:proofErr w:type="spellStart"/>
      <w:r>
        <w:rPr>
          <w:i/>
          <w:vertAlign w:val="subscript"/>
        </w:rPr>
        <w:t>i</w:t>
      </w:r>
      <w:proofErr w:type="spellEnd"/>
      <w:r w:rsidR="006E07DE">
        <w:t xml:space="preserve"> </w:t>
      </w:r>
      <w:r>
        <w:t>/ TS)</w:t>
      </w:r>
    </w:p>
    <w:p w14:paraId="655652A0" w14:textId="77777777" w:rsidR="007734E9" w:rsidRDefault="007734E9" w:rsidP="007734E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7734E9" w14:paraId="3B812291" w14:textId="77777777" w:rsidTr="00C304A4">
        <w:trPr>
          <w:trHeight w:val="548"/>
        </w:trPr>
        <w:tc>
          <w:tcPr>
            <w:tcW w:w="1070" w:type="dxa"/>
          </w:tcPr>
          <w:p w14:paraId="3BACA741" w14:textId="77777777" w:rsidR="007734E9" w:rsidRDefault="007734E9" w:rsidP="00C304A4">
            <w:pPr>
              <w:pStyle w:val="TableBody"/>
              <w:rPr>
                <w:b/>
              </w:rPr>
            </w:pPr>
            <w:r>
              <w:rPr>
                <w:b/>
              </w:rPr>
              <w:t>Variable</w:t>
            </w:r>
          </w:p>
        </w:tc>
        <w:tc>
          <w:tcPr>
            <w:tcW w:w="870" w:type="dxa"/>
          </w:tcPr>
          <w:p w14:paraId="69994E5D" w14:textId="77777777" w:rsidR="007734E9" w:rsidRDefault="007734E9" w:rsidP="00C304A4">
            <w:pPr>
              <w:pStyle w:val="TableBody"/>
              <w:rPr>
                <w:b/>
              </w:rPr>
            </w:pPr>
            <w:r>
              <w:rPr>
                <w:b/>
              </w:rPr>
              <w:t>Unit</w:t>
            </w:r>
          </w:p>
        </w:tc>
        <w:tc>
          <w:tcPr>
            <w:tcW w:w="7334" w:type="dxa"/>
          </w:tcPr>
          <w:p w14:paraId="39603940" w14:textId="77777777" w:rsidR="007734E9" w:rsidRDefault="007734E9" w:rsidP="00C304A4">
            <w:pPr>
              <w:pStyle w:val="TableBody"/>
              <w:rPr>
                <w:b/>
              </w:rPr>
            </w:pPr>
            <w:r>
              <w:rPr>
                <w:b/>
              </w:rPr>
              <w:t>Description</w:t>
            </w:r>
          </w:p>
        </w:tc>
      </w:tr>
      <w:tr w:rsidR="007734E9" w14:paraId="69F01E21" w14:textId="77777777" w:rsidTr="00C304A4">
        <w:trPr>
          <w:trHeight w:val="448"/>
        </w:trPr>
        <w:tc>
          <w:tcPr>
            <w:tcW w:w="1070" w:type="dxa"/>
          </w:tcPr>
          <w:p w14:paraId="6417F81B" w14:textId="77777777" w:rsidR="007734E9" w:rsidRPr="00D540B0" w:rsidRDefault="007734E9" w:rsidP="00C304A4">
            <w:pPr>
              <w:pStyle w:val="TableBody"/>
              <w:rPr>
                <w:i/>
              </w:rPr>
            </w:pPr>
            <w:proofErr w:type="spellStart"/>
            <w:r w:rsidRPr="00D540B0">
              <w:rPr>
                <w:i/>
              </w:rPr>
              <w:t>i</w:t>
            </w:r>
            <w:proofErr w:type="spellEnd"/>
          </w:p>
        </w:tc>
        <w:tc>
          <w:tcPr>
            <w:tcW w:w="870" w:type="dxa"/>
          </w:tcPr>
          <w:p w14:paraId="0695FF13" w14:textId="77777777" w:rsidR="007734E9" w:rsidRDefault="007734E9" w:rsidP="00C304A4">
            <w:pPr>
              <w:pStyle w:val="TableBody"/>
            </w:pPr>
            <w:r>
              <w:t>None</w:t>
            </w:r>
          </w:p>
        </w:tc>
        <w:tc>
          <w:tcPr>
            <w:tcW w:w="7334" w:type="dxa"/>
          </w:tcPr>
          <w:p w14:paraId="43673885" w14:textId="77777777" w:rsidR="007734E9" w:rsidRDefault="007734E9" w:rsidP="00B41601">
            <w:pPr>
              <w:pStyle w:val="TableBody"/>
            </w:pPr>
            <w:r>
              <w:rPr>
                <w:iCs w:val="0"/>
              </w:rPr>
              <w:t>Specific Retail Entity.</w:t>
            </w:r>
          </w:p>
        </w:tc>
      </w:tr>
      <w:tr w:rsidR="007734E9" w14:paraId="6057F077" w14:textId="77777777" w:rsidTr="00C304A4">
        <w:trPr>
          <w:trHeight w:val="341"/>
        </w:trPr>
        <w:tc>
          <w:tcPr>
            <w:tcW w:w="1070" w:type="dxa"/>
          </w:tcPr>
          <w:p w14:paraId="3BC0D3B2" w14:textId="77777777" w:rsidR="007734E9" w:rsidRDefault="007734E9" w:rsidP="00C304A4">
            <w:pPr>
              <w:pStyle w:val="TableBody"/>
            </w:pPr>
            <w:r>
              <w:rPr>
                <w:iCs w:val="0"/>
              </w:rPr>
              <w:t>SRR</w:t>
            </w:r>
          </w:p>
        </w:tc>
        <w:tc>
          <w:tcPr>
            <w:tcW w:w="870" w:type="dxa"/>
          </w:tcPr>
          <w:p w14:paraId="6F86293B" w14:textId="77777777" w:rsidR="007734E9" w:rsidRDefault="006E07DE" w:rsidP="00C304A4">
            <w:pPr>
              <w:pStyle w:val="TableBody"/>
            </w:pPr>
            <w:r>
              <w:t>REC</w:t>
            </w:r>
          </w:p>
        </w:tc>
        <w:tc>
          <w:tcPr>
            <w:tcW w:w="7334" w:type="dxa"/>
          </w:tcPr>
          <w:p w14:paraId="08E8A6E9" w14:textId="77777777" w:rsidR="007734E9" w:rsidRDefault="007734E9" w:rsidP="00C304A4">
            <w:pPr>
              <w:pStyle w:val="TableBody"/>
            </w:pPr>
            <w:r>
              <w:rPr>
                <w:iCs w:val="0"/>
              </w:rPr>
              <w:t>Statewide RPS requirement.</w:t>
            </w:r>
          </w:p>
        </w:tc>
      </w:tr>
      <w:tr w:rsidR="007734E9" w14:paraId="23ED5869" w14:textId="77777777" w:rsidTr="00C304A4">
        <w:trPr>
          <w:trHeight w:val="260"/>
        </w:trPr>
        <w:tc>
          <w:tcPr>
            <w:tcW w:w="1070" w:type="dxa"/>
          </w:tcPr>
          <w:p w14:paraId="28B0EB6F" w14:textId="77777777" w:rsidR="007734E9" w:rsidRDefault="007734E9" w:rsidP="00C304A4">
            <w:pPr>
              <w:pStyle w:val="TableBody"/>
              <w:rPr>
                <w:iCs w:val="0"/>
              </w:rPr>
            </w:pPr>
            <w:r>
              <w:t xml:space="preserve">CRSRES </w:t>
            </w:r>
            <w:proofErr w:type="spellStart"/>
            <w:r>
              <w:rPr>
                <w:vertAlign w:val="subscript"/>
              </w:rPr>
              <w:t>i</w:t>
            </w:r>
            <w:proofErr w:type="spellEnd"/>
          </w:p>
        </w:tc>
        <w:tc>
          <w:tcPr>
            <w:tcW w:w="870" w:type="dxa"/>
          </w:tcPr>
          <w:p w14:paraId="2644D1E0" w14:textId="77777777" w:rsidR="007734E9" w:rsidRDefault="007734E9" w:rsidP="00C304A4">
            <w:pPr>
              <w:pStyle w:val="TableBody"/>
            </w:pPr>
            <w:r>
              <w:t>MWh</w:t>
            </w:r>
          </w:p>
        </w:tc>
        <w:tc>
          <w:tcPr>
            <w:tcW w:w="7334" w:type="dxa"/>
          </w:tcPr>
          <w:p w14:paraId="39343BF8" w14:textId="77777777" w:rsidR="007734E9" w:rsidRDefault="007734E9" w:rsidP="00B41601">
            <w:pPr>
              <w:pStyle w:val="TableBody"/>
              <w:rPr>
                <w:iCs w:val="0"/>
              </w:rPr>
            </w:pPr>
            <w:r>
              <w:t>Retail sales of the specific Retail Entity to Texas Customers during the Compliance Period</w:t>
            </w:r>
            <w:r w:rsidR="001E2418">
              <w:t>, excluding sales by the specific Retail Entity to any Electric Service Identifiers (ESI IDs)</w:t>
            </w:r>
            <w:r w:rsidR="001E2418" w:rsidRPr="00E05922">
              <w:t xml:space="preserve"> </w:t>
            </w:r>
            <w:r w:rsidR="001E2418">
              <w:t xml:space="preserve">or accounts </w:t>
            </w:r>
            <w:r w:rsidR="001E2418" w:rsidRPr="00E05922">
              <w:t>for which an opt-out notice has been submitted</w:t>
            </w:r>
            <w:r w:rsidR="001E2418">
              <w:t xml:space="preserve"> under subsection (j) of P.U.C. </w:t>
            </w:r>
            <w:r w:rsidR="001E2418" w:rsidRPr="00862F81">
              <w:rPr>
                <w:smallCaps/>
              </w:rPr>
              <w:t>Subst</w:t>
            </w:r>
            <w:r w:rsidR="001E2418">
              <w:t>. R. 25.173, Goal for Renewable Energy</w:t>
            </w:r>
            <w:r>
              <w:t>.</w:t>
            </w:r>
          </w:p>
        </w:tc>
      </w:tr>
      <w:tr w:rsidR="007734E9" w14:paraId="11637C33" w14:textId="77777777" w:rsidTr="00C304A4">
        <w:trPr>
          <w:trHeight w:val="314"/>
        </w:trPr>
        <w:tc>
          <w:tcPr>
            <w:tcW w:w="1070" w:type="dxa"/>
          </w:tcPr>
          <w:p w14:paraId="63657A47" w14:textId="77777777" w:rsidR="007734E9" w:rsidRDefault="007734E9" w:rsidP="00C304A4">
            <w:pPr>
              <w:pStyle w:val="TableBody"/>
              <w:rPr>
                <w:iCs w:val="0"/>
              </w:rPr>
            </w:pPr>
            <w:r>
              <w:t>TS</w:t>
            </w:r>
          </w:p>
        </w:tc>
        <w:tc>
          <w:tcPr>
            <w:tcW w:w="870" w:type="dxa"/>
          </w:tcPr>
          <w:p w14:paraId="4710D03B" w14:textId="77777777" w:rsidR="007734E9" w:rsidRDefault="007734E9" w:rsidP="00C304A4">
            <w:pPr>
              <w:pStyle w:val="TableBody"/>
            </w:pPr>
            <w:r>
              <w:t>MWh</w:t>
            </w:r>
          </w:p>
        </w:tc>
        <w:tc>
          <w:tcPr>
            <w:tcW w:w="7334" w:type="dxa"/>
          </w:tcPr>
          <w:p w14:paraId="6B114A7D" w14:textId="77777777" w:rsidR="007734E9" w:rsidRDefault="007734E9" w:rsidP="00EA4355">
            <w:pPr>
              <w:pStyle w:val="TableBody"/>
              <w:rPr>
                <w:iCs w:val="0"/>
              </w:rPr>
            </w:pPr>
            <w:r>
              <w:t>Total retail sales of all Retail Entities to Texas Customers during the Compliance Period</w:t>
            </w:r>
            <w:r w:rsidR="001E2418">
              <w:t xml:space="preserve">, </w:t>
            </w:r>
            <w:r w:rsidR="001E2418" w:rsidRPr="00E05922">
              <w:t xml:space="preserve">excluding </w:t>
            </w:r>
            <w:r w:rsidR="001E2418">
              <w:t xml:space="preserve">all </w:t>
            </w:r>
            <w:r w:rsidR="001E2418" w:rsidRPr="00E05922">
              <w:t xml:space="preserve">sales </w:t>
            </w:r>
            <w:r w:rsidR="001E2418">
              <w:t xml:space="preserve">of all Retail Entities to </w:t>
            </w:r>
            <w:r w:rsidR="001E2418" w:rsidRPr="00982241">
              <w:t>ESI</w:t>
            </w:r>
            <w:r w:rsidR="001E2418">
              <w:t xml:space="preserve"> ID</w:t>
            </w:r>
            <w:r w:rsidR="001E2418" w:rsidRPr="00982241">
              <w:t>s</w:t>
            </w:r>
            <w:r w:rsidR="001E2418">
              <w:t xml:space="preserve"> or accounts</w:t>
            </w:r>
            <w:r w:rsidR="001E2418" w:rsidRPr="00E05922">
              <w:t xml:space="preserve"> for which an opt-out notice has been submitted</w:t>
            </w:r>
            <w:r w:rsidR="001E2418">
              <w:t xml:space="preserve"> under </w:t>
            </w:r>
            <w:r w:rsidR="00EA4355">
              <w:t xml:space="preserve">subsection (j) of </w:t>
            </w:r>
            <w:r w:rsidR="001E2418">
              <w:t xml:space="preserve">P.U.C. </w:t>
            </w:r>
            <w:r w:rsidR="001E2418" w:rsidRPr="00862F81">
              <w:rPr>
                <w:smallCaps/>
              </w:rPr>
              <w:t>Subst</w:t>
            </w:r>
            <w:r w:rsidR="001E2418">
              <w:t>. R. 25.173</w:t>
            </w:r>
            <w:r>
              <w:t>.</w:t>
            </w:r>
          </w:p>
        </w:tc>
      </w:tr>
    </w:tbl>
    <w:p w14:paraId="30A05B76" w14:textId="77777777" w:rsidR="007734E9" w:rsidRDefault="007734E9" w:rsidP="007734E9">
      <w:pPr>
        <w:pStyle w:val="Spaceafterbox"/>
      </w:pPr>
    </w:p>
    <w:p w14:paraId="12E19AC8" w14:textId="77777777" w:rsidR="007734E9" w:rsidRDefault="007734E9" w:rsidP="007734E9">
      <w:pPr>
        <w:spacing w:after="240"/>
        <w:ind w:left="720" w:hanging="720"/>
        <w:rPr>
          <w:iCs/>
        </w:rPr>
      </w:pPr>
      <w:r>
        <w:rPr>
          <w:iCs/>
        </w:rPr>
        <w:t>(2)</w:t>
      </w:r>
      <w:r>
        <w:rPr>
          <w:iCs/>
        </w:rPr>
        <w:tab/>
        <w:t xml:space="preserve">The sum of the </w:t>
      </w:r>
      <w:r w:rsidR="00F36BB5">
        <w:rPr>
          <w:iCs/>
        </w:rPr>
        <w:t>P</w:t>
      </w:r>
      <w:r>
        <w:rPr>
          <w:iCs/>
        </w:rPr>
        <w:t xml:space="preserve">reliminary RPS </w:t>
      </w:r>
      <w:r w:rsidR="00F36BB5">
        <w:rPr>
          <w:iCs/>
        </w:rPr>
        <w:t>R</w:t>
      </w:r>
      <w:r>
        <w:rPr>
          <w:iCs/>
        </w:rPr>
        <w:t>equirements for all Retail Entities shall be equal to the SRR.</w:t>
      </w:r>
    </w:p>
    <w:p w14:paraId="73FBA71F" w14:textId="77777777" w:rsidR="007734E9" w:rsidRDefault="007734E9" w:rsidP="007734E9">
      <w:pPr>
        <w:keepNext/>
        <w:tabs>
          <w:tab w:val="left" w:pos="1080"/>
        </w:tabs>
        <w:spacing w:before="240" w:after="240"/>
        <w:ind w:left="1080" w:hanging="1080"/>
        <w:outlineLvl w:val="2"/>
        <w:rPr>
          <w:b/>
          <w:bCs/>
          <w:i/>
        </w:rPr>
      </w:pPr>
      <w:bookmarkStart w:id="36" w:name="_Toc239073035"/>
      <w:bookmarkStart w:id="37" w:name="_Toc440463376"/>
      <w:r>
        <w:rPr>
          <w:b/>
          <w:bCs/>
          <w:i/>
        </w:rPr>
        <w:t>14.9.4</w:t>
      </w:r>
      <w:r>
        <w:rPr>
          <w:b/>
          <w:bCs/>
          <w:i/>
        </w:rPr>
        <w:tab/>
        <w:t>Application of Offsets - Adjusted Renewable Portfolio Standard Requirement</w:t>
      </w:r>
      <w:bookmarkEnd w:id="36"/>
      <w:bookmarkEnd w:id="37"/>
    </w:p>
    <w:p w14:paraId="18474082" w14:textId="77777777" w:rsidR="007734E9" w:rsidRDefault="007734E9" w:rsidP="007734E9">
      <w:pPr>
        <w:spacing w:after="240"/>
        <w:ind w:left="720" w:hanging="720"/>
        <w:rPr>
          <w:iCs/>
        </w:rPr>
      </w:pPr>
      <w:r>
        <w:rPr>
          <w:iCs/>
        </w:rPr>
        <w:t>(1)</w:t>
      </w:r>
      <w:r>
        <w:rPr>
          <w:iCs/>
        </w:rPr>
        <w:tab/>
        <w:t xml:space="preserve">For a Retail Entity that has been awarded offsets by the PUCT, ERCOT shall subtract the REC offset amount from the </w:t>
      </w:r>
      <w:r w:rsidR="00F36BB5">
        <w:rPr>
          <w:iCs/>
        </w:rPr>
        <w:t>P</w:t>
      </w:r>
      <w:r>
        <w:rPr>
          <w:iCs/>
        </w:rPr>
        <w:t xml:space="preserve">reliminary RPS </w:t>
      </w:r>
      <w:r w:rsidR="00F36BB5">
        <w:rPr>
          <w:iCs/>
        </w:rPr>
        <w:t>R</w:t>
      </w:r>
      <w:r>
        <w:rPr>
          <w:iCs/>
        </w:rPr>
        <w:t xml:space="preserve">equirement.  The reduction shall not exceed what would be necessary for the Final RPS Requirement to be zero.  The total MWh reduction in the </w:t>
      </w:r>
      <w:r w:rsidR="00F36BB5">
        <w:rPr>
          <w:iCs/>
        </w:rPr>
        <w:t>P</w:t>
      </w:r>
      <w:r>
        <w:rPr>
          <w:iCs/>
        </w:rPr>
        <w:t xml:space="preserve">reliminary RPS </w:t>
      </w:r>
      <w:r w:rsidR="00F36BB5">
        <w:rPr>
          <w:iCs/>
        </w:rPr>
        <w:t>R</w:t>
      </w:r>
      <w:r>
        <w:rPr>
          <w:iCs/>
        </w:rPr>
        <w:t>equirement for all Retail Entities constitutes Total Useable Offsets (TUOs).</w:t>
      </w:r>
    </w:p>
    <w:p w14:paraId="0082729A" w14:textId="77777777" w:rsidR="007734E9" w:rsidRDefault="007734E9" w:rsidP="00EA4355">
      <w:pPr>
        <w:keepNext/>
        <w:spacing w:after="240"/>
        <w:ind w:left="720" w:hanging="720"/>
        <w:rPr>
          <w:iCs/>
        </w:rPr>
      </w:pPr>
      <w:r>
        <w:rPr>
          <w:iCs/>
        </w:rPr>
        <w:t>(2)</w:t>
      </w:r>
      <w:r>
        <w:rPr>
          <w:iCs/>
        </w:rPr>
        <w:tab/>
        <w:t xml:space="preserve">ERCOT shall determine each Retail Entity’s </w:t>
      </w:r>
      <w:r w:rsidR="00EA4355">
        <w:rPr>
          <w:iCs/>
        </w:rPr>
        <w:t>Adjusted RPS Requirement (</w:t>
      </w:r>
      <w:r>
        <w:rPr>
          <w:iCs/>
        </w:rPr>
        <w:t>ARR</w:t>
      </w:r>
      <w:r w:rsidR="00EA4355">
        <w:rPr>
          <w:iCs/>
        </w:rPr>
        <w:t>)</w:t>
      </w:r>
      <w:r>
        <w:rPr>
          <w:iCs/>
        </w:rPr>
        <w:t xml:space="preserve"> as follows:</w:t>
      </w:r>
    </w:p>
    <w:p w14:paraId="27733A57" w14:textId="77777777" w:rsidR="007734E9" w:rsidRDefault="007734E9" w:rsidP="007734E9">
      <w:pPr>
        <w:pStyle w:val="FormulaBold"/>
        <w:rPr>
          <w:iCs/>
        </w:rPr>
      </w:pPr>
      <w:r>
        <w:t xml:space="preserve">ARR </w:t>
      </w:r>
      <w:proofErr w:type="spellStart"/>
      <w:r>
        <w:rPr>
          <w:i/>
          <w:vertAlign w:val="subscript"/>
        </w:rPr>
        <w:t>i</w:t>
      </w:r>
      <w:proofErr w:type="spellEnd"/>
      <w:r>
        <w:rPr>
          <w:vertAlign w:val="subscript"/>
        </w:rPr>
        <w:t xml:space="preserve"> </w:t>
      </w:r>
      <w:r>
        <w:t xml:space="preserve">= Preliminary RPS Requirement </w:t>
      </w:r>
      <w:proofErr w:type="spellStart"/>
      <w:r>
        <w:rPr>
          <w:i/>
          <w:vertAlign w:val="subscript"/>
        </w:rPr>
        <w:t>i</w:t>
      </w:r>
      <w:proofErr w:type="spellEnd"/>
      <w:r>
        <w:t xml:space="preserve"> – EO </w:t>
      </w:r>
      <w:proofErr w:type="spellStart"/>
      <w:r>
        <w:rPr>
          <w:i/>
          <w:vertAlign w:val="subscript"/>
        </w:rPr>
        <w:t>i</w:t>
      </w:r>
      <w:proofErr w:type="spellEnd"/>
    </w:p>
    <w:p w14:paraId="0A91DE85" w14:textId="77777777" w:rsidR="007734E9" w:rsidRDefault="007734E9" w:rsidP="007734E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7734E9" w14:paraId="607F3704" w14:textId="77777777" w:rsidTr="00C304A4">
        <w:trPr>
          <w:trHeight w:val="548"/>
        </w:trPr>
        <w:tc>
          <w:tcPr>
            <w:tcW w:w="1070" w:type="dxa"/>
          </w:tcPr>
          <w:p w14:paraId="19125B2A" w14:textId="77777777" w:rsidR="007734E9" w:rsidRDefault="007734E9" w:rsidP="00C304A4">
            <w:pPr>
              <w:pStyle w:val="TableBody"/>
              <w:rPr>
                <w:b/>
              </w:rPr>
            </w:pPr>
            <w:r>
              <w:rPr>
                <w:b/>
              </w:rPr>
              <w:t>Variable</w:t>
            </w:r>
          </w:p>
        </w:tc>
        <w:tc>
          <w:tcPr>
            <w:tcW w:w="870" w:type="dxa"/>
          </w:tcPr>
          <w:p w14:paraId="704016FC" w14:textId="77777777" w:rsidR="007734E9" w:rsidRDefault="007734E9" w:rsidP="00C304A4">
            <w:pPr>
              <w:pStyle w:val="TableBody"/>
              <w:rPr>
                <w:b/>
              </w:rPr>
            </w:pPr>
            <w:r>
              <w:rPr>
                <w:b/>
              </w:rPr>
              <w:t>Unit</w:t>
            </w:r>
          </w:p>
        </w:tc>
        <w:tc>
          <w:tcPr>
            <w:tcW w:w="7334" w:type="dxa"/>
          </w:tcPr>
          <w:p w14:paraId="65BEB6FF" w14:textId="77777777" w:rsidR="007734E9" w:rsidRDefault="007734E9" w:rsidP="00C304A4">
            <w:pPr>
              <w:pStyle w:val="TableBody"/>
              <w:rPr>
                <w:b/>
              </w:rPr>
            </w:pPr>
            <w:r>
              <w:rPr>
                <w:b/>
              </w:rPr>
              <w:t>Description</w:t>
            </w:r>
          </w:p>
        </w:tc>
      </w:tr>
      <w:tr w:rsidR="007734E9" w14:paraId="03BC3E5E" w14:textId="77777777" w:rsidTr="00C304A4">
        <w:trPr>
          <w:trHeight w:val="448"/>
        </w:trPr>
        <w:tc>
          <w:tcPr>
            <w:tcW w:w="1070" w:type="dxa"/>
          </w:tcPr>
          <w:p w14:paraId="0B6E8141" w14:textId="77777777" w:rsidR="007734E9" w:rsidRPr="004878DD" w:rsidRDefault="007734E9" w:rsidP="00C304A4">
            <w:pPr>
              <w:pStyle w:val="TableBody"/>
              <w:rPr>
                <w:i/>
              </w:rPr>
            </w:pPr>
            <w:proofErr w:type="spellStart"/>
            <w:r w:rsidRPr="004878DD">
              <w:rPr>
                <w:i/>
              </w:rPr>
              <w:t>i</w:t>
            </w:r>
            <w:proofErr w:type="spellEnd"/>
          </w:p>
        </w:tc>
        <w:tc>
          <w:tcPr>
            <w:tcW w:w="870" w:type="dxa"/>
          </w:tcPr>
          <w:p w14:paraId="29614433" w14:textId="77777777" w:rsidR="007734E9" w:rsidRDefault="007734E9" w:rsidP="00C304A4">
            <w:pPr>
              <w:pStyle w:val="TableBody"/>
            </w:pPr>
            <w:r>
              <w:t>None</w:t>
            </w:r>
          </w:p>
        </w:tc>
        <w:tc>
          <w:tcPr>
            <w:tcW w:w="7334" w:type="dxa"/>
          </w:tcPr>
          <w:p w14:paraId="13822B1A" w14:textId="77777777" w:rsidR="007734E9" w:rsidRDefault="007734E9" w:rsidP="00C304A4">
            <w:pPr>
              <w:pStyle w:val="TableBody"/>
            </w:pPr>
            <w:r>
              <w:rPr>
                <w:iCs w:val="0"/>
              </w:rPr>
              <w:t>Specific Retail Entity.</w:t>
            </w:r>
          </w:p>
        </w:tc>
      </w:tr>
      <w:tr w:rsidR="007734E9" w14:paraId="3506441B" w14:textId="77777777" w:rsidTr="00C304A4">
        <w:trPr>
          <w:trHeight w:val="260"/>
        </w:trPr>
        <w:tc>
          <w:tcPr>
            <w:tcW w:w="1070" w:type="dxa"/>
          </w:tcPr>
          <w:p w14:paraId="67B15F48" w14:textId="77777777" w:rsidR="007734E9" w:rsidRDefault="007734E9" w:rsidP="00C304A4">
            <w:pPr>
              <w:pStyle w:val="TableBody"/>
              <w:rPr>
                <w:iCs w:val="0"/>
                <w:vertAlign w:val="subscript"/>
              </w:rPr>
            </w:pPr>
            <w:r>
              <w:t xml:space="preserve">EO </w:t>
            </w:r>
            <w:proofErr w:type="spellStart"/>
            <w:r w:rsidRPr="004878DD">
              <w:rPr>
                <w:i/>
                <w:vertAlign w:val="subscript"/>
              </w:rPr>
              <w:t>i</w:t>
            </w:r>
            <w:proofErr w:type="spellEnd"/>
            <w:r>
              <w:rPr>
                <w:vertAlign w:val="subscript"/>
              </w:rPr>
              <w:t xml:space="preserve"> </w:t>
            </w:r>
          </w:p>
        </w:tc>
        <w:tc>
          <w:tcPr>
            <w:tcW w:w="870" w:type="dxa"/>
          </w:tcPr>
          <w:p w14:paraId="1AA143C5" w14:textId="77777777" w:rsidR="007734E9" w:rsidRDefault="007734E9" w:rsidP="00C304A4">
            <w:pPr>
              <w:pStyle w:val="TableBody"/>
            </w:pPr>
            <w:r>
              <w:t>None</w:t>
            </w:r>
          </w:p>
        </w:tc>
        <w:tc>
          <w:tcPr>
            <w:tcW w:w="7334" w:type="dxa"/>
          </w:tcPr>
          <w:p w14:paraId="37B1A4A6" w14:textId="77777777" w:rsidR="007734E9" w:rsidRDefault="007734E9" w:rsidP="00EA4355">
            <w:pPr>
              <w:pStyle w:val="TableBody"/>
              <w:rPr>
                <w:iCs w:val="0"/>
              </w:rPr>
            </w:pPr>
            <w:r>
              <w:t>Total offsets the Retail Entity is entitled to receive during the Compliance Period (not to exceed the Retail Entity’s FRR before adjustment for any previous Compliance Period).</w:t>
            </w:r>
          </w:p>
        </w:tc>
      </w:tr>
    </w:tbl>
    <w:p w14:paraId="4C6F8471" w14:textId="77777777" w:rsidR="007734E9" w:rsidRDefault="007734E9" w:rsidP="004878DD">
      <w:pPr>
        <w:keepNext/>
        <w:spacing w:before="240" w:after="240"/>
        <w:rPr>
          <w:iCs/>
        </w:rPr>
      </w:pPr>
      <w:r>
        <w:rPr>
          <w:iCs/>
        </w:rPr>
        <w:t>(3)</w:t>
      </w:r>
      <w:r>
        <w:rPr>
          <w:iCs/>
        </w:rPr>
        <w:tab/>
        <w:t xml:space="preserve">ERCOT shall determine TUOs as follows: </w:t>
      </w:r>
    </w:p>
    <w:p w14:paraId="6D38CB93" w14:textId="77777777" w:rsidR="007734E9" w:rsidRDefault="007734E9" w:rsidP="007734E9">
      <w:pPr>
        <w:pStyle w:val="FormulaBold"/>
      </w:pPr>
      <w:r>
        <w:t xml:space="preserve">TUO = SRR – </w:t>
      </w:r>
      <w:r w:rsidRPr="00EA5448">
        <w:rPr>
          <w:position w:val="-20"/>
        </w:rPr>
        <w:object w:dxaOrig="260" w:dyaOrig="580" w14:anchorId="68AB5477">
          <v:shape id="_x0000_i1028" type="#_x0000_t75" style="width:12.25pt;height:28.55pt" o:ole="">
            <v:imagedata r:id="rId18" o:title=""/>
          </v:shape>
          <o:OLEObject Type="Embed" ProgID="Equation.3" ShapeID="_x0000_i1028" DrawAspect="Content" ObjectID="_1670663741" r:id="rId19"/>
        </w:object>
      </w:r>
      <w:r>
        <w:t xml:space="preserve">ARR </w:t>
      </w:r>
      <w:proofErr w:type="spellStart"/>
      <w:r>
        <w:rPr>
          <w:i/>
          <w:vertAlign w:val="subscript"/>
        </w:rPr>
        <w:t>i</w:t>
      </w:r>
      <w:proofErr w:type="spellEnd"/>
      <w:r>
        <w:t xml:space="preserve"> </w:t>
      </w:r>
    </w:p>
    <w:p w14:paraId="36E6AF27" w14:textId="77777777" w:rsidR="007734E9" w:rsidRDefault="007734E9" w:rsidP="007734E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7734E9" w14:paraId="61761E26" w14:textId="77777777" w:rsidTr="00C304A4">
        <w:trPr>
          <w:trHeight w:val="548"/>
        </w:trPr>
        <w:tc>
          <w:tcPr>
            <w:tcW w:w="1070" w:type="dxa"/>
          </w:tcPr>
          <w:p w14:paraId="4ADA429C" w14:textId="77777777" w:rsidR="007734E9" w:rsidRDefault="007734E9" w:rsidP="00C304A4">
            <w:pPr>
              <w:pStyle w:val="TableBody"/>
              <w:rPr>
                <w:b/>
              </w:rPr>
            </w:pPr>
            <w:r>
              <w:rPr>
                <w:b/>
              </w:rPr>
              <w:t>Variable</w:t>
            </w:r>
          </w:p>
        </w:tc>
        <w:tc>
          <w:tcPr>
            <w:tcW w:w="870" w:type="dxa"/>
          </w:tcPr>
          <w:p w14:paraId="323A338A" w14:textId="77777777" w:rsidR="007734E9" w:rsidRDefault="007734E9" w:rsidP="00C304A4">
            <w:pPr>
              <w:pStyle w:val="TableBody"/>
              <w:rPr>
                <w:b/>
              </w:rPr>
            </w:pPr>
            <w:r>
              <w:rPr>
                <w:b/>
              </w:rPr>
              <w:t>Unit</w:t>
            </w:r>
          </w:p>
        </w:tc>
        <w:tc>
          <w:tcPr>
            <w:tcW w:w="7334" w:type="dxa"/>
          </w:tcPr>
          <w:p w14:paraId="7DD7F8F1" w14:textId="77777777" w:rsidR="007734E9" w:rsidRDefault="007734E9" w:rsidP="00C304A4">
            <w:pPr>
              <w:pStyle w:val="TableBody"/>
              <w:rPr>
                <w:b/>
              </w:rPr>
            </w:pPr>
            <w:r>
              <w:rPr>
                <w:b/>
              </w:rPr>
              <w:t>Description</w:t>
            </w:r>
          </w:p>
        </w:tc>
      </w:tr>
      <w:tr w:rsidR="007734E9" w14:paraId="4A2DD708" w14:textId="77777777" w:rsidTr="00C304A4">
        <w:trPr>
          <w:trHeight w:val="448"/>
        </w:trPr>
        <w:tc>
          <w:tcPr>
            <w:tcW w:w="1070" w:type="dxa"/>
          </w:tcPr>
          <w:p w14:paraId="0B6F8787" w14:textId="77777777" w:rsidR="007734E9" w:rsidRPr="004878DD" w:rsidRDefault="007734E9" w:rsidP="00C304A4">
            <w:pPr>
              <w:pStyle w:val="TableBody"/>
              <w:rPr>
                <w:i/>
              </w:rPr>
            </w:pPr>
            <w:proofErr w:type="spellStart"/>
            <w:r w:rsidRPr="004878DD">
              <w:rPr>
                <w:i/>
              </w:rPr>
              <w:t>i</w:t>
            </w:r>
            <w:proofErr w:type="spellEnd"/>
          </w:p>
        </w:tc>
        <w:tc>
          <w:tcPr>
            <w:tcW w:w="870" w:type="dxa"/>
          </w:tcPr>
          <w:p w14:paraId="50AEF2D9" w14:textId="77777777" w:rsidR="007734E9" w:rsidRDefault="007734E9" w:rsidP="00C304A4">
            <w:pPr>
              <w:pStyle w:val="TableBody"/>
            </w:pPr>
            <w:r>
              <w:t>None</w:t>
            </w:r>
          </w:p>
        </w:tc>
        <w:tc>
          <w:tcPr>
            <w:tcW w:w="7334" w:type="dxa"/>
          </w:tcPr>
          <w:p w14:paraId="62A7607F" w14:textId="77777777" w:rsidR="007734E9" w:rsidRDefault="007734E9" w:rsidP="00B41601">
            <w:pPr>
              <w:pStyle w:val="TableBody"/>
            </w:pPr>
            <w:r>
              <w:rPr>
                <w:iCs w:val="0"/>
              </w:rPr>
              <w:t>Specific Retail Entity.</w:t>
            </w:r>
          </w:p>
        </w:tc>
      </w:tr>
      <w:tr w:rsidR="007734E9" w14:paraId="0B87A87E" w14:textId="77777777" w:rsidTr="00C304A4">
        <w:trPr>
          <w:trHeight w:val="341"/>
        </w:trPr>
        <w:tc>
          <w:tcPr>
            <w:tcW w:w="1070" w:type="dxa"/>
          </w:tcPr>
          <w:p w14:paraId="5B9F2126" w14:textId="77777777" w:rsidR="007734E9" w:rsidRPr="004878DD" w:rsidRDefault="007734E9" w:rsidP="00C304A4">
            <w:pPr>
              <w:pStyle w:val="TableBody"/>
              <w:rPr>
                <w:i/>
              </w:rPr>
            </w:pPr>
            <w:r w:rsidRPr="004878DD">
              <w:rPr>
                <w:i/>
              </w:rPr>
              <w:t>n</w:t>
            </w:r>
          </w:p>
        </w:tc>
        <w:tc>
          <w:tcPr>
            <w:tcW w:w="870" w:type="dxa"/>
          </w:tcPr>
          <w:p w14:paraId="02C7A771" w14:textId="77777777" w:rsidR="007734E9" w:rsidRDefault="007734E9" w:rsidP="00C304A4">
            <w:pPr>
              <w:pStyle w:val="TableBody"/>
            </w:pPr>
            <w:r>
              <w:t>None</w:t>
            </w:r>
          </w:p>
        </w:tc>
        <w:tc>
          <w:tcPr>
            <w:tcW w:w="7334" w:type="dxa"/>
          </w:tcPr>
          <w:p w14:paraId="406F5E76" w14:textId="77777777" w:rsidR="007734E9" w:rsidRDefault="007734E9" w:rsidP="00B41601">
            <w:pPr>
              <w:pStyle w:val="TableBody"/>
            </w:pPr>
            <w:r>
              <w:t>Number of Retail Entities.</w:t>
            </w:r>
          </w:p>
        </w:tc>
      </w:tr>
      <w:tr w:rsidR="007734E9" w14:paraId="18E5FDF7" w14:textId="77777777" w:rsidTr="00C304A4">
        <w:trPr>
          <w:trHeight w:val="260"/>
        </w:trPr>
        <w:tc>
          <w:tcPr>
            <w:tcW w:w="1070" w:type="dxa"/>
          </w:tcPr>
          <w:p w14:paraId="6E57A929" w14:textId="77777777" w:rsidR="007734E9" w:rsidRDefault="007734E9" w:rsidP="00C304A4">
            <w:pPr>
              <w:pStyle w:val="TableBody"/>
              <w:rPr>
                <w:iCs w:val="0"/>
                <w:vertAlign w:val="subscript"/>
              </w:rPr>
            </w:pPr>
            <w:r>
              <w:t>SRR</w:t>
            </w:r>
          </w:p>
        </w:tc>
        <w:tc>
          <w:tcPr>
            <w:tcW w:w="870" w:type="dxa"/>
          </w:tcPr>
          <w:p w14:paraId="34017D5C" w14:textId="77777777" w:rsidR="007734E9" w:rsidRDefault="007734E9" w:rsidP="00C304A4">
            <w:pPr>
              <w:pStyle w:val="TableBody"/>
            </w:pPr>
            <w:r>
              <w:t>None</w:t>
            </w:r>
          </w:p>
        </w:tc>
        <w:tc>
          <w:tcPr>
            <w:tcW w:w="7334" w:type="dxa"/>
          </w:tcPr>
          <w:p w14:paraId="383308D1" w14:textId="77777777" w:rsidR="007734E9" w:rsidRDefault="007734E9" w:rsidP="00C304A4">
            <w:pPr>
              <w:pStyle w:val="TableBody"/>
              <w:rPr>
                <w:iCs w:val="0"/>
              </w:rPr>
            </w:pPr>
            <w:r>
              <w:t>Statewide RPS Requirement.</w:t>
            </w:r>
          </w:p>
        </w:tc>
      </w:tr>
      <w:tr w:rsidR="007734E9" w14:paraId="37C97D69" w14:textId="77777777" w:rsidTr="00C304A4">
        <w:trPr>
          <w:trHeight w:val="260"/>
        </w:trPr>
        <w:tc>
          <w:tcPr>
            <w:tcW w:w="1070" w:type="dxa"/>
          </w:tcPr>
          <w:p w14:paraId="4A4C9D82" w14:textId="77777777" w:rsidR="007734E9" w:rsidRDefault="007734E9" w:rsidP="00C304A4">
            <w:pPr>
              <w:pStyle w:val="TableBody"/>
            </w:pPr>
            <w:r>
              <w:t xml:space="preserve">ARR </w:t>
            </w:r>
            <w:proofErr w:type="spellStart"/>
            <w:r w:rsidRPr="004878DD">
              <w:rPr>
                <w:i/>
                <w:vertAlign w:val="subscript"/>
              </w:rPr>
              <w:t>i</w:t>
            </w:r>
            <w:proofErr w:type="spellEnd"/>
          </w:p>
        </w:tc>
        <w:tc>
          <w:tcPr>
            <w:tcW w:w="870" w:type="dxa"/>
          </w:tcPr>
          <w:p w14:paraId="78436794" w14:textId="77777777" w:rsidR="007734E9" w:rsidRDefault="007734E9" w:rsidP="00C304A4">
            <w:pPr>
              <w:pStyle w:val="TableBody"/>
            </w:pPr>
            <w:r>
              <w:t>None</w:t>
            </w:r>
          </w:p>
        </w:tc>
        <w:tc>
          <w:tcPr>
            <w:tcW w:w="7334" w:type="dxa"/>
          </w:tcPr>
          <w:p w14:paraId="4CE9936C" w14:textId="77777777" w:rsidR="007734E9" w:rsidRDefault="007734E9" w:rsidP="00B41601">
            <w:pPr>
              <w:pStyle w:val="TableBody"/>
            </w:pPr>
            <w:r>
              <w:t>Adjusted RPS Requirement for a specific Retail Entity.</w:t>
            </w:r>
          </w:p>
        </w:tc>
      </w:tr>
    </w:tbl>
    <w:p w14:paraId="47DD038E" w14:textId="77777777" w:rsidR="007734E9" w:rsidRDefault="007734E9" w:rsidP="007734E9">
      <w:pPr>
        <w:keepNext/>
        <w:tabs>
          <w:tab w:val="left" w:pos="1080"/>
        </w:tabs>
        <w:spacing w:before="240" w:after="240"/>
        <w:outlineLvl w:val="2"/>
        <w:rPr>
          <w:b/>
          <w:bCs/>
          <w:i/>
        </w:rPr>
      </w:pPr>
      <w:bookmarkStart w:id="38" w:name="_Toc239073036"/>
      <w:bookmarkStart w:id="39" w:name="_Toc440463377"/>
      <w:bookmarkStart w:id="40" w:name="_Toc175576139"/>
      <w:r>
        <w:rPr>
          <w:b/>
          <w:bCs/>
          <w:i/>
        </w:rPr>
        <w:lastRenderedPageBreak/>
        <w:t>14.9.5</w:t>
      </w:r>
      <w:r>
        <w:rPr>
          <w:b/>
          <w:bCs/>
          <w:i/>
        </w:rPr>
        <w:tab/>
        <w:t>Final Renewable Portfolio Standard Requirement</w:t>
      </w:r>
      <w:bookmarkEnd w:id="38"/>
      <w:bookmarkEnd w:id="39"/>
    </w:p>
    <w:p w14:paraId="04DE3355" w14:textId="77777777" w:rsidR="007734E9" w:rsidRDefault="007734E9" w:rsidP="007734E9">
      <w:pPr>
        <w:keepNext/>
        <w:spacing w:after="240"/>
        <w:ind w:left="720" w:hanging="720"/>
        <w:rPr>
          <w:iCs/>
        </w:rPr>
      </w:pPr>
      <w:r>
        <w:rPr>
          <w:iCs/>
        </w:rPr>
        <w:t>(1)</w:t>
      </w:r>
      <w:r>
        <w:rPr>
          <w:iCs/>
        </w:rPr>
        <w:tab/>
        <w:t>ERCOT shall redistribute the TUO amount over all Retail Entities to determine the FRRs.  ERCOT shall determine each Retail Entity’s FRR as follows:</w:t>
      </w:r>
    </w:p>
    <w:p w14:paraId="5B640810" w14:textId="77777777" w:rsidR="007734E9" w:rsidRDefault="007734E9" w:rsidP="007734E9">
      <w:pPr>
        <w:pStyle w:val="FormulaBold"/>
        <w:ind w:left="720" w:firstLine="0"/>
      </w:pPr>
      <w:r>
        <w:t xml:space="preserve">FRR = ARR </w:t>
      </w:r>
      <w:proofErr w:type="spellStart"/>
      <w:r>
        <w:rPr>
          <w:i/>
          <w:vertAlign w:val="subscript"/>
        </w:rPr>
        <w:t>i</w:t>
      </w:r>
      <w:proofErr w:type="spellEnd"/>
      <w:r>
        <w:t xml:space="preserve"> + (TUO </w:t>
      </w:r>
      <w:r>
        <w:sym w:font="Symbol" w:char="F0B4"/>
      </w:r>
      <w:r>
        <w:t xml:space="preserve"> (</w:t>
      </w:r>
      <w:r w:rsidR="006E07DE">
        <w:t>CRS</w:t>
      </w:r>
      <w:r>
        <w:t xml:space="preserve">RES </w:t>
      </w:r>
      <w:proofErr w:type="spellStart"/>
      <w:r>
        <w:rPr>
          <w:i/>
          <w:vertAlign w:val="subscript"/>
        </w:rPr>
        <w:t>i</w:t>
      </w:r>
      <w:proofErr w:type="spellEnd"/>
      <w:r>
        <w:rPr>
          <w:i/>
          <w:vertAlign w:val="subscript"/>
        </w:rPr>
        <w:t xml:space="preserve"> </w:t>
      </w:r>
      <w:r>
        <w:t>/ TS)) +/- Previous Year(s) FRR adjustment (recalculated in accordance with subsection (h)(3) of P.U.C. S</w:t>
      </w:r>
      <w:r>
        <w:rPr>
          <w:sz w:val="20"/>
        </w:rPr>
        <w:t>UBST</w:t>
      </w:r>
      <w:r>
        <w:t>. R. 25.173, Goal for Renewable Energy)</w:t>
      </w:r>
    </w:p>
    <w:p w14:paraId="279632E5" w14:textId="77777777" w:rsidR="007734E9" w:rsidRDefault="007734E9" w:rsidP="007734E9">
      <w:pPr>
        <w:spacing w:before="120"/>
      </w:pPr>
      <w:r>
        <w:t>The above variables are defined as follows:</w:t>
      </w: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70"/>
        <w:gridCol w:w="870"/>
        <w:gridCol w:w="7334"/>
      </w:tblGrid>
      <w:tr w:rsidR="007734E9" w14:paraId="2E7D1063" w14:textId="77777777" w:rsidTr="00C304A4">
        <w:trPr>
          <w:cantSplit/>
          <w:trHeight w:val="548"/>
          <w:tblHeader/>
        </w:trPr>
        <w:tc>
          <w:tcPr>
            <w:tcW w:w="1070" w:type="dxa"/>
          </w:tcPr>
          <w:p w14:paraId="482B2FF1" w14:textId="77777777" w:rsidR="007734E9" w:rsidRDefault="007734E9" w:rsidP="00C304A4">
            <w:pPr>
              <w:pStyle w:val="TableBody"/>
              <w:rPr>
                <w:b/>
              </w:rPr>
            </w:pPr>
            <w:r>
              <w:rPr>
                <w:b/>
              </w:rPr>
              <w:t>Variable</w:t>
            </w:r>
          </w:p>
        </w:tc>
        <w:tc>
          <w:tcPr>
            <w:tcW w:w="870" w:type="dxa"/>
          </w:tcPr>
          <w:p w14:paraId="3BDB0598" w14:textId="77777777" w:rsidR="007734E9" w:rsidRDefault="007734E9" w:rsidP="00C304A4">
            <w:pPr>
              <w:pStyle w:val="TableBody"/>
              <w:rPr>
                <w:b/>
              </w:rPr>
            </w:pPr>
            <w:r>
              <w:rPr>
                <w:b/>
              </w:rPr>
              <w:t>Unit</w:t>
            </w:r>
          </w:p>
        </w:tc>
        <w:tc>
          <w:tcPr>
            <w:tcW w:w="7334" w:type="dxa"/>
          </w:tcPr>
          <w:p w14:paraId="5C727847" w14:textId="77777777" w:rsidR="007734E9" w:rsidRDefault="007734E9" w:rsidP="00C304A4">
            <w:pPr>
              <w:pStyle w:val="TableBody"/>
              <w:rPr>
                <w:b/>
              </w:rPr>
            </w:pPr>
            <w:r>
              <w:rPr>
                <w:b/>
              </w:rPr>
              <w:t>Description</w:t>
            </w:r>
          </w:p>
        </w:tc>
      </w:tr>
      <w:tr w:rsidR="007734E9" w14:paraId="4D6C4220" w14:textId="77777777" w:rsidTr="00C304A4">
        <w:trPr>
          <w:cantSplit/>
          <w:trHeight w:val="260"/>
        </w:trPr>
        <w:tc>
          <w:tcPr>
            <w:tcW w:w="1070" w:type="dxa"/>
          </w:tcPr>
          <w:p w14:paraId="0EEA8294" w14:textId="77777777" w:rsidR="007734E9" w:rsidRDefault="007734E9" w:rsidP="00C304A4">
            <w:pPr>
              <w:pStyle w:val="TableBody"/>
            </w:pPr>
            <w:r>
              <w:t xml:space="preserve">ARR </w:t>
            </w:r>
            <w:proofErr w:type="spellStart"/>
            <w:r w:rsidRPr="004878DD">
              <w:rPr>
                <w:i/>
                <w:vertAlign w:val="subscript"/>
              </w:rPr>
              <w:t>i</w:t>
            </w:r>
            <w:proofErr w:type="spellEnd"/>
          </w:p>
        </w:tc>
        <w:tc>
          <w:tcPr>
            <w:tcW w:w="870" w:type="dxa"/>
          </w:tcPr>
          <w:p w14:paraId="55A02EB9" w14:textId="77777777" w:rsidR="007734E9" w:rsidRDefault="007734E9" w:rsidP="00C304A4">
            <w:pPr>
              <w:pStyle w:val="TableBody"/>
            </w:pPr>
            <w:r>
              <w:t>None</w:t>
            </w:r>
          </w:p>
        </w:tc>
        <w:tc>
          <w:tcPr>
            <w:tcW w:w="7334" w:type="dxa"/>
          </w:tcPr>
          <w:p w14:paraId="7D2D4991" w14:textId="77777777" w:rsidR="007734E9" w:rsidRDefault="007734E9" w:rsidP="00B41601">
            <w:pPr>
              <w:pStyle w:val="TableBody"/>
            </w:pPr>
            <w:r>
              <w:t>Adjusted RPS Requirement for a specific Retail Entity.</w:t>
            </w:r>
          </w:p>
        </w:tc>
      </w:tr>
      <w:tr w:rsidR="007734E9" w14:paraId="322D89AA" w14:textId="77777777" w:rsidTr="00C304A4">
        <w:trPr>
          <w:cantSplit/>
          <w:trHeight w:val="260"/>
        </w:trPr>
        <w:tc>
          <w:tcPr>
            <w:tcW w:w="1070" w:type="dxa"/>
          </w:tcPr>
          <w:p w14:paraId="4D31A89B" w14:textId="77777777" w:rsidR="007734E9" w:rsidRDefault="007734E9" w:rsidP="00C304A4">
            <w:pPr>
              <w:pStyle w:val="TableBody"/>
            </w:pPr>
            <w:r>
              <w:t>TUO</w:t>
            </w:r>
          </w:p>
        </w:tc>
        <w:tc>
          <w:tcPr>
            <w:tcW w:w="870" w:type="dxa"/>
          </w:tcPr>
          <w:p w14:paraId="051E1A21" w14:textId="77777777" w:rsidR="007734E9" w:rsidRDefault="007734E9" w:rsidP="00C304A4">
            <w:pPr>
              <w:pStyle w:val="TableBody"/>
            </w:pPr>
            <w:r>
              <w:t>None</w:t>
            </w:r>
          </w:p>
        </w:tc>
        <w:tc>
          <w:tcPr>
            <w:tcW w:w="7334" w:type="dxa"/>
          </w:tcPr>
          <w:p w14:paraId="6EDD12F7" w14:textId="77777777" w:rsidR="007734E9" w:rsidRDefault="007734E9" w:rsidP="00C304A4">
            <w:pPr>
              <w:pStyle w:val="TableBody"/>
            </w:pPr>
            <w:r>
              <w:t>Total Usable Offsets.</w:t>
            </w:r>
          </w:p>
        </w:tc>
      </w:tr>
      <w:tr w:rsidR="007734E9" w14:paraId="15C90432" w14:textId="77777777" w:rsidTr="00C304A4">
        <w:trPr>
          <w:cantSplit/>
          <w:trHeight w:val="260"/>
        </w:trPr>
        <w:tc>
          <w:tcPr>
            <w:tcW w:w="1070" w:type="dxa"/>
          </w:tcPr>
          <w:p w14:paraId="18070305" w14:textId="77777777" w:rsidR="007734E9" w:rsidRDefault="007734E9" w:rsidP="00C304A4">
            <w:pPr>
              <w:pStyle w:val="TableBody"/>
            </w:pPr>
            <w:r>
              <w:t xml:space="preserve">CRSRES </w:t>
            </w:r>
            <w:proofErr w:type="spellStart"/>
            <w:r w:rsidRPr="004878DD">
              <w:rPr>
                <w:i/>
                <w:vertAlign w:val="subscript"/>
              </w:rPr>
              <w:t>i</w:t>
            </w:r>
            <w:proofErr w:type="spellEnd"/>
          </w:p>
        </w:tc>
        <w:tc>
          <w:tcPr>
            <w:tcW w:w="870" w:type="dxa"/>
          </w:tcPr>
          <w:p w14:paraId="600B9C80" w14:textId="77777777" w:rsidR="007734E9" w:rsidRDefault="007734E9" w:rsidP="00C304A4">
            <w:pPr>
              <w:pStyle w:val="TableBody"/>
            </w:pPr>
            <w:r>
              <w:t>MWh</w:t>
            </w:r>
          </w:p>
        </w:tc>
        <w:tc>
          <w:tcPr>
            <w:tcW w:w="7334" w:type="dxa"/>
          </w:tcPr>
          <w:p w14:paraId="387FB17E" w14:textId="77777777" w:rsidR="007734E9" w:rsidRDefault="007734E9" w:rsidP="00EA4355">
            <w:pPr>
              <w:pStyle w:val="TableBody"/>
            </w:pPr>
            <w:r>
              <w:t>Retail sales of the Retail Entity to Texas Customers during the Compliance Period</w:t>
            </w:r>
            <w:r w:rsidR="001E2418" w:rsidRPr="00E05922">
              <w:t xml:space="preserve">, excluding sales </w:t>
            </w:r>
            <w:r w:rsidR="001E2418">
              <w:t xml:space="preserve">by the specific Retail Entity to any ESI IDs or accounts </w:t>
            </w:r>
            <w:r w:rsidR="001E2418" w:rsidRPr="00E05922">
              <w:t>for which an opt-out notice has been submitted</w:t>
            </w:r>
            <w:r w:rsidR="001E2418">
              <w:t xml:space="preserve"> under</w:t>
            </w:r>
            <w:r w:rsidR="00EA4355">
              <w:t xml:space="preserve"> subsection (j) of</w:t>
            </w:r>
            <w:r w:rsidR="001E2418">
              <w:t xml:space="preserve"> P.U.C. </w:t>
            </w:r>
            <w:r w:rsidR="001E2418" w:rsidRPr="00862F81">
              <w:rPr>
                <w:smallCaps/>
              </w:rPr>
              <w:t>Subst</w:t>
            </w:r>
            <w:r w:rsidR="001E2418">
              <w:t>. R. 25.173</w:t>
            </w:r>
            <w:r>
              <w:t>.</w:t>
            </w:r>
          </w:p>
        </w:tc>
      </w:tr>
      <w:tr w:rsidR="007734E9" w14:paraId="5EF9DF2D" w14:textId="77777777" w:rsidTr="00C304A4">
        <w:trPr>
          <w:cantSplit/>
          <w:trHeight w:val="260"/>
        </w:trPr>
        <w:tc>
          <w:tcPr>
            <w:tcW w:w="1070" w:type="dxa"/>
          </w:tcPr>
          <w:p w14:paraId="5BB2A856" w14:textId="77777777" w:rsidR="007734E9" w:rsidRDefault="007734E9" w:rsidP="00C304A4">
            <w:pPr>
              <w:pStyle w:val="TableBody"/>
            </w:pPr>
            <w:r>
              <w:t>TS</w:t>
            </w:r>
          </w:p>
        </w:tc>
        <w:tc>
          <w:tcPr>
            <w:tcW w:w="870" w:type="dxa"/>
          </w:tcPr>
          <w:p w14:paraId="6FF0D197" w14:textId="77777777" w:rsidR="007734E9" w:rsidRDefault="007734E9" w:rsidP="00C304A4">
            <w:pPr>
              <w:pStyle w:val="TableBody"/>
            </w:pPr>
            <w:r>
              <w:t>MWh</w:t>
            </w:r>
          </w:p>
        </w:tc>
        <w:tc>
          <w:tcPr>
            <w:tcW w:w="7334" w:type="dxa"/>
          </w:tcPr>
          <w:p w14:paraId="04A592B5" w14:textId="77777777" w:rsidR="007734E9" w:rsidRDefault="007734E9" w:rsidP="00EA4355">
            <w:pPr>
              <w:pStyle w:val="TableBody"/>
            </w:pPr>
            <w:r>
              <w:t>Total retail sales of all Retail Entities to Texas Customers during the Compliance Period</w:t>
            </w:r>
            <w:r w:rsidR="001E2418" w:rsidRPr="00E05922">
              <w:t xml:space="preserve">, excluding </w:t>
            </w:r>
            <w:r w:rsidR="001E2418">
              <w:t xml:space="preserve">all sales or accounts of all Retail Entities to </w:t>
            </w:r>
            <w:r w:rsidR="001E2418" w:rsidRPr="00982241">
              <w:t>ESI</w:t>
            </w:r>
            <w:r w:rsidR="001E2418">
              <w:t xml:space="preserve"> ID</w:t>
            </w:r>
            <w:r w:rsidR="001E2418" w:rsidRPr="00982241">
              <w:t>s</w:t>
            </w:r>
            <w:r w:rsidR="001E2418">
              <w:t xml:space="preserve"> </w:t>
            </w:r>
            <w:r w:rsidR="001E2418" w:rsidRPr="00E05922">
              <w:t>for which an opt-out notice has been submitted</w:t>
            </w:r>
            <w:r w:rsidR="001E2418">
              <w:t xml:space="preserve"> under </w:t>
            </w:r>
            <w:r w:rsidR="00EA4355">
              <w:t xml:space="preserve">subsection (j) of </w:t>
            </w:r>
            <w:r w:rsidR="001E2418">
              <w:t xml:space="preserve">P.U.C. </w:t>
            </w:r>
            <w:r w:rsidR="001E2418" w:rsidRPr="00862F81">
              <w:rPr>
                <w:smallCaps/>
              </w:rPr>
              <w:t>Subst</w:t>
            </w:r>
            <w:r w:rsidR="001E2418">
              <w:t>. R. 25.173</w:t>
            </w:r>
            <w:r>
              <w:t>.</w:t>
            </w:r>
          </w:p>
        </w:tc>
      </w:tr>
    </w:tbl>
    <w:p w14:paraId="32F3AEBE" w14:textId="77777777" w:rsidR="007734E9" w:rsidRDefault="007734E9" w:rsidP="007734E9">
      <w:pPr>
        <w:pStyle w:val="Spaceafterbox"/>
      </w:pPr>
    </w:p>
    <w:p w14:paraId="4983905B" w14:textId="77777777" w:rsidR="007734E9" w:rsidRDefault="007734E9" w:rsidP="007734E9">
      <w:pPr>
        <w:spacing w:after="240"/>
        <w:ind w:left="720" w:hanging="720"/>
        <w:rPr>
          <w:iCs/>
        </w:rPr>
      </w:pPr>
      <w:r>
        <w:rPr>
          <w:iCs/>
        </w:rPr>
        <w:t>(2)</w:t>
      </w:r>
      <w:r>
        <w:rPr>
          <w:iCs/>
        </w:rPr>
        <w:tab/>
        <w:t>This process will be an iterative process that will solve until the optimal allocation is reached with all FRRs resolved to the nearest whole REC.</w:t>
      </w:r>
    </w:p>
    <w:p w14:paraId="5745CB06" w14:textId="77777777" w:rsidR="007734E9" w:rsidRDefault="007734E9" w:rsidP="007734E9">
      <w:pPr>
        <w:spacing w:after="240"/>
        <w:ind w:left="720" w:hanging="720"/>
        <w:rPr>
          <w:iCs/>
        </w:rPr>
      </w:pPr>
      <w:r>
        <w:rPr>
          <w:iCs/>
        </w:rPr>
        <w:t>(3)</w:t>
      </w:r>
      <w:r>
        <w:rPr>
          <w:iCs/>
        </w:rPr>
        <w:tab/>
        <w:t xml:space="preserve">ERCOT shall notify each Retail Entity of its FRR for the previous Compliance Period no later than the date set forth for such Notification in </w:t>
      </w:r>
      <w:r w:rsidR="00EA4355">
        <w:rPr>
          <w:iCs/>
        </w:rPr>
        <w:t xml:space="preserve">subsection (n)(l) of </w:t>
      </w:r>
      <w:r>
        <w:rPr>
          <w:iCs/>
        </w:rPr>
        <w:t xml:space="preserve">P.U.C. </w:t>
      </w:r>
      <w:r>
        <w:rPr>
          <w:iCs/>
          <w:smallCaps/>
        </w:rPr>
        <w:t>Subst</w:t>
      </w:r>
      <w:r>
        <w:rPr>
          <w:iCs/>
        </w:rPr>
        <w:t>. R. 25.173.</w:t>
      </w:r>
    </w:p>
    <w:p w14:paraId="2B8A8876" w14:textId="77777777" w:rsidR="008B67C9" w:rsidRDefault="008B67C9">
      <w:pPr>
        <w:keepNext/>
        <w:tabs>
          <w:tab w:val="left" w:pos="900"/>
        </w:tabs>
        <w:spacing w:before="240" w:after="240"/>
        <w:ind w:left="900" w:hanging="900"/>
        <w:outlineLvl w:val="1"/>
        <w:rPr>
          <w:b/>
        </w:rPr>
      </w:pPr>
      <w:bookmarkStart w:id="41" w:name="_Toc440463378"/>
      <w:r>
        <w:rPr>
          <w:b/>
        </w:rPr>
        <w:t>14.10</w:t>
      </w:r>
      <w:r>
        <w:rPr>
          <w:b/>
        </w:rPr>
        <w:tab/>
        <w:t>Retiring of Renewable Energy Credits or Compliance Premiums</w:t>
      </w:r>
      <w:bookmarkEnd w:id="40"/>
      <w:bookmarkEnd w:id="41"/>
    </w:p>
    <w:p w14:paraId="7CA1E431" w14:textId="77777777" w:rsidR="008B67C9" w:rsidRDefault="005A12EF" w:rsidP="002508F5">
      <w:pPr>
        <w:spacing w:after="240"/>
        <w:ind w:left="720" w:hanging="720"/>
        <w:rPr>
          <w:iCs/>
        </w:rPr>
      </w:pPr>
      <w:r>
        <w:t>(1)</w:t>
      </w:r>
      <w:r>
        <w:tab/>
      </w:r>
      <w:r w:rsidR="008B67C9">
        <w:rPr>
          <w:iCs/>
        </w:rPr>
        <w:t xml:space="preserve">A Renewable Energy Credit (REC) or Compliance Premium owner’s Designated Representative must submit retirement requests to ERCOT.  RECs or Compliance Premiums specified by a Designated Representative for retirement must be in the REC </w:t>
      </w:r>
      <w:r w:rsidR="00F36BB5">
        <w:rPr>
          <w:iCs/>
        </w:rPr>
        <w:t>trading a</w:t>
      </w:r>
      <w:r w:rsidR="008B67C9">
        <w:rPr>
          <w:iCs/>
        </w:rPr>
        <w:t xml:space="preserve">ccount from which they are being retired at the time the request is submitted.  ERCOT shall retire such RECs or Compliance Premiums by removing them from the party’s REC </w:t>
      </w:r>
      <w:r w:rsidR="00F36BB5">
        <w:rPr>
          <w:iCs/>
        </w:rPr>
        <w:t>trading a</w:t>
      </w:r>
      <w:r w:rsidR="008B67C9">
        <w:rPr>
          <w:iCs/>
        </w:rPr>
        <w:t>ccount and retiring the unique serial number, thus rendering the REC or Compliance Premium unusable for any other purpose.  ERCOT shall maintain records to archive all RECs or Compliance Premiums that have been retired and to identify the basis on which RECs or Compliance Premiums were retired.  The reasons for retiring RECs include mandatory compliance, voluntary retirement, and expiration.  The reasons for retiring Compliance Premiums include mandatory compliance, voluntary retirement, and expiration.</w:t>
      </w:r>
    </w:p>
    <w:p w14:paraId="69BC1705" w14:textId="77777777" w:rsidR="007734E9" w:rsidRDefault="007734E9" w:rsidP="007734E9">
      <w:pPr>
        <w:keepNext/>
        <w:tabs>
          <w:tab w:val="left" w:pos="1080"/>
        </w:tabs>
        <w:spacing w:before="240" w:after="240"/>
        <w:ind w:left="1080" w:hanging="1080"/>
        <w:outlineLvl w:val="2"/>
        <w:rPr>
          <w:b/>
          <w:bCs/>
          <w:i/>
        </w:rPr>
      </w:pPr>
      <w:bookmarkStart w:id="42" w:name="_Toc239073038"/>
      <w:bookmarkStart w:id="43" w:name="_Toc440463379"/>
      <w:r>
        <w:rPr>
          <w:b/>
          <w:bCs/>
          <w:i/>
        </w:rPr>
        <w:lastRenderedPageBreak/>
        <w:t>14.10.1</w:t>
      </w:r>
      <w:r>
        <w:rPr>
          <w:b/>
          <w:bCs/>
          <w:i/>
        </w:rPr>
        <w:tab/>
        <w:t>Mandatory Retirement</w:t>
      </w:r>
      <w:bookmarkEnd w:id="42"/>
      <w:bookmarkEnd w:id="43"/>
    </w:p>
    <w:p w14:paraId="6FCC1852" w14:textId="77777777" w:rsidR="007734E9" w:rsidRDefault="007734E9" w:rsidP="007734E9">
      <w:pPr>
        <w:spacing w:after="240"/>
        <w:ind w:left="720" w:hanging="720"/>
        <w:rPr>
          <w:iCs/>
        </w:rPr>
      </w:pPr>
      <w:r>
        <w:rPr>
          <w:iCs/>
        </w:rPr>
        <w:t>(1)</w:t>
      </w:r>
      <w:r>
        <w:rPr>
          <w:iCs/>
        </w:rPr>
        <w:tab/>
        <w:t xml:space="preserve">For each Compliance Period, by the date set forth in subsection (n)(2) of P.U.C. </w:t>
      </w:r>
      <w:r>
        <w:rPr>
          <w:iCs/>
          <w:smallCaps/>
        </w:rPr>
        <w:t>Subst</w:t>
      </w:r>
      <w:r>
        <w:rPr>
          <w:iCs/>
        </w:rPr>
        <w:t xml:space="preserve">. R. 25.173, Goal for Renewable Energy, each Retail Entity’s Designated Representative shall notify ERCOT of the RECs or Compliance Premiums in its REC </w:t>
      </w:r>
      <w:r w:rsidR="00F36BB5">
        <w:rPr>
          <w:iCs/>
        </w:rPr>
        <w:t>trading a</w:t>
      </w:r>
      <w:r>
        <w:rPr>
          <w:iCs/>
        </w:rPr>
        <w:t xml:space="preserve">ccount to be used (retired) to satisfy its Final RPS Requirement (FRR) for the Compliance Period being settled.  Each REC or Compliance Premium that is not used will remain in the holder’s REC </w:t>
      </w:r>
      <w:r w:rsidR="00F36BB5">
        <w:rPr>
          <w:iCs/>
        </w:rPr>
        <w:t>trading a</w:t>
      </w:r>
      <w:r>
        <w:rPr>
          <w:iCs/>
        </w:rPr>
        <w:t>ccount until it is transferred to another party’s account, expires, or is otherwise retired.</w:t>
      </w:r>
    </w:p>
    <w:p w14:paraId="03CDE526" w14:textId="77777777" w:rsidR="007734E9" w:rsidRDefault="007734E9" w:rsidP="007734E9">
      <w:pPr>
        <w:spacing w:after="240"/>
        <w:ind w:left="720" w:hanging="720"/>
        <w:rPr>
          <w:iCs/>
        </w:rPr>
      </w:pPr>
      <w:r>
        <w:rPr>
          <w:iCs/>
        </w:rPr>
        <w:t>(2)</w:t>
      </w:r>
      <w:r>
        <w:rPr>
          <w:iCs/>
        </w:rPr>
        <w:tab/>
        <w:t xml:space="preserve">Failure to provide sufficient RECs or Compliance Premiums </w:t>
      </w:r>
      <w:r w:rsidR="00B41601">
        <w:rPr>
          <w:iCs/>
        </w:rPr>
        <w:t>by the date set forth in subsection (n)(2) of P.U.C. S</w:t>
      </w:r>
      <w:r w:rsidR="00B41601" w:rsidRPr="005C5D87">
        <w:rPr>
          <w:iCs/>
          <w:smallCaps/>
        </w:rPr>
        <w:t>ubst</w:t>
      </w:r>
      <w:r w:rsidR="00B41601">
        <w:rPr>
          <w:iCs/>
        </w:rPr>
        <w:t xml:space="preserve">. R. 25.173 </w:t>
      </w:r>
      <w:r>
        <w:rPr>
          <w:iCs/>
        </w:rPr>
        <w:t>shall be considered a failure of that Retail Entity to meet its REC retirement obligations.  ERCOT shall notify the Public Utility Commission of Texas (PUCT) when any Retail Entity fails to meets its REC retirement obligations.</w:t>
      </w:r>
    </w:p>
    <w:p w14:paraId="0CDC90E4" w14:textId="77777777" w:rsidR="008B67C9" w:rsidRDefault="008B67C9">
      <w:pPr>
        <w:keepNext/>
        <w:tabs>
          <w:tab w:val="left" w:pos="1080"/>
        </w:tabs>
        <w:spacing w:before="240" w:after="240"/>
        <w:ind w:left="1080" w:hanging="1080"/>
        <w:outlineLvl w:val="2"/>
        <w:rPr>
          <w:b/>
          <w:bCs/>
          <w:i/>
        </w:rPr>
      </w:pPr>
      <w:bookmarkStart w:id="44" w:name="_Toc440463380"/>
      <w:r>
        <w:rPr>
          <w:b/>
          <w:bCs/>
          <w:i/>
        </w:rPr>
        <w:t>14.10.2</w:t>
      </w:r>
      <w:r>
        <w:rPr>
          <w:b/>
          <w:bCs/>
          <w:i/>
        </w:rPr>
        <w:tab/>
        <w:t>Voluntary Retirement</w:t>
      </w:r>
      <w:bookmarkEnd w:id="44"/>
    </w:p>
    <w:p w14:paraId="04AF2325" w14:textId="77777777" w:rsidR="008B67C9" w:rsidRDefault="005A12EF" w:rsidP="002508F5">
      <w:pPr>
        <w:spacing w:after="240"/>
        <w:ind w:left="720" w:hanging="720"/>
        <w:rPr>
          <w:iCs/>
        </w:rPr>
      </w:pPr>
      <w:r>
        <w:t>(1)</w:t>
      </w:r>
      <w:r>
        <w:tab/>
      </w:r>
      <w:r w:rsidR="008B67C9">
        <w:rPr>
          <w:iCs/>
        </w:rPr>
        <w:t>At the request of a REC Account Holder, ERCOT shall retire RECs and Compliance Premiums for reasons other than for meeting the mandated Renewable Portfolio Standard (RPS) requirements.  Voluntarily retired RECs and Compliance Premiums may not be used to satisfy a Retail Entity’s RPS requirement.  ERCOT shall include information concerning RECs and Compliance Premiums retired voluntarily in its annual report to the PUCT.</w:t>
      </w:r>
    </w:p>
    <w:p w14:paraId="4DE3EB47" w14:textId="77777777" w:rsidR="008B67C9" w:rsidRDefault="008B67C9">
      <w:pPr>
        <w:keepNext/>
        <w:tabs>
          <w:tab w:val="left" w:pos="1080"/>
        </w:tabs>
        <w:spacing w:before="240" w:after="240"/>
        <w:ind w:left="1080" w:hanging="1080"/>
        <w:outlineLvl w:val="2"/>
        <w:rPr>
          <w:b/>
          <w:bCs/>
          <w:i/>
        </w:rPr>
      </w:pPr>
      <w:bookmarkStart w:id="45" w:name="_Toc440463381"/>
      <w:r>
        <w:rPr>
          <w:b/>
          <w:bCs/>
          <w:i/>
        </w:rPr>
        <w:t>14.10.3</w:t>
      </w:r>
      <w:r>
        <w:rPr>
          <w:b/>
          <w:bCs/>
          <w:i/>
        </w:rPr>
        <w:tab/>
        <w:t>Retiring Unused Renewable Energy Credits or Compliance Premiums</w:t>
      </w:r>
      <w:bookmarkEnd w:id="45"/>
    </w:p>
    <w:p w14:paraId="3BC5DC68" w14:textId="77777777" w:rsidR="008B67C9" w:rsidRDefault="005A12EF" w:rsidP="002508F5">
      <w:pPr>
        <w:spacing w:after="240"/>
        <w:ind w:left="720" w:hanging="720"/>
        <w:rPr>
          <w:iCs/>
        </w:rPr>
      </w:pPr>
      <w:r>
        <w:t>(1)</w:t>
      </w:r>
      <w:r>
        <w:tab/>
      </w:r>
      <w:r w:rsidR="008B67C9">
        <w:rPr>
          <w:iCs/>
        </w:rPr>
        <w:t>ERCOT shall retire all unused RECs and Compliance Premiums upon their expiration as described in Section 14.3.2, Attributes of Renewable Energy Credits and Compliance Premiums.</w:t>
      </w:r>
    </w:p>
    <w:p w14:paraId="30A564EA" w14:textId="77777777" w:rsidR="008B67C9" w:rsidRDefault="008B67C9">
      <w:pPr>
        <w:keepNext/>
        <w:tabs>
          <w:tab w:val="left" w:pos="900"/>
        </w:tabs>
        <w:spacing w:before="240" w:after="240"/>
        <w:ind w:left="900" w:hanging="900"/>
        <w:outlineLvl w:val="1"/>
        <w:rPr>
          <w:b/>
        </w:rPr>
      </w:pPr>
      <w:bookmarkStart w:id="46" w:name="_Toc175576140"/>
      <w:bookmarkStart w:id="47" w:name="_Toc440463382"/>
      <w:r>
        <w:rPr>
          <w:b/>
        </w:rPr>
        <w:t>14.11</w:t>
      </w:r>
      <w:r>
        <w:rPr>
          <w:b/>
        </w:rPr>
        <w:tab/>
        <w:t>Penalties and Enforcement</w:t>
      </w:r>
      <w:bookmarkEnd w:id="46"/>
      <w:bookmarkEnd w:id="47"/>
    </w:p>
    <w:p w14:paraId="541D2465" w14:textId="77777777" w:rsidR="008B67C9" w:rsidRDefault="005A12EF" w:rsidP="002508F5">
      <w:pPr>
        <w:spacing w:after="240"/>
        <w:ind w:left="720" w:hanging="720"/>
        <w:rPr>
          <w:iCs/>
        </w:rPr>
      </w:pPr>
      <w:r>
        <w:t>(1)</w:t>
      </w:r>
      <w:r>
        <w:tab/>
      </w:r>
      <w:r w:rsidR="008B67C9">
        <w:rPr>
          <w:iCs/>
        </w:rPr>
        <w:t>ERCOT is not responsible for developing, administering, or enforcing penalties associated with the Renewable Energy Credit (REC) Trading Program; these activities are within the scope of the Public Utility Commission of Texas (PUCT).  ERCOT is responsible for informing the PUCT of Retail Entities that do not meet their REC or Compliance Premium retirement obligations, of REC offset generators that do not produce generation sufficient to cover offsets they have been approved to provide, and of other anomalies which may come to ERCOT’s attention through the administration of the REC Trading Program.</w:t>
      </w:r>
    </w:p>
    <w:p w14:paraId="7D0A2A27" w14:textId="77777777" w:rsidR="007734E9" w:rsidRDefault="007734E9" w:rsidP="007734E9">
      <w:pPr>
        <w:tabs>
          <w:tab w:val="left" w:pos="900"/>
        </w:tabs>
        <w:spacing w:before="240" w:after="240"/>
        <w:ind w:left="900" w:hanging="900"/>
        <w:outlineLvl w:val="1"/>
        <w:rPr>
          <w:b/>
        </w:rPr>
      </w:pPr>
      <w:bookmarkStart w:id="48" w:name="_Toc175576141"/>
      <w:bookmarkStart w:id="49" w:name="_Toc239073042"/>
      <w:bookmarkStart w:id="50" w:name="_Toc440463383"/>
      <w:bookmarkStart w:id="51" w:name="_Toc175576142"/>
      <w:r>
        <w:rPr>
          <w:b/>
        </w:rPr>
        <w:t>14.12</w:t>
      </w:r>
      <w:r>
        <w:rPr>
          <w:b/>
        </w:rPr>
        <w:tab/>
        <w:t>Maintain Public Information</w:t>
      </w:r>
      <w:bookmarkEnd w:id="48"/>
      <w:bookmarkEnd w:id="49"/>
      <w:bookmarkEnd w:id="50"/>
    </w:p>
    <w:p w14:paraId="0A0016DA" w14:textId="6C644B51" w:rsidR="007734E9" w:rsidRDefault="007734E9" w:rsidP="007734E9">
      <w:pPr>
        <w:spacing w:after="240"/>
        <w:ind w:left="720" w:hanging="720"/>
        <w:rPr>
          <w:iCs/>
        </w:rPr>
      </w:pPr>
      <w:r>
        <w:rPr>
          <w:iCs/>
        </w:rPr>
        <w:lastRenderedPageBreak/>
        <w:t>(1)</w:t>
      </w:r>
      <w:r>
        <w:rPr>
          <w:iCs/>
        </w:rPr>
        <w:tab/>
        <w:t xml:space="preserve">ERCOT shall maintain public information of interest to buyers and sellers of Renewable Energy Credits (RECs) or Compliance Premiums on the ERCOT </w:t>
      </w:r>
      <w:r w:rsidR="002E2779">
        <w:rPr>
          <w:iCs/>
        </w:rPr>
        <w:t>website</w:t>
      </w:r>
      <w:r>
        <w:rPr>
          <w:iCs/>
        </w:rPr>
        <w:t>.  The information provided shall include, at a minimum, a directory of all REC generators, Retail Entities, and other participants in the REC Trading Program.  The directory shall include the following information:</w:t>
      </w:r>
    </w:p>
    <w:p w14:paraId="40796643" w14:textId="77777777" w:rsidR="007734E9" w:rsidRDefault="007734E9" w:rsidP="009F08F8">
      <w:pPr>
        <w:spacing w:after="240"/>
        <w:ind w:left="1440" w:hanging="720"/>
      </w:pPr>
      <w:r>
        <w:t>(a)</w:t>
      </w:r>
      <w:r>
        <w:tab/>
        <w:t>Name of the REC generator, Retail Entity, or other REC Account Holder;</w:t>
      </w:r>
    </w:p>
    <w:p w14:paraId="0C54F39B" w14:textId="77777777" w:rsidR="007734E9" w:rsidRDefault="007734E9" w:rsidP="007734E9">
      <w:pPr>
        <w:spacing w:after="240"/>
        <w:ind w:left="720"/>
      </w:pPr>
      <w:r>
        <w:t>(b)</w:t>
      </w:r>
      <w:r>
        <w:tab/>
        <w:t>Name of the Designated Representative;</w:t>
      </w:r>
    </w:p>
    <w:p w14:paraId="32123DED" w14:textId="77777777" w:rsidR="007734E9" w:rsidRDefault="007734E9" w:rsidP="007734E9">
      <w:pPr>
        <w:spacing w:after="240"/>
        <w:ind w:left="720"/>
      </w:pPr>
      <w:r>
        <w:t>(c)</w:t>
      </w:r>
      <w:r>
        <w:tab/>
        <w:t>Street address or post office box number;</w:t>
      </w:r>
    </w:p>
    <w:p w14:paraId="00DE84EB" w14:textId="77777777" w:rsidR="007734E9" w:rsidRDefault="007734E9" w:rsidP="007734E9">
      <w:pPr>
        <w:spacing w:after="240"/>
        <w:ind w:left="720"/>
      </w:pPr>
      <w:r>
        <w:t>(d)</w:t>
      </w:r>
      <w:r>
        <w:tab/>
        <w:t>City, state or province, and zip or postal code;</w:t>
      </w:r>
    </w:p>
    <w:p w14:paraId="739DDA59" w14:textId="77777777" w:rsidR="007734E9" w:rsidRDefault="007734E9" w:rsidP="007734E9">
      <w:pPr>
        <w:spacing w:after="240"/>
        <w:ind w:left="720"/>
      </w:pPr>
      <w:r>
        <w:t>(e)</w:t>
      </w:r>
      <w:r>
        <w:tab/>
        <w:t xml:space="preserve">Country (if not the </w:t>
      </w:r>
      <w:smartTag w:uri="urn:schemas-microsoft-com:office:smarttags" w:element="place">
        <w:smartTag w:uri="urn:schemas-microsoft-com:office:smarttags" w:element="country-region">
          <w:r>
            <w:t>United States</w:t>
          </w:r>
        </w:smartTag>
      </w:smartTag>
      <w:r>
        <w:t>);</w:t>
      </w:r>
    </w:p>
    <w:p w14:paraId="09CE8445" w14:textId="77777777" w:rsidR="007734E9" w:rsidRDefault="007734E9" w:rsidP="007734E9">
      <w:pPr>
        <w:spacing w:after="240"/>
        <w:ind w:left="720"/>
      </w:pPr>
      <w:r>
        <w:t>(f)</w:t>
      </w:r>
      <w:r>
        <w:tab/>
        <w:t>Phone number;</w:t>
      </w:r>
    </w:p>
    <w:p w14:paraId="52B4F45A" w14:textId="77777777" w:rsidR="007734E9" w:rsidRDefault="007734E9" w:rsidP="007734E9">
      <w:pPr>
        <w:spacing w:after="240"/>
        <w:ind w:left="720"/>
      </w:pPr>
      <w:r>
        <w:t>(g)</w:t>
      </w:r>
      <w:r>
        <w:tab/>
        <w:t>Fax number;</w:t>
      </w:r>
    </w:p>
    <w:p w14:paraId="030EFDC3" w14:textId="77777777" w:rsidR="007734E9" w:rsidRDefault="007734E9" w:rsidP="007734E9">
      <w:pPr>
        <w:spacing w:after="240"/>
        <w:ind w:left="720"/>
      </w:pPr>
      <w:r>
        <w:t>(h)</w:t>
      </w:r>
      <w:r>
        <w:tab/>
        <w:t>E-mail address (with hypertext link); and</w:t>
      </w:r>
    </w:p>
    <w:p w14:paraId="7129C5E1" w14:textId="77777777" w:rsidR="007734E9" w:rsidRDefault="007734E9" w:rsidP="007734E9">
      <w:pPr>
        <w:spacing w:after="240"/>
        <w:ind w:left="720"/>
      </w:pPr>
      <w:r>
        <w:t>(</w:t>
      </w:r>
      <w:proofErr w:type="spellStart"/>
      <w:r>
        <w:t>i</w:t>
      </w:r>
      <w:proofErr w:type="spellEnd"/>
      <w:r>
        <w:t>)</w:t>
      </w:r>
      <w:r>
        <w:tab/>
        <w:t>Website address (with hypertext link).</w:t>
      </w:r>
    </w:p>
    <w:p w14:paraId="6A9930BD" w14:textId="77777777" w:rsidR="007734E9" w:rsidRDefault="007734E9" w:rsidP="007734E9">
      <w:pPr>
        <w:spacing w:after="240"/>
        <w:ind w:left="720" w:hanging="720"/>
        <w:rPr>
          <w:iCs/>
        </w:rPr>
      </w:pPr>
      <w:r>
        <w:rPr>
          <w:iCs/>
        </w:rPr>
        <w:t>(2)</w:t>
      </w:r>
      <w:r>
        <w:rPr>
          <w:iCs/>
        </w:rPr>
        <w:tab/>
        <w:t>REC Account Holders shall describe their participation in the REC Trading Program using one or more of the following choices within a checkbox listing: REC generator, Retail Entity, REC broker, REC trader, REC trading exchange, REC aggregat</w:t>
      </w:r>
      <w:r w:rsidR="002623B9">
        <w:rPr>
          <w:iCs/>
        </w:rPr>
        <w:t>or</w:t>
      </w:r>
      <w:r>
        <w:rPr>
          <w:iCs/>
        </w:rPr>
        <w:t>, or other.</w:t>
      </w:r>
    </w:p>
    <w:p w14:paraId="11EFB813" w14:textId="77777777" w:rsidR="007734E9" w:rsidRDefault="007734E9" w:rsidP="007734E9">
      <w:pPr>
        <w:spacing w:after="240"/>
        <w:rPr>
          <w:iCs/>
        </w:rPr>
      </w:pPr>
      <w:r>
        <w:rPr>
          <w:iCs/>
        </w:rPr>
        <w:t>(3)</w:t>
      </w:r>
      <w:r>
        <w:rPr>
          <w:iCs/>
        </w:rPr>
        <w:tab/>
        <w:t>Entities are responsible for notifying ERCOT of changes in the above information.</w:t>
      </w:r>
    </w:p>
    <w:p w14:paraId="34757C95" w14:textId="77777777" w:rsidR="007734E9" w:rsidRDefault="007734E9" w:rsidP="007734E9">
      <w:pPr>
        <w:keepNext/>
        <w:spacing w:after="240"/>
        <w:ind w:left="720" w:hanging="720"/>
        <w:rPr>
          <w:iCs/>
        </w:rPr>
      </w:pPr>
      <w:r>
        <w:rPr>
          <w:iCs/>
        </w:rPr>
        <w:t>(4)</w:t>
      </w:r>
      <w:r>
        <w:rPr>
          <w:iCs/>
        </w:rPr>
        <w:tab/>
        <w:t>ERCOT shall conspicuously display the following disclaimer in upper case and in bold font:</w:t>
      </w:r>
    </w:p>
    <w:p w14:paraId="1A392524" w14:textId="77777777" w:rsidR="007734E9" w:rsidRDefault="007734E9" w:rsidP="007734E9">
      <w:pPr>
        <w:spacing w:after="240"/>
        <w:ind w:left="720"/>
        <w:rPr>
          <w:b/>
          <w:iCs/>
        </w:rPr>
      </w:pPr>
      <w:r>
        <w:rPr>
          <w:b/>
          <w:iCs/>
        </w:rPr>
        <w:t>DISCLAIMER: ERCOT DOES NOT KNOW OR ENDORSE THE CREDIT WORTHINESS OR REPUTATION OF ANY REC ACCOUNT HOLDER LISTED IN THIS DIRECTORY.</w:t>
      </w:r>
    </w:p>
    <w:p w14:paraId="1D5294B8" w14:textId="77777777" w:rsidR="007734E9" w:rsidRDefault="007734E9" w:rsidP="007734E9">
      <w:pPr>
        <w:spacing w:after="240"/>
        <w:ind w:left="720" w:hanging="720"/>
        <w:rPr>
          <w:iCs/>
        </w:rPr>
      </w:pPr>
      <w:r>
        <w:rPr>
          <w:iCs/>
        </w:rPr>
        <w:t>(5)</w:t>
      </w:r>
      <w:r>
        <w:rPr>
          <w:iCs/>
        </w:rPr>
        <w:tab/>
        <w:t>ERCOT may provide other information that describes the REC Trading Program, as it deems convenient or necessary for administering the REC Trading Program.  ERCOT shall maintain a hypertext link to the appropriate pages on the Public Utility Commission of Texas’ (PUCT</w:t>
      </w:r>
      <w:r w:rsidR="00F36BB5">
        <w:rPr>
          <w:iCs/>
        </w:rPr>
        <w:t>’s</w:t>
      </w:r>
      <w:r>
        <w:rPr>
          <w:iCs/>
        </w:rPr>
        <w:t>) website that are related to the REC Trading Program.</w:t>
      </w:r>
    </w:p>
    <w:p w14:paraId="04202AFE" w14:textId="77777777" w:rsidR="007734E9" w:rsidRDefault="007734E9" w:rsidP="007734E9">
      <w:pPr>
        <w:spacing w:after="240"/>
        <w:ind w:left="720" w:hanging="720"/>
        <w:rPr>
          <w:iCs/>
        </w:rPr>
      </w:pPr>
      <w:r>
        <w:rPr>
          <w:iCs/>
        </w:rPr>
        <w:t>(6)</w:t>
      </w:r>
      <w:r>
        <w:rPr>
          <w:iCs/>
        </w:rPr>
        <w:tab/>
        <w:t>ERCOT shall post each month the best available aggregated total energy sales (in MWh) of Retail Entities in Texas for the previous month and year-to-date for the calendar year.</w:t>
      </w:r>
      <w:r w:rsidR="002623B9" w:rsidRPr="002623B9">
        <w:rPr>
          <w:iCs/>
        </w:rPr>
        <w:t xml:space="preserve"> </w:t>
      </w:r>
      <w:r w:rsidR="002623B9">
        <w:rPr>
          <w:iCs/>
        </w:rPr>
        <w:t xml:space="preserve"> This posting shall be based on Retail Entity Loads provided in accordance with Section 14.5.2, Retail Entities.</w:t>
      </w:r>
    </w:p>
    <w:p w14:paraId="611E0513" w14:textId="77777777" w:rsidR="007734E9" w:rsidRDefault="007734E9" w:rsidP="007734E9">
      <w:pPr>
        <w:spacing w:after="240"/>
        <w:ind w:left="720" w:hanging="720"/>
        <w:rPr>
          <w:iCs/>
        </w:rPr>
      </w:pPr>
      <w:r>
        <w:rPr>
          <w:iCs/>
        </w:rPr>
        <w:t>(7)</w:t>
      </w:r>
      <w:r>
        <w:rPr>
          <w:iCs/>
        </w:rPr>
        <w:tab/>
        <w:t>ERCOT shall post a list of Facility Identification Numbers, associated names, locations, and types.</w:t>
      </w:r>
    </w:p>
    <w:p w14:paraId="57B58996" w14:textId="77777777" w:rsidR="007734E9" w:rsidRDefault="007734E9" w:rsidP="007734E9">
      <w:pPr>
        <w:keepNext/>
        <w:tabs>
          <w:tab w:val="left" w:pos="900"/>
        </w:tabs>
        <w:spacing w:before="240" w:after="240"/>
        <w:ind w:left="900" w:hanging="900"/>
        <w:outlineLvl w:val="1"/>
        <w:rPr>
          <w:b/>
        </w:rPr>
      </w:pPr>
      <w:bookmarkStart w:id="52" w:name="_Toc239073043"/>
      <w:bookmarkStart w:id="53" w:name="_Toc440463384"/>
      <w:bookmarkEnd w:id="51"/>
      <w:r>
        <w:rPr>
          <w:b/>
        </w:rPr>
        <w:lastRenderedPageBreak/>
        <w:t>14.13</w:t>
      </w:r>
      <w:r>
        <w:rPr>
          <w:b/>
        </w:rPr>
        <w:tab/>
        <w:t xml:space="preserve">Submit Annual Report to Public Utility Commission of </w:t>
      </w:r>
      <w:smartTag w:uri="urn:schemas-microsoft-com:office:smarttags" w:element="place">
        <w:smartTag w:uri="urn:schemas-microsoft-com:office:smarttags" w:element="State">
          <w:r>
            <w:rPr>
              <w:b/>
            </w:rPr>
            <w:t>Texas</w:t>
          </w:r>
        </w:smartTag>
      </w:smartTag>
      <w:bookmarkEnd w:id="52"/>
      <w:bookmarkEnd w:id="53"/>
    </w:p>
    <w:p w14:paraId="6A6C179B" w14:textId="77777777" w:rsidR="007734E9" w:rsidRDefault="005A12EF" w:rsidP="002508F5">
      <w:pPr>
        <w:spacing w:after="240"/>
        <w:ind w:left="720" w:hanging="720"/>
        <w:rPr>
          <w:iCs/>
        </w:rPr>
      </w:pPr>
      <w:r>
        <w:t>(1)</w:t>
      </w:r>
      <w:r>
        <w:tab/>
      </w:r>
      <w:r w:rsidR="007734E9">
        <w:rPr>
          <w:iCs/>
        </w:rPr>
        <w:t xml:space="preserve">Beginning in 2002, ERCOT shall submit an annual report to the Public Utility Commission of Texas (PUCT) on or before the date set forth for such report in subsection (g)(11) of P.U.C. </w:t>
      </w:r>
      <w:r w:rsidR="007734E9">
        <w:rPr>
          <w:iCs/>
          <w:smallCaps/>
        </w:rPr>
        <w:t>Subst.</w:t>
      </w:r>
      <w:r w:rsidR="007734E9">
        <w:rPr>
          <w:iCs/>
        </w:rPr>
        <w:t xml:space="preserve"> R. 25.173, Goal for Renewable Energy.  Such report shall contain the following information pertaining to program operation for the previous Compliance Period:</w:t>
      </w:r>
    </w:p>
    <w:p w14:paraId="4FD28686" w14:textId="77777777" w:rsidR="007734E9" w:rsidRDefault="007734E9" w:rsidP="007734E9">
      <w:pPr>
        <w:spacing w:after="240"/>
        <w:ind w:left="1440" w:hanging="720"/>
      </w:pPr>
      <w:r>
        <w:t>(a)</w:t>
      </w:r>
      <w:r>
        <w:tab/>
        <w:t xml:space="preserve">MW of existing renewable capacity installed in </w:t>
      </w:r>
      <w:smartTag w:uri="urn:schemas-microsoft-com:office:smarttags" w:element="place">
        <w:smartTag w:uri="urn:schemas-microsoft-com:office:smarttags" w:element="State">
          <w:r>
            <w:t>Texas</w:t>
          </w:r>
        </w:smartTag>
      </w:smartTag>
      <w:r>
        <w:t>, by technology type;</w:t>
      </w:r>
    </w:p>
    <w:p w14:paraId="5A7FAE20" w14:textId="77777777" w:rsidR="007734E9" w:rsidRDefault="007734E9" w:rsidP="007734E9">
      <w:pPr>
        <w:spacing w:after="240"/>
        <w:ind w:left="1440" w:hanging="720"/>
      </w:pPr>
      <w:r>
        <w:t>(b)</w:t>
      </w:r>
      <w:r>
        <w:tab/>
        <w:t xml:space="preserve">MW of new renewable energy capacity installed in </w:t>
      </w:r>
      <w:smartTag w:uri="urn:schemas-microsoft-com:office:smarttags" w:element="place">
        <w:smartTag w:uri="urn:schemas-microsoft-com:office:smarttags" w:element="State">
          <w:r>
            <w:t>Texas</w:t>
          </w:r>
        </w:smartTag>
      </w:smartTag>
      <w:r>
        <w:t>, by technology type;</w:t>
      </w:r>
    </w:p>
    <w:p w14:paraId="6F47ED98" w14:textId="77777777" w:rsidR="007734E9" w:rsidRDefault="007734E9" w:rsidP="007734E9">
      <w:pPr>
        <w:spacing w:after="240"/>
        <w:ind w:left="1440" w:hanging="720"/>
      </w:pPr>
      <w:r>
        <w:t>(c)</w:t>
      </w:r>
      <w:r>
        <w:tab/>
        <w:t>List of eligible non-Texas capacity participating in the program, by technology type;</w:t>
      </w:r>
    </w:p>
    <w:p w14:paraId="3572D69B" w14:textId="77777777" w:rsidR="007734E9" w:rsidRDefault="007734E9" w:rsidP="007734E9">
      <w:pPr>
        <w:spacing w:after="240"/>
        <w:ind w:left="1440" w:hanging="720"/>
      </w:pPr>
      <w:r>
        <w:t>(d)</w:t>
      </w:r>
      <w:r>
        <w:tab/>
        <w:t>Summary of Renewable Energy Credit (REC) aggregat</w:t>
      </w:r>
      <w:r w:rsidR="002623B9">
        <w:t>or</w:t>
      </w:r>
      <w:r>
        <w:t xml:space="preserve"> activities, submitted in a format specified by the PUCT;</w:t>
      </w:r>
    </w:p>
    <w:p w14:paraId="119FD1DA" w14:textId="77777777" w:rsidR="007734E9" w:rsidRDefault="007734E9" w:rsidP="007734E9">
      <w:pPr>
        <w:spacing w:after="240"/>
        <w:ind w:left="1440" w:hanging="720"/>
      </w:pPr>
      <w:r>
        <w:t>(e)</w:t>
      </w:r>
      <w:r>
        <w:tab/>
        <w:t>Owner/operator of each REC generating facility;</w:t>
      </w:r>
    </w:p>
    <w:p w14:paraId="3B424DFF" w14:textId="77777777" w:rsidR="007734E9" w:rsidRDefault="007734E9" w:rsidP="007734E9">
      <w:pPr>
        <w:spacing w:after="240"/>
        <w:ind w:left="1440" w:hanging="720"/>
      </w:pPr>
      <w:r>
        <w:t>(f)</w:t>
      </w:r>
      <w:r>
        <w:tab/>
        <w:t>Date each new renewable energy facility began to produce energy;</w:t>
      </w:r>
    </w:p>
    <w:p w14:paraId="79B6F325" w14:textId="77777777" w:rsidR="007734E9" w:rsidRDefault="007734E9" w:rsidP="007734E9">
      <w:pPr>
        <w:spacing w:after="240"/>
        <w:ind w:left="1440" w:hanging="720"/>
      </w:pPr>
      <w:r>
        <w:t>(g)</w:t>
      </w:r>
      <w:r>
        <w:tab/>
        <w:t>MWh of energy generated by renewable energy Resources as demonstrated through data supplied in accordance with these Protocols;</w:t>
      </w:r>
    </w:p>
    <w:p w14:paraId="7A9AC587" w14:textId="77777777" w:rsidR="007734E9" w:rsidRDefault="007734E9" w:rsidP="007734E9">
      <w:pPr>
        <w:spacing w:after="240"/>
        <w:ind w:left="1440" w:hanging="720"/>
      </w:pPr>
      <w:r>
        <w:t>(h)</w:t>
      </w:r>
      <w:r>
        <w:tab/>
        <w:t>List of renewable energy unit retirements;</w:t>
      </w:r>
    </w:p>
    <w:p w14:paraId="1E98CC3F" w14:textId="77777777" w:rsidR="007734E9" w:rsidRDefault="007734E9" w:rsidP="007734E9">
      <w:pPr>
        <w:spacing w:after="240"/>
        <w:ind w:left="1440" w:hanging="720"/>
      </w:pPr>
      <w:r>
        <w:t>(</w:t>
      </w:r>
      <w:proofErr w:type="spellStart"/>
      <w:r>
        <w:t>i</w:t>
      </w:r>
      <w:proofErr w:type="spellEnd"/>
      <w:r>
        <w:t>)</w:t>
      </w:r>
      <w:r>
        <w:tab/>
        <w:t>List of all Retail Entities participating in the REC Trading Program;</w:t>
      </w:r>
    </w:p>
    <w:p w14:paraId="66E05EA2" w14:textId="77777777" w:rsidR="007734E9" w:rsidRDefault="007734E9" w:rsidP="007734E9">
      <w:pPr>
        <w:spacing w:after="240"/>
        <w:ind w:left="1440" w:hanging="720"/>
      </w:pPr>
      <w:r>
        <w:t>(j)</w:t>
      </w:r>
      <w:r>
        <w:tab/>
        <w:t>Final RPS Requirement (FRR) of each Retail Entity;</w:t>
      </w:r>
    </w:p>
    <w:p w14:paraId="489B4D36" w14:textId="77777777" w:rsidR="007734E9" w:rsidRDefault="007734E9" w:rsidP="007734E9">
      <w:pPr>
        <w:spacing w:after="240"/>
        <w:ind w:left="1440" w:hanging="720"/>
      </w:pPr>
      <w:r>
        <w:t>(k)</w:t>
      </w:r>
      <w:r>
        <w:tab/>
        <w:t>Number of REC offsets used by each Retail Entity;</w:t>
      </w:r>
    </w:p>
    <w:p w14:paraId="08EDDABA" w14:textId="77777777" w:rsidR="007734E9" w:rsidRDefault="007734E9" w:rsidP="007734E9">
      <w:pPr>
        <w:spacing w:after="240"/>
        <w:ind w:left="1440" w:hanging="720"/>
      </w:pPr>
      <w:r>
        <w:t>(l)</w:t>
      </w:r>
      <w:r>
        <w:tab/>
        <w:t>A list of REC offset generators, REC offsets awarded and MWh production from each such generator on an annual basis;</w:t>
      </w:r>
    </w:p>
    <w:p w14:paraId="27ECB756" w14:textId="77777777" w:rsidR="007734E9" w:rsidRDefault="007734E9" w:rsidP="007734E9">
      <w:pPr>
        <w:spacing w:after="240"/>
        <w:ind w:left="1440" w:hanging="720"/>
      </w:pPr>
      <w:r>
        <w:t>(m)</w:t>
      </w:r>
      <w:r>
        <w:tab/>
        <w:t>Number of RECs retired by each program participant by category (mandatory compliance, voluntary retirement, expiration, and total retirements);</w:t>
      </w:r>
    </w:p>
    <w:p w14:paraId="3F4226B3" w14:textId="77777777" w:rsidR="007734E9" w:rsidRDefault="007734E9" w:rsidP="007734E9">
      <w:pPr>
        <w:spacing w:after="240"/>
        <w:ind w:left="1440" w:hanging="720"/>
      </w:pPr>
      <w:r>
        <w:t>(n)</w:t>
      </w:r>
      <w:r>
        <w:tab/>
        <w:t xml:space="preserve">Number of Compliance Premiums retired by each program participant by category (mandatory compliance, expiration, and total retirements); </w:t>
      </w:r>
    </w:p>
    <w:p w14:paraId="67D36D4D" w14:textId="77777777" w:rsidR="007734E9" w:rsidRDefault="007734E9" w:rsidP="007734E9">
      <w:pPr>
        <w:spacing w:after="240"/>
        <w:ind w:left="1440" w:hanging="720"/>
      </w:pPr>
      <w:r>
        <w:t>(o)</w:t>
      </w:r>
      <w:r>
        <w:tab/>
        <w:t>List of all Retail Entities in compliance with Renewable Portfolio Standard (RPS) requirement; and</w:t>
      </w:r>
    </w:p>
    <w:p w14:paraId="35151FBB" w14:textId="77777777" w:rsidR="007734E9" w:rsidRDefault="007734E9" w:rsidP="007734E9">
      <w:pPr>
        <w:spacing w:after="240"/>
        <w:ind w:left="1440" w:hanging="720"/>
      </w:pPr>
      <w:r>
        <w:t>(p)</w:t>
      </w:r>
      <w:r>
        <w:tab/>
        <w:t>List of all Retail Entities not in compliance with RPS requirement including the number of RECs by which they were deficient.</w:t>
      </w:r>
    </w:p>
    <w:p w14:paraId="066F0CF9" w14:textId="77777777" w:rsidR="007734E9" w:rsidRDefault="007734E9" w:rsidP="007734E9">
      <w:pPr>
        <w:pStyle w:val="Heading1"/>
        <w:numPr>
          <w:ilvl w:val="0"/>
          <w:numId w:val="0"/>
        </w:numPr>
      </w:pPr>
    </w:p>
    <w:p w14:paraId="6D515D3C" w14:textId="77777777" w:rsidR="008B67C9" w:rsidRDefault="008B67C9" w:rsidP="007734E9">
      <w:pPr>
        <w:keepNext/>
        <w:tabs>
          <w:tab w:val="left" w:pos="900"/>
        </w:tabs>
        <w:spacing w:before="240" w:after="240"/>
        <w:ind w:left="900" w:hanging="900"/>
        <w:outlineLvl w:val="1"/>
      </w:pPr>
    </w:p>
    <w:sectPr w:rsidR="008B67C9" w:rsidSect="00F31C94">
      <w:headerReference w:type="default" r:id="rId20"/>
      <w:footerReference w:type="even" r:id="rId21"/>
      <w:footerReference w:type="default" r:id="rId22"/>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057D2" w14:textId="77777777" w:rsidR="005C3B78" w:rsidRDefault="005C3B78">
      <w:r>
        <w:separator/>
      </w:r>
    </w:p>
  </w:endnote>
  <w:endnote w:type="continuationSeparator" w:id="0">
    <w:p w14:paraId="6BD15D3B" w14:textId="77777777" w:rsidR="005C3B78" w:rsidRDefault="005C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C684" w14:textId="77777777" w:rsidR="009F08F8" w:rsidRDefault="009F08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4F9C4E" w14:textId="77777777" w:rsidR="009F08F8" w:rsidRDefault="009F08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96600" w14:textId="77777777" w:rsidR="009F08F8" w:rsidRPr="00AB3CDD" w:rsidRDefault="009F08F8">
    <w:pPr>
      <w:jc w:val="center"/>
      <w:rPr>
        <w:sz w:val="20"/>
        <w:szCs w:val="20"/>
      </w:rPr>
    </w:pPr>
    <w:r>
      <w:rPr>
        <w:sz w:val="20"/>
        <w:szCs w:val="20"/>
      </w:rP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5CDE" w14:textId="4B6D84AB" w:rsidR="009F08F8" w:rsidRDefault="009F08F8" w:rsidP="00925DDE">
    <w:pPr>
      <w:pStyle w:val="Footer"/>
      <w:pBdr>
        <w:top w:val="single" w:sz="4" w:space="1" w:color="auto"/>
      </w:pBdr>
      <w:rPr>
        <w:smallCaps/>
        <w:sz w:val="20"/>
        <w:szCs w:val="20"/>
      </w:rPr>
    </w:pPr>
    <w:r>
      <w:rPr>
        <w:smallCaps/>
        <w:sz w:val="20"/>
        <w:szCs w:val="20"/>
      </w:rPr>
      <w:t xml:space="preserve">ERCOT Nodal Protocols – </w:t>
    </w:r>
    <w:r w:rsidR="002E2779">
      <w:rPr>
        <w:smallCaps/>
        <w:sz w:val="20"/>
        <w:szCs w:val="20"/>
      </w:rPr>
      <w:t>January</w:t>
    </w:r>
    <w:r w:rsidR="00ED122B">
      <w:rPr>
        <w:smallCaps/>
        <w:sz w:val="20"/>
        <w:szCs w:val="20"/>
      </w:rPr>
      <w:t xml:space="preserve"> 1</w:t>
    </w:r>
    <w:r w:rsidR="0065114D">
      <w:rPr>
        <w:smallCaps/>
        <w:sz w:val="20"/>
        <w:szCs w:val="20"/>
      </w:rPr>
      <w:t>, 20</w:t>
    </w:r>
    <w:r w:rsidR="002E2779">
      <w:rPr>
        <w:smallCaps/>
        <w:sz w:val="20"/>
        <w:szCs w:val="20"/>
      </w:rPr>
      <w:t>2</w:t>
    </w:r>
    <w:r w:rsidR="0065114D">
      <w:rPr>
        <w:smallCaps/>
        <w:sz w:val="20"/>
        <w:szCs w:val="20"/>
      </w:rPr>
      <w:t>1</w:t>
    </w:r>
  </w:p>
  <w:p w14:paraId="11906C38" w14:textId="77777777" w:rsidR="009F08F8" w:rsidRDefault="009F08F8" w:rsidP="00A11166">
    <w:pPr>
      <w:pStyle w:val="Footer"/>
      <w:jc w:val="center"/>
      <w:rPr>
        <w:smallCaps/>
        <w:sz w:val="20"/>
        <w:szCs w:val="20"/>
      </w:rPr>
    </w:pPr>
    <w:r>
      <w:rPr>
        <w:smallCaps/>
        <w:sz w:val="20"/>
        <w:szCs w:val="20"/>
      </w:rPr>
      <w:t>PUBLIC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CA88B" w14:textId="77777777" w:rsidR="009F08F8" w:rsidRDefault="009F08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ACA6A" w14:textId="77777777" w:rsidR="009F08F8" w:rsidRDefault="009F08F8">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EEEF7" w14:textId="3B9B3EAC" w:rsidR="009F08F8" w:rsidRDefault="009F08F8">
    <w:pPr>
      <w:pStyle w:val="Footer"/>
      <w:pBdr>
        <w:top w:val="single" w:sz="4" w:space="1" w:color="auto"/>
      </w:pBdr>
      <w:rPr>
        <w:smallCaps/>
        <w:sz w:val="20"/>
        <w:szCs w:val="20"/>
      </w:rPr>
    </w:pPr>
    <w:r>
      <w:rPr>
        <w:smallCaps/>
        <w:sz w:val="20"/>
        <w:szCs w:val="20"/>
      </w:rPr>
      <w:t xml:space="preserve">ERCOT Nodal Protocols – </w:t>
    </w:r>
    <w:r w:rsidR="002E2779">
      <w:rPr>
        <w:smallCaps/>
        <w:sz w:val="20"/>
        <w:szCs w:val="20"/>
      </w:rPr>
      <w:t>January</w:t>
    </w:r>
    <w:r w:rsidR="00ED122B">
      <w:rPr>
        <w:smallCaps/>
        <w:sz w:val="20"/>
        <w:szCs w:val="20"/>
      </w:rPr>
      <w:t xml:space="preserve"> 1</w:t>
    </w:r>
    <w:r w:rsidR="0065114D">
      <w:rPr>
        <w:smallCaps/>
        <w:sz w:val="20"/>
        <w:szCs w:val="20"/>
      </w:rPr>
      <w:t>, 20</w:t>
    </w:r>
    <w:r w:rsidR="002E2779">
      <w:rPr>
        <w:smallCaps/>
        <w:sz w:val="20"/>
        <w:szCs w:val="20"/>
      </w:rPr>
      <w:t>2</w:t>
    </w:r>
    <w:r w:rsidR="0065114D">
      <w:rPr>
        <w:smallCaps/>
        <w:sz w:val="20"/>
        <w:szCs w:val="20"/>
      </w:rPr>
      <w:t>1</w:t>
    </w:r>
    <w:r w:rsidR="0065114D">
      <w:rPr>
        <w:smallCaps/>
        <w:sz w:val="20"/>
        <w:szCs w:val="20"/>
      </w:rPr>
      <w:tab/>
    </w:r>
    <w:r>
      <w:rPr>
        <w:smallCaps/>
        <w:sz w:val="20"/>
        <w:szCs w:val="20"/>
      </w:rPr>
      <w:t xml:space="preserve">        </w:t>
    </w:r>
    <w:r w:rsidR="00A92029">
      <w:rPr>
        <w:smallCaps/>
        <w:sz w:val="20"/>
        <w:szCs w:val="20"/>
      </w:rPr>
      <w:tab/>
      <w:t xml:space="preserv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5E7F2E">
      <w:rPr>
        <w:rStyle w:val="PageNumber"/>
        <w:noProof/>
        <w:sz w:val="20"/>
        <w:szCs w:val="20"/>
      </w:rPr>
      <w:t>14-1</w:t>
    </w:r>
    <w:r>
      <w:rPr>
        <w:rStyle w:val="PageNumber"/>
        <w:sz w:val="20"/>
        <w:szCs w:val="20"/>
      </w:rPr>
      <w:fldChar w:fldCharType="end"/>
    </w:r>
  </w:p>
  <w:p w14:paraId="7B525B82" w14:textId="77777777" w:rsidR="009F08F8" w:rsidRPr="0032693F" w:rsidRDefault="009F08F8">
    <w:pPr>
      <w:jc w:val="center"/>
      <w:rPr>
        <w:sz w:val="20"/>
        <w:szCs w:val="20"/>
      </w:rPr>
    </w:pPr>
    <w:r w:rsidRPr="0032693F">
      <w:rPr>
        <w:sz w:val="20"/>
        <w:szCs w:val="20"/>
      </w:rP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832EB" w14:textId="77777777" w:rsidR="005C3B78" w:rsidRDefault="005C3B78">
      <w:r>
        <w:separator/>
      </w:r>
    </w:p>
  </w:footnote>
  <w:footnote w:type="continuationSeparator" w:id="0">
    <w:p w14:paraId="7D3A0144" w14:textId="77777777" w:rsidR="005C3B78" w:rsidRDefault="005C3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FDF0E" w14:textId="77777777" w:rsidR="009F08F8" w:rsidRDefault="009F08F8">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 xml:space="preserve">Table of Contents:  Section 14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7632" w14:textId="77777777" w:rsidR="009F08F8" w:rsidRDefault="009F08F8">
    <w:pPr>
      <w:pBdr>
        <w:bottom w:val="single" w:sz="4" w:space="1" w:color="auto"/>
      </w:pBdr>
      <w:jc w:val="right"/>
      <w:rPr>
        <w:smallCaps/>
        <w:sz w:val="20"/>
        <w:szCs w:val="20"/>
      </w:rPr>
    </w:pPr>
    <w:r>
      <w:rPr>
        <w:smallCaps/>
        <w:sz w:val="20"/>
        <w:szCs w:val="20"/>
      </w:rPr>
      <w:t xml:space="preserve">Section 14:  State of </w:t>
    </w:r>
    <w:smartTag w:uri="urn:schemas-microsoft-com:office:smarttags" w:element="place">
      <w:smartTag w:uri="urn:schemas-microsoft-com:office:smarttags" w:element="State">
        <w:r>
          <w:rPr>
            <w:smallCaps/>
            <w:sz w:val="20"/>
            <w:szCs w:val="20"/>
          </w:rPr>
          <w:t>Texas</w:t>
        </w:r>
      </w:smartTag>
    </w:smartTag>
    <w:r>
      <w:rPr>
        <w:smallCaps/>
        <w:sz w:val="20"/>
        <w:szCs w:val="20"/>
      </w:rPr>
      <w:t xml:space="preserve"> Renewable Energy Credit Trading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0B7001DB"/>
    <w:multiLevelType w:val="hybridMultilevel"/>
    <w:tmpl w:val="32B26350"/>
    <w:lvl w:ilvl="0" w:tplc="8F6CC0C8">
      <w:start w:val="1"/>
      <w:numFmt w:val="upp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BB7693C"/>
    <w:multiLevelType w:val="hybridMultilevel"/>
    <w:tmpl w:val="E28A833C"/>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C21F8"/>
    <w:multiLevelType w:val="hybridMultilevel"/>
    <w:tmpl w:val="BAF01C9A"/>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861C8"/>
    <w:multiLevelType w:val="hybridMultilevel"/>
    <w:tmpl w:val="13BC6CB0"/>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A07754"/>
    <w:multiLevelType w:val="hybridMultilevel"/>
    <w:tmpl w:val="46BC0A86"/>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BA4726"/>
    <w:multiLevelType w:val="hybridMultilevel"/>
    <w:tmpl w:val="9F16A712"/>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265D2C"/>
    <w:multiLevelType w:val="hybridMultilevel"/>
    <w:tmpl w:val="35C889E0"/>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7248AA"/>
    <w:multiLevelType w:val="multilevel"/>
    <w:tmpl w:val="40148C02"/>
    <w:lvl w:ilvl="0">
      <w:start w:val="14"/>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F25608"/>
    <w:multiLevelType w:val="hybridMultilevel"/>
    <w:tmpl w:val="93D251D2"/>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510064"/>
    <w:multiLevelType w:val="multilevel"/>
    <w:tmpl w:val="B630BE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7380A6E"/>
    <w:multiLevelType w:val="hybridMultilevel"/>
    <w:tmpl w:val="7E8892BC"/>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7142E1"/>
    <w:multiLevelType w:val="hybridMultilevel"/>
    <w:tmpl w:val="D0062962"/>
    <w:lvl w:ilvl="0" w:tplc="0409000B">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num w:numId="1">
    <w:abstractNumId w:val="14"/>
  </w:num>
  <w:num w:numId="2">
    <w:abstractNumId w:val="0"/>
  </w:num>
  <w:num w:numId="3">
    <w:abstractNumId w:val="11"/>
  </w:num>
  <w:num w:numId="4">
    <w:abstractNumId w:val="4"/>
  </w:num>
  <w:num w:numId="5">
    <w:abstractNumId w:val="8"/>
  </w:num>
  <w:num w:numId="6">
    <w:abstractNumId w:val="13"/>
  </w:num>
  <w:num w:numId="7">
    <w:abstractNumId w:val="6"/>
  </w:num>
  <w:num w:numId="8">
    <w:abstractNumId w:val="12"/>
  </w:num>
  <w:num w:numId="9">
    <w:abstractNumId w:val="5"/>
  </w:num>
  <w:num w:numId="10">
    <w:abstractNumId w:val="10"/>
  </w:num>
  <w:num w:numId="11">
    <w:abstractNumId w:val="7"/>
  </w:num>
  <w:num w:numId="12">
    <w:abstractNumId w:val="2"/>
  </w:num>
  <w:num w:numId="13">
    <w:abstractNumId w:val="3"/>
  </w:num>
  <w:num w:numId="14">
    <w:abstractNumId w:val="9"/>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6C"/>
    <w:rsid w:val="000202B3"/>
    <w:rsid w:val="00040AA3"/>
    <w:rsid w:val="000472DF"/>
    <w:rsid w:val="0007214B"/>
    <w:rsid w:val="000A35BF"/>
    <w:rsid w:val="000F5572"/>
    <w:rsid w:val="00112262"/>
    <w:rsid w:val="00136AC4"/>
    <w:rsid w:val="00152F02"/>
    <w:rsid w:val="001E2418"/>
    <w:rsid w:val="00221E75"/>
    <w:rsid w:val="002508F5"/>
    <w:rsid w:val="002623B9"/>
    <w:rsid w:val="002651CC"/>
    <w:rsid w:val="002652CE"/>
    <w:rsid w:val="002752BC"/>
    <w:rsid w:val="002B1A01"/>
    <w:rsid w:val="002B6049"/>
    <w:rsid w:val="002D2256"/>
    <w:rsid w:val="002E2779"/>
    <w:rsid w:val="0032693F"/>
    <w:rsid w:val="003314BF"/>
    <w:rsid w:val="00343840"/>
    <w:rsid w:val="00343A94"/>
    <w:rsid w:val="003453C0"/>
    <w:rsid w:val="00346C00"/>
    <w:rsid w:val="00347D8F"/>
    <w:rsid w:val="00352895"/>
    <w:rsid w:val="00353795"/>
    <w:rsid w:val="00403F50"/>
    <w:rsid w:val="00412A40"/>
    <w:rsid w:val="00451363"/>
    <w:rsid w:val="00455BE8"/>
    <w:rsid w:val="00476C50"/>
    <w:rsid w:val="004878DD"/>
    <w:rsid w:val="004D1A51"/>
    <w:rsid w:val="004F6928"/>
    <w:rsid w:val="004F719E"/>
    <w:rsid w:val="004F71A9"/>
    <w:rsid w:val="005544A9"/>
    <w:rsid w:val="00597EE6"/>
    <w:rsid w:val="005A12EF"/>
    <w:rsid w:val="005B3892"/>
    <w:rsid w:val="005C3B78"/>
    <w:rsid w:val="005E5408"/>
    <w:rsid w:val="005E69F6"/>
    <w:rsid w:val="005E7F2E"/>
    <w:rsid w:val="005F2ED9"/>
    <w:rsid w:val="00600D51"/>
    <w:rsid w:val="00627672"/>
    <w:rsid w:val="0065114D"/>
    <w:rsid w:val="00672CB2"/>
    <w:rsid w:val="00692429"/>
    <w:rsid w:val="006D27F1"/>
    <w:rsid w:val="006E07DE"/>
    <w:rsid w:val="007144EF"/>
    <w:rsid w:val="007472DD"/>
    <w:rsid w:val="00752F5E"/>
    <w:rsid w:val="00760DB9"/>
    <w:rsid w:val="00763BCD"/>
    <w:rsid w:val="007703F2"/>
    <w:rsid w:val="007734E9"/>
    <w:rsid w:val="007A0D17"/>
    <w:rsid w:val="007D123A"/>
    <w:rsid w:val="008028E5"/>
    <w:rsid w:val="00811407"/>
    <w:rsid w:val="00817C3A"/>
    <w:rsid w:val="008B67C9"/>
    <w:rsid w:val="008C51D1"/>
    <w:rsid w:val="00925DDE"/>
    <w:rsid w:val="00926E71"/>
    <w:rsid w:val="0095676F"/>
    <w:rsid w:val="00967D2A"/>
    <w:rsid w:val="009752D6"/>
    <w:rsid w:val="0098389B"/>
    <w:rsid w:val="009B4FF2"/>
    <w:rsid w:val="009E1C93"/>
    <w:rsid w:val="009F08F8"/>
    <w:rsid w:val="00A11166"/>
    <w:rsid w:val="00A15903"/>
    <w:rsid w:val="00A335D9"/>
    <w:rsid w:val="00A37657"/>
    <w:rsid w:val="00A37962"/>
    <w:rsid w:val="00A52532"/>
    <w:rsid w:val="00A7196D"/>
    <w:rsid w:val="00A76713"/>
    <w:rsid w:val="00A85876"/>
    <w:rsid w:val="00A92029"/>
    <w:rsid w:val="00A9417F"/>
    <w:rsid w:val="00A96125"/>
    <w:rsid w:val="00AB3CDD"/>
    <w:rsid w:val="00AE5243"/>
    <w:rsid w:val="00AF7113"/>
    <w:rsid w:val="00B2486C"/>
    <w:rsid w:val="00B358C7"/>
    <w:rsid w:val="00B41601"/>
    <w:rsid w:val="00B47BC0"/>
    <w:rsid w:val="00B562E8"/>
    <w:rsid w:val="00B74EAD"/>
    <w:rsid w:val="00B9691E"/>
    <w:rsid w:val="00BA6D57"/>
    <w:rsid w:val="00BB081B"/>
    <w:rsid w:val="00BC04FE"/>
    <w:rsid w:val="00BC7242"/>
    <w:rsid w:val="00BD76DF"/>
    <w:rsid w:val="00C304A4"/>
    <w:rsid w:val="00C6024E"/>
    <w:rsid w:val="00C84429"/>
    <w:rsid w:val="00CA037F"/>
    <w:rsid w:val="00D452AB"/>
    <w:rsid w:val="00D540B0"/>
    <w:rsid w:val="00DC4A4B"/>
    <w:rsid w:val="00DD746E"/>
    <w:rsid w:val="00DE1E09"/>
    <w:rsid w:val="00DE6CF9"/>
    <w:rsid w:val="00DF52AD"/>
    <w:rsid w:val="00E46110"/>
    <w:rsid w:val="00E617EB"/>
    <w:rsid w:val="00E66C54"/>
    <w:rsid w:val="00E74966"/>
    <w:rsid w:val="00E92990"/>
    <w:rsid w:val="00E94B9D"/>
    <w:rsid w:val="00EA4355"/>
    <w:rsid w:val="00EC6706"/>
    <w:rsid w:val="00ED122B"/>
    <w:rsid w:val="00ED3347"/>
    <w:rsid w:val="00EE5AE2"/>
    <w:rsid w:val="00EF170D"/>
    <w:rsid w:val="00F010D9"/>
    <w:rsid w:val="00F31C94"/>
    <w:rsid w:val="00F36BB5"/>
    <w:rsid w:val="00F505AD"/>
    <w:rsid w:val="00F54A48"/>
    <w:rsid w:val="00F662D3"/>
    <w:rsid w:val="00F8458D"/>
    <w:rsid w:val="00FA1CA1"/>
    <w:rsid w:val="00FE17B9"/>
    <w:rsid w:val="00FF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State"/>
  <w:shapeDefaults>
    <o:shapedefaults v:ext="edit" spidmax="11265"/>
    <o:shapelayout v:ext="edit">
      <o:idmap v:ext="edit" data="1"/>
    </o:shapelayout>
  </w:shapeDefaults>
  <w:decimalSymbol w:val="."/>
  <w:listSeparator w:val=","/>
  <w14:docId w14:val="18037402"/>
  <w15:chartTrackingRefBased/>
  <w15:docId w15:val="{EF40B2FD-0FFF-4573-A1CE-C63506F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C94"/>
    <w:rPr>
      <w:sz w:val="24"/>
      <w:szCs w:val="24"/>
    </w:rPr>
  </w:style>
  <w:style w:type="paragraph" w:styleId="Heading1">
    <w:name w:val="heading 1"/>
    <w:aliases w:val="h1"/>
    <w:basedOn w:val="Normal"/>
    <w:next w:val="BodyText"/>
    <w:qFormat/>
    <w:rsid w:val="00F31C94"/>
    <w:pPr>
      <w:keepNext/>
      <w:numPr>
        <w:numId w:val="14"/>
      </w:numPr>
      <w:spacing w:after="240"/>
      <w:outlineLvl w:val="0"/>
    </w:pPr>
    <w:rPr>
      <w:b/>
      <w:caps/>
      <w:szCs w:val="20"/>
    </w:rPr>
  </w:style>
  <w:style w:type="paragraph" w:styleId="Heading2">
    <w:name w:val="heading 2"/>
    <w:aliases w:val="h2"/>
    <w:basedOn w:val="Normal"/>
    <w:next w:val="BodyText"/>
    <w:link w:val="Heading2Char"/>
    <w:qFormat/>
    <w:rsid w:val="00F31C94"/>
    <w:pPr>
      <w:keepNext/>
      <w:numPr>
        <w:ilvl w:val="1"/>
        <w:numId w:val="14"/>
      </w:numPr>
      <w:spacing w:before="240" w:after="240"/>
      <w:outlineLvl w:val="1"/>
    </w:pPr>
    <w:rPr>
      <w:b/>
      <w:szCs w:val="20"/>
    </w:rPr>
  </w:style>
  <w:style w:type="paragraph" w:styleId="Heading3">
    <w:name w:val="heading 3"/>
    <w:aliases w:val="h3"/>
    <w:basedOn w:val="Normal"/>
    <w:next w:val="BodyText"/>
    <w:qFormat/>
    <w:rsid w:val="00F31C94"/>
    <w:pPr>
      <w:keepNext/>
      <w:numPr>
        <w:ilvl w:val="2"/>
        <w:numId w:val="14"/>
      </w:numPr>
      <w:tabs>
        <w:tab w:val="left" w:pos="1008"/>
      </w:tabs>
      <w:spacing w:before="240" w:after="240"/>
      <w:outlineLvl w:val="2"/>
    </w:pPr>
    <w:rPr>
      <w:b/>
      <w:bCs/>
      <w:i/>
      <w:szCs w:val="20"/>
    </w:rPr>
  </w:style>
  <w:style w:type="paragraph" w:styleId="Heading4">
    <w:name w:val="heading 4"/>
    <w:aliases w:val="h4"/>
    <w:basedOn w:val="Normal"/>
    <w:next w:val="BodyText"/>
    <w:qFormat/>
    <w:rsid w:val="00F31C94"/>
    <w:pPr>
      <w:keepNext/>
      <w:widowControl w:val="0"/>
      <w:numPr>
        <w:ilvl w:val="3"/>
        <w:numId w:val="14"/>
      </w:numPr>
      <w:tabs>
        <w:tab w:val="left" w:pos="1296"/>
      </w:tabs>
      <w:spacing w:before="240" w:after="240"/>
      <w:outlineLvl w:val="3"/>
    </w:pPr>
    <w:rPr>
      <w:b/>
      <w:bCs/>
      <w:snapToGrid w:val="0"/>
      <w:szCs w:val="20"/>
    </w:rPr>
  </w:style>
  <w:style w:type="paragraph" w:styleId="Heading5">
    <w:name w:val="heading 5"/>
    <w:aliases w:val="h5"/>
    <w:basedOn w:val="Normal"/>
    <w:next w:val="BodyText"/>
    <w:qFormat/>
    <w:rsid w:val="00F31C94"/>
    <w:pPr>
      <w:keepNext/>
      <w:numPr>
        <w:ilvl w:val="4"/>
        <w:numId w:val="14"/>
      </w:numPr>
      <w:tabs>
        <w:tab w:val="left" w:pos="1440"/>
      </w:tabs>
      <w:spacing w:before="240" w:after="240"/>
      <w:outlineLvl w:val="4"/>
    </w:pPr>
    <w:rPr>
      <w:b/>
      <w:bCs/>
      <w:i/>
      <w:iCs/>
      <w:szCs w:val="26"/>
    </w:rPr>
  </w:style>
  <w:style w:type="paragraph" w:styleId="Heading6">
    <w:name w:val="heading 6"/>
    <w:aliases w:val="h6"/>
    <w:basedOn w:val="Normal"/>
    <w:next w:val="BodyText"/>
    <w:qFormat/>
    <w:rsid w:val="00F31C94"/>
    <w:pPr>
      <w:keepNext/>
      <w:numPr>
        <w:ilvl w:val="5"/>
        <w:numId w:val="14"/>
      </w:numPr>
      <w:tabs>
        <w:tab w:val="left" w:pos="1584"/>
      </w:tabs>
      <w:spacing w:before="240" w:after="240"/>
      <w:outlineLvl w:val="5"/>
    </w:pPr>
    <w:rPr>
      <w:b/>
      <w:bCs/>
      <w:szCs w:val="22"/>
    </w:rPr>
  </w:style>
  <w:style w:type="paragraph" w:styleId="Heading7">
    <w:name w:val="heading 7"/>
    <w:basedOn w:val="Normal"/>
    <w:next w:val="BodyText"/>
    <w:qFormat/>
    <w:rsid w:val="00F31C94"/>
    <w:pPr>
      <w:keepNext/>
      <w:numPr>
        <w:ilvl w:val="6"/>
        <w:numId w:val="14"/>
      </w:numPr>
      <w:tabs>
        <w:tab w:val="left" w:pos="1728"/>
      </w:tabs>
      <w:spacing w:before="240" w:after="240"/>
      <w:outlineLvl w:val="6"/>
    </w:pPr>
  </w:style>
  <w:style w:type="paragraph" w:styleId="Heading8">
    <w:name w:val="heading 8"/>
    <w:basedOn w:val="Normal"/>
    <w:next w:val="BodyText"/>
    <w:qFormat/>
    <w:rsid w:val="00F31C94"/>
    <w:pPr>
      <w:keepNext/>
      <w:numPr>
        <w:ilvl w:val="7"/>
        <w:numId w:val="14"/>
      </w:numPr>
      <w:tabs>
        <w:tab w:val="left" w:pos="1872"/>
      </w:tabs>
      <w:spacing w:before="240" w:after="240"/>
      <w:outlineLvl w:val="7"/>
    </w:pPr>
    <w:rPr>
      <w:i/>
      <w:iCs/>
    </w:rPr>
  </w:style>
  <w:style w:type="paragraph" w:styleId="Heading9">
    <w:name w:val="heading 9"/>
    <w:basedOn w:val="Normal"/>
    <w:next w:val="BodyText"/>
    <w:qFormat/>
    <w:rsid w:val="00F31C94"/>
    <w:pPr>
      <w:keepNext/>
      <w:numPr>
        <w:ilvl w:val="8"/>
        <w:numId w:val="14"/>
      </w:numPr>
      <w:tabs>
        <w:tab w:val="left" w:pos="2160"/>
      </w:tabs>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1C94"/>
    <w:pPr>
      <w:tabs>
        <w:tab w:val="center" w:pos="4320"/>
        <w:tab w:val="right" w:pos="8640"/>
      </w:tabs>
    </w:pPr>
    <w:rPr>
      <w:rFonts w:ascii="Arial" w:hAnsi="Arial"/>
      <w:b/>
      <w:bCs/>
    </w:rPr>
  </w:style>
  <w:style w:type="paragraph" w:styleId="Footer">
    <w:name w:val="footer"/>
    <w:basedOn w:val="Normal"/>
    <w:link w:val="FooterChar"/>
    <w:uiPriority w:val="99"/>
    <w:rsid w:val="00F31C94"/>
    <w:pPr>
      <w:tabs>
        <w:tab w:val="center" w:pos="4320"/>
        <w:tab w:val="right" w:pos="8640"/>
      </w:tabs>
    </w:pPr>
  </w:style>
  <w:style w:type="paragraph" w:customStyle="1" w:styleId="TXUNormal">
    <w:name w:val="TXUNormal"/>
    <w:rsid w:val="00F31C94"/>
    <w:pPr>
      <w:spacing w:after="120"/>
    </w:pPr>
  </w:style>
  <w:style w:type="paragraph" w:customStyle="1" w:styleId="TXUHeader">
    <w:name w:val="TXUHeader"/>
    <w:basedOn w:val="TXUNormal"/>
    <w:rsid w:val="00F31C94"/>
    <w:pPr>
      <w:tabs>
        <w:tab w:val="right" w:pos="9360"/>
      </w:tabs>
      <w:spacing w:after="0"/>
    </w:pPr>
    <w:rPr>
      <w:noProof/>
      <w:sz w:val="16"/>
    </w:rPr>
  </w:style>
  <w:style w:type="paragraph" w:customStyle="1" w:styleId="TXUHeaderForm">
    <w:name w:val="TXUHeaderForm"/>
    <w:basedOn w:val="TXUHeader"/>
    <w:next w:val="Normal"/>
    <w:rsid w:val="00F31C94"/>
    <w:rPr>
      <w:sz w:val="24"/>
    </w:rPr>
  </w:style>
  <w:style w:type="paragraph" w:customStyle="1" w:styleId="TXUSubject">
    <w:name w:val="TXUSubject"/>
    <w:basedOn w:val="TXUNormal"/>
    <w:next w:val="TXUNormal"/>
    <w:rsid w:val="00F31C94"/>
    <w:pPr>
      <w:spacing w:after="240"/>
    </w:pPr>
    <w:rPr>
      <w:b/>
    </w:rPr>
  </w:style>
  <w:style w:type="paragraph" w:customStyle="1" w:styleId="TXUFooter">
    <w:name w:val="TXUFooter"/>
    <w:basedOn w:val="TXUNormal"/>
    <w:rsid w:val="00F31C94"/>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F31C94"/>
    <w:rPr>
      <w:sz w:val="20"/>
    </w:rPr>
  </w:style>
  <w:style w:type="paragraph" w:customStyle="1" w:styleId="Comments">
    <w:name w:val="Comments"/>
    <w:basedOn w:val="Normal"/>
    <w:rsid w:val="00F31C94"/>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sid w:val="00F31C94"/>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F31C94"/>
    <w:pPr>
      <w:spacing w:after="240"/>
    </w:pPr>
  </w:style>
  <w:style w:type="paragraph" w:styleId="BodyTextIndent">
    <w:name w:val="Body Text Indent"/>
    <w:basedOn w:val="Normal"/>
    <w:rsid w:val="00F31C94"/>
    <w:pPr>
      <w:spacing w:after="240"/>
      <w:ind w:left="720"/>
    </w:pPr>
    <w:rPr>
      <w:iCs/>
      <w:szCs w:val="20"/>
    </w:rPr>
  </w:style>
  <w:style w:type="paragraph" w:customStyle="1" w:styleId="Bullet">
    <w:name w:val="Bullet"/>
    <w:basedOn w:val="Normal"/>
    <w:rsid w:val="00F31C94"/>
    <w:pPr>
      <w:numPr>
        <w:numId w:val="1"/>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F31C94"/>
    <w:rPr>
      <w:rFonts w:ascii="Arial" w:hAnsi="Arial"/>
    </w:rPr>
  </w:style>
  <w:style w:type="table" w:customStyle="1" w:styleId="BoxedLanguage">
    <w:name w:val="Boxed Language"/>
    <w:basedOn w:val="TableNormal"/>
    <w:rsid w:val="00F31C9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F31C94"/>
    <w:pPr>
      <w:numPr>
        <w:numId w:val="2"/>
      </w:numPr>
      <w:tabs>
        <w:tab w:val="clear" w:pos="360"/>
        <w:tab w:val="num" w:pos="432"/>
      </w:tabs>
      <w:spacing w:after="180"/>
      <w:ind w:left="432" w:hanging="432"/>
    </w:pPr>
    <w:rPr>
      <w:szCs w:val="20"/>
    </w:rPr>
  </w:style>
  <w:style w:type="paragraph" w:styleId="FootnoteText">
    <w:name w:val="footnote text"/>
    <w:basedOn w:val="Normal"/>
    <w:semiHidden/>
    <w:rsid w:val="00F31C94"/>
    <w:rPr>
      <w:sz w:val="18"/>
      <w:szCs w:val="20"/>
    </w:rPr>
  </w:style>
  <w:style w:type="paragraph" w:customStyle="1" w:styleId="Formula">
    <w:name w:val="Formula"/>
    <w:basedOn w:val="Normal"/>
    <w:autoRedefine/>
    <w:rsid w:val="00F31C94"/>
    <w:pPr>
      <w:tabs>
        <w:tab w:val="left" w:pos="2340"/>
        <w:tab w:val="left" w:pos="3420"/>
      </w:tabs>
      <w:spacing w:after="240"/>
      <w:ind w:left="3420" w:hanging="2700"/>
    </w:pPr>
    <w:rPr>
      <w:bCs/>
    </w:rPr>
  </w:style>
  <w:style w:type="paragraph" w:customStyle="1" w:styleId="FormulaBold">
    <w:name w:val="Formula Bold"/>
    <w:basedOn w:val="Normal"/>
    <w:autoRedefine/>
    <w:rsid w:val="00F31C94"/>
    <w:pPr>
      <w:tabs>
        <w:tab w:val="left" w:pos="2340"/>
        <w:tab w:val="left" w:pos="3420"/>
      </w:tabs>
      <w:spacing w:after="240"/>
      <w:ind w:left="3420" w:hanging="2700"/>
    </w:pPr>
    <w:rPr>
      <w:b/>
      <w:bCs/>
    </w:rPr>
  </w:style>
  <w:style w:type="table" w:customStyle="1" w:styleId="FormulaVariableTable">
    <w:name w:val="Formula Variable Table"/>
    <w:basedOn w:val="TableNormal"/>
    <w:rsid w:val="00F31C9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rsid w:val="00F31C94"/>
    <w:pPr>
      <w:numPr>
        <w:ilvl w:val="0"/>
        <w:numId w:val="0"/>
      </w:numPr>
      <w:tabs>
        <w:tab w:val="left" w:pos="900"/>
      </w:tabs>
      <w:ind w:left="900" w:hanging="900"/>
    </w:pPr>
  </w:style>
  <w:style w:type="paragraph" w:customStyle="1" w:styleId="H3">
    <w:name w:val="H3"/>
    <w:basedOn w:val="Heading3"/>
    <w:next w:val="BodyText"/>
    <w:rsid w:val="00F31C94"/>
    <w:pPr>
      <w:numPr>
        <w:ilvl w:val="0"/>
        <w:numId w:val="0"/>
      </w:numPr>
      <w:tabs>
        <w:tab w:val="clear" w:pos="1008"/>
        <w:tab w:val="left" w:pos="1080"/>
      </w:tabs>
      <w:ind w:left="1080" w:hanging="1080"/>
    </w:pPr>
  </w:style>
  <w:style w:type="paragraph" w:customStyle="1" w:styleId="H4">
    <w:name w:val="H4"/>
    <w:basedOn w:val="Heading4"/>
    <w:next w:val="BodyText"/>
    <w:rsid w:val="00F31C94"/>
    <w:pPr>
      <w:numPr>
        <w:ilvl w:val="0"/>
        <w:numId w:val="0"/>
      </w:numPr>
      <w:tabs>
        <w:tab w:val="clear" w:pos="1296"/>
        <w:tab w:val="left" w:pos="1260"/>
      </w:tabs>
      <w:ind w:left="1260" w:hanging="1260"/>
    </w:pPr>
  </w:style>
  <w:style w:type="paragraph" w:customStyle="1" w:styleId="H5">
    <w:name w:val="H5"/>
    <w:basedOn w:val="Heading5"/>
    <w:next w:val="BodyText"/>
    <w:rsid w:val="00F31C94"/>
    <w:pPr>
      <w:numPr>
        <w:ilvl w:val="0"/>
        <w:numId w:val="0"/>
      </w:numPr>
      <w:tabs>
        <w:tab w:val="clear" w:pos="1440"/>
        <w:tab w:val="left" w:pos="1620"/>
      </w:tabs>
      <w:ind w:left="1620" w:hanging="1620"/>
    </w:pPr>
  </w:style>
  <w:style w:type="paragraph" w:customStyle="1" w:styleId="H6">
    <w:name w:val="H6"/>
    <w:basedOn w:val="Heading6"/>
    <w:next w:val="BodyText"/>
    <w:rsid w:val="00F31C94"/>
    <w:pPr>
      <w:numPr>
        <w:ilvl w:val="0"/>
        <w:numId w:val="0"/>
      </w:numPr>
      <w:tabs>
        <w:tab w:val="clear" w:pos="1584"/>
        <w:tab w:val="left" w:pos="1800"/>
      </w:tabs>
      <w:ind w:left="1800" w:hanging="1800"/>
    </w:pPr>
  </w:style>
  <w:style w:type="paragraph" w:customStyle="1" w:styleId="H7">
    <w:name w:val="H7"/>
    <w:basedOn w:val="Heading7"/>
    <w:next w:val="BodyText"/>
    <w:rsid w:val="00F31C94"/>
    <w:pPr>
      <w:numPr>
        <w:ilvl w:val="0"/>
        <w:numId w:val="0"/>
      </w:numPr>
      <w:tabs>
        <w:tab w:val="clear" w:pos="1728"/>
        <w:tab w:val="left" w:pos="1980"/>
      </w:tabs>
      <w:ind w:left="1980" w:hanging="1980"/>
    </w:pPr>
    <w:rPr>
      <w:b/>
      <w:i/>
    </w:rPr>
  </w:style>
  <w:style w:type="paragraph" w:customStyle="1" w:styleId="H8">
    <w:name w:val="H8"/>
    <w:basedOn w:val="Heading8"/>
    <w:next w:val="BodyText"/>
    <w:rsid w:val="00F31C94"/>
    <w:pPr>
      <w:numPr>
        <w:ilvl w:val="0"/>
        <w:numId w:val="0"/>
      </w:numPr>
      <w:tabs>
        <w:tab w:val="clear" w:pos="1872"/>
        <w:tab w:val="left" w:pos="2160"/>
      </w:tabs>
      <w:ind w:left="2160" w:hanging="2160"/>
    </w:pPr>
    <w:rPr>
      <w:b/>
      <w:i w:val="0"/>
    </w:rPr>
  </w:style>
  <w:style w:type="paragraph" w:customStyle="1" w:styleId="H9">
    <w:name w:val="H9"/>
    <w:basedOn w:val="Heading9"/>
    <w:next w:val="BodyText"/>
    <w:rsid w:val="00F31C94"/>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F31C94"/>
    <w:pPr>
      <w:keepNext/>
      <w:spacing w:before="240"/>
    </w:pPr>
    <w:rPr>
      <w:b/>
      <w:iCs/>
      <w:szCs w:val="20"/>
    </w:rPr>
  </w:style>
  <w:style w:type="paragraph" w:customStyle="1" w:styleId="Instructions">
    <w:name w:val="Instructions"/>
    <w:basedOn w:val="BodyText"/>
    <w:link w:val="InstructionsChar"/>
    <w:rsid w:val="00F31C94"/>
    <w:rPr>
      <w:b/>
      <w:i/>
      <w:iCs/>
    </w:rPr>
  </w:style>
  <w:style w:type="paragraph" w:styleId="List">
    <w:name w:val="List"/>
    <w:basedOn w:val="Normal"/>
    <w:rsid w:val="00F31C94"/>
    <w:pPr>
      <w:spacing w:after="240"/>
      <w:ind w:left="720" w:hanging="720"/>
    </w:pPr>
    <w:rPr>
      <w:szCs w:val="20"/>
    </w:rPr>
  </w:style>
  <w:style w:type="paragraph" w:styleId="List2">
    <w:name w:val="List 2"/>
    <w:aliases w:val=" Char2 Char Char, Char2,Char2 Char Char"/>
    <w:basedOn w:val="Normal"/>
    <w:link w:val="List2Char"/>
    <w:rsid w:val="00F31C94"/>
    <w:pPr>
      <w:spacing w:after="240"/>
      <w:ind w:left="1440" w:hanging="720"/>
    </w:pPr>
    <w:rPr>
      <w:szCs w:val="20"/>
    </w:rPr>
  </w:style>
  <w:style w:type="paragraph" w:styleId="List3">
    <w:name w:val="List 3"/>
    <w:basedOn w:val="Normal"/>
    <w:rsid w:val="00F31C94"/>
    <w:pPr>
      <w:spacing w:after="240"/>
      <w:ind w:left="2160" w:hanging="720"/>
    </w:pPr>
    <w:rPr>
      <w:szCs w:val="20"/>
    </w:rPr>
  </w:style>
  <w:style w:type="paragraph" w:customStyle="1" w:styleId="ListIntroduction">
    <w:name w:val="List Introduction"/>
    <w:basedOn w:val="BodyText"/>
    <w:rsid w:val="00F31C94"/>
    <w:pPr>
      <w:keepNext/>
    </w:pPr>
    <w:rPr>
      <w:iCs/>
      <w:szCs w:val="20"/>
    </w:rPr>
  </w:style>
  <w:style w:type="paragraph" w:customStyle="1" w:styleId="ListSub">
    <w:name w:val="List Sub"/>
    <w:basedOn w:val="List"/>
    <w:rsid w:val="00F31C94"/>
    <w:pPr>
      <w:ind w:firstLine="0"/>
    </w:pPr>
  </w:style>
  <w:style w:type="character" w:styleId="PageNumber">
    <w:name w:val="page number"/>
    <w:basedOn w:val="DefaultParagraphFont"/>
    <w:rsid w:val="00F31C94"/>
  </w:style>
  <w:style w:type="paragraph" w:customStyle="1" w:styleId="Spaceafterbox">
    <w:name w:val="Space after box"/>
    <w:basedOn w:val="Normal"/>
    <w:rsid w:val="00F31C94"/>
    <w:rPr>
      <w:szCs w:val="20"/>
    </w:rPr>
  </w:style>
  <w:style w:type="paragraph" w:customStyle="1" w:styleId="TableBody">
    <w:name w:val="Table Body"/>
    <w:basedOn w:val="BodyText"/>
    <w:rsid w:val="00F31C94"/>
    <w:pPr>
      <w:spacing w:after="60"/>
    </w:pPr>
    <w:rPr>
      <w:iCs/>
      <w:sz w:val="20"/>
      <w:szCs w:val="20"/>
    </w:rPr>
  </w:style>
  <w:style w:type="paragraph" w:customStyle="1" w:styleId="TableBullet">
    <w:name w:val="Table Bullet"/>
    <w:basedOn w:val="TableBody"/>
    <w:rsid w:val="00F31C94"/>
    <w:pPr>
      <w:numPr>
        <w:numId w:val="4"/>
      </w:numPr>
      <w:ind w:left="0" w:firstLine="0"/>
    </w:pPr>
  </w:style>
  <w:style w:type="table" w:styleId="TableGrid">
    <w:name w:val="Table Grid"/>
    <w:basedOn w:val="TableNormal"/>
    <w:rsid w:val="00F3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F31C94"/>
    <w:rPr>
      <w:b/>
      <w:iCs/>
      <w:sz w:val="20"/>
      <w:szCs w:val="20"/>
    </w:rPr>
  </w:style>
  <w:style w:type="paragraph" w:styleId="TOC1">
    <w:name w:val="toc 1"/>
    <w:basedOn w:val="Normal"/>
    <w:next w:val="Normal"/>
    <w:autoRedefine/>
    <w:uiPriority w:val="39"/>
    <w:rsid w:val="00BB081B"/>
    <w:pPr>
      <w:tabs>
        <w:tab w:val="left" w:pos="540"/>
        <w:tab w:val="right" w:leader="dot" w:pos="9360"/>
      </w:tabs>
      <w:spacing w:before="120" w:after="120"/>
      <w:ind w:left="540" w:right="720" w:hanging="540"/>
    </w:pPr>
    <w:rPr>
      <w:b/>
      <w:bCs/>
      <w:noProof/>
      <w:szCs w:val="20"/>
    </w:rPr>
  </w:style>
  <w:style w:type="paragraph" w:styleId="TOC2">
    <w:name w:val="toc 2"/>
    <w:basedOn w:val="Normal"/>
    <w:next w:val="Normal"/>
    <w:autoRedefine/>
    <w:uiPriority w:val="39"/>
    <w:rsid w:val="005E69F6"/>
    <w:pPr>
      <w:tabs>
        <w:tab w:val="left" w:pos="1260"/>
        <w:tab w:val="right" w:leader="dot" w:pos="9360"/>
      </w:tabs>
      <w:ind w:left="1260" w:right="720" w:hanging="720"/>
    </w:pPr>
    <w:rPr>
      <w:noProof/>
      <w:sz w:val="20"/>
      <w:szCs w:val="20"/>
    </w:rPr>
  </w:style>
  <w:style w:type="paragraph" w:styleId="TOC3">
    <w:name w:val="toc 3"/>
    <w:basedOn w:val="Normal"/>
    <w:next w:val="Normal"/>
    <w:autoRedefine/>
    <w:uiPriority w:val="39"/>
    <w:rsid w:val="005E69F6"/>
    <w:pPr>
      <w:tabs>
        <w:tab w:val="left" w:pos="1980"/>
        <w:tab w:val="right" w:leader="dot" w:pos="9360"/>
      </w:tabs>
      <w:ind w:left="1980" w:right="720" w:hanging="900"/>
    </w:pPr>
    <w:rPr>
      <w:bCs/>
      <w:i/>
      <w:iCs/>
      <w:noProof/>
      <w:sz w:val="20"/>
      <w:szCs w:val="20"/>
    </w:rPr>
  </w:style>
  <w:style w:type="paragraph" w:styleId="TOC4">
    <w:name w:val="toc 4"/>
    <w:basedOn w:val="Normal"/>
    <w:next w:val="Normal"/>
    <w:autoRedefine/>
    <w:semiHidden/>
    <w:rsid w:val="00F31C94"/>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F31C94"/>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F31C94"/>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F31C94"/>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F31C94"/>
    <w:pPr>
      <w:ind w:left="1680"/>
    </w:pPr>
    <w:rPr>
      <w:sz w:val="18"/>
      <w:szCs w:val="18"/>
    </w:rPr>
  </w:style>
  <w:style w:type="paragraph" w:styleId="TOC9">
    <w:name w:val="toc 9"/>
    <w:basedOn w:val="Normal"/>
    <w:next w:val="Normal"/>
    <w:autoRedefine/>
    <w:semiHidden/>
    <w:rsid w:val="00F31C94"/>
    <w:pPr>
      <w:ind w:left="1920"/>
    </w:pPr>
    <w:rPr>
      <w:sz w:val="18"/>
      <w:szCs w:val="18"/>
    </w:rPr>
  </w:style>
  <w:style w:type="paragraph" w:customStyle="1" w:styleId="VariableDefinition">
    <w:name w:val="Variable Definition"/>
    <w:basedOn w:val="BodyTextIndent"/>
    <w:rsid w:val="00F31C94"/>
    <w:pPr>
      <w:tabs>
        <w:tab w:val="left" w:pos="2160"/>
      </w:tabs>
      <w:ind w:left="2160" w:hanging="1440"/>
      <w:contextualSpacing/>
    </w:pPr>
  </w:style>
  <w:style w:type="table" w:customStyle="1" w:styleId="VariableTable">
    <w:name w:val="Variable Table"/>
    <w:basedOn w:val="TableNormal"/>
    <w:rsid w:val="00F31C94"/>
    <w:tblPr/>
  </w:style>
  <w:style w:type="paragraph" w:styleId="BalloonText">
    <w:name w:val="Balloon Text"/>
    <w:basedOn w:val="Normal"/>
    <w:semiHidden/>
    <w:rsid w:val="00F31C94"/>
    <w:rPr>
      <w:rFonts w:ascii="Tahoma" w:hAnsi="Tahoma" w:cs="Tahoma"/>
      <w:sz w:val="16"/>
      <w:szCs w:val="16"/>
    </w:rPr>
  </w:style>
  <w:style w:type="character" w:styleId="CommentReference">
    <w:name w:val="annotation reference"/>
    <w:semiHidden/>
    <w:rsid w:val="00F31C94"/>
    <w:rPr>
      <w:sz w:val="16"/>
      <w:szCs w:val="16"/>
    </w:rPr>
  </w:style>
  <w:style w:type="paragraph" w:styleId="CommentText">
    <w:name w:val="annotation text"/>
    <w:basedOn w:val="Normal"/>
    <w:semiHidden/>
    <w:rsid w:val="00F31C94"/>
    <w:rPr>
      <w:sz w:val="20"/>
      <w:szCs w:val="20"/>
    </w:rPr>
  </w:style>
  <w:style w:type="paragraph" w:styleId="CommentSubject">
    <w:name w:val="annotation subject"/>
    <w:basedOn w:val="CommentText"/>
    <w:next w:val="CommentText"/>
    <w:semiHidden/>
    <w:rsid w:val="00F31C94"/>
    <w:rPr>
      <w:b/>
      <w:bCs/>
    </w:rPr>
  </w:style>
  <w:style w:type="character" w:customStyle="1" w:styleId="NormalArialChar">
    <w:name w:val="Normal+Arial Char"/>
    <w:link w:val="NormalArial"/>
    <w:rsid w:val="00F31C94"/>
    <w:rPr>
      <w:rFonts w:ascii="Arial" w:hAnsi="Arial"/>
      <w:sz w:val="24"/>
      <w:szCs w:val="24"/>
      <w:lang w:val="en-US" w:eastAsia="en-US" w:bidi="ar-SA"/>
    </w:rPr>
  </w:style>
  <w:style w:type="paragraph" w:customStyle="1" w:styleId="Char3">
    <w:name w:val="Char3"/>
    <w:basedOn w:val="Normal"/>
    <w:rsid w:val="00F31C94"/>
    <w:pPr>
      <w:spacing w:after="160" w:line="240" w:lineRule="exact"/>
    </w:pPr>
    <w:rPr>
      <w:rFonts w:ascii="Verdana" w:hAnsi="Verdana"/>
      <w:sz w:val="16"/>
      <w:szCs w:val="20"/>
    </w:rPr>
  </w:style>
  <w:style w:type="paragraph" w:customStyle="1" w:styleId="TermTitle">
    <w:name w:val="Term Title"/>
    <w:basedOn w:val="Normal"/>
    <w:rsid w:val="00F31C94"/>
    <w:pPr>
      <w:spacing w:before="120"/>
      <w:ind w:left="720"/>
    </w:pPr>
    <w:rPr>
      <w:rFonts w:ascii="Arial" w:hAnsi="Arial"/>
      <w:b/>
      <w:szCs w:val="20"/>
    </w:rPr>
  </w:style>
  <w:style w:type="paragraph" w:customStyle="1" w:styleId="TermDefinition">
    <w:name w:val="Term Definition"/>
    <w:basedOn w:val="TermTitle"/>
    <w:rsid w:val="00F31C94"/>
    <w:pPr>
      <w:spacing w:before="0" w:after="60"/>
    </w:pPr>
    <w:rPr>
      <w:b w:val="0"/>
    </w:rPr>
  </w:style>
  <w:style w:type="character" w:customStyle="1" w:styleId="Heading2Char">
    <w:name w:val="Heading 2 Char"/>
    <w:aliases w:val="h2 Char"/>
    <w:link w:val="Heading2"/>
    <w:rsid w:val="00F31C94"/>
    <w:rPr>
      <w:b/>
      <w:sz w:val="24"/>
      <w:lang w:val="en-US" w:eastAsia="en-US" w:bidi="ar-SA"/>
    </w:rPr>
  </w:style>
  <w:style w:type="character" w:customStyle="1" w:styleId="H2Char">
    <w:name w:val="H2 Char"/>
    <w:link w:val="H2"/>
    <w:rsid w:val="00F31C94"/>
    <w:rPr>
      <w:b w:val="0"/>
      <w:sz w:val="24"/>
      <w:lang w:val="en-US" w:eastAsia="en-US" w:bidi="ar-SA"/>
    </w:rPr>
  </w:style>
  <w:style w:type="paragraph" w:customStyle="1" w:styleId="Char2">
    <w:name w:val="Char2"/>
    <w:basedOn w:val="Normal"/>
    <w:rsid w:val="00F31C94"/>
    <w:pPr>
      <w:spacing w:after="160" w:line="240" w:lineRule="exact"/>
    </w:pPr>
    <w:rPr>
      <w:rFonts w:ascii="Verdana" w:hAnsi="Verdana"/>
      <w:sz w:val="16"/>
      <w:szCs w:val="20"/>
    </w:rPr>
  </w:style>
  <w:style w:type="paragraph" w:customStyle="1" w:styleId="subsection">
    <w:name w:val="subsection"/>
    <w:basedOn w:val="Normal"/>
    <w:rsid w:val="00F31C94"/>
    <w:pPr>
      <w:spacing w:line="480" w:lineRule="auto"/>
      <w:ind w:left="720" w:hanging="720"/>
    </w:pPr>
    <w:rPr>
      <w:szCs w:val="20"/>
    </w:rPr>
  </w:style>
  <w:style w:type="paragraph" w:styleId="NormalWeb">
    <w:name w:val="Normal (Web)"/>
    <w:basedOn w:val="Normal"/>
    <w:rsid w:val="00F31C94"/>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F31C94"/>
    <w:rPr>
      <w:sz w:val="24"/>
      <w:szCs w:val="24"/>
      <w:lang w:val="en-US" w:eastAsia="en-US" w:bidi="ar-SA"/>
    </w:rPr>
  </w:style>
  <w:style w:type="character" w:styleId="FollowedHyperlink">
    <w:name w:val="FollowedHyperlink"/>
    <w:rsid w:val="00F31C94"/>
    <w:rPr>
      <w:color w:val="800080"/>
      <w:u w:val="single"/>
    </w:rPr>
  </w:style>
  <w:style w:type="paragraph" w:customStyle="1" w:styleId="Style1">
    <w:name w:val="Style1"/>
    <w:basedOn w:val="BodyText2"/>
    <w:next w:val="BodyText2"/>
    <w:rsid w:val="00F31C94"/>
    <w:pPr>
      <w:spacing w:after="240"/>
      <w:ind w:left="720" w:hanging="720"/>
    </w:pPr>
    <w:rPr>
      <w:iCs/>
    </w:rPr>
  </w:style>
  <w:style w:type="paragraph" w:styleId="BodyText2">
    <w:name w:val="Body Text 2"/>
    <w:basedOn w:val="Normal"/>
    <w:rsid w:val="00F31C94"/>
    <w:pPr>
      <w:spacing w:after="120" w:line="480" w:lineRule="auto"/>
    </w:pPr>
  </w:style>
  <w:style w:type="paragraph" w:styleId="BodyText3">
    <w:name w:val="Body Text 3"/>
    <w:basedOn w:val="Normal"/>
    <w:rsid w:val="00F31C94"/>
    <w:pPr>
      <w:spacing w:after="120"/>
    </w:pPr>
    <w:rPr>
      <w:sz w:val="16"/>
      <w:szCs w:val="16"/>
    </w:rPr>
  </w:style>
  <w:style w:type="paragraph" w:customStyle="1" w:styleId="BodyTextNumbered">
    <w:name w:val="Body Text Numbered"/>
    <w:basedOn w:val="BodyText3"/>
    <w:rsid w:val="00F31C94"/>
    <w:rPr>
      <w:sz w:val="24"/>
    </w:rPr>
  </w:style>
  <w:style w:type="paragraph" w:styleId="Revision">
    <w:name w:val="Revision"/>
    <w:hidden/>
    <w:uiPriority w:val="99"/>
    <w:semiHidden/>
    <w:rsid w:val="00D540B0"/>
    <w:rPr>
      <w:sz w:val="24"/>
      <w:szCs w:val="24"/>
    </w:rPr>
  </w:style>
  <w:style w:type="character" w:customStyle="1" w:styleId="FooterChar">
    <w:name w:val="Footer Char"/>
    <w:link w:val="Footer"/>
    <w:uiPriority w:val="99"/>
    <w:rsid w:val="0065114D"/>
    <w:rPr>
      <w:sz w:val="24"/>
      <w:szCs w:val="24"/>
    </w:rPr>
  </w:style>
  <w:style w:type="character" w:customStyle="1" w:styleId="InstructionsChar">
    <w:name w:val="Instructions Char"/>
    <w:link w:val="Instructions"/>
    <w:rsid w:val="004D1A51"/>
    <w:rPr>
      <w:b/>
      <w:i/>
      <w:iCs/>
      <w:sz w:val="24"/>
      <w:szCs w:val="24"/>
    </w:rPr>
  </w:style>
  <w:style w:type="character" w:customStyle="1" w:styleId="List2Char">
    <w:name w:val="List 2 Char"/>
    <w:aliases w:val=" Char2 Char Char Char, Char2 Char,Char2 Char Char Char"/>
    <w:link w:val="List2"/>
    <w:rsid w:val="004D1A5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wmf"/><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7591A-DDE0-43B8-80C8-291285AF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6347</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42754</CharactersWithSpaces>
  <SharedDoc>false</SharedDoc>
  <HLinks>
    <vt:vector size="180" baseType="variant">
      <vt:variant>
        <vt:i4>1835057</vt:i4>
      </vt:variant>
      <vt:variant>
        <vt:i4>176</vt:i4>
      </vt:variant>
      <vt:variant>
        <vt:i4>0</vt:i4>
      </vt:variant>
      <vt:variant>
        <vt:i4>5</vt:i4>
      </vt:variant>
      <vt:variant>
        <vt:lpwstr/>
      </vt:variant>
      <vt:variant>
        <vt:lpwstr>_Toc440463384</vt:lpwstr>
      </vt:variant>
      <vt:variant>
        <vt:i4>1835057</vt:i4>
      </vt:variant>
      <vt:variant>
        <vt:i4>170</vt:i4>
      </vt:variant>
      <vt:variant>
        <vt:i4>0</vt:i4>
      </vt:variant>
      <vt:variant>
        <vt:i4>5</vt:i4>
      </vt:variant>
      <vt:variant>
        <vt:lpwstr/>
      </vt:variant>
      <vt:variant>
        <vt:lpwstr>_Toc440463383</vt:lpwstr>
      </vt:variant>
      <vt:variant>
        <vt:i4>1835057</vt:i4>
      </vt:variant>
      <vt:variant>
        <vt:i4>164</vt:i4>
      </vt:variant>
      <vt:variant>
        <vt:i4>0</vt:i4>
      </vt:variant>
      <vt:variant>
        <vt:i4>5</vt:i4>
      </vt:variant>
      <vt:variant>
        <vt:lpwstr/>
      </vt:variant>
      <vt:variant>
        <vt:lpwstr>_Toc440463382</vt:lpwstr>
      </vt:variant>
      <vt:variant>
        <vt:i4>1835057</vt:i4>
      </vt:variant>
      <vt:variant>
        <vt:i4>158</vt:i4>
      </vt:variant>
      <vt:variant>
        <vt:i4>0</vt:i4>
      </vt:variant>
      <vt:variant>
        <vt:i4>5</vt:i4>
      </vt:variant>
      <vt:variant>
        <vt:lpwstr/>
      </vt:variant>
      <vt:variant>
        <vt:lpwstr>_Toc440463381</vt:lpwstr>
      </vt:variant>
      <vt:variant>
        <vt:i4>1835057</vt:i4>
      </vt:variant>
      <vt:variant>
        <vt:i4>152</vt:i4>
      </vt:variant>
      <vt:variant>
        <vt:i4>0</vt:i4>
      </vt:variant>
      <vt:variant>
        <vt:i4>5</vt:i4>
      </vt:variant>
      <vt:variant>
        <vt:lpwstr/>
      </vt:variant>
      <vt:variant>
        <vt:lpwstr>_Toc440463380</vt:lpwstr>
      </vt:variant>
      <vt:variant>
        <vt:i4>1245233</vt:i4>
      </vt:variant>
      <vt:variant>
        <vt:i4>146</vt:i4>
      </vt:variant>
      <vt:variant>
        <vt:i4>0</vt:i4>
      </vt:variant>
      <vt:variant>
        <vt:i4>5</vt:i4>
      </vt:variant>
      <vt:variant>
        <vt:lpwstr/>
      </vt:variant>
      <vt:variant>
        <vt:lpwstr>_Toc440463379</vt:lpwstr>
      </vt:variant>
      <vt:variant>
        <vt:i4>1245233</vt:i4>
      </vt:variant>
      <vt:variant>
        <vt:i4>140</vt:i4>
      </vt:variant>
      <vt:variant>
        <vt:i4>0</vt:i4>
      </vt:variant>
      <vt:variant>
        <vt:i4>5</vt:i4>
      </vt:variant>
      <vt:variant>
        <vt:lpwstr/>
      </vt:variant>
      <vt:variant>
        <vt:lpwstr>_Toc440463378</vt:lpwstr>
      </vt:variant>
      <vt:variant>
        <vt:i4>1245233</vt:i4>
      </vt:variant>
      <vt:variant>
        <vt:i4>134</vt:i4>
      </vt:variant>
      <vt:variant>
        <vt:i4>0</vt:i4>
      </vt:variant>
      <vt:variant>
        <vt:i4>5</vt:i4>
      </vt:variant>
      <vt:variant>
        <vt:lpwstr/>
      </vt:variant>
      <vt:variant>
        <vt:lpwstr>_Toc440463377</vt:lpwstr>
      </vt:variant>
      <vt:variant>
        <vt:i4>1245233</vt:i4>
      </vt:variant>
      <vt:variant>
        <vt:i4>128</vt:i4>
      </vt:variant>
      <vt:variant>
        <vt:i4>0</vt:i4>
      </vt:variant>
      <vt:variant>
        <vt:i4>5</vt:i4>
      </vt:variant>
      <vt:variant>
        <vt:lpwstr/>
      </vt:variant>
      <vt:variant>
        <vt:lpwstr>_Toc440463376</vt:lpwstr>
      </vt:variant>
      <vt:variant>
        <vt:i4>1245233</vt:i4>
      </vt:variant>
      <vt:variant>
        <vt:i4>122</vt:i4>
      </vt:variant>
      <vt:variant>
        <vt:i4>0</vt:i4>
      </vt:variant>
      <vt:variant>
        <vt:i4>5</vt:i4>
      </vt:variant>
      <vt:variant>
        <vt:lpwstr/>
      </vt:variant>
      <vt:variant>
        <vt:lpwstr>_Toc440463375</vt:lpwstr>
      </vt:variant>
      <vt:variant>
        <vt:i4>1245233</vt:i4>
      </vt:variant>
      <vt:variant>
        <vt:i4>116</vt:i4>
      </vt:variant>
      <vt:variant>
        <vt:i4>0</vt:i4>
      </vt:variant>
      <vt:variant>
        <vt:i4>5</vt:i4>
      </vt:variant>
      <vt:variant>
        <vt:lpwstr/>
      </vt:variant>
      <vt:variant>
        <vt:lpwstr>_Toc440463374</vt:lpwstr>
      </vt:variant>
      <vt:variant>
        <vt:i4>1245233</vt:i4>
      </vt:variant>
      <vt:variant>
        <vt:i4>110</vt:i4>
      </vt:variant>
      <vt:variant>
        <vt:i4>0</vt:i4>
      </vt:variant>
      <vt:variant>
        <vt:i4>5</vt:i4>
      </vt:variant>
      <vt:variant>
        <vt:lpwstr/>
      </vt:variant>
      <vt:variant>
        <vt:lpwstr>_Toc440463373</vt:lpwstr>
      </vt:variant>
      <vt:variant>
        <vt:i4>1245233</vt:i4>
      </vt:variant>
      <vt:variant>
        <vt:i4>104</vt:i4>
      </vt:variant>
      <vt:variant>
        <vt:i4>0</vt:i4>
      </vt:variant>
      <vt:variant>
        <vt:i4>5</vt:i4>
      </vt:variant>
      <vt:variant>
        <vt:lpwstr/>
      </vt:variant>
      <vt:variant>
        <vt:lpwstr>_Toc440463372</vt:lpwstr>
      </vt:variant>
      <vt:variant>
        <vt:i4>1245233</vt:i4>
      </vt:variant>
      <vt:variant>
        <vt:i4>98</vt:i4>
      </vt:variant>
      <vt:variant>
        <vt:i4>0</vt:i4>
      </vt:variant>
      <vt:variant>
        <vt:i4>5</vt:i4>
      </vt:variant>
      <vt:variant>
        <vt:lpwstr/>
      </vt:variant>
      <vt:variant>
        <vt:lpwstr>_Toc440463371</vt:lpwstr>
      </vt:variant>
      <vt:variant>
        <vt:i4>1245233</vt:i4>
      </vt:variant>
      <vt:variant>
        <vt:i4>92</vt:i4>
      </vt:variant>
      <vt:variant>
        <vt:i4>0</vt:i4>
      </vt:variant>
      <vt:variant>
        <vt:i4>5</vt:i4>
      </vt:variant>
      <vt:variant>
        <vt:lpwstr/>
      </vt:variant>
      <vt:variant>
        <vt:lpwstr>_Toc440463370</vt:lpwstr>
      </vt:variant>
      <vt:variant>
        <vt:i4>1179697</vt:i4>
      </vt:variant>
      <vt:variant>
        <vt:i4>86</vt:i4>
      </vt:variant>
      <vt:variant>
        <vt:i4>0</vt:i4>
      </vt:variant>
      <vt:variant>
        <vt:i4>5</vt:i4>
      </vt:variant>
      <vt:variant>
        <vt:lpwstr/>
      </vt:variant>
      <vt:variant>
        <vt:lpwstr>_Toc440463369</vt:lpwstr>
      </vt:variant>
      <vt:variant>
        <vt:i4>1179697</vt:i4>
      </vt:variant>
      <vt:variant>
        <vt:i4>80</vt:i4>
      </vt:variant>
      <vt:variant>
        <vt:i4>0</vt:i4>
      </vt:variant>
      <vt:variant>
        <vt:i4>5</vt:i4>
      </vt:variant>
      <vt:variant>
        <vt:lpwstr/>
      </vt:variant>
      <vt:variant>
        <vt:lpwstr>_Toc440463368</vt:lpwstr>
      </vt:variant>
      <vt:variant>
        <vt:i4>1179697</vt:i4>
      </vt:variant>
      <vt:variant>
        <vt:i4>74</vt:i4>
      </vt:variant>
      <vt:variant>
        <vt:i4>0</vt:i4>
      </vt:variant>
      <vt:variant>
        <vt:i4>5</vt:i4>
      </vt:variant>
      <vt:variant>
        <vt:lpwstr/>
      </vt:variant>
      <vt:variant>
        <vt:lpwstr>_Toc440463367</vt:lpwstr>
      </vt:variant>
      <vt:variant>
        <vt:i4>1179697</vt:i4>
      </vt:variant>
      <vt:variant>
        <vt:i4>68</vt:i4>
      </vt:variant>
      <vt:variant>
        <vt:i4>0</vt:i4>
      </vt:variant>
      <vt:variant>
        <vt:i4>5</vt:i4>
      </vt:variant>
      <vt:variant>
        <vt:lpwstr/>
      </vt:variant>
      <vt:variant>
        <vt:lpwstr>_Toc440463366</vt:lpwstr>
      </vt:variant>
      <vt:variant>
        <vt:i4>1179697</vt:i4>
      </vt:variant>
      <vt:variant>
        <vt:i4>62</vt:i4>
      </vt:variant>
      <vt:variant>
        <vt:i4>0</vt:i4>
      </vt:variant>
      <vt:variant>
        <vt:i4>5</vt:i4>
      </vt:variant>
      <vt:variant>
        <vt:lpwstr/>
      </vt:variant>
      <vt:variant>
        <vt:lpwstr>_Toc440463365</vt:lpwstr>
      </vt:variant>
      <vt:variant>
        <vt:i4>1179697</vt:i4>
      </vt:variant>
      <vt:variant>
        <vt:i4>56</vt:i4>
      </vt:variant>
      <vt:variant>
        <vt:i4>0</vt:i4>
      </vt:variant>
      <vt:variant>
        <vt:i4>5</vt:i4>
      </vt:variant>
      <vt:variant>
        <vt:lpwstr/>
      </vt:variant>
      <vt:variant>
        <vt:lpwstr>_Toc440463364</vt:lpwstr>
      </vt:variant>
      <vt:variant>
        <vt:i4>1179697</vt:i4>
      </vt:variant>
      <vt:variant>
        <vt:i4>50</vt:i4>
      </vt:variant>
      <vt:variant>
        <vt:i4>0</vt:i4>
      </vt:variant>
      <vt:variant>
        <vt:i4>5</vt:i4>
      </vt:variant>
      <vt:variant>
        <vt:lpwstr/>
      </vt:variant>
      <vt:variant>
        <vt:lpwstr>_Toc440463363</vt:lpwstr>
      </vt:variant>
      <vt:variant>
        <vt:i4>1179697</vt:i4>
      </vt:variant>
      <vt:variant>
        <vt:i4>44</vt:i4>
      </vt:variant>
      <vt:variant>
        <vt:i4>0</vt:i4>
      </vt:variant>
      <vt:variant>
        <vt:i4>5</vt:i4>
      </vt:variant>
      <vt:variant>
        <vt:lpwstr/>
      </vt:variant>
      <vt:variant>
        <vt:lpwstr>_Toc440463362</vt:lpwstr>
      </vt:variant>
      <vt:variant>
        <vt:i4>1179697</vt:i4>
      </vt:variant>
      <vt:variant>
        <vt:i4>38</vt:i4>
      </vt:variant>
      <vt:variant>
        <vt:i4>0</vt:i4>
      </vt:variant>
      <vt:variant>
        <vt:i4>5</vt:i4>
      </vt:variant>
      <vt:variant>
        <vt:lpwstr/>
      </vt:variant>
      <vt:variant>
        <vt:lpwstr>_Toc440463361</vt:lpwstr>
      </vt:variant>
      <vt:variant>
        <vt:i4>1179697</vt:i4>
      </vt:variant>
      <vt:variant>
        <vt:i4>32</vt:i4>
      </vt:variant>
      <vt:variant>
        <vt:i4>0</vt:i4>
      </vt:variant>
      <vt:variant>
        <vt:i4>5</vt:i4>
      </vt:variant>
      <vt:variant>
        <vt:lpwstr/>
      </vt:variant>
      <vt:variant>
        <vt:lpwstr>_Toc440463360</vt:lpwstr>
      </vt:variant>
      <vt:variant>
        <vt:i4>1114161</vt:i4>
      </vt:variant>
      <vt:variant>
        <vt:i4>26</vt:i4>
      </vt:variant>
      <vt:variant>
        <vt:i4>0</vt:i4>
      </vt:variant>
      <vt:variant>
        <vt:i4>5</vt:i4>
      </vt:variant>
      <vt:variant>
        <vt:lpwstr/>
      </vt:variant>
      <vt:variant>
        <vt:lpwstr>_Toc440463359</vt:lpwstr>
      </vt:variant>
      <vt:variant>
        <vt:i4>1114161</vt:i4>
      </vt:variant>
      <vt:variant>
        <vt:i4>20</vt:i4>
      </vt:variant>
      <vt:variant>
        <vt:i4>0</vt:i4>
      </vt:variant>
      <vt:variant>
        <vt:i4>5</vt:i4>
      </vt:variant>
      <vt:variant>
        <vt:lpwstr/>
      </vt:variant>
      <vt:variant>
        <vt:lpwstr>_Toc440463358</vt:lpwstr>
      </vt:variant>
      <vt:variant>
        <vt:i4>1114161</vt:i4>
      </vt:variant>
      <vt:variant>
        <vt:i4>14</vt:i4>
      </vt:variant>
      <vt:variant>
        <vt:i4>0</vt:i4>
      </vt:variant>
      <vt:variant>
        <vt:i4>5</vt:i4>
      </vt:variant>
      <vt:variant>
        <vt:lpwstr/>
      </vt:variant>
      <vt:variant>
        <vt:lpwstr>_Toc440463357</vt:lpwstr>
      </vt:variant>
      <vt:variant>
        <vt:i4>1114161</vt:i4>
      </vt:variant>
      <vt:variant>
        <vt:i4>8</vt:i4>
      </vt:variant>
      <vt:variant>
        <vt:i4>0</vt:i4>
      </vt:variant>
      <vt:variant>
        <vt:i4>5</vt:i4>
      </vt:variant>
      <vt:variant>
        <vt:lpwstr/>
      </vt:variant>
      <vt:variant>
        <vt:lpwstr>_Toc440463356</vt:lpwstr>
      </vt:variant>
      <vt:variant>
        <vt:i4>1114161</vt:i4>
      </vt:variant>
      <vt:variant>
        <vt:i4>2</vt:i4>
      </vt:variant>
      <vt:variant>
        <vt:i4>0</vt:i4>
      </vt:variant>
      <vt:variant>
        <vt:i4>5</vt:i4>
      </vt:variant>
      <vt:variant>
        <vt:lpwstr/>
      </vt:variant>
      <vt:variant>
        <vt:lpwstr>_Toc440463355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ERCOT</cp:lastModifiedBy>
  <cp:revision>3</cp:revision>
  <cp:lastPrinted>2019-04-29T19:30:00Z</cp:lastPrinted>
  <dcterms:created xsi:type="dcterms:W3CDTF">2020-12-28T18:28:00Z</dcterms:created>
  <dcterms:modified xsi:type="dcterms:W3CDTF">2020-12-28T18:29:00Z</dcterms:modified>
</cp:coreProperties>
</file>